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38 Group IP companies</w:t>
      </w:r>
    </w:p>
    <w:p>
      <w:pPr>
        <w:pStyle w:val="Heading1"/>
      </w:pPr>
      <w:r>
        <w:t>38. Group IP Companies</w:t>
      </w:r>
    </w:p>
    <w:p>
      <w:pPr>
        <w:pStyle w:val="Heading2"/>
      </w:pPr>
      <w:r>
        <w:t>Introduction</w:t>
      </w:r>
    </w:p>
    <w:p>
      <w:r>
        <w:t xml:space="preserve">Many multinational oil and gas groups establish </w:t>
      </w:r>
      <w:r>
        <w:rPr>
          <w:b/>
        </w:rPr>
        <w:t>dedicated IP holding companies (IP HoldCos)</w:t>
      </w:r>
      <w:r>
        <w:t xml:space="preserve"> to centralize ownership of intellectual property, streamline licensing to operating entities, and optimize the global tax position. Historically, IP HoldCos were established in low-tax jurisdictions with favorable IP regimes, minimal substance requirements, and extensive treaty networks.</w:t>
      </w:r>
    </w:p>
    <w:p>
      <w:r>
        <w:t xml:space="preserve">However, the </w:t>
      </w:r>
      <w:r>
        <w:rPr>
          <w:b/>
        </w:rPr>
        <w:t>OECD Base Erosion and Profit Shifting (BEPS) initiative</w:t>
      </w:r>
      <w:r>
        <w:t xml:space="preserve"> and subsequent domestic anti-avoidance measures have fundamentally reshaped IP holding structures. Tax authorities now scrutinize whether IP HoldCos have </w:t>
      </w:r>
      <w:r>
        <w:rPr>
          <w:b/>
        </w:rPr>
        <w:t>genuine economic substance</w:t>
      </w:r>
      <w:r>
        <w:t xml:space="preserve">, perform </w:t>
      </w:r>
      <w:r>
        <w:rPr>
          <w:b/>
        </w:rPr>
        <w:t>DEMPE functions</w:t>
      </w:r>
      <w:r>
        <w:t xml:space="preserve"> (Development, Enhancement, Maintenance, Protection, Exploitation), and whether profit allocation aligns with </w:t>
      </w:r>
      <w:r>
        <w:rPr>
          <w:b/>
        </w:rPr>
        <w:t>value creation</w:t>
      </w:r>
      <w:r>
        <w:t>.</w:t>
      </w:r>
    </w:p>
    <w:p>
      <w:r>
        <w:t xml:space="preserve">For ADIT examination purposes, this chapter examines the </w:t>
      </w:r>
      <w:r>
        <w:rPr>
          <w:b/>
        </w:rPr>
        <w:t>rationale for IP HoldCos</w:t>
      </w:r>
      <w:r>
        <w:t xml:space="preserve">, </w:t>
      </w:r>
      <w:r>
        <w:rPr>
          <w:b/>
        </w:rPr>
        <w:t>favorable jurisdictions and their IP regimes</w:t>
      </w:r>
      <w:r>
        <w:t xml:space="preserve">, </w:t>
      </w:r>
      <w:r>
        <w:rPr>
          <w:b/>
        </w:rPr>
        <w:t>substance requirements</w:t>
      </w:r>
      <w:r>
        <w:t xml:space="preserve">, </w:t>
      </w:r>
      <w:r>
        <w:rPr>
          <w:b/>
        </w:rPr>
        <w:t>BEPS and Pillar Two implications</w:t>
      </w:r>
      <w:r>
        <w:t xml:space="preserve">, and </w:t>
      </w:r>
      <w:r>
        <w:rPr>
          <w:b/>
        </w:rPr>
        <w:t>strategic considerations</w:t>
      </w:r>
      <w:r>
        <w:t xml:space="preserve"> for multinational oil and gas groups.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1. Rationale for Establishing IP Holding Companies</w:t>
      </w:r>
    </w:p>
    <w:p>
      <w:pPr>
        <w:pStyle w:val="Heading3"/>
      </w:pPr>
      <w:r>
        <w:t>1.1 Tax Optimization</w:t>
      </w:r>
    </w:p>
    <w:p>
      <w:pPr>
        <w:pStyle w:val="Heading4"/>
      </w:pPr>
      <w:r>
        <w:t>Preferential IP Tax Regimes (Patent Boxes)</w:t>
      </w:r>
    </w:p>
    <w:p>
      <w:r>
        <w:t xml:space="preserve">Many jurisdictions offer </w:t>
      </w:r>
      <w:r>
        <w:rPr>
          <w:b/>
        </w:rPr>
        <w:t>reduced tax rates</w:t>
      </w:r>
      <w:r>
        <w:t xml:space="preserve"> on income derived from qualifying intellectual property: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Jurisdiction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Effective IP Tax Rate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Requirements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United Kingdom</w:t>
            </w:r>
          </w:p>
        </w:tc>
        <w:tc>
          <w:tcPr>
            <w:tcW w:type="dxa" w:w="2880"/>
          </w:tcPr>
          <w:p>
            <w:r/>
            <w:r>
              <w:t>10%</w:t>
            </w:r>
          </w:p>
        </w:tc>
        <w:tc>
          <w:tcPr>
            <w:tcW w:type="dxa" w:w="2880"/>
          </w:tcPr>
          <w:p>
            <w:r/>
            <w:r>
              <w:t>Patents granted by UK IPO, EPO, or EEA member states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Netherlands</w:t>
            </w:r>
          </w:p>
        </w:tc>
        <w:tc>
          <w:tcPr>
            <w:tcW w:type="dxa" w:w="2880"/>
          </w:tcPr>
          <w:p>
            <w:r/>
            <w:r>
              <w:t>9%</w:t>
            </w:r>
          </w:p>
        </w:tc>
        <w:tc>
          <w:tcPr>
            <w:tcW w:type="dxa" w:w="2880"/>
          </w:tcPr>
          <w:p>
            <w:r/>
            <w:r>
              <w:t>Self-developed or acquired IP with substantial improvement; nexus requirement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Belgium</w:t>
            </w:r>
          </w:p>
        </w:tc>
        <w:tc>
          <w:tcPr>
            <w:tcW w:type="dxa" w:w="2880"/>
          </w:tcPr>
          <w:p>
            <w:r/>
            <w:r>
              <w:t>3.75% (85% deduction)</w:t>
            </w:r>
          </w:p>
        </w:tc>
        <w:tc>
          <w:tcPr>
            <w:tcW w:type="dxa" w:w="2880"/>
          </w:tcPr>
          <w:p>
            <w:r/>
            <w:r>
              <w:t>Qualifying IP income from patents, software copyrights; nexus approach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Switzerland</w:t>
            </w:r>
          </w:p>
        </w:tc>
        <w:tc>
          <w:tcPr>
            <w:tcW w:type="dxa" w:w="2880"/>
          </w:tcPr>
          <w:p>
            <w:r/>
            <w:r>
              <w:t>Varies by canton (5-10%)</w:t>
            </w:r>
          </w:p>
        </w:tc>
        <w:tc>
          <w:tcPr>
            <w:tcW w:type="dxa" w:w="2880"/>
          </w:tcPr>
          <w:p>
            <w:r/>
            <w:r>
              <w:t>Cantonal IP regimes with nexus requirement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Ireland</w:t>
            </w:r>
          </w:p>
        </w:tc>
        <w:tc>
          <w:tcPr>
            <w:tcW w:type="dxa" w:w="2880"/>
          </w:tcPr>
          <w:p>
            <w:r/>
            <w:r>
              <w:t>12.5% (general rate)</w:t>
            </w:r>
          </w:p>
        </w:tc>
        <w:tc>
          <w:tcPr>
            <w:tcW w:type="dxa" w:w="2880"/>
          </w:tcPr>
          <w:p>
            <w:r/>
            <w:r>
              <w:t>R&amp;D tax credits available; no separate patent box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Singapore</w:t>
            </w:r>
          </w:p>
        </w:tc>
        <w:tc>
          <w:tcPr>
            <w:tcW w:type="dxa" w:w="2880"/>
          </w:tcPr>
          <w:p>
            <w:r/>
            <w:r>
              <w:t>5-10%</w:t>
            </w:r>
          </w:p>
        </w:tc>
        <w:tc>
          <w:tcPr>
            <w:tcW w:type="dxa" w:w="2880"/>
          </w:tcPr>
          <w:p>
            <w:r/>
            <w:r>
              <w:t>Preferential rates under IP Development Incentive (IDI) scheme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Luxembourg</w:t>
            </w:r>
          </w:p>
        </w:tc>
        <w:tc>
          <w:tcPr>
            <w:tcW w:type="dxa" w:w="2880"/>
          </w:tcPr>
          <w:p>
            <w:r/>
            <w:r>
              <w:t>5.2% (80% exemption)</w:t>
            </w:r>
          </w:p>
        </w:tc>
        <w:tc>
          <w:tcPr>
            <w:tcW w:type="dxa" w:w="2880"/>
          </w:tcPr>
          <w:p>
            <w:r/>
            <w:r>
              <w:t>Qualifying IP must result from R&amp;D; nexus requirement</w:t>
            </w:r>
          </w:p>
        </w:tc>
      </w:tr>
    </w:tbl>
    <w:p/>
    <w:p>
      <w:r>
        <w:rPr>
          <w:b/>
        </w:rPr>
        <w:t>Nexus Approach (Post-BEPS)</w:t>
      </w:r>
      <w:r>
        <w:t xml:space="preserve">: Income eligible for preferential rates is limited based on the proportion of </w:t>
      </w:r>
      <w:r>
        <w:rPr>
          <w:b/>
        </w:rPr>
        <w:t>qualifying R&amp;D expenditure</w:t>
      </w:r>
      <w:r>
        <w:t xml:space="preserve"> incurred by the taxpayer: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Qualifying IP Income = Overall IP Income × (Qualifying Expenditure / Overall Expenditure)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Where: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Qualifying Expenditure = R&amp;D costs incurred by the taxpayer or related parties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Overall Expenditure = Total R&amp;D costs (including outsourced to unrelated parties) + Acquisition cost</w:t>
      </w:r>
    </w:p>
    <w:p/>
    <w:p>
      <w:r>
        <w:rPr>
          <w:b/>
        </w:rPr>
        <w:t>Uplift</w:t>
      </w:r>
      <w:r>
        <w:t xml:space="preserve">: To avoid penalizing companies that outsource some R&amp;D, jurisdictions allow a </w:t>
      </w:r>
      <w:r>
        <w:rPr>
          <w:b/>
        </w:rPr>
        <w:t>30% uplift</w:t>
      </w:r>
      <w:r>
        <w:t xml:space="preserve"> to qualifying expenditure (capped at overall expenditure).</w:t>
      </w:r>
    </w:p>
    <w:p>
      <w:pPr>
        <w:pStyle w:val="Heading4"/>
      </w:pPr>
      <w:r>
        <w:t>Treaty Network Access</w:t>
      </w:r>
    </w:p>
    <w:p>
      <w:r>
        <w:t xml:space="preserve">IP HoldCos are often established in jurisdictions with </w:t>
      </w:r>
      <w:r>
        <w:rPr>
          <w:b/>
        </w:rPr>
        <w:t>extensive double tax treaty networks</w:t>
      </w:r>
      <w:r>
        <w:t xml:space="preserve"> to:</w:t>
      </w:r>
    </w:p>
    <w:p>
      <w:pPr>
        <w:pStyle w:val="ListBullet"/>
      </w:pPr>
      <w:r>
        <w:rPr>
          <w:b/>
        </w:rPr>
        <w:t>Minimize withholding taxes</w:t>
      </w:r>
      <w:r>
        <w:t xml:space="preserve"> on inbound royalties from operating subsidiaries</w:t>
      </w:r>
    </w:p>
    <w:p>
      <w:pPr>
        <w:pStyle w:val="ListBullet"/>
      </w:pPr>
      <w:r>
        <w:rPr>
          <w:b/>
        </w:rPr>
        <w:t>Minimize withholding taxes</w:t>
      </w:r>
      <w:r>
        <w:t xml:space="preserve"> on outbound dividends to the ultimate parent</w:t>
      </w:r>
    </w:p>
    <w:p>
      <w:pPr>
        <w:pStyle w:val="ListBullet"/>
      </w:pPr>
      <w:r>
        <w:rPr>
          <w:b/>
        </w:rPr>
        <w:t>Access tax dispute resolution</w:t>
      </w:r>
      <w:r>
        <w:t xml:space="preserve"> mechanisms (mutual agreement procedures, arbitration)</w:t>
      </w:r>
    </w:p>
    <w:p>
      <w:r>
        <w:rPr>
          <w:b/>
        </w:rPr>
        <w:t>Example Treaty WHT Rates (Royalties)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From / To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Netherlands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Ireland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Singapore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Luxembourg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United States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  <w:tc>
          <w:tcPr>
            <w:tcW w:type="dxa" w:w="1728"/>
          </w:tcPr>
          <w:p>
            <w:r/>
            <w:r>
              <w:t>5-8%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United Kingdom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  <w:tc>
          <w:tcPr>
            <w:tcW w:type="dxa" w:w="1728"/>
          </w:tcPr>
          <w:p>
            <w:r/>
            <w:r>
              <w:t>5%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Norway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  <w:tc>
          <w:tcPr>
            <w:tcW w:type="dxa" w:w="1728"/>
          </w:tcPr>
          <w:p>
            <w:r/>
            <w:r>
              <w:t>5%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Brazil</w:t>
            </w:r>
          </w:p>
        </w:tc>
        <w:tc>
          <w:tcPr>
            <w:tcW w:type="dxa" w:w="1728"/>
          </w:tcPr>
          <w:p>
            <w:r/>
            <w:r>
              <w:t>15%</w:t>
            </w:r>
          </w:p>
        </w:tc>
        <w:tc>
          <w:tcPr>
            <w:tcW w:type="dxa" w:w="1728"/>
          </w:tcPr>
          <w:p>
            <w:r/>
            <w:r>
              <w:t>15%</w:t>
            </w:r>
          </w:p>
        </w:tc>
        <w:tc>
          <w:tcPr>
            <w:tcW w:type="dxa" w:w="1728"/>
          </w:tcPr>
          <w:p>
            <w:r/>
            <w:r>
              <w:t>15%</w:t>
            </w:r>
          </w:p>
        </w:tc>
        <w:tc>
          <w:tcPr>
            <w:tcW w:type="dxa" w:w="1728"/>
          </w:tcPr>
          <w:p>
            <w:r/>
            <w:r>
              <w:t>15%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Nigeria</w:t>
            </w:r>
          </w:p>
        </w:tc>
        <w:tc>
          <w:tcPr>
            <w:tcW w:type="dxa" w:w="1728"/>
          </w:tcPr>
          <w:p>
            <w:r/>
            <w:r>
              <w:t>7.5%</w:t>
            </w:r>
          </w:p>
        </w:tc>
        <w:tc>
          <w:tcPr>
            <w:tcW w:type="dxa" w:w="1728"/>
          </w:tcPr>
          <w:p>
            <w:r/>
            <w:r>
              <w:t>7.5%</w:t>
            </w:r>
          </w:p>
        </w:tc>
        <w:tc>
          <w:tcPr>
            <w:tcW w:type="dxa" w:w="1728"/>
          </w:tcPr>
          <w:p>
            <w:r/>
            <w:r>
              <w:t>7.5%</w:t>
            </w:r>
          </w:p>
        </w:tc>
        <w:tc>
          <w:tcPr>
            <w:tcW w:type="dxa" w:w="1728"/>
          </w:tcPr>
          <w:p>
            <w:r/>
            <w:r>
              <w:t>7.5%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Angola</w:t>
            </w:r>
          </w:p>
        </w:tc>
        <w:tc>
          <w:tcPr>
            <w:tcW w:type="dxa" w:w="1728"/>
          </w:tcPr>
          <w:p>
            <w:r/>
            <w:r>
              <w:t>10%</w:t>
            </w:r>
          </w:p>
        </w:tc>
        <w:tc>
          <w:tcPr>
            <w:tcW w:type="dxa" w:w="1728"/>
          </w:tcPr>
          <w:p>
            <w:r/>
            <w:r>
              <w:t>8%</w:t>
            </w:r>
          </w:p>
        </w:tc>
        <w:tc>
          <w:tcPr>
            <w:tcW w:type="dxa" w:w="1728"/>
          </w:tcPr>
          <w:p>
            <w:r/>
            <w:r>
              <w:t>8%</w:t>
            </w:r>
          </w:p>
        </w:tc>
        <w:tc>
          <w:tcPr>
            <w:tcW w:type="dxa" w:w="1728"/>
          </w:tcPr>
          <w:p>
            <w:r/>
            <w:r>
              <w:t>10%</w:t>
            </w:r>
          </w:p>
        </w:tc>
      </w:tr>
    </w:tbl>
    <w:p/>
    <w:p>
      <w:r>
        <w:rPr>
          <w:b/>
        </w:rPr>
        <w:t>EU Interest and Royalties Directive</w:t>
      </w:r>
      <w:r>
        <w:t xml:space="preserve">: </w:t>
      </w:r>
      <w:r>
        <w:rPr>
          <w:b/>
        </w:rPr>
        <w:t>0% WHT</w:t>
      </w:r>
      <w:r>
        <w:t xml:space="preserve"> on royalties between qualifying EU-resident companies (minimum 25% ownership; EU-source income).</w:t>
      </w:r>
    </w:p>
    <w:p>
      <w:pPr>
        <w:pStyle w:val="Heading4"/>
      </w:pPr>
      <w:r>
        <w:t>Centralized Management and Risk Diversification</w:t>
      </w:r>
    </w:p>
    <w:p>
      <w:pPr>
        <w:pStyle w:val="ListBullet"/>
      </w:pPr>
      <w:r>
        <w:rPr>
          <w:b/>
        </w:rPr>
        <w:t>Single point of control</w:t>
      </w:r>
      <w:r>
        <w:t>: Centralized IP ownership simplifies licensing agreements, IP enforcement, and technology commercialization decisions</w:t>
      </w:r>
    </w:p>
    <w:p>
      <w:pPr>
        <w:pStyle w:val="ListBullet"/>
      </w:pPr>
      <w:r>
        <w:rPr>
          <w:b/>
        </w:rPr>
        <w:t>Risk pooling</w:t>
      </w:r>
      <w:r>
        <w:t>: Consolidating IP in one entity may facilitate access to capital markets or collateralized financing</w:t>
      </w:r>
    </w:p>
    <w:p>
      <w:pPr>
        <w:pStyle w:val="ListBullet"/>
      </w:pPr>
      <w:r>
        <w:rPr>
          <w:b/>
        </w:rPr>
        <w:t>Streamlined M&amp;A</w:t>
      </w:r>
      <w:r>
        <w:t>: Facilitates sale or licensing of IP portfolios without restructuring multiple operating entities</w:t>
      </w:r>
    </w:p>
    <w:p>
      <w:pPr>
        <w:pStyle w:val="Heading3"/>
      </w:pPr>
      <w:r>
        <w:t>1.2 Non-Tax Business Reasons</w:t>
      </w:r>
    </w:p>
    <w:p>
      <w:pPr>
        <w:pStyle w:val="Heading4"/>
      </w:pPr>
      <w:r>
        <w:t>Asset Protection</w:t>
      </w:r>
    </w:p>
    <w:p>
      <w:pPr>
        <w:pStyle w:val="ListBullet"/>
      </w:pPr>
      <w:r>
        <w:rPr>
          <w:b/>
        </w:rPr>
        <w:t>Insolvency protection</w:t>
      </w:r>
      <w:r>
        <w:t>: Separating IP from operating entities shields IP from creditors if an operating entity faces financial distress</w:t>
      </w:r>
    </w:p>
    <w:p>
      <w:pPr>
        <w:pStyle w:val="ListBullet"/>
      </w:pPr>
      <w:r>
        <w:rPr>
          <w:b/>
        </w:rPr>
        <w:t>Litigation risk</w:t>
      </w:r>
      <w:r>
        <w:t>: If operating entities face lawsuits (environmental claims, contract disputes), IP assets are protected</w:t>
      </w:r>
    </w:p>
    <w:p>
      <w:pPr>
        <w:pStyle w:val="Heading4"/>
      </w:pPr>
      <w:r>
        <w:t>IP Portfolio Management</w:t>
      </w:r>
    </w:p>
    <w:p>
      <w:pPr>
        <w:pStyle w:val="ListBullet"/>
      </w:pPr>
      <w:r>
        <w:rPr>
          <w:b/>
        </w:rPr>
        <w:t>Centralized prosecution</w:t>
      </w:r>
      <w:r>
        <w:t>: Patent filings, trademark registrations, and IP renewals managed centrally</w:t>
      </w:r>
    </w:p>
    <w:p>
      <w:pPr>
        <w:pStyle w:val="ListBullet"/>
      </w:pPr>
      <w:r>
        <w:rPr>
          <w:b/>
        </w:rPr>
        <w:t>Licensing standardization</w:t>
      </w:r>
      <w:r>
        <w:t>: Uniform terms across jurisdictions</w:t>
      </w:r>
    </w:p>
    <w:p>
      <w:pPr>
        <w:pStyle w:val="ListBullet"/>
      </w:pPr>
      <w:r>
        <w:rPr>
          <w:b/>
        </w:rPr>
        <w:t>Technology transfer</w:t>
      </w:r>
      <w:r>
        <w:t>: Coordinated rollout of new technologies to operating entities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2. Favorable Jurisdictions for IP Holding Companies</w:t>
      </w:r>
    </w:p>
    <w:p>
      <w:pPr>
        <w:pStyle w:val="Heading3"/>
      </w:pPr>
      <w:r>
        <w:t>2.1 Netherlands</w:t>
      </w:r>
    </w:p>
    <w:p>
      <w:pPr>
        <w:pStyle w:val="Heading4"/>
      </w:pPr>
      <w:r>
        <w:t>Tax Regime</w:t>
      </w:r>
    </w:p>
    <w:p>
      <w:pPr>
        <w:pStyle w:val="ListBullet"/>
      </w:pPr>
      <w:r>
        <w:rPr>
          <w:b/>
        </w:rPr>
        <w:t>General corporate tax rate</w:t>
      </w:r>
      <w:r>
        <w:t>: 25.8% (2024)</w:t>
      </w:r>
    </w:p>
    <w:p>
      <w:pPr>
        <w:pStyle w:val="ListBullet"/>
      </w:pPr>
      <w:r>
        <w:rPr>
          <w:b/>
        </w:rPr>
        <w:t>Innovation Box rate</w:t>
      </w:r>
      <w:r>
        <w:t xml:space="preserve">: </w:t>
      </w:r>
      <w:r>
        <w:rPr>
          <w:b/>
        </w:rPr>
        <w:t>9%</w:t>
      </w:r>
      <w:r>
        <w:t xml:space="preserve"> on qualifying IP income</w:t>
      </w:r>
    </w:p>
    <w:p>
      <w:pPr>
        <w:pStyle w:val="ListBullet"/>
      </w:pPr>
      <w:r>
        <w:rPr>
          <w:b/>
        </w:rPr>
        <w:t>No withholding tax</w:t>
      </w:r>
      <w:r>
        <w:t xml:space="preserve"> on royalties paid to foreign entities</w:t>
      </w:r>
    </w:p>
    <w:p>
      <w:pPr>
        <w:pStyle w:val="ListBullet"/>
      </w:pPr>
      <w:r>
        <w:rPr>
          <w:b/>
        </w:rPr>
        <w:t>Extensive treaty network</w:t>
      </w:r>
      <w:r>
        <w:t>: Over 100 tax treaties with favorable rates</w:t>
      </w:r>
    </w:p>
    <w:p>
      <w:pPr>
        <w:pStyle w:val="Heading4"/>
      </w:pPr>
      <w:r>
        <w:t>Innovation Box Requirements</w:t>
      </w:r>
    </w:p>
    <w:p>
      <w:r>
        <w:rPr>
          <w:b/>
        </w:rPr>
        <w:t>Qualifying IP</w:t>
      </w:r>
      <w:r>
        <w:t>:</w:t>
      </w:r>
    </w:p>
    <w:p>
      <w:pPr>
        <w:pStyle w:val="ListBullet"/>
      </w:pPr>
      <w:r>
        <w:t>Patents (self-developed or acquired with further development)</w:t>
      </w:r>
    </w:p>
    <w:p>
      <w:pPr>
        <w:pStyle w:val="ListBullet"/>
      </w:pPr>
      <w:r>
        <w:t>Plant breeder's rights</w:t>
      </w:r>
    </w:p>
    <w:p>
      <w:pPr>
        <w:pStyle w:val="ListBullet"/>
      </w:pPr>
      <w:r>
        <w:t>Orphan drug designations</w:t>
      </w:r>
    </w:p>
    <w:p>
      <w:pPr>
        <w:pStyle w:val="ListBullet"/>
      </w:pPr>
      <w:r>
        <w:t>Software if protected by copyright and resulting from R&amp;D</w:t>
      </w:r>
    </w:p>
    <w:p>
      <w:r>
        <w:rPr>
          <w:b/>
        </w:rPr>
        <w:t>Nexus Calculation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Qualifying Income = Overall IP Income × [(Qualifying Costs × 130%) / Overall Costs]</w:t>
      </w:r>
    </w:p>
    <w:p/>
    <w:p>
      <w:r>
        <w:rPr>
          <w:b/>
        </w:rPr>
        <w:t>Substance Requirements</w:t>
      </w:r>
      <w:r>
        <w:t>:</w:t>
      </w:r>
    </w:p>
    <w:p>
      <w:pPr>
        <w:pStyle w:val="ListBullet"/>
      </w:pPr>
      <w:r>
        <w:rPr>
          <w:b/>
        </w:rPr>
        <w:t>Adequate office space</w:t>
      </w:r>
      <w:r>
        <w:t xml:space="preserve"> and facilities in the Netherlands</w:t>
      </w:r>
    </w:p>
    <w:p>
      <w:pPr>
        <w:pStyle w:val="ListBullet"/>
      </w:pPr>
      <w:r>
        <w:rPr>
          <w:b/>
        </w:rPr>
        <w:t>Qualified employees</w:t>
      </w:r>
      <w:r>
        <w:t xml:space="preserve"> performing IP management functions</w:t>
      </w:r>
    </w:p>
    <w:p>
      <w:pPr>
        <w:pStyle w:val="ListBullet"/>
      </w:pPr>
      <w:r>
        <w:rPr>
          <w:b/>
        </w:rPr>
        <w:t>Strategic decisions</w:t>
      </w:r>
      <w:r>
        <w:t xml:space="preserve"> made in the Netherlands (board meetings, licensing negotiations)</w:t>
      </w:r>
    </w:p>
    <w:p>
      <w:r>
        <w:rPr>
          <w:b/>
        </w:rPr>
        <w:t>Advantages for Oil &amp; Gas Groups</w:t>
      </w:r>
      <w:r>
        <w:t>:</w:t>
      </w:r>
    </w:p>
    <w:p>
      <w:pPr>
        <w:pStyle w:val="ListBullet"/>
      </w:pPr>
      <w:r>
        <w:rPr>
          <w:b/>
        </w:rPr>
        <w:t>Strong substance</w:t>
      </w:r>
      <w:r>
        <w:t>: Well-developed infrastructure for multinational headquarters</w:t>
      </w:r>
    </w:p>
    <w:p>
      <w:pPr>
        <w:pStyle w:val="ListBullet"/>
      </w:pPr>
      <w:r>
        <w:rPr>
          <w:b/>
        </w:rPr>
        <w:t>Favorable rulings</w:t>
      </w:r>
      <w:r>
        <w:t>: Dutch tax authorities provide advance tax rulings (ATRs) on IP structures</w:t>
      </w:r>
    </w:p>
    <w:p>
      <w:pPr>
        <w:pStyle w:val="ListBullet"/>
      </w:pPr>
      <w:r>
        <w:rPr>
          <w:b/>
        </w:rPr>
        <w:t>EU Access</w:t>
      </w:r>
      <w:r>
        <w:t>: Benefits from EU directives (Interest &amp; Royalties Directive, Parent-Subsidiary Directive)</w:t>
      </w:r>
    </w:p>
    <w:p>
      <w:r>
        <w:rPr>
          <w:b/>
        </w:rPr>
        <w:t>Disadvantages</w:t>
      </w:r>
      <w:r>
        <w:t>:</w:t>
      </w:r>
    </w:p>
    <w:p>
      <w:pPr>
        <w:pStyle w:val="ListBullet"/>
      </w:pPr>
      <w:r>
        <w:rPr>
          <w:b/>
        </w:rPr>
        <w:t>High general rate</w:t>
      </w:r>
      <w:r>
        <w:t>: 25.8% applies to non-qualifying income</w:t>
      </w:r>
    </w:p>
    <w:p>
      <w:pPr>
        <w:pStyle w:val="ListBullet"/>
      </w:pPr>
      <w:r>
        <w:rPr>
          <w:b/>
        </w:rPr>
        <w:t>CFC rules</w:t>
      </w:r>
      <w:r>
        <w:t>: Netherlands has implemented Anti-Tax Avoidance Directive (ATAD) CFC provisions</w:t>
      </w:r>
    </w:p>
    <w:p>
      <w:pPr>
        <w:pStyle w:val="ListBullet"/>
      </w:pPr>
      <w:r>
        <w:rPr>
          <w:b/>
        </w:rPr>
        <w:t>Pillar Two impact</w:t>
      </w:r>
      <w:r>
        <w:t>: Innovation Box benefits may be diluted if Pillar Two 15% minimum applies</w:t>
      </w:r>
    </w:p>
    <w:p>
      <w:pPr>
        <w:pStyle w:val="Heading3"/>
      </w:pPr>
      <w:r>
        <w:t>2.2 Ireland</w:t>
      </w:r>
    </w:p>
    <w:p>
      <w:pPr>
        <w:pStyle w:val="Heading4"/>
      </w:pPr>
      <w:r>
        <w:t>Tax Regime</w:t>
      </w:r>
    </w:p>
    <w:p>
      <w:pPr>
        <w:pStyle w:val="ListBullet"/>
      </w:pPr>
      <w:r>
        <w:rPr>
          <w:b/>
        </w:rPr>
        <w:t>Corporate tax rate</w:t>
      </w:r>
      <w:r>
        <w:t xml:space="preserve">: </w:t>
      </w:r>
      <w:r>
        <w:rPr>
          <w:b/>
        </w:rPr>
        <w:t>12.5%</w:t>
      </w:r>
      <w:r>
        <w:t xml:space="preserve"> on trading income</w:t>
      </w:r>
    </w:p>
    <w:p>
      <w:pPr>
        <w:pStyle w:val="ListBullet"/>
      </w:pPr>
      <w:r>
        <w:rPr>
          <w:b/>
        </w:rPr>
        <w:t>Capital Allowances for IP</w:t>
      </w:r>
      <w:r>
        <w:t>: Enhanced depreciation on acquired IP</w:t>
      </w:r>
    </w:p>
    <w:p>
      <w:pPr>
        <w:pStyle w:val="ListBullet"/>
      </w:pPr>
      <w:r>
        <w:rPr>
          <w:b/>
        </w:rPr>
        <w:t>R&amp;D tax credit</w:t>
      </w:r>
      <w:r>
        <w:t xml:space="preserve">: </w:t>
      </w:r>
      <w:r>
        <w:rPr>
          <w:b/>
        </w:rPr>
        <w:t>25% tax credit</w:t>
      </w:r>
      <w:r>
        <w:t xml:space="preserve"> on incremental R&amp;D expenditure</w:t>
      </w:r>
    </w:p>
    <w:p>
      <w:pPr>
        <w:pStyle w:val="ListBullet"/>
      </w:pPr>
      <w:r>
        <w:rPr>
          <w:b/>
        </w:rPr>
        <w:t>Knowledge Development Box (KDB)</w:t>
      </w:r>
      <w:r>
        <w:t xml:space="preserve">: </w:t>
      </w:r>
      <w:r>
        <w:rPr>
          <w:b/>
        </w:rPr>
        <w:t>10% effective rate</w:t>
      </w:r>
      <w:r>
        <w:t xml:space="preserve"> on qualifying IP profits (increased from 6.25% in 2024 due to Pillar Two alignment)</w:t>
      </w:r>
    </w:p>
    <w:p>
      <w:pPr>
        <w:pStyle w:val="Heading4"/>
      </w:pPr>
      <w:r>
        <w:t>Knowledge Development Box</w:t>
      </w:r>
    </w:p>
    <w:p>
      <w:r>
        <w:rPr>
          <w:b/>
        </w:rPr>
        <w:t>Qualifying Assets</w:t>
      </w:r>
      <w:r>
        <w:t>:</w:t>
      </w:r>
    </w:p>
    <w:p>
      <w:pPr>
        <w:pStyle w:val="ListBullet"/>
      </w:pPr>
      <w:r>
        <w:t>Patents (granted by patent offices worldwide)</w:t>
      </w:r>
    </w:p>
    <w:p>
      <w:pPr>
        <w:pStyle w:val="ListBullet"/>
      </w:pPr>
      <w:r>
        <w:t>Copyrighted software</w:t>
      </w:r>
    </w:p>
    <w:p>
      <w:pPr>
        <w:pStyle w:val="ListBullet"/>
      </w:pPr>
      <w:r>
        <w:t>Certain plant and animal varieties</w:t>
      </w:r>
    </w:p>
    <w:p>
      <w:r>
        <w:rPr>
          <w:b/>
        </w:rPr>
        <w:t>Nexus Requirement</w:t>
      </w:r>
      <w:r>
        <w:t>: Similar to other jurisdictions, income eligible for KDB is limited by the nexus formula based on qualifying R&amp;D expenditure.</w:t>
      </w:r>
    </w:p>
    <w:p>
      <w:r>
        <w:rPr>
          <w:b/>
        </w:rPr>
        <w:t>Substance Requirements</w:t>
      </w:r>
      <w:r>
        <w:t>:</w:t>
      </w:r>
    </w:p>
    <w:p>
      <w:pPr>
        <w:pStyle w:val="ListBullet"/>
      </w:pPr>
      <w:r>
        <w:rPr>
          <w:b/>
        </w:rPr>
        <w:t>Employees</w:t>
      </w:r>
      <w:r>
        <w:t>: Minimum 3-5 employees with relevant expertise</w:t>
      </w:r>
    </w:p>
    <w:p>
      <w:pPr>
        <w:pStyle w:val="ListBullet"/>
      </w:pPr>
      <w:r>
        <w:rPr>
          <w:b/>
        </w:rPr>
        <w:t>Economic activity</w:t>
      </w:r>
      <w:r>
        <w:t>: Must perform core income-generating activities (CIGA) in Ireland</w:t>
      </w:r>
    </w:p>
    <w:p>
      <w:pPr>
        <w:pStyle w:val="ListBullet"/>
      </w:pPr>
      <w:r>
        <w:rPr>
          <w:b/>
        </w:rPr>
        <w:t>Premises</w:t>
      </w:r>
      <w:r>
        <w:t>: Appropriate office space</w:t>
      </w:r>
    </w:p>
    <w:p>
      <w:r>
        <w:rPr>
          <w:b/>
        </w:rPr>
        <w:t>Advantages for Oil &amp; Gas Groups</w:t>
      </w:r>
      <w:r>
        <w:t>:</w:t>
      </w:r>
    </w:p>
    <w:p>
      <w:pPr>
        <w:pStyle w:val="ListBullet"/>
      </w:pPr>
      <w:r>
        <w:rPr>
          <w:b/>
        </w:rPr>
        <w:t>EU membership</w:t>
      </w:r>
      <w:r>
        <w:t>: Access to EU directives (though post-Brexit, UK companies don't benefit)</w:t>
      </w:r>
    </w:p>
    <w:p>
      <w:pPr>
        <w:pStyle w:val="ListBullet"/>
      </w:pPr>
      <w:r>
        <w:rPr>
          <w:b/>
        </w:rPr>
        <w:t>Strong IP legal framework</w:t>
      </w:r>
      <w:r>
        <w:t>: English-language legal system, sophisticated IP law</w:t>
      </w:r>
    </w:p>
    <w:p>
      <w:pPr>
        <w:pStyle w:val="ListBullet"/>
      </w:pPr>
      <w:r>
        <w:rPr>
          <w:b/>
        </w:rPr>
        <w:t>Skilled workforce</w:t>
      </w:r>
      <w:r>
        <w:t>: Large pool of technology and engineering talent</w:t>
      </w:r>
    </w:p>
    <w:p>
      <w:r>
        <w:rPr>
          <w:b/>
        </w:rPr>
        <w:t>Disadvantages</w:t>
      </w:r>
      <w:r>
        <w:t>:</w:t>
      </w:r>
    </w:p>
    <w:p>
      <w:pPr>
        <w:pStyle w:val="ListBullet"/>
      </w:pPr>
      <w:r>
        <w:rPr>
          <w:b/>
        </w:rPr>
        <w:t>Higher effective rate</w:t>
      </w:r>
      <w:r>
        <w:t>: 10% (KDB) is higher than some other patent boxes (Netherlands 9%, Singapore 5-10%)</w:t>
      </w:r>
    </w:p>
    <w:p>
      <w:pPr>
        <w:pStyle w:val="ListBullet"/>
      </w:pPr>
      <w:r>
        <w:rPr>
          <w:b/>
        </w:rPr>
        <w:t>Increased scrutiny</w:t>
      </w:r>
      <w:r>
        <w:t>: Ireland faces pressure from EU on tax practices</w:t>
      </w:r>
    </w:p>
    <w:p>
      <w:pPr>
        <w:pStyle w:val="ListBullet"/>
      </w:pPr>
      <w:r>
        <w:rPr>
          <w:b/>
        </w:rPr>
        <w:t>Pillar Two</w:t>
      </w:r>
      <w:r>
        <w:t>: May face top-up tax under global minimum tax rules (though the 10% rate reduces the top-up burden)</w:t>
      </w:r>
    </w:p>
    <w:p>
      <w:pPr>
        <w:pStyle w:val="Heading3"/>
      </w:pPr>
      <w:r>
        <w:t>2.3 Singapore</w:t>
      </w:r>
    </w:p>
    <w:p>
      <w:pPr>
        <w:pStyle w:val="Heading4"/>
      </w:pPr>
      <w:r>
        <w:t>Tax Regime</w:t>
      </w:r>
    </w:p>
    <w:p>
      <w:pPr>
        <w:pStyle w:val="ListBullet"/>
      </w:pPr>
      <w:r>
        <w:rPr>
          <w:b/>
        </w:rPr>
        <w:t>Corporate tax rate</w:t>
      </w:r>
      <w:r>
        <w:t xml:space="preserve">: </w:t>
      </w:r>
      <w:r>
        <w:rPr>
          <w:b/>
        </w:rPr>
        <w:t>17%</w:t>
      </w:r>
    </w:p>
    <w:p>
      <w:pPr>
        <w:pStyle w:val="ListBullet"/>
      </w:pPr>
      <w:r>
        <w:rPr>
          <w:b/>
        </w:rPr>
        <w:t>IP Development Incentive (IDI)</w:t>
      </w:r>
      <w:r>
        <w:t xml:space="preserve">: </w:t>
      </w:r>
      <w:r>
        <w:rPr>
          <w:b/>
        </w:rPr>
        <w:t>5% or 10%</w:t>
      </w:r>
      <w:r>
        <w:t xml:space="preserve"> on qualifying IP income (depending on IP type and conditions)</w:t>
      </w:r>
    </w:p>
    <w:p>
      <w:pPr>
        <w:pStyle w:val="ListBullet"/>
      </w:pPr>
      <w:r>
        <w:rPr>
          <w:b/>
        </w:rPr>
        <w:t>No withholding tax</w:t>
      </w:r>
      <w:r>
        <w:t xml:space="preserve"> on royalties paid to foreign entities (generally)</w:t>
      </w:r>
    </w:p>
    <w:p>
      <w:pPr>
        <w:pStyle w:val="ListBullet"/>
      </w:pPr>
      <w:r>
        <w:rPr>
          <w:b/>
        </w:rPr>
        <w:t>Extensive treaty network</w:t>
      </w:r>
      <w:r>
        <w:t>: Over 90 tax treaties</w:t>
      </w:r>
    </w:p>
    <w:p>
      <w:pPr>
        <w:pStyle w:val="Heading4"/>
      </w:pPr>
      <w:r>
        <w:t>IP Development Incentive</w:t>
      </w:r>
    </w:p>
    <w:p>
      <w:r>
        <w:rPr>
          <w:b/>
        </w:rPr>
        <w:t>Qualifying Activities</w:t>
      </w:r>
      <w:r>
        <w:t>:</w:t>
      </w:r>
    </w:p>
    <w:p>
      <w:pPr>
        <w:pStyle w:val="ListBullet"/>
      </w:pPr>
      <w:r>
        <w:t>Development, registration, and commercialization of IP</w:t>
      </w:r>
    </w:p>
    <w:p>
      <w:pPr>
        <w:pStyle w:val="ListBullet"/>
      </w:pPr>
      <w:r>
        <w:t>IP must be legally and economically owned by the Singapore entity</w:t>
      </w:r>
    </w:p>
    <w:p>
      <w:pPr>
        <w:pStyle w:val="ListBullet"/>
      </w:pPr>
      <w:r>
        <w:t>Substantial economic activity must occur in Singapore</w:t>
      </w:r>
    </w:p>
    <w:p>
      <w:r>
        <w:rPr>
          <w:b/>
        </w:rPr>
        <w:t>Preferential Rates</w:t>
      </w:r>
      <w:r>
        <w:t>:</w:t>
      </w:r>
    </w:p>
    <w:p>
      <w:pPr>
        <w:pStyle w:val="ListBullet"/>
      </w:pPr>
      <w:r>
        <w:rPr>
          <w:b/>
        </w:rPr>
        <w:t>5%</w:t>
      </w:r>
      <w:r>
        <w:t xml:space="preserve"> for income from qualifying IP assets developed in Singapore</w:t>
      </w:r>
    </w:p>
    <w:p>
      <w:pPr>
        <w:pStyle w:val="ListBullet"/>
      </w:pPr>
      <w:r>
        <w:rPr>
          <w:b/>
        </w:rPr>
        <w:t>10%</w:t>
      </w:r>
      <w:r>
        <w:t xml:space="preserve"> for income from acquired IP further developed in Singapore</w:t>
      </w:r>
    </w:p>
    <w:p>
      <w:r>
        <w:rPr>
          <w:b/>
        </w:rPr>
        <w:t>Substance Requirements</w:t>
      </w:r>
      <w:r>
        <w:t>:</w:t>
      </w:r>
    </w:p>
    <w:p>
      <w:pPr>
        <w:pStyle w:val="ListBullet"/>
      </w:pPr>
      <w:r>
        <w:rPr>
          <w:b/>
        </w:rPr>
        <w:t>Economic Substance Act</w:t>
      </w:r>
      <w:r>
        <w:t>: Requires adequate employees, expenditure, and physical presence</w:t>
      </w:r>
    </w:p>
    <w:p>
      <w:pPr>
        <w:pStyle w:val="ListBullet"/>
      </w:pPr>
      <w:r>
        <w:rPr>
          <w:b/>
        </w:rPr>
        <w:t>Board decisions</w:t>
      </w:r>
      <w:r>
        <w:t>: Key strategic decisions must be made in Singapore</w:t>
      </w:r>
    </w:p>
    <w:p>
      <w:pPr>
        <w:pStyle w:val="ListBullet"/>
      </w:pPr>
      <w:r>
        <w:rPr>
          <w:b/>
        </w:rPr>
        <w:t>CIGA</w:t>
      </w:r>
      <w:r>
        <w:t>: Core income-generating activities performed locally</w:t>
      </w:r>
    </w:p>
    <w:p>
      <w:r>
        <w:rPr>
          <w:b/>
        </w:rPr>
        <w:t>Advantages for Oil &amp; Gas Groups</w:t>
      </w:r>
      <w:r>
        <w:t>:</w:t>
      </w:r>
    </w:p>
    <w:p>
      <w:pPr>
        <w:pStyle w:val="ListBullet"/>
      </w:pPr>
      <w:r>
        <w:rPr>
          <w:b/>
        </w:rPr>
        <w:t>Strategic location</w:t>
      </w:r>
      <w:r>
        <w:t>: Proximity to major Asian oil &amp; gas markets (Indonesia, Malaysia, Vietnam)</w:t>
      </w:r>
    </w:p>
    <w:p>
      <w:pPr>
        <w:pStyle w:val="ListBullet"/>
      </w:pPr>
      <w:r>
        <w:rPr>
          <w:b/>
        </w:rPr>
        <w:t>Political stability</w:t>
      </w:r>
      <w:r>
        <w:t>: Strong governance and rule of law</w:t>
      </w:r>
    </w:p>
    <w:p>
      <w:pPr>
        <w:pStyle w:val="ListBullet"/>
      </w:pPr>
      <w:r>
        <w:rPr>
          <w:b/>
        </w:rPr>
        <w:t>No CFC rules</w:t>
      </w:r>
      <w:r>
        <w:t>: Singapore does not have comprehensive CFC provisions (though BEPS Action 3 may lead to changes)</w:t>
      </w:r>
    </w:p>
    <w:p>
      <w:r>
        <w:rPr>
          <w:b/>
        </w:rPr>
        <w:t>Disadvantages</w:t>
      </w:r>
      <w:r>
        <w:t>:</w:t>
      </w:r>
    </w:p>
    <w:p>
      <w:pPr>
        <w:pStyle w:val="ListBullet"/>
      </w:pPr>
      <w:r>
        <w:rPr>
          <w:b/>
        </w:rPr>
        <w:t>Limited EU treaty benefits</w:t>
      </w:r>
      <w:r>
        <w:t>: Not part of EU, so no access to EU directives</w:t>
      </w:r>
    </w:p>
    <w:p>
      <w:pPr>
        <w:pStyle w:val="ListBullet"/>
      </w:pPr>
      <w:r>
        <w:rPr>
          <w:b/>
        </w:rPr>
        <w:t>Higher treaty WHT rates</w:t>
      </w:r>
      <w:r>
        <w:t>: Typically 5-10% on inbound royalties (vs. 0% in EU structures)</w:t>
      </w:r>
    </w:p>
    <w:p>
      <w:pPr>
        <w:pStyle w:val="ListBullet"/>
      </w:pPr>
      <w:r>
        <w:rPr>
          <w:b/>
        </w:rPr>
        <w:t>Pillar Two</w:t>
      </w:r>
      <w:r>
        <w:t>: Subject to 15% minimum tax under OECD Pillar Two</w:t>
      </w:r>
    </w:p>
    <w:p>
      <w:pPr>
        <w:pStyle w:val="Heading3"/>
      </w:pPr>
      <w:r>
        <w:t>2.4 Luxembourg</w:t>
      </w:r>
    </w:p>
    <w:p>
      <w:pPr>
        <w:pStyle w:val="Heading4"/>
      </w:pPr>
      <w:r>
        <w:t>Tax Regime</w:t>
      </w:r>
    </w:p>
    <w:p>
      <w:pPr>
        <w:pStyle w:val="ListBullet"/>
      </w:pPr>
      <w:r>
        <w:rPr>
          <w:b/>
        </w:rPr>
        <w:t>Corporate tax rate</w:t>
      </w:r>
      <w:r>
        <w:t xml:space="preserve">: </w:t>
      </w:r>
      <w:r>
        <w:rPr>
          <w:b/>
        </w:rPr>
        <w:t>24.94%</w:t>
      </w:r>
      <w:r>
        <w:t xml:space="preserve"> (2024, including solidarity surcharge)</w:t>
      </w:r>
    </w:p>
    <w:p>
      <w:pPr>
        <w:pStyle w:val="ListBullet"/>
      </w:pPr>
      <w:r>
        <w:rPr>
          <w:b/>
        </w:rPr>
        <w:t>IP regime</w:t>
      </w:r>
      <w:r>
        <w:t xml:space="preserve">: </w:t>
      </w:r>
      <w:r>
        <w:rPr>
          <w:b/>
        </w:rPr>
        <w:t>80% exemption</w:t>
      </w:r>
      <w:r>
        <w:t xml:space="preserve"> for net income from qualifying IP (effective rate </w:t>
      </w:r>
      <w:r>
        <w:rPr>
          <w:b/>
        </w:rPr>
        <w:t>~5%</w:t>
      </w:r>
      <w:r>
        <w:t>)</w:t>
      </w:r>
    </w:p>
    <w:p>
      <w:pPr>
        <w:pStyle w:val="ListBullet"/>
      </w:pPr>
      <w:r>
        <w:rPr>
          <w:b/>
        </w:rPr>
        <w:t>No withholding tax</w:t>
      </w:r>
      <w:r>
        <w:t xml:space="preserve"> on royalties under most treaties and EU Royalties Directive</w:t>
      </w:r>
    </w:p>
    <w:p>
      <w:pPr>
        <w:pStyle w:val="ListBullet"/>
      </w:pPr>
      <w:r>
        <w:rPr>
          <w:b/>
        </w:rPr>
        <w:t>Extensive treaty network</w:t>
      </w:r>
      <w:r>
        <w:t>: Over 80 tax treaties</w:t>
      </w:r>
    </w:p>
    <w:p>
      <w:pPr>
        <w:pStyle w:val="Heading4"/>
      </w:pPr>
      <w:r>
        <w:t>IP Regime Requirements</w:t>
      </w:r>
    </w:p>
    <w:p>
      <w:r>
        <w:rPr>
          <w:b/>
        </w:rPr>
        <w:t>Qualifying IP</w:t>
      </w:r>
      <w:r>
        <w:t>:</w:t>
      </w:r>
    </w:p>
    <w:p>
      <w:pPr>
        <w:pStyle w:val="ListBullet"/>
      </w:pPr>
      <w:r>
        <w:t>Software copyrights</w:t>
      </w:r>
    </w:p>
    <w:p>
      <w:pPr>
        <w:pStyle w:val="ListBullet"/>
      </w:pPr>
      <w:r>
        <w:t>Patents</w:t>
      </w:r>
    </w:p>
    <w:p>
      <w:pPr>
        <w:pStyle w:val="ListBullet"/>
      </w:pPr>
      <w:r>
        <w:t>Trademarks, designs, models (if acquired as part of business acquisition)</w:t>
      </w:r>
    </w:p>
    <w:p>
      <w:pPr>
        <w:pStyle w:val="ListBullet"/>
      </w:pPr>
      <w:r>
        <w:t>Domain names</w:t>
      </w:r>
    </w:p>
    <w:p>
      <w:r>
        <w:rPr>
          <w:b/>
        </w:rPr>
        <w:t>Nexus Approach</w:t>
      </w:r>
      <w:r>
        <w:t>: Similar to other post-BEPS regimes, eligibility depends on the proportion of qualifying R&amp;D expenditure.</w:t>
      </w:r>
    </w:p>
    <w:p>
      <w:r>
        <w:rPr>
          <w:b/>
        </w:rPr>
        <w:t>Substance Requirements</w:t>
      </w:r>
      <w:r>
        <w:t>:</w:t>
      </w:r>
    </w:p>
    <w:p>
      <w:pPr>
        <w:pStyle w:val="ListBullet"/>
      </w:pPr>
      <w:r>
        <w:rPr>
          <w:b/>
        </w:rPr>
        <w:t>Substance package</w:t>
      </w:r>
      <w:r>
        <w:t>: Minimum of 2-3 qualified employees</w:t>
      </w:r>
    </w:p>
    <w:p>
      <w:pPr>
        <w:pStyle w:val="ListBullet"/>
      </w:pPr>
      <w:r>
        <w:rPr>
          <w:b/>
        </w:rPr>
        <w:t>Decision-making</w:t>
      </w:r>
      <w:r>
        <w:t>: Board meetings and strategic decisions in Luxembourg</w:t>
      </w:r>
    </w:p>
    <w:p>
      <w:pPr>
        <w:pStyle w:val="ListBullet"/>
      </w:pPr>
      <w:r>
        <w:rPr>
          <w:b/>
        </w:rPr>
        <w:t>Premises</w:t>
      </w:r>
      <w:r>
        <w:t>: Adequate office space and facilities</w:t>
      </w:r>
    </w:p>
    <w:p>
      <w:r>
        <w:rPr>
          <w:b/>
        </w:rPr>
        <w:t>Advantages for Oil &amp; Gas Groups</w:t>
      </w:r>
      <w:r>
        <w:t>:</w:t>
      </w:r>
    </w:p>
    <w:p>
      <w:pPr>
        <w:pStyle w:val="ListBullet"/>
      </w:pPr>
      <w:r>
        <w:rPr>
          <w:b/>
        </w:rPr>
        <w:t>EU hub</w:t>
      </w:r>
      <w:r>
        <w:t>: Well-established as a holding company jurisdiction</w:t>
      </w:r>
    </w:p>
    <w:p>
      <w:pPr>
        <w:pStyle w:val="ListBullet"/>
      </w:pPr>
      <w:r>
        <w:rPr>
          <w:b/>
        </w:rPr>
        <w:t>Favorable rulings</w:t>
      </w:r>
      <w:r>
        <w:t>: Luxembourg tax authorities provide binding advance rulings</w:t>
      </w:r>
    </w:p>
    <w:p>
      <w:pPr>
        <w:pStyle w:val="ListBullet"/>
      </w:pPr>
      <w:r>
        <w:rPr>
          <w:b/>
        </w:rPr>
        <w:t>Financial sector expertise</w:t>
      </w:r>
      <w:r>
        <w:t>: Strong infrastructure for treasury and financing functions</w:t>
      </w:r>
    </w:p>
    <w:p>
      <w:r>
        <w:rPr>
          <w:b/>
        </w:rPr>
        <w:t>Disadvantages</w:t>
      </w:r>
      <w:r>
        <w:t>:</w:t>
      </w:r>
    </w:p>
    <w:p>
      <w:pPr>
        <w:pStyle w:val="ListBullet"/>
      </w:pPr>
      <w:r>
        <w:rPr>
          <w:b/>
        </w:rPr>
        <w:t>High general rate</w:t>
      </w:r>
      <w:r>
        <w:t>: 24.94% applies to non-qualifying income</w:t>
      </w:r>
    </w:p>
    <w:p>
      <w:pPr>
        <w:pStyle w:val="ListBullet"/>
      </w:pPr>
      <w:r>
        <w:rPr>
          <w:b/>
        </w:rPr>
        <w:t>Substance costs</w:t>
      </w:r>
      <w:r>
        <w:t>: Maintaining adequate substance can be expensive (salaries, office rent)</w:t>
      </w:r>
    </w:p>
    <w:p>
      <w:pPr>
        <w:pStyle w:val="ListBullet"/>
      </w:pPr>
      <w:r>
        <w:rPr>
          <w:b/>
        </w:rPr>
        <w:t>Reputational risk</w:t>
      </w:r>
      <w:r>
        <w:t>: Luxembourg sometimes criticized as a "tax haven"</w:t>
      </w:r>
    </w:p>
    <w:p>
      <w:pPr>
        <w:pStyle w:val="Heading3"/>
      </w:pPr>
      <w:r>
        <w:t>2.5 United Kingdom (Post-Brexit Considerations)</w:t>
      </w:r>
    </w:p>
    <w:p>
      <w:pPr>
        <w:pStyle w:val="Heading4"/>
      </w:pPr>
      <w:r>
        <w:t>Patent Box Regime</w:t>
      </w:r>
    </w:p>
    <w:p>
      <w:pPr>
        <w:pStyle w:val="ListBullet"/>
      </w:pPr>
      <w:r>
        <w:rPr>
          <w:b/>
        </w:rPr>
        <w:t>Effective rate</w:t>
      </w:r>
      <w:r>
        <w:t xml:space="preserve">: </w:t>
      </w:r>
      <w:r>
        <w:rPr>
          <w:b/>
        </w:rPr>
        <w:t>10%</w:t>
      </w:r>
      <w:r>
        <w:t xml:space="preserve"> on qualifying patent income</w:t>
      </w:r>
    </w:p>
    <w:p>
      <w:pPr>
        <w:pStyle w:val="ListBullet"/>
      </w:pPr>
      <w:r>
        <w:rPr>
          <w:b/>
        </w:rPr>
        <w:t>Qualifying IP</w:t>
      </w:r>
      <w:r>
        <w:t>: Patents granted by UK IPO, EPO, or certain other patent offices</w:t>
      </w:r>
    </w:p>
    <w:p>
      <w:pPr>
        <w:pStyle w:val="ListBullet"/>
      </w:pPr>
      <w:r>
        <w:rPr>
          <w:b/>
        </w:rPr>
        <w:t>Nexus requirement</w:t>
      </w:r>
      <w:r>
        <w:t>: Income must relate to patents developed by the company</w:t>
      </w:r>
    </w:p>
    <w:p>
      <w:r>
        <w:rPr>
          <w:b/>
        </w:rPr>
        <w:t>Post-Brexit Impact</w:t>
      </w:r>
      <w:r>
        <w:t>:</w:t>
      </w:r>
    </w:p>
    <w:p>
      <w:pPr>
        <w:pStyle w:val="ListBullet"/>
      </w:pPr>
      <w:r>
        <w:rPr>
          <w:b/>
        </w:rPr>
        <w:t>No EU directives</w:t>
      </w:r>
      <w:r>
        <w:t>: UK no longer benefits from EU Interest &amp; Royalties Directive or Parent-Subsidiary Directive</w:t>
      </w:r>
    </w:p>
    <w:p>
      <w:pPr>
        <w:pStyle w:val="ListBullet"/>
      </w:pPr>
      <w:r>
        <w:rPr>
          <w:b/>
        </w:rPr>
        <w:t>Treaty rates apply</w:t>
      </w:r>
      <w:r>
        <w:t>: Must rely on bilateral treaties for WHT reductions</w:t>
      </w:r>
    </w:p>
    <w:p>
      <w:pPr>
        <w:pStyle w:val="ListBullet"/>
      </w:pPr>
      <w:r>
        <w:rPr>
          <w:b/>
        </w:rPr>
        <w:t>Increased substance scrutiny</w:t>
      </w:r>
      <w:r>
        <w:t>: HMRC has enhanced focus on whether UK IP HoldCos have genuine economic substance</w:t>
      </w:r>
    </w:p>
    <w:p>
      <w:r>
        <w:rPr>
          <w:b/>
        </w:rPr>
        <w:t>Advantages for Oil &amp; Gas Groups</w:t>
      </w:r>
      <w:r>
        <w:t>:</w:t>
      </w:r>
    </w:p>
    <w:p>
      <w:pPr>
        <w:pStyle w:val="ListBullet"/>
      </w:pPr>
      <w:r>
        <w:rPr>
          <w:b/>
        </w:rPr>
        <w:t>Strong legal framework</w:t>
      </w:r>
      <w:r>
        <w:t>: Well-developed IP law and enforcement</w:t>
      </w:r>
    </w:p>
    <w:p>
      <w:pPr>
        <w:pStyle w:val="ListBullet"/>
      </w:pPr>
      <w:r>
        <w:rPr>
          <w:b/>
        </w:rPr>
        <w:t>North Sea operations</w:t>
      </w:r>
      <w:r>
        <w:t>: Natural fit for groups with UK North Sea assets</w:t>
      </w:r>
    </w:p>
    <w:p>
      <w:pPr>
        <w:pStyle w:val="ListBullet"/>
      </w:pPr>
      <w:r>
        <w:rPr>
          <w:b/>
        </w:rPr>
        <w:t>R&amp;D ecosystem</w:t>
      </w:r>
      <w:r>
        <w:t>: Strong engineering and technology talent pool</w:t>
      </w:r>
    </w:p>
    <w:p>
      <w:r>
        <w:rPr>
          <w:b/>
        </w:rPr>
        <w:t>Disadvantages</w:t>
      </w:r>
      <w:r>
        <w:t>:</w:t>
      </w:r>
    </w:p>
    <w:p>
      <w:pPr>
        <w:pStyle w:val="ListBullet"/>
      </w:pPr>
      <w:r>
        <w:rPr>
          <w:b/>
        </w:rPr>
        <w:t>Higher rate</w:t>
      </w:r>
      <w:r>
        <w:t>: 10% is higher than Netherlands (9%) or Singapore (5-10%)</w:t>
      </w:r>
    </w:p>
    <w:p>
      <w:pPr>
        <w:pStyle w:val="ListBullet"/>
      </w:pPr>
      <w:r>
        <w:rPr>
          <w:b/>
        </w:rPr>
        <w:t>Brexit complexity</w:t>
      </w:r>
      <w:r>
        <w:t>: Loss of EU benefits increases complexity for European groups</w:t>
      </w:r>
    </w:p>
    <w:p>
      <w:pPr>
        <w:pStyle w:val="ListBullet"/>
      </w:pPr>
      <w:r>
        <w:rPr>
          <w:b/>
        </w:rPr>
        <w:t>Pillar Two</w:t>
      </w:r>
      <w:r>
        <w:t>: Subject to 15% minimum tax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3. Substance Requirements and BEPS Compliance</w:t>
      </w:r>
    </w:p>
    <w:p>
      <w:pPr>
        <w:pStyle w:val="Heading3"/>
      </w:pPr>
      <w:r>
        <w:t>3.1 OECD BEPS Actions 5 and 8-10</w:t>
      </w:r>
    </w:p>
    <w:p>
      <w:pPr>
        <w:pStyle w:val="Heading4"/>
      </w:pPr>
      <w:r>
        <w:t>Action 5: Harmful Tax Practices</w:t>
      </w:r>
    </w:p>
    <w:p>
      <w:r>
        <w:rPr>
          <w:b/>
        </w:rPr>
        <w:t>Modified Nexus Approach</w:t>
      </w:r>
      <w:r>
        <w:t xml:space="preserve">: IP regimes must link tax benefits to </w:t>
      </w:r>
      <w:r>
        <w:rPr>
          <w:b/>
        </w:rPr>
        <w:t>substantial economic activities</w:t>
      </w:r>
      <w:r>
        <w:t>:</w:t>
      </w:r>
    </w:p>
    <w:p>
      <w:pPr>
        <w:pStyle w:val="ListBullet"/>
      </w:pPr>
      <w:r>
        <w:rPr>
          <w:b/>
        </w:rPr>
        <w:t>Qualifying expenditure</w:t>
      </w:r>
      <w:r>
        <w:t xml:space="preserve"> must be incurred by the taxpayer (or related parties under cost-sharing arrangements)</w:t>
      </w:r>
    </w:p>
    <w:p>
      <w:pPr>
        <w:pStyle w:val="ListBullet"/>
      </w:pPr>
      <w:r>
        <w:t xml:space="preserve">Benefits cannot be granted for </w:t>
      </w:r>
      <w:r>
        <w:rPr>
          <w:b/>
        </w:rPr>
        <w:t>outsourced R&amp;D</w:t>
      </w:r>
      <w:r>
        <w:t xml:space="preserve"> to unrelated parties or </w:t>
      </w:r>
      <w:r>
        <w:rPr>
          <w:b/>
        </w:rPr>
        <w:t>acquired IP</w:t>
      </w:r>
      <w:r>
        <w:t xml:space="preserve"> without further development</w:t>
      </w:r>
    </w:p>
    <w:p>
      <w:pPr>
        <w:pStyle w:val="Heading4"/>
      </w:pPr>
      <w:r>
        <w:t>Actions 8-10: Transfer Pricing and Intangibles</w:t>
      </w:r>
    </w:p>
    <w:p>
      <w:r>
        <w:rPr>
          <w:b/>
        </w:rPr>
        <w:t>DEMPE Framework</w:t>
      </w:r>
      <w:r>
        <w:t>: Requires analysis of which entities perform:</w:t>
      </w:r>
    </w:p>
    <w:p>
      <w:pPr>
        <w:pStyle w:val="ListBullet"/>
      </w:pPr>
      <w:r>
        <w:rPr>
          <w:b/>
        </w:rPr>
        <w:t>Development</w:t>
      </w:r>
      <w:r>
        <w:t>: Creating the IP through R&amp;D</w:t>
      </w:r>
    </w:p>
    <w:p>
      <w:pPr>
        <w:pStyle w:val="ListBullet"/>
      </w:pPr>
      <w:r>
        <w:rPr>
          <w:b/>
        </w:rPr>
        <w:t>Enhancement</w:t>
      </w:r>
      <w:r>
        <w:t>: Improving IP over time</w:t>
      </w:r>
    </w:p>
    <w:p>
      <w:pPr>
        <w:pStyle w:val="ListBullet"/>
      </w:pPr>
      <w:r>
        <w:rPr>
          <w:b/>
        </w:rPr>
        <w:t>Maintenance</w:t>
      </w:r>
      <w:r>
        <w:t>: Preserving IP value (renewals, compliance)</w:t>
      </w:r>
    </w:p>
    <w:p>
      <w:pPr>
        <w:pStyle w:val="ListBullet"/>
      </w:pPr>
      <w:r>
        <w:rPr>
          <w:b/>
        </w:rPr>
        <w:t>Protection</w:t>
      </w:r>
      <w:r>
        <w:t>: Legal activities (patent filings, enforcement)</w:t>
      </w:r>
    </w:p>
    <w:p>
      <w:pPr>
        <w:pStyle w:val="ListBullet"/>
      </w:pPr>
      <w:r>
        <w:rPr>
          <w:b/>
        </w:rPr>
        <w:t>Exploitation</w:t>
      </w:r>
      <w:r>
        <w:t>: Commercializing IP (licensing, sales)</w:t>
      </w:r>
    </w:p>
    <w:p>
      <w:r>
        <w:rPr>
          <w:b/>
        </w:rPr>
        <w:t>Implication for IP HoldCos</w:t>
      </w:r>
      <w:r>
        <w:t xml:space="preserve">: Legal ownership alone is </w:t>
      </w:r>
      <w:r>
        <w:rPr>
          <w:b/>
        </w:rPr>
        <w:t>insufficient</w:t>
      </w:r>
      <w:r>
        <w:t xml:space="preserve"> to claim all IP profits. Entities performing DEMPE functions must receive </w:t>
      </w:r>
      <w:r>
        <w:rPr>
          <w:b/>
        </w:rPr>
        <w:t>appropriate compensation</w:t>
      </w:r>
      <w:r>
        <w:t>.</w:t>
      </w:r>
    </w:p>
    <w:p>
      <w:pPr>
        <w:pStyle w:val="Heading3"/>
      </w:pPr>
      <w:r>
        <w:t>3.2 Minimum Substance Requirements</w:t>
      </w:r>
    </w:p>
    <w:p>
      <w:pPr>
        <w:pStyle w:val="Heading4"/>
      </w:pPr>
      <w:r>
        <w:t>Personnel</w:t>
      </w:r>
    </w:p>
    <w:p>
      <w:r>
        <w:rPr>
          <w:b/>
        </w:rPr>
        <w:t>Requirement</w:t>
      </w:r>
      <w:r>
        <w:t xml:space="preserve">: Adequate number of </w:t>
      </w:r>
      <w:r>
        <w:rPr>
          <w:b/>
        </w:rPr>
        <w:t>qualified employees</w:t>
      </w:r>
      <w:r>
        <w:t xml:space="preserve"> with relevant skills.</w:t>
      </w:r>
    </w:p>
    <w:p>
      <w:r>
        <w:rPr>
          <w:b/>
        </w:rPr>
        <w:t>Typical Standards</w:t>
      </w:r>
      <w:r>
        <w:t>:</w:t>
      </w:r>
    </w:p>
    <w:p>
      <w:pPr>
        <w:pStyle w:val="ListBullet"/>
      </w:pPr>
      <w:r>
        <w:rPr>
          <w:b/>
        </w:rPr>
        <w:t>Minimum 2-3 full-time employees</w:t>
      </w:r>
      <w:r>
        <w:t xml:space="preserve"> for smaller IP portfolios</w:t>
      </w:r>
    </w:p>
    <w:p>
      <w:pPr>
        <w:pStyle w:val="ListBullet"/>
      </w:pPr>
      <w:r>
        <w:rPr>
          <w:b/>
        </w:rPr>
        <w:t>5-10 employees</w:t>
      </w:r>
      <w:r>
        <w:t xml:space="preserve"> for substantial IP portfolios generating significant income</w:t>
      </w:r>
    </w:p>
    <w:p>
      <w:pPr>
        <w:pStyle w:val="ListBullet"/>
      </w:pPr>
      <w:r>
        <w:t xml:space="preserve">Employees must have </w:t>
      </w:r>
      <w:r>
        <w:rPr>
          <w:b/>
        </w:rPr>
        <w:t>IP management expertise</w:t>
      </w:r>
      <w:r>
        <w:t xml:space="preserve"> (patent attorneys, licensing managers, technology experts)</w:t>
      </w:r>
    </w:p>
    <w:p>
      <w:r>
        <w:rPr>
          <w:b/>
        </w:rPr>
        <w:t>Functions Performed</w:t>
      </w:r>
      <w:r>
        <w:t>:</w:t>
      </w:r>
    </w:p>
    <w:p>
      <w:pPr>
        <w:pStyle w:val="ListBullet"/>
      </w:pPr>
      <w:r>
        <w:t>Strategic IP planning and portfolio management</w:t>
      </w:r>
    </w:p>
    <w:p>
      <w:pPr>
        <w:pStyle w:val="ListBullet"/>
      </w:pPr>
      <w:r>
        <w:t>Licensing negotiations with operating entities</w:t>
      </w:r>
    </w:p>
    <w:p>
      <w:pPr>
        <w:pStyle w:val="ListBullet"/>
      </w:pPr>
      <w:r>
        <w:t>IP enforcement (monitoring for infringement)</w:t>
      </w:r>
    </w:p>
    <w:p>
      <w:pPr>
        <w:pStyle w:val="ListBullet"/>
      </w:pPr>
      <w:r>
        <w:t>Technology commercialization decisions</w:t>
      </w:r>
    </w:p>
    <w:p>
      <w:pPr>
        <w:pStyle w:val="Heading4"/>
      </w:pPr>
      <w:r>
        <w:t>Physical Presence</w:t>
      </w:r>
    </w:p>
    <w:p>
      <w:r>
        <w:rPr>
          <w:b/>
        </w:rPr>
        <w:t>Requirement</w:t>
      </w:r>
      <w:r>
        <w:t xml:space="preserve">: </w:t>
      </w:r>
      <w:r>
        <w:rPr>
          <w:b/>
        </w:rPr>
        <w:t>Adequate office space</w:t>
      </w:r>
      <w:r>
        <w:t xml:space="preserve"> and facilities proportionate to the business.</w:t>
      </w:r>
    </w:p>
    <w:p>
      <w:r>
        <w:rPr>
          <w:b/>
        </w:rPr>
        <w:t>Typical Standards</w:t>
      </w:r>
      <w:r>
        <w:t>:</w:t>
      </w:r>
    </w:p>
    <w:p>
      <w:pPr>
        <w:pStyle w:val="ListBullet"/>
      </w:pPr>
      <w:r>
        <w:rPr>
          <w:b/>
        </w:rPr>
        <w:t>Dedicated office space</w:t>
      </w:r>
      <w:r>
        <w:t xml:space="preserve"> (not just a registered address)</w:t>
      </w:r>
    </w:p>
    <w:p>
      <w:pPr>
        <w:pStyle w:val="ListBullet"/>
      </w:pPr>
      <w:r>
        <w:rPr>
          <w:b/>
        </w:rPr>
        <w:t>Appropriate facilities</w:t>
      </w:r>
      <w:r>
        <w:t>: Meeting rooms, IT infrastructure, secure document storage</w:t>
      </w:r>
    </w:p>
    <w:p>
      <w:pPr>
        <w:pStyle w:val="ListBullet"/>
      </w:pPr>
      <w:r>
        <w:rPr>
          <w:b/>
        </w:rPr>
        <w:t>Visible presence</w:t>
      </w:r>
      <w:r>
        <w:t>: Signage, listed in building directory</w:t>
      </w:r>
    </w:p>
    <w:p>
      <w:pPr>
        <w:pStyle w:val="Heading4"/>
      </w:pPr>
      <w:r>
        <w:t>Decision-Making</w:t>
      </w:r>
    </w:p>
    <w:p>
      <w:r>
        <w:rPr>
          <w:b/>
        </w:rPr>
        <w:t>Requirement</w:t>
      </w:r>
      <w:r>
        <w:t xml:space="preserve">: </w:t>
      </w:r>
      <w:r>
        <w:rPr>
          <w:b/>
        </w:rPr>
        <w:t>Key strategic decisions</w:t>
      </w:r>
      <w:r>
        <w:t xml:space="preserve"> made in the IP HoldCo jurisdiction.</w:t>
      </w:r>
    </w:p>
    <w:p>
      <w:r>
        <w:rPr>
          <w:b/>
        </w:rPr>
        <w:t>Evidence</w:t>
      </w:r>
      <w:r>
        <w:t>:</w:t>
      </w:r>
    </w:p>
    <w:p>
      <w:pPr>
        <w:pStyle w:val="ListBullet"/>
      </w:pPr>
      <w:r>
        <w:rPr>
          <w:b/>
        </w:rPr>
        <w:t>Board meetings</w:t>
      </w:r>
      <w:r>
        <w:t>: Regular board meetings held locally (minutes documented)</w:t>
      </w:r>
    </w:p>
    <w:p>
      <w:pPr>
        <w:pStyle w:val="ListBullet"/>
      </w:pPr>
      <w:r>
        <w:rPr>
          <w:b/>
        </w:rPr>
        <w:t>Management decisions</w:t>
      </w:r>
      <w:r>
        <w:t>: IP licensing terms, royalty rates, technology investments decided locally</w:t>
      </w:r>
    </w:p>
    <w:p>
      <w:pPr>
        <w:pStyle w:val="ListBullet"/>
      </w:pPr>
      <w:r>
        <w:rPr>
          <w:b/>
        </w:rPr>
        <w:t>Contract execution</w:t>
      </w:r>
      <w:r>
        <w:t>: Licensing agreements signed by locally present officers</w:t>
      </w:r>
    </w:p>
    <w:p>
      <w:pPr>
        <w:pStyle w:val="Heading4"/>
      </w:pPr>
      <w:r>
        <w:t>Operating Expenditure</w:t>
      </w:r>
    </w:p>
    <w:p>
      <w:r>
        <w:rPr>
          <w:b/>
        </w:rPr>
        <w:t>Requirement</w:t>
      </w:r>
      <w:r>
        <w:t xml:space="preserve">: </w:t>
      </w:r>
      <w:r>
        <w:rPr>
          <w:b/>
        </w:rPr>
        <w:t>Adequate operating expenses</w:t>
      </w:r>
      <w:r>
        <w:t xml:space="preserve"> relative to income.</w:t>
      </w:r>
    </w:p>
    <w:p>
      <w:r>
        <w:rPr>
          <w:b/>
        </w:rPr>
        <w:t>Benchmarks</w:t>
      </w:r>
      <w:r>
        <w:t>:</w:t>
      </w:r>
    </w:p>
    <w:p>
      <w:pPr>
        <w:pStyle w:val="ListBullet"/>
      </w:pPr>
      <w:r>
        <w:rPr>
          <w:b/>
        </w:rPr>
        <w:t>Minimum 5-10%</w:t>
      </w:r>
      <w:r>
        <w:t xml:space="preserve"> of gross income should be incurred as operating expenses in the IP HoldCo jurisdiction</w:t>
      </w:r>
    </w:p>
    <w:p>
      <w:pPr>
        <w:pStyle w:val="ListBullet"/>
      </w:pPr>
      <w:r>
        <w:t>Expenses should include salaries, rent, professional fees, travel</w:t>
      </w:r>
    </w:p>
    <w:p>
      <w:r>
        <w:rPr>
          <w:b/>
        </w:rPr>
        <w:t>Example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IP HoldCo annual royalty income: $10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Expected minimum operating expenses: $500,000 - $1,000,000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Typical breakdown: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- Employee salaries (3 FTEs): $400,000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- Office rent and utilities: $100,000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- Professional fees (legal, tax, audit): $150,000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- IT and administrative: $100,000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- Board fees and travel: $100,000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Total: $850,000 (8.5% of income)</w:t>
      </w:r>
    </w:p>
    <w:p/>
    <w:p>
      <w:pPr>
        <w:pStyle w:val="Heading3"/>
      </w:pPr>
      <w:r>
        <w:t>3.3 Economic Substance Legislation in Low-Tax Jurisdictions</w:t>
      </w:r>
    </w:p>
    <w:p>
      <w:r>
        <w:t xml:space="preserve">Following OECD pressure, </w:t>
      </w:r>
      <w:r>
        <w:rPr>
          <w:b/>
        </w:rPr>
        <w:t>offshore jurisdictions</w:t>
      </w:r>
      <w:r>
        <w:t xml:space="preserve"> (British Virgin Islands, Cayman Islands, Bermuda, etc.) have enacted </w:t>
      </w:r>
      <w:r>
        <w:rPr>
          <w:b/>
        </w:rPr>
        <w:t>Economic Substance Acts</w:t>
      </w:r>
      <w:r>
        <w:t xml:space="preserve"> requiring:</w:t>
      </w:r>
    </w:p>
    <w:p>
      <w:pPr>
        <w:pStyle w:val="ListNumber"/>
      </w:pPr>
      <w:r>
        <w:rPr>
          <w:b/>
        </w:rPr>
        <w:t>Core Income-Generating Activities (CIGA)</w:t>
      </w:r>
      <w:r>
        <w:t>: Entities must conduct CIGAs in the jurisdiction</w:t>
      </w:r>
    </w:p>
    <w:p>
      <w:pPr>
        <w:pStyle w:val="ListNumber"/>
      </w:pPr>
      <w:r>
        <w:rPr>
          <w:b/>
        </w:rPr>
        <w:t>Directed and managed locally</w:t>
      </w:r>
      <w:r>
        <w:t>: Board meetings and strategic decisions made locally</w:t>
      </w:r>
    </w:p>
    <w:p>
      <w:pPr>
        <w:pStyle w:val="ListNumber"/>
      </w:pPr>
      <w:r>
        <w:rPr>
          <w:b/>
        </w:rPr>
        <w:t>Adequate resources</w:t>
      </w:r>
      <w:r>
        <w:t>: Employees, premises, expenditure proportionate to activities</w:t>
      </w:r>
    </w:p>
    <w:p>
      <w:r>
        <w:rPr>
          <w:b/>
        </w:rPr>
        <w:t>For IP Holding Entities</w:t>
      </w:r>
      <w:r>
        <w:t>, CIGAs include:</w:t>
      </w:r>
    </w:p>
    <w:p>
      <w:pPr>
        <w:pStyle w:val="ListBullet"/>
      </w:pPr>
      <w:r>
        <w:t>Management and exploitation of IP assets</w:t>
      </w:r>
    </w:p>
    <w:p>
      <w:pPr>
        <w:pStyle w:val="ListBullet"/>
      </w:pPr>
      <w:r>
        <w:t>Licensing negotiations and contract execution</w:t>
      </w:r>
    </w:p>
    <w:p>
      <w:pPr>
        <w:pStyle w:val="ListBullet"/>
      </w:pPr>
      <w:r>
        <w:t>Enforcement of IP rights</w:t>
      </w:r>
    </w:p>
    <w:p>
      <w:r>
        <w:rPr>
          <w:b/>
        </w:rPr>
        <w:t>Failure to meet substance requirements</w:t>
      </w:r>
      <w:r>
        <w:t xml:space="preserve"> results in:</w:t>
      </w:r>
    </w:p>
    <w:p>
      <w:pPr>
        <w:pStyle w:val="ListBullet"/>
      </w:pPr>
      <w:r>
        <w:rPr>
          <w:b/>
        </w:rPr>
        <w:t>Penalties</w:t>
      </w:r>
      <w:r>
        <w:t>: Monetary fines</w:t>
      </w:r>
    </w:p>
    <w:p>
      <w:pPr>
        <w:pStyle w:val="ListBullet"/>
      </w:pPr>
      <w:r>
        <w:rPr>
          <w:b/>
        </w:rPr>
        <w:t>Information exchange</w:t>
      </w:r>
      <w:r>
        <w:t>: Automatic reporting to foreign tax authorities</w:t>
      </w:r>
    </w:p>
    <w:p>
      <w:pPr>
        <w:pStyle w:val="ListBullet"/>
      </w:pPr>
      <w:r>
        <w:rPr>
          <w:b/>
        </w:rPr>
        <w:t>Potential strike-off</w:t>
      </w:r>
      <w:r>
        <w:t>: Entity may be dissolved</w:t>
      </w:r>
    </w:p>
    <w:p>
      <w:r>
        <w:rPr>
          <w:b/>
        </w:rPr>
        <w:t>Impact</w:t>
      </w:r>
      <w:r>
        <w:t xml:space="preserve">: These requirements have made traditional </w:t>
      </w:r>
      <w:r>
        <w:rPr>
          <w:b/>
        </w:rPr>
        <w:t>"brass plate"</w:t>
      </w:r>
      <w:r>
        <w:t xml:space="preserve"> IP HoldCos (with no real presence) </w:t>
      </w:r>
      <w:r>
        <w:rPr>
          <w:b/>
        </w:rPr>
        <w:t>non-viable</w:t>
      </w:r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4. OECD Pillar Two and Impact on IP Structures</w:t>
      </w:r>
    </w:p>
    <w:p>
      <w:pPr>
        <w:pStyle w:val="Heading3"/>
      </w:pPr>
      <w:r>
        <w:t>4.1 Global Minimum Tax (15%)</w:t>
      </w:r>
    </w:p>
    <w:p>
      <w:r>
        <w:rPr>
          <w:b/>
        </w:rPr>
        <w:t>OECD Pillar Two</w:t>
      </w:r>
      <w:r>
        <w:t xml:space="preserve"> introduces a </w:t>
      </w:r>
      <w:r>
        <w:rPr>
          <w:b/>
        </w:rPr>
        <w:t>15% global minimum tax</w:t>
      </w:r>
      <w:r>
        <w:t xml:space="preserve"> for multinational groups with revenue exceeding </w:t>
      </w:r>
      <w:r>
        <w:rPr>
          <w:b/>
        </w:rPr>
        <w:t>€750 million</w:t>
      </w:r>
      <w:r>
        <w:t>.</w:t>
      </w:r>
    </w:p>
    <w:p>
      <w:pPr>
        <w:pStyle w:val="Heading4"/>
      </w:pPr>
      <w:r>
        <w:t>Key Components</w:t>
      </w:r>
    </w:p>
    <w:p>
      <w:pPr>
        <w:pStyle w:val="ListNumber"/>
      </w:pPr>
      <w:r>
        <w:rPr>
          <w:b/>
        </w:rPr>
        <w:t>Income Inclusion Rule (IIR)</w:t>
      </w:r>
      <w:r>
        <w:t xml:space="preserve">: Parent company jurisdiction imposes </w:t>
      </w:r>
      <w:r>
        <w:rPr>
          <w:b/>
        </w:rPr>
        <w:t>top-up tax</w:t>
      </w:r>
      <w:r>
        <w:t xml:space="preserve"> if a foreign subsidiary's income is taxed below 15%</w:t>
      </w:r>
    </w:p>
    <w:p>
      <w:pPr>
        <w:pStyle w:val="ListNumber"/>
      </w:pPr>
      <w:r>
        <w:rPr>
          <w:b/>
        </w:rPr>
        <w:t>Undertaxed Profits Rule (UTPR)</w:t>
      </w:r>
      <w:r>
        <w:t>: Backstop mechanism if IIR does not apply</w:t>
      </w:r>
    </w:p>
    <w:p>
      <w:pPr>
        <w:pStyle w:val="ListNumber"/>
      </w:pPr>
      <w:r>
        <w:rPr>
          <w:b/>
        </w:rPr>
        <w:t>Qualified Domestic Minimum Top-Up Tax (QDMTT)</w:t>
      </w:r>
      <w:r>
        <w:t>: Source country can impose a top-up tax to capture the revenue</w:t>
      </w:r>
    </w:p>
    <w:p>
      <w:pPr>
        <w:pStyle w:val="Heading4"/>
      </w:pPr>
      <w:r>
        <w:t>Calculation of Effective Tax Rate (ETR)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Jurisdictional ETR = (Adjusted Covered Taxes / GloBE Income) × 100%</w:t>
      </w:r>
    </w:p>
    <w:p/>
    <w:p>
      <w:r>
        <w:rPr>
          <w:b/>
        </w:rPr>
        <w:t>Top-Up Tax Percentage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Top-Up Tax % = MAX(0%, 15% - Jurisdictional ETR)</w:t>
      </w:r>
    </w:p>
    <w:p/>
    <w:p>
      <w:r>
        <w:rPr>
          <w:b/>
        </w:rPr>
        <w:t>Top-Up Tax Amount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Top-Up Tax = (Excess Profit - Substance-Based Income Exclusion) × Top-Up Tax 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Where: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Excess Profit = GloBE Income subject to top-up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Substance-Based Income Exclusion (SBIE) = 5% × (Tangible assets + Payroll)</w:t>
      </w:r>
    </w:p>
    <w:p/>
    <w:p>
      <w:pPr>
        <w:pStyle w:val="Heading4"/>
      </w:pPr>
      <w:r>
        <w:t>Impact on IP HoldCos</w:t>
      </w:r>
    </w:p>
    <w:p>
      <w:r>
        <w:rPr>
          <w:b/>
        </w:rPr>
        <w:t>Example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Netherlands IP HoldCo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Annual income: €20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Taxes paid (Innovation Box at 9%): €1.8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ETR = 1.8 / 20 = 9%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Top-up required: 15% - 9% = 6%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Tangible assets: €2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Payroll: €1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SBIE = 5% × (€2M + €1M) = €150,000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Excess profit subject to top-up: €20M - €0.15M = €19.85M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Top-up tax = €19.85M × 6% = €1.19M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tax after Pillar Two: €1.8M + €1.19M = €2.99M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rate: 2.99 / 20 = 14.95% (close to 15%)</w:t>
      </w:r>
    </w:p>
    <w:p/>
    <w:p>
      <w:r>
        <w:rPr>
          <w:b/>
        </w:rPr>
        <w:t>Conclusion</w:t>
      </w:r>
      <w:r>
        <w:t xml:space="preserve">: Patent boxes offering rates below 15% (e.g., Netherlands 9%, Belgium 3.75%, Luxembourg 5%) </w:t>
      </w:r>
      <w:r>
        <w:rPr>
          <w:b/>
        </w:rPr>
        <w:t>lose much of their benefit</w:t>
      </w:r>
      <w:r>
        <w:t xml:space="preserve"> under Pillar Two, as top-up tax brings the effective rate to approximately 15%.</w:t>
      </w:r>
    </w:p>
    <w:p>
      <w:pPr>
        <w:pStyle w:val="Heading3"/>
      </w:pPr>
      <w:r>
        <w:t>4.2 Strategic Implications for Oil &amp; Gas Groups</w:t>
      </w:r>
    </w:p>
    <w:p>
      <w:pPr>
        <w:pStyle w:val="Heading4"/>
      </w:pPr>
      <w:r>
        <w:t>Option 1: Maintain IP HoldCo with Pillar Two Top-Up</w:t>
      </w:r>
    </w:p>
    <w:p>
      <w:r>
        <w:rPr>
          <w:b/>
        </w:rPr>
        <w:t>Rationale</w:t>
      </w:r>
      <w:r>
        <w:t>:</w:t>
      </w:r>
    </w:p>
    <w:p>
      <w:pPr>
        <w:pStyle w:val="ListBullet"/>
      </w:pPr>
      <w:r>
        <w:rPr>
          <w:b/>
        </w:rPr>
        <w:t>15% effective rate</w:t>
      </w:r>
      <w:r>
        <w:t xml:space="preserve"> may still be attractive if the parent jurisdiction has a higher rate (e.g., 21-25%)</w:t>
      </w:r>
    </w:p>
    <w:p>
      <w:pPr>
        <w:pStyle w:val="ListBullet"/>
      </w:pPr>
      <w:r>
        <w:rPr>
          <w:b/>
        </w:rPr>
        <w:t>Treaty benefits</w:t>
      </w:r>
      <w:r>
        <w:t xml:space="preserve"> (0% WHT on royalties) remain valuable</w:t>
      </w:r>
    </w:p>
    <w:p>
      <w:pPr>
        <w:pStyle w:val="ListBullet"/>
      </w:pPr>
      <w:r>
        <w:rPr>
          <w:b/>
        </w:rPr>
        <w:t>Centralized management</w:t>
      </w:r>
      <w:r>
        <w:t xml:space="preserve"> benefits persist</w:t>
      </w:r>
    </w:p>
    <w:p>
      <w:r>
        <w:rPr>
          <w:b/>
        </w:rPr>
        <w:t>Considerations</w:t>
      </w:r>
      <w:r>
        <w:t>:</w:t>
      </w:r>
    </w:p>
    <w:p>
      <w:pPr>
        <w:pStyle w:val="ListBullet"/>
      </w:pPr>
      <w:r>
        <w:rPr>
          <w:b/>
        </w:rPr>
        <w:t>Top-up tax jurisdiction</w:t>
      </w:r>
      <w:r>
        <w:t>: Where the top-up tax is collected (parent jurisdiction via IIR, or IP HoldCo jurisdiction via QDMTT) affects cash flow</w:t>
      </w:r>
    </w:p>
    <w:p>
      <w:pPr>
        <w:pStyle w:val="ListBullet"/>
      </w:pPr>
      <w:r>
        <w:rPr>
          <w:b/>
        </w:rPr>
        <w:t>Compliance costs</w:t>
      </w:r>
      <w:r>
        <w:t>: Pillar Two reporting is complex and costly</w:t>
      </w:r>
    </w:p>
    <w:p>
      <w:pPr>
        <w:pStyle w:val="Heading4"/>
      </w:pPr>
      <w:r>
        <w:t>Option 2: Repatriate IP to High-Substance Jurisdiction</w:t>
      </w:r>
    </w:p>
    <w:p>
      <w:r>
        <w:rPr>
          <w:b/>
        </w:rPr>
        <w:t>Rationale</w:t>
      </w:r>
      <w:r>
        <w:t>:</w:t>
      </w:r>
    </w:p>
    <w:p>
      <w:pPr>
        <w:pStyle w:val="ListBullet"/>
      </w:pPr>
      <w:r>
        <w:t xml:space="preserve">If Pillar Two eliminates the tax rate differential, </w:t>
      </w:r>
      <w:r>
        <w:rPr>
          <w:b/>
        </w:rPr>
        <w:t>substance and operational efficiency</w:t>
      </w:r>
      <w:r>
        <w:t xml:space="preserve"> become primary drivers</w:t>
      </w:r>
    </w:p>
    <w:p>
      <w:pPr>
        <w:pStyle w:val="ListBullet"/>
      </w:pPr>
      <w:r>
        <w:t xml:space="preserve">Repatriate IP to the jurisdiction where </w:t>
      </w:r>
      <w:r>
        <w:rPr>
          <w:b/>
        </w:rPr>
        <w:t>DEMPE functions</w:t>
      </w:r>
      <w:r>
        <w:t xml:space="preserve"> are actually performed (e.g., where R&amp;D personnel are located)</w:t>
      </w:r>
    </w:p>
    <w:p>
      <w:pPr>
        <w:pStyle w:val="ListBullet"/>
      </w:pPr>
      <w:r>
        <w:t>Simplifies structure and reduces compliance costs</w:t>
      </w:r>
    </w:p>
    <w:p>
      <w:r>
        <w:rPr>
          <w:b/>
        </w:rPr>
        <w:t>Example</w:t>
      </w:r>
      <w:r>
        <w:t>:</w:t>
      </w:r>
    </w:p>
    <w:p>
      <w:r>
        <w:t xml:space="preserve">A U.S.-based oil &amp; gas group previously held IP in Netherlands (9% rate). Under Pillar Two, effective rate increases to 15%, negating most of the benefit. The group considers repatriating IP to the U.S. to access </w:t>
      </w:r>
      <w:r>
        <w:rPr>
          <w:b/>
        </w:rPr>
        <w:t>FDII deduction (13.125% effective rate)</w:t>
      </w:r>
      <w:r>
        <w:t xml:space="preserve"> and simplify structure.</w:t>
      </w:r>
    </w:p>
    <w:p>
      <w:pPr>
        <w:pStyle w:val="Heading4"/>
      </w:pPr>
      <w:r>
        <w:t>Option 3: Hybrid Structure with Cost-Sharing</w:t>
      </w:r>
    </w:p>
    <w:p>
      <w:r>
        <w:rPr>
          <w:b/>
        </w:rPr>
        <w:t>Rationale</w:t>
      </w:r>
      <w:r>
        <w:t>:</w:t>
      </w:r>
    </w:p>
    <w:p>
      <w:pPr>
        <w:pStyle w:val="ListBullet"/>
      </w:pPr>
      <w:r>
        <w:t xml:space="preserve">Establish a </w:t>
      </w:r>
      <w:r>
        <w:rPr>
          <w:b/>
        </w:rPr>
        <w:t>cost-sharing arrangement (CSA)</w:t>
      </w:r>
      <w:r>
        <w:t xml:space="preserve"> where IP is co-owned by entities in multiple jurisdictions</w:t>
      </w:r>
    </w:p>
    <w:p>
      <w:pPr>
        <w:pStyle w:val="ListBullet"/>
      </w:pPr>
      <w:r>
        <w:t xml:space="preserve">Each participant performs </w:t>
      </w:r>
      <w:r>
        <w:rPr>
          <w:b/>
        </w:rPr>
        <w:t>substantive DEMPE functions</w:t>
      </w:r>
      <w:r>
        <w:t xml:space="preserve"> locally</w:t>
      </w:r>
    </w:p>
    <w:p>
      <w:pPr>
        <w:pStyle w:val="ListBullet"/>
      </w:pPr>
      <w:r>
        <w:t>Royalty-free use of co-developed IP within the group</w:t>
      </w:r>
    </w:p>
    <w:p>
      <w:r>
        <w:rPr>
          <w:b/>
        </w:rPr>
        <w:t>Advantages</w:t>
      </w:r>
      <w:r>
        <w:t>:</w:t>
      </w:r>
    </w:p>
    <w:p>
      <w:pPr>
        <w:pStyle w:val="ListBullet"/>
      </w:pPr>
      <w:r>
        <w:t xml:space="preserve">Aligns with BEPS focus on </w:t>
      </w:r>
      <w:r>
        <w:rPr>
          <w:b/>
        </w:rPr>
        <w:t>value creation</w:t>
      </w:r>
    </w:p>
    <w:p>
      <w:pPr>
        <w:pStyle w:val="ListBullet"/>
      </w:pPr>
      <w:r>
        <w:rPr>
          <w:b/>
        </w:rPr>
        <w:t>No cross-border royalties</w:t>
      </w:r>
      <w:r>
        <w:t xml:space="preserve"> (eliminates WHT)</w:t>
      </w:r>
    </w:p>
    <w:p>
      <w:pPr>
        <w:pStyle w:val="ListBullet"/>
      </w:pPr>
      <w:r>
        <w:t xml:space="preserve">Each jurisdiction taxes its </w:t>
      </w:r>
      <w:r>
        <w:rPr>
          <w:b/>
        </w:rPr>
        <w:t>proportionate share</w:t>
      </w:r>
      <w:r>
        <w:t xml:space="preserve"> of IP income</w:t>
      </w:r>
    </w:p>
    <w:p>
      <w:r>
        <w:rPr>
          <w:b/>
        </w:rPr>
        <w:t>Disadvantages</w:t>
      </w:r>
      <w:r>
        <w:t>:</w:t>
      </w:r>
    </w:p>
    <w:p>
      <w:pPr>
        <w:pStyle w:val="ListBullet"/>
      </w:pPr>
      <w:r>
        <w:rPr>
          <w:b/>
        </w:rPr>
        <w:t>Complex documentation</w:t>
      </w:r>
      <w:r>
        <w:t xml:space="preserve"> and annual compliance</w:t>
      </w:r>
    </w:p>
    <w:p>
      <w:pPr>
        <w:pStyle w:val="ListBullet"/>
      </w:pPr>
      <w:r>
        <w:rPr>
          <w:b/>
        </w:rPr>
        <w:t>Risk of adjustment</w:t>
      </w:r>
      <w:r>
        <w:t xml:space="preserve"> if RAB (Reasonably Anticipated Benefits) calculations are challenged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5. Structuring Best Practices</w:t>
      </w:r>
    </w:p>
    <w:p>
      <w:pPr>
        <w:pStyle w:val="Heading3"/>
      </w:pPr>
      <w:r>
        <w:t>5.1 Align Legal Ownership with Economic Substance</w:t>
      </w:r>
    </w:p>
    <w:p>
      <w:r>
        <w:rPr>
          <w:b/>
        </w:rPr>
        <w:t>Principle</w:t>
      </w:r>
      <w:r>
        <w:t xml:space="preserve">: Legal ownership of IP should reside where </w:t>
      </w:r>
      <w:r>
        <w:rPr>
          <w:b/>
        </w:rPr>
        <w:t>DEMPE functions</w:t>
      </w:r>
      <w:r>
        <w:t xml:space="preserve"> are performed.</w:t>
      </w:r>
    </w:p>
    <w:p>
      <w:r>
        <w:rPr>
          <w:b/>
        </w:rPr>
        <w:t>Best Practice</w:t>
      </w:r>
      <w:r>
        <w:t>:</w:t>
      </w:r>
    </w:p>
    <w:p>
      <w:r>
        <w:t xml:space="preserve">If R&amp;D is conducted by the </w:t>
      </w:r>
      <w:r>
        <w:rPr>
          <w:b/>
        </w:rPr>
        <w:t>U.S. parent</w:t>
      </w:r>
      <w:r>
        <w:t xml:space="preserve">, but IP is owned by a </w:t>
      </w:r>
      <w:r>
        <w:rPr>
          <w:b/>
        </w:rPr>
        <w:t>Netherlands HoldCo</w:t>
      </w:r>
      <w:r>
        <w:t>, ensure that:</w:t>
      </w:r>
    </w:p>
    <w:p>
      <w:pPr>
        <w:pStyle w:val="ListBullet"/>
      </w:pPr>
      <w:r>
        <w:t xml:space="preserve">Netherlands HoldCo </w:t>
      </w:r>
      <w:r>
        <w:rPr>
          <w:b/>
        </w:rPr>
        <w:t>compensates</w:t>
      </w:r>
      <w:r>
        <w:t xml:space="preserve"> U.S. parent for R&amp;D services (at arm's length)</w:t>
      </w:r>
    </w:p>
    <w:p>
      <w:pPr>
        <w:pStyle w:val="ListBullet"/>
      </w:pPr>
      <w:r>
        <w:t xml:space="preserve">Netherlands HoldCo employees actively </w:t>
      </w:r>
      <w:r>
        <w:rPr>
          <w:b/>
        </w:rPr>
        <w:t>manage</w:t>
      </w:r>
      <w:r>
        <w:t xml:space="preserve"> the IP (licensing decisions, enforcement)</w:t>
      </w:r>
    </w:p>
    <w:p>
      <w:pPr>
        <w:pStyle w:val="ListBullet"/>
      </w:pPr>
      <w:r>
        <w:t xml:space="preserve">Netherlands HoldCo assumes </w:t>
      </w:r>
      <w:r>
        <w:rPr>
          <w:b/>
        </w:rPr>
        <w:t>risk</w:t>
      </w:r>
      <w:r>
        <w:t xml:space="preserve"> (funding R&amp;D, bearing risk of IP failure)</w:t>
      </w:r>
    </w:p>
    <w:p>
      <w:pPr>
        <w:pStyle w:val="Heading3"/>
      </w:pPr>
      <w:r>
        <w:t>5.2 Maintain Robust Transfer Pricing Documentation</w:t>
      </w:r>
    </w:p>
    <w:p>
      <w:r>
        <w:rPr>
          <w:b/>
        </w:rPr>
        <w:t>Master File</w:t>
      </w:r>
      <w:r>
        <w:t>: Describe group's IP, ownership, DEMPE functions, and TP policies</w:t>
      </w:r>
    </w:p>
    <w:p>
      <w:r>
        <w:rPr>
          <w:b/>
        </w:rPr>
        <w:t>Local File</w:t>
      </w:r>
      <w:r>
        <w:t>: Entity-specific analysis demonstrating arm's length pricing for:</w:t>
      </w:r>
    </w:p>
    <w:p>
      <w:pPr>
        <w:pStyle w:val="ListBullet"/>
      </w:pPr>
      <w:r>
        <w:t>Royalties paid/received</w:t>
      </w:r>
    </w:p>
    <w:p>
      <w:pPr>
        <w:pStyle w:val="ListBullet"/>
      </w:pPr>
      <w:r>
        <w:t>R&amp;D service fees</w:t>
      </w:r>
    </w:p>
    <w:p>
      <w:pPr>
        <w:pStyle w:val="ListBullet"/>
      </w:pPr>
      <w:r>
        <w:t>Cost-sharing contributions</w:t>
      </w:r>
    </w:p>
    <w:p>
      <w:r>
        <w:rPr>
          <w:b/>
        </w:rPr>
        <w:t>CbCR</w:t>
      </w:r>
      <w:r>
        <w:t>: Ensure IP income and related taxes are accurately reported by jurisdiction</w:t>
      </w:r>
    </w:p>
    <w:p>
      <w:pPr>
        <w:pStyle w:val="Heading3"/>
      </w:pPr>
      <w:r>
        <w:t>5.3 Obtain Advance Tax Rulings</w:t>
      </w:r>
    </w:p>
    <w:p>
      <w:r>
        <w:rPr>
          <w:b/>
        </w:rPr>
        <w:t>Advance Pricing Agreements (APAs)</w:t>
      </w:r>
      <w:r>
        <w:t>: Obtain bilateral or multilateral APAs covering:</w:t>
      </w:r>
    </w:p>
    <w:p>
      <w:pPr>
        <w:pStyle w:val="ListBullet"/>
      </w:pPr>
      <w:r>
        <w:t>Royalty rates between IP HoldCo and operating entities</w:t>
      </w:r>
    </w:p>
    <w:p>
      <w:pPr>
        <w:pStyle w:val="ListBullet"/>
      </w:pPr>
      <w:r>
        <w:t>Cost-sharing arrangement terms</w:t>
      </w:r>
    </w:p>
    <w:p>
      <w:pPr>
        <w:pStyle w:val="ListBullet"/>
      </w:pPr>
      <w:r>
        <w:t>R&amp;D service fees</w:t>
      </w:r>
    </w:p>
    <w:p>
      <w:r>
        <w:rPr>
          <w:b/>
        </w:rPr>
        <w:t>Advance Tax Rulings (ATRs)</w:t>
      </w:r>
      <w:r>
        <w:t>: Obtain rulings from IP HoldCo jurisdiction confirming:</w:t>
      </w:r>
    </w:p>
    <w:p>
      <w:pPr>
        <w:pStyle w:val="ListBullet"/>
      </w:pPr>
      <w:r>
        <w:t>Eligibility for preferential IP regime</w:t>
      </w:r>
    </w:p>
    <w:p>
      <w:pPr>
        <w:pStyle w:val="ListBullet"/>
      </w:pPr>
      <w:r>
        <w:t>Application of treaty benefits</w:t>
      </w:r>
    </w:p>
    <w:p>
      <w:pPr>
        <w:pStyle w:val="ListBullet"/>
      </w:pPr>
      <w:r>
        <w:t>Substance requirements are satisfied</w:t>
      </w:r>
    </w:p>
    <w:p>
      <w:pPr>
        <w:pStyle w:val="Heading3"/>
      </w:pPr>
      <w:r>
        <w:t>5.4 Monitor Regulatory Developments</w:t>
      </w:r>
    </w:p>
    <w:p>
      <w:r>
        <w:rPr>
          <w:b/>
        </w:rPr>
        <w:t>Pillar Two</w:t>
      </w:r>
      <w:r>
        <w:t>: Track implementation timelines in relevant jurisdictions (most countries implementing 2024-2026)</w:t>
      </w:r>
    </w:p>
    <w:p>
      <w:r>
        <w:rPr>
          <w:b/>
        </w:rPr>
        <w:t>Local substance laws</w:t>
      </w:r>
      <w:r>
        <w:t>: Stay informed on evolving substance requirements (e.g., EU economic substance initiatives)</w:t>
      </w:r>
    </w:p>
    <w:p>
      <w:r>
        <w:rPr>
          <w:b/>
        </w:rPr>
        <w:t>BEPS 2.0</w:t>
      </w:r>
      <w:r>
        <w:t>: Monitor ongoing OECD work on Amount A (Pillar One) which may reallocate taxing rights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WORKED EXAMPLE 1: Designing an IP Holding Structure for a Multinational E&amp;P Company</w:t>
      </w:r>
    </w:p>
    <w:p>
      <w:pPr>
        <w:pStyle w:val="Heading3"/>
      </w:pPr>
      <w:r>
        <w:t>Facts</w:t>
      </w:r>
    </w:p>
    <w:p>
      <w:r>
        <w:rPr>
          <w:b/>
        </w:rPr>
        <w:t>TitanEnergy International</w:t>
      </w:r>
      <w:r>
        <w:t>, a U.S.-based exploration and production (E&amp;P) company, has developed valuable IP including:</w:t>
      </w:r>
    </w:p>
    <w:p>
      <w:pPr>
        <w:pStyle w:val="ListBullet"/>
      </w:pPr>
      <w:r>
        <w:rPr>
          <w:b/>
        </w:rPr>
        <w:t>Subsea completion technologies</w:t>
      </w:r>
      <w:r>
        <w:t xml:space="preserve"> (patents): FMV $200 million</w:t>
      </w:r>
    </w:p>
    <w:p>
      <w:pPr>
        <w:pStyle w:val="ListBullet"/>
      </w:pPr>
      <w:r>
        <w:rPr>
          <w:b/>
        </w:rPr>
        <w:t>Reservoir simulation software</w:t>
      </w:r>
      <w:r>
        <w:t xml:space="preserve"> (copyrights): FMV $80 million</w:t>
      </w:r>
    </w:p>
    <w:p>
      <w:pPr>
        <w:pStyle w:val="ListBullet"/>
      </w:pPr>
      <w:r>
        <w:rPr>
          <w:b/>
        </w:rPr>
        <w:t>Enhanced oil recovery (EOR) methods</w:t>
      </w:r>
      <w:r>
        <w:t xml:space="preserve"> (trade secrets): FMV $120 million</w:t>
      </w:r>
    </w:p>
    <w:p>
      <w:r>
        <w:rPr>
          <w:b/>
        </w:rPr>
        <w:t>Current Structure</w:t>
      </w:r>
      <w:r>
        <w:t>:</w:t>
      </w:r>
    </w:p>
    <w:p>
      <w:pPr>
        <w:pStyle w:val="ListBullet"/>
      </w:pPr>
      <w:r>
        <w:t xml:space="preserve">All IP currently owned by </w:t>
      </w:r>
      <w:r>
        <w:rPr>
          <w:b/>
        </w:rPr>
        <w:t>TitanEnergy Inc. (U.S.)</w:t>
      </w:r>
    </w:p>
    <w:p>
      <w:pPr>
        <w:pStyle w:val="ListBullet"/>
      </w:pPr>
      <w:r>
        <w:t xml:space="preserve">IP licensed to foreign subsidiaries in </w:t>
      </w:r>
      <w:r>
        <w:rPr>
          <w:b/>
        </w:rPr>
        <w:t>Norway</w:t>
      </w:r>
      <w:r>
        <w:t xml:space="preserve">, </w:t>
      </w:r>
      <w:r>
        <w:rPr>
          <w:b/>
        </w:rPr>
        <w:t>Angola</w:t>
      </w:r>
      <w:r>
        <w:t xml:space="preserve">, </w:t>
      </w:r>
      <w:r>
        <w:rPr>
          <w:b/>
        </w:rPr>
        <w:t>Brazil</w:t>
      </w:r>
      <w:r>
        <w:t xml:space="preserve">, and </w:t>
      </w:r>
      <w:r>
        <w:rPr>
          <w:b/>
        </w:rPr>
        <w:t>Indonesia</w:t>
      </w:r>
    </w:p>
    <w:p>
      <w:pPr>
        <w:pStyle w:val="ListBullet"/>
      </w:pPr>
      <w:r>
        <w:t xml:space="preserve">Annual royalty income from foreign subsidiaries: </w:t>
      </w:r>
      <w:r>
        <w:rPr>
          <w:b/>
        </w:rPr>
        <w:t>$30 million</w:t>
      </w:r>
    </w:p>
    <w:p>
      <w:r>
        <w:rPr>
          <w:b/>
        </w:rPr>
        <w:t>Tax Rates</w:t>
      </w:r>
      <w:r>
        <w:t>:</w:t>
      </w:r>
    </w:p>
    <w:p>
      <w:pPr>
        <w:pStyle w:val="ListBullet"/>
      </w:pPr>
      <w:r>
        <w:rPr>
          <w:b/>
        </w:rPr>
        <w:t>U.S. corporate tax</w:t>
      </w:r>
      <w:r>
        <w:t>: 21%</w:t>
      </w:r>
    </w:p>
    <w:p>
      <w:pPr>
        <w:pStyle w:val="ListBullet"/>
      </w:pPr>
      <w:r>
        <w:rPr>
          <w:b/>
        </w:rPr>
        <w:t>Norway</w:t>
      </w:r>
      <w:r>
        <w:t>: 22%</w:t>
      </w:r>
    </w:p>
    <w:p>
      <w:pPr>
        <w:pStyle w:val="ListBullet"/>
      </w:pPr>
      <w:r>
        <w:rPr>
          <w:b/>
        </w:rPr>
        <w:t>Angola</w:t>
      </w:r>
      <w:r>
        <w:t>: 35%</w:t>
      </w:r>
    </w:p>
    <w:p>
      <w:pPr>
        <w:pStyle w:val="ListBullet"/>
      </w:pPr>
      <w:r>
        <w:rPr>
          <w:b/>
        </w:rPr>
        <w:t>Brazil</w:t>
      </w:r>
      <w:r>
        <w:t>: 34%</w:t>
      </w:r>
    </w:p>
    <w:p>
      <w:pPr>
        <w:pStyle w:val="ListBullet"/>
      </w:pPr>
      <w:r>
        <w:rPr>
          <w:b/>
        </w:rPr>
        <w:t>Indonesia</w:t>
      </w:r>
      <w:r>
        <w:t>: 22%</w:t>
      </w:r>
    </w:p>
    <w:p>
      <w:r>
        <w:rPr>
          <w:b/>
        </w:rPr>
        <w:t>Withholding Tax Rates</w:t>
      </w:r>
      <w:r>
        <w:t xml:space="preserve"> (on royalties paid to U.S.):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Treaty WHT Rate</w:t>
            </w:r>
          </w:p>
        </w:tc>
      </w:tr>
      <w:tr>
        <w:tc>
          <w:tcPr>
            <w:tcW w:type="dxa" w:w="4320"/>
          </w:tcPr>
          <w:p>
            <w:r/>
            <w:r>
              <w:t>Norway</w:t>
            </w:r>
          </w:p>
        </w:tc>
        <w:tc>
          <w:tcPr>
            <w:tcW w:type="dxa" w:w="4320"/>
          </w:tcPr>
          <w:p>
            <w:r/>
            <w:r>
              <w:t>0%</w:t>
            </w:r>
          </w:p>
        </w:tc>
      </w:tr>
      <w:tr>
        <w:tc>
          <w:tcPr>
            <w:tcW w:type="dxa" w:w="4320"/>
          </w:tcPr>
          <w:p>
            <w:r/>
            <w:r>
              <w:t>Angola</w:t>
            </w:r>
          </w:p>
        </w:tc>
        <w:tc>
          <w:tcPr>
            <w:tcW w:type="dxa" w:w="4320"/>
          </w:tcPr>
          <w:p>
            <w:r/>
            <w:r>
              <w:t>10%</w:t>
            </w:r>
          </w:p>
        </w:tc>
      </w:tr>
      <w:tr>
        <w:tc>
          <w:tcPr>
            <w:tcW w:type="dxa" w:w="4320"/>
          </w:tcPr>
          <w:p>
            <w:r/>
            <w:r>
              <w:t>Brazil</w:t>
            </w:r>
          </w:p>
        </w:tc>
        <w:tc>
          <w:tcPr>
            <w:tcW w:type="dxa" w:w="4320"/>
          </w:tcPr>
          <w:p>
            <w:r/>
            <w:r>
              <w:t>15%</w:t>
            </w:r>
          </w:p>
        </w:tc>
      </w:tr>
      <w:tr>
        <w:tc>
          <w:tcPr>
            <w:tcW w:type="dxa" w:w="4320"/>
          </w:tcPr>
          <w:p>
            <w:r/>
            <w:r>
              <w:t>Indonesia</w:t>
            </w:r>
          </w:p>
        </w:tc>
        <w:tc>
          <w:tcPr>
            <w:tcW w:type="dxa" w:w="4320"/>
          </w:tcPr>
          <w:p>
            <w:r/>
            <w:r>
              <w:t>10%</w:t>
            </w:r>
          </w:p>
        </w:tc>
      </w:tr>
    </w:tbl>
    <w:p/>
    <w:p>
      <w:r>
        <w:rPr>
          <w:b/>
        </w:rPr>
        <w:t>Proposed Structure</w:t>
      </w:r>
      <w:r>
        <w:t>:</w:t>
      </w:r>
    </w:p>
    <w:p>
      <w:r>
        <w:t xml:space="preserve">TitanEnergy is considering establishing an </w:t>
      </w:r>
      <w:r>
        <w:rPr>
          <w:b/>
        </w:rPr>
        <w:t>IP Holding Company</w:t>
      </w:r>
      <w:r>
        <w:t xml:space="preserve"> in either:</w:t>
      </w:r>
    </w:p>
    <w:p>
      <w:pPr>
        <w:pStyle w:val="ListNumber"/>
      </w:pPr>
      <w:r>
        <w:rPr>
          <w:b/>
        </w:rPr>
        <w:t>Netherlands</w:t>
      </w:r>
      <w:r>
        <w:t xml:space="preserve"> (Innovation Box: 9% rate)</w:t>
      </w:r>
    </w:p>
    <w:p>
      <w:pPr>
        <w:pStyle w:val="ListNumber"/>
      </w:pPr>
      <w:r>
        <w:rPr>
          <w:b/>
        </w:rPr>
        <w:t>Singapore</w:t>
      </w:r>
      <w:r>
        <w:t xml:space="preserve"> (IDI: 5-10% rate)</w:t>
      </w:r>
    </w:p>
    <w:p>
      <w:pPr>
        <w:pStyle w:val="ListNumber"/>
      </w:pPr>
      <w:r>
        <w:rPr>
          <w:b/>
        </w:rPr>
        <w:t>Ireland</w:t>
      </w:r>
      <w:r>
        <w:t xml:space="preserve"> (KDB: 6.25% rate)</w:t>
      </w:r>
    </w:p>
    <w:p>
      <w:r>
        <w:t>The IP would be transferred from TitanEnergy Inc. (U.S.) to the IP HoldCo, which would then license it to the operating subsidiaries.</w:t>
      </w:r>
    </w:p>
    <w:p>
      <w:pPr>
        <w:pStyle w:val="Heading3"/>
      </w:pPr>
      <w:r>
        <w:t>Required</w:t>
      </w:r>
    </w:p>
    <w:p>
      <w:pPr>
        <w:pStyle w:val="ListNumber"/>
      </w:pPr>
      <w:r>
        <w:t xml:space="preserve">Compare the </w:t>
      </w:r>
      <w:r>
        <w:rPr>
          <w:b/>
        </w:rPr>
        <w:t>annual tax costs</w:t>
      </w:r>
      <w:r>
        <w:t xml:space="preserve"> under current structure vs. each proposed IP HoldCo jurisdiction</w:t>
      </w:r>
    </w:p>
    <w:p>
      <w:pPr>
        <w:pStyle w:val="ListNumber"/>
      </w:pPr>
      <w:r>
        <w:t xml:space="preserve">Consider the impact of </w:t>
      </w:r>
      <w:r>
        <w:rPr>
          <w:b/>
        </w:rPr>
        <w:t>OECD Pillar Two</w:t>
      </w:r>
      <w:r>
        <w:t xml:space="preserve"> (15% global minimum tax)</w:t>
      </w:r>
    </w:p>
    <w:p>
      <w:pPr>
        <w:pStyle w:val="ListNumber"/>
      </w:pPr>
      <w:r>
        <w:t xml:space="preserve">Evaluate </w:t>
      </w:r>
      <w:r>
        <w:rPr>
          <w:b/>
        </w:rPr>
        <w:t>substance requirements</w:t>
      </w:r>
      <w:r>
        <w:t xml:space="preserve"> and costs for each jurisdiction</w:t>
      </w:r>
    </w:p>
    <w:p>
      <w:pPr>
        <w:pStyle w:val="ListNumber"/>
      </w:pPr>
      <w:r>
        <w:t>Recommend the optimal structure</w:t>
      </w:r>
    </w:p>
    <w:p>
      <w:pPr>
        <w:pStyle w:val="Heading3"/>
      </w:pPr>
      <w:r>
        <w:t>Analysis</w:t>
      </w:r>
    </w:p>
    <w:p>
      <w:r>
        <w:rPr>
          <w:b/>
        </w:rPr>
        <w:t>Step 1: Current Structure - Tax Calculation</w:t>
      </w:r>
    </w:p>
    <w:p>
      <w:r>
        <w:rPr>
          <w:b/>
        </w:rPr>
        <w:t>Gross Royalty Income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Norway: $8M (0% WHT) → Net $8M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Angola: $7M × (1 - 10% WHT) → Net $6.3M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Brazil: $8M × (1 - 15% WHT) → Net $6.8M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Indonesia: $7M × (1 - 10% WHT) → Net $6.3M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net royalty income to U.S. parent: $27.4M</w:t>
      </w:r>
    </w:p>
    <w:p/>
    <w:p>
      <w:r>
        <w:rPr>
          <w:b/>
        </w:rPr>
        <w:t>U.S. Tax Calculation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royalty income = $30M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Foreign WHT paid = $2.6M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Allocable expenses (10% of income) = $3M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income = $27M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tax at 21% = $5.67M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Foreign tax credit (WHT) = $2.6M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U.S. tax = $3.07M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group tax: $2.6M (WHT) + $3.07M (U.S.) = $5.67M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rate: 18.9%</w:t>
      </w:r>
    </w:p>
    <w:p/>
    <w:p>
      <w:r>
        <w:rPr>
          <w:b/>
        </w:rPr>
        <w:t>Step 2: Proposed Structure - Netherlands IP HoldCo</w:t>
      </w:r>
    </w:p>
    <w:p>
      <w:r>
        <w:rPr>
          <w:b/>
        </w:rPr>
        <w:t>Outbound Transfer from U.S. to Netherlands</w:t>
      </w:r>
      <w:r>
        <w:t>:</w:t>
      </w:r>
    </w:p>
    <w:p>
      <w:pPr>
        <w:pStyle w:val="ListBullet"/>
      </w:pPr>
      <w:r>
        <w:rPr>
          <w:b/>
        </w:rPr>
        <w:t>Section 367(d)</w:t>
      </w:r>
      <w:r>
        <w:t xml:space="preserve"> exit tax applies (assume election for immediate gain recognition)</w:t>
      </w:r>
    </w:p>
    <w:p>
      <w:pPr>
        <w:pStyle w:val="ListBullet"/>
      </w:pPr>
      <w:r>
        <w:t>Gain = FMV ($400M) - Tax Basis ($300M) = $100M</w:t>
      </w:r>
    </w:p>
    <w:p>
      <w:pPr>
        <w:pStyle w:val="ListBullet"/>
      </w:pPr>
      <w:r>
        <w:rPr>
          <w:b/>
        </w:rPr>
        <w:t>Upfront U.S. tax</w:t>
      </w:r>
      <w:r>
        <w:t xml:space="preserve">: $100M × 21% = </w:t>
      </w:r>
      <w:r>
        <w:rPr>
          <w:b/>
        </w:rPr>
        <w:t>$21M</w:t>
      </w:r>
      <w:r>
        <w:t xml:space="preserve"> (one-time cost)</w:t>
      </w:r>
    </w:p>
    <w:p>
      <w:r>
        <w:rPr>
          <w:b/>
        </w:rPr>
        <w:t>Annual Tax - Netherlands Structure</w:t>
      </w:r>
      <w:r>
        <w:t>:</w:t>
      </w:r>
    </w:p>
    <w:p>
      <w:r>
        <w:rPr>
          <w:b/>
        </w:rPr>
        <w:t>Inbound Royalties to Netherlands IP HoldCo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Country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Gross Royalty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WHT Rate (to Netherlands)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Net Royalty</w:t>
            </w:r>
          </w:p>
        </w:tc>
      </w:tr>
      <w:tr>
        <w:tc>
          <w:tcPr>
            <w:tcW w:type="dxa" w:w="2160"/>
          </w:tcPr>
          <w:p>
            <w:r/>
            <w:r>
              <w:t>Norway</w:t>
            </w:r>
          </w:p>
        </w:tc>
        <w:tc>
          <w:tcPr>
            <w:tcW w:type="dxa" w:w="2160"/>
          </w:tcPr>
          <w:p>
            <w:r/>
            <w:r>
              <w:t>$8M</w:t>
            </w:r>
          </w:p>
        </w:tc>
        <w:tc>
          <w:tcPr>
            <w:tcW w:type="dxa" w:w="2160"/>
          </w:tcPr>
          <w:p>
            <w:r/>
            <w:r>
              <w:t>0%</w:t>
            </w:r>
          </w:p>
        </w:tc>
        <w:tc>
          <w:tcPr>
            <w:tcW w:type="dxa" w:w="2160"/>
          </w:tcPr>
          <w:p>
            <w:r/>
            <w:r>
              <w:t>$8M</w:t>
            </w:r>
          </w:p>
        </w:tc>
      </w:tr>
      <w:tr>
        <w:tc>
          <w:tcPr>
            <w:tcW w:type="dxa" w:w="2160"/>
          </w:tcPr>
          <w:p>
            <w:r/>
            <w:r>
              <w:t>Angola</w:t>
            </w:r>
          </w:p>
        </w:tc>
        <w:tc>
          <w:tcPr>
            <w:tcW w:type="dxa" w:w="2160"/>
          </w:tcPr>
          <w:p>
            <w:r/>
            <w:r>
              <w:t>$7M</w:t>
            </w:r>
          </w:p>
        </w:tc>
        <w:tc>
          <w:tcPr>
            <w:tcW w:type="dxa" w:w="2160"/>
          </w:tcPr>
          <w:p>
            <w:r/>
            <w:r>
              <w:t>10%</w:t>
            </w:r>
          </w:p>
        </w:tc>
        <w:tc>
          <w:tcPr>
            <w:tcW w:type="dxa" w:w="2160"/>
          </w:tcPr>
          <w:p>
            <w:r/>
            <w:r>
              <w:t>$6.3M</w:t>
            </w:r>
          </w:p>
        </w:tc>
      </w:tr>
      <w:tr>
        <w:tc>
          <w:tcPr>
            <w:tcW w:type="dxa" w:w="2160"/>
          </w:tcPr>
          <w:p>
            <w:r/>
            <w:r>
              <w:t>Brazil</w:t>
            </w:r>
          </w:p>
        </w:tc>
        <w:tc>
          <w:tcPr>
            <w:tcW w:type="dxa" w:w="2160"/>
          </w:tcPr>
          <w:p>
            <w:r/>
            <w:r>
              <w:t>$8M</w:t>
            </w:r>
          </w:p>
        </w:tc>
        <w:tc>
          <w:tcPr>
            <w:tcW w:type="dxa" w:w="2160"/>
          </w:tcPr>
          <w:p>
            <w:r/>
            <w:r>
              <w:t>15%</w:t>
            </w:r>
          </w:p>
        </w:tc>
        <w:tc>
          <w:tcPr>
            <w:tcW w:type="dxa" w:w="2160"/>
          </w:tcPr>
          <w:p>
            <w:r/>
            <w:r>
              <w:t>$6.8M</w:t>
            </w:r>
          </w:p>
        </w:tc>
      </w:tr>
      <w:tr>
        <w:tc>
          <w:tcPr>
            <w:tcW w:type="dxa" w:w="2160"/>
          </w:tcPr>
          <w:p>
            <w:r/>
            <w:r>
              <w:t>Indonesia</w:t>
            </w:r>
          </w:p>
        </w:tc>
        <w:tc>
          <w:tcPr>
            <w:tcW w:type="dxa" w:w="2160"/>
          </w:tcPr>
          <w:p>
            <w:r/>
            <w:r>
              <w:t>$7M</w:t>
            </w:r>
          </w:p>
        </w:tc>
        <w:tc>
          <w:tcPr>
            <w:tcW w:type="dxa" w:w="2160"/>
          </w:tcPr>
          <w:p>
            <w:r/>
            <w:r>
              <w:t>10%</w:t>
            </w:r>
          </w:p>
        </w:tc>
        <w:tc>
          <w:tcPr>
            <w:tcW w:type="dxa" w:w="2160"/>
          </w:tcPr>
          <w:p>
            <w:r/>
            <w:r>
              <w:t>$6.3M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$30M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$2.6M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$27.4M</w:t>
            </w:r>
          </w:p>
        </w:tc>
      </w:tr>
    </w:tbl>
    <w:p/>
    <w:p>
      <w:r>
        <w:rPr>
          <w:b/>
        </w:rPr>
        <w:t>Note</w:t>
      </w:r>
      <w:r>
        <w:t xml:space="preserve">: WHT rates to Netherlands are the </w:t>
      </w:r>
      <w:r>
        <w:rPr>
          <w:b/>
        </w:rPr>
        <w:t>same</w:t>
      </w:r>
      <w:r>
        <w:t xml:space="preserve"> as to U.S. (no improvement).</w:t>
      </w:r>
    </w:p>
    <w:p>
      <w:r>
        <w:rPr>
          <w:b/>
        </w:rPr>
        <w:t>Netherlands Tax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income = $27.4M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Operating expenses = $1M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income = $26.4M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Innovation Box rate = 9%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Netherlands tax = $26.4M × 9% = $2.376M</w:t>
      </w:r>
    </w:p>
    <w:p/>
    <w:p>
      <w:r>
        <w:rPr>
          <w:b/>
        </w:rPr>
        <w:t>Dividend from Netherlands to U.S.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After-tax income = $27.4M - $2.376M = $25.024M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Netherlands WHT on dividends to U.S. = 0% (treaty exemption)</w:t>
      </w:r>
    </w:p>
    <w:p/>
    <w:p>
      <w:r>
        <w:rPr>
          <w:b/>
        </w:rPr>
        <w:t>U.S. GILTI Inclusion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CFC net income = $25.024M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QBAI (tangible assets: $2M) = $2M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GILTI = $25.024M - (10% × $2M) = $24.824M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Section 250 deduction (50%) = $12.412M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GILTI = $12.412M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tax at 21% = $2.607M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Foreign tax credit (80% of Netherlands tax): $2.376M × 80% = $1.901M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U.S. GILTI tax = $2.607M - $1.901M = $706K</w:t>
      </w:r>
    </w:p>
    <w:p/>
    <w:p>
      <w:r>
        <w:rPr>
          <w:b/>
        </w:rPr>
        <w:t>Total Annual Tax (Netherlands Structure - Pre-Pillar Two)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Foreign WHT = $2.6M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Netherlands tax = $2.376M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GILTI tax = $706K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= $5.682M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rate: 18.9%</w:t>
      </w:r>
    </w:p>
    <w:p/>
    <w:p>
      <w:r>
        <w:rPr>
          <w:b/>
        </w:rPr>
        <w:t>Conclusion</w:t>
      </w:r>
      <w:r>
        <w:t xml:space="preserve">: Netherlands structure provides </w:t>
      </w:r>
      <w:r>
        <w:rPr>
          <w:b/>
        </w:rPr>
        <w:t>no annual tax savings</w:t>
      </w:r>
      <w:r>
        <w:t xml:space="preserve"> vs. current structure (both ~18.9% effective rate).</w:t>
      </w:r>
    </w:p>
    <w:p>
      <w:r>
        <w:rPr>
          <w:b/>
        </w:rPr>
        <w:t>Pillar Two Impact (Netherlands Structure)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Netherlands ETR = $2.376M / $26.4M = 9%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Top-up required = 15% - 9% = 6%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SBIE = 5% × ($2M tangible assets + $1M payroll) = $150K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Excess profit = $26.4M - $0.15M = $26.25M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Top-up tax = $26.25M × 6% = $1.575M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tax (with Pillar Two):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Foreign WHT = $2.6M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Netherlands tax = $2.376M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Pillar Two top-up (paid to U.S. via IIR) = $1.575M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= $6.551M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rate: 21.8%</w:t>
      </w:r>
    </w:p>
    <w:p/>
    <w:p>
      <w:r>
        <w:rPr>
          <w:b/>
        </w:rPr>
        <w:t>Step 3: Proposed Structure - Singapore IP HoldCo</w:t>
      </w:r>
    </w:p>
    <w:p>
      <w:r>
        <w:rPr>
          <w:b/>
        </w:rPr>
        <w:t>Inbound Royalties to Singapore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Country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Gross Royalty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WHT Rate (to Singapore)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Net Royalty</w:t>
            </w:r>
          </w:p>
        </w:tc>
      </w:tr>
      <w:tr>
        <w:tc>
          <w:tcPr>
            <w:tcW w:type="dxa" w:w="2160"/>
          </w:tcPr>
          <w:p>
            <w:r/>
            <w:r>
              <w:t>Norway</w:t>
            </w:r>
          </w:p>
        </w:tc>
        <w:tc>
          <w:tcPr>
            <w:tcW w:type="dxa" w:w="2160"/>
          </w:tcPr>
          <w:p>
            <w:r/>
            <w:r>
              <w:t>$8M</w:t>
            </w:r>
          </w:p>
        </w:tc>
        <w:tc>
          <w:tcPr>
            <w:tcW w:type="dxa" w:w="2160"/>
          </w:tcPr>
          <w:p>
            <w:r/>
            <w:r>
              <w:t>5%</w:t>
            </w:r>
          </w:p>
        </w:tc>
        <w:tc>
          <w:tcPr>
            <w:tcW w:type="dxa" w:w="2160"/>
          </w:tcPr>
          <w:p>
            <w:r/>
            <w:r>
              <w:t>$7.6M</w:t>
            </w:r>
          </w:p>
        </w:tc>
      </w:tr>
      <w:tr>
        <w:tc>
          <w:tcPr>
            <w:tcW w:type="dxa" w:w="2160"/>
          </w:tcPr>
          <w:p>
            <w:r/>
            <w:r>
              <w:t>Angola</w:t>
            </w:r>
          </w:p>
        </w:tc>
        <w:tc>
          <w:tcPr>
            <w:tcW w:type="dxa" w:w="2160"/>
          </w:tcPr>
          <w:p>
            <w:r/>
            <w:r>
              <w:t>$7M</w:t>
            </w:r>
          </w:p>
        </w:tc>
        <w:tc>
          <w:tcPr>
            <w:tcW w:type="dxa" w:w="2160"/>
          </w:tcPr>
          <w:p>
            <w:r/>
            <w:r>
              <w:t>8%</w:t>
            </w:r>
          </w:p>
        </w:tc>
        <w:tc>
          <w:tcPr>
            <w:tcW w:type="dxa" w:w="2160"/>
          </w:tcPr>
          <w:p>
            <w:r/>
            <w:r>
              <w:t>$6.44M</w:t>
            </w:r>
          </w:p>
        </w:tc>
      </w:tr>
      <w:tr>
        <w:tc>
          <w:tcPr>
            <w:tcW w:type="dxa" w:w="2160"/>
          </w:tcPr>
          <w:p>
            <w:r/>
            <w:r>
              <w:t>Brazil</w:t>
            </w:r>
          </w:p>
        </w:tc>
        <w:tc>
          <w:tcPr>
            <w:tcW w:type="dxa" w:w="2160"/>
          </w:tcPr>
          <w:p>
            <w:r/>
            <w:r>
              <w:t>$8M</w:t>
            </w:r>
          </w:p>
        </w:tc>
        <w:tc>
          <w:tcPr>
            <w:tcW w:type="dxa" w:w="2160"/>
          </w:tcPr>
          <w:p>
            <w:r/>
            <w:r>
              <w:t>15%</w:t>
            </w:r>
          </w:p>
        </w:tc>
        <w:tc>
          <w:tcPr>
            <w:tcW w:type="dxa" w:w="2160"/>
          </w:tcPr>
          <w:p>
            <w:r/>
            <w:r>
              <w:t>$6.8M</w:t>
            </w:r>
          </w:p>
        </w:tc>
      </w:tr>
      <w:tr>
        <w:tc>
          <w:tcPr>
            <w:tcW w:type="dxa" w:w="2160"/>
          </w:tcPr>
          <w:p>
            <w:r/>
            <w:r>
              <w:t>Indonesia</w:t>
            </w:r>
          </w:p>
        </w:tc>
        <w:tc>
          <w:tcPr>
            <w:tcW w:type="dxa" w:w="2160"/>
          </w:tcPr>
          <w:p>
            <w:r/>
            <w:r>
              <w:t>$7M</w:t>
            </w:r>
          </w:p>
        </w:tc>
        <w:tc>
          <w:tcPr>
            <w:tcW w:type="dxa" w:w="2160"/>
          </w:tcPr>
          <w:p>
            <w:r/>
            <w:r>
              <w:t>10%</w:t>
            </w:r>
          </w:p>
        </w:tc>
        <w:tc>
          <w:tcPr>
            <w:tcW w:type="dxa" w:w="2160"/>
          </w:tcPr>
          <w:p>
            <w:r/>
            <w:r>
              <w:t>$6.3M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$30M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$2.87M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$27.13M</w:t>
            </w:r>
          </w:p>
        </w:tc>
      </w:tr>
    </w:tbl>
    <w:p/>
    <w:p>
      <w:r>
        <w:rPr>
          <w:b/>
        </w:rPr>
        <w:t>Note</w:t>
      </w:r>
      <w:r>
        <w:t xml:space="preserve">: Singapore treaty rates are </w:t>
      </w:r>
      <w:r>
        <w:rPr>
          <w:b/>
        </w:rPr>
        <w:t>slightly worse</w:t>
      </w:r>
      <w:r>
        <w:t xml:space="preserve"> than Netherlands for some countries (Norway: 5% vs. 0%).</w:t>
      </w:r>
    </w:p>
    <w:p>
      <w:r>
        <w:rPr>
          <w:b/>
        </w:rPr>
        <w:t>Singapore Tax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income = $27.13M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Operating expenses = $1.2M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income = $25.93M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IDI rate (assume 10%) = 10%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Singapore tax = $25.93M × 10% = $2.593M</w:t>
      </w:r>
    </w:p>
    <w:p/>
    <w:p>
      <w:r>
        <w:rPr>
          <w:b/>
        </w:rPr>
        <w:t>U.S. GILTI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CFC net income = $23.337M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GILTI (after QBAI deduction) = $23.137M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GILTI tax (after Sec 250 and FTC) = ~$800K (similar calculation)</w:t>
      </w:r>
    </w:p>
    <w:p/>
    <w:p>
      <w:r>
        <w:rPr>
          <w:b/>
        </w:rPr>
        <w:t>Total Annual Tax (Singapore Structure - Pre-Pillar Two)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Foreign WHT = $2.87M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Singapore tax = $2.593M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GILTI tax = $800K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= $6.263M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rate: 20.9%</w:t>
      </w:r>
    </w:p>
    <w:p/>
    <w:p>
      <w:r>
        <w:rPr>
          <w:b/>
        </w:rPr>
        <w:t>Conclusion</w:t>
      </w:r>
      <w:r>
        <w:t xml:space="preserve">: Singapore structure is </w:t>
      </w:r>
      <w:r>
        <w:rPr>
          <w:b/>
        </w:rPr>
        <w:t>worse</w:t>
      </w:r>
      <w:r>
        <w:t xml:space="preserve"> than current structure (+1.9 percentage points higher effective rate).</w:t>
      </w:r>
    </w:p>
    <w:p>
      <w:r>
        <w:rPr>
          <w:b/>
        </w:rPr>
        <w:t>Pillar Two Impact (Singapore Structure)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Singapore ETR = 10%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Top-up required = 5%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Additional top-up tax = $25.93M × 5% = $1.297M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effective rate: 22.2%</w:t>
      </w:r>
    </w:p>
    <w:p/>
    <w:p>
      <w:r>
        <w:rPr>
          <w:b/>
        </w:rPr>
        <w:t>Step 4: Proposed Structure - Ireland IP HoldCo</w:t>
      </w:r>
    </w:p>
    <w:p>
      <w:r>
        <w:rPr>
          <w:b/>
        </w:rPr>
        <w:t>Inbound Royalties to Ireland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Country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Gross Royalty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WHT Rate (to Ireland)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Net Royalty</w:t>
            </w:r>
          </w:p>
        </w:tc>
      </w:tr>
      <w:tr>
        <w:tc>
          <w:tcPr>
            <w:tcW w:type="dxa" w:w="2160"/>
          </w:tcPr>
          <w:p>
            <w:r/>
            <w:r>
              <w:t>Norway</w:t>
            </w:r>
          </w:p>
        </w:tc>
        <w:tc>
          <w:tcPr>
            <w:tcW w:type="dxa" w:w="2160"/>
          </w:tcPr>
          <w:p>
            <w:r/>
            <w:r>
              <w:t>$8M</w:t>
            </w:r>
          </w:p>
        </w:tc>
        <w:tc>
          <w:tcPr>
            <w:tcW w:type="dxa" w:w="2160"/>
          </w:tcPr>
          <w:p>
            <w:r/>
            <w:r>
              <w:t>0%</w:t>
            </w:r>
          </w:p>
        </w:tc>
        <w:tc>
          <w:tcPr>
            <w:tcW w:type="dxa" w:w="2160"/>
          </w:tcPr>
          <w:p>
            <w:r/>
            <w:r>
              <w:t>$8M</w:t>
            </w:r>
          </w:p>
        </w:tc>
      </w:tr>
      <w:tr>
        <w:tc>
          <w:tcPr>
            <w:tcW w:type="dxa" w:w="2160"/>
          </w:tcPr>
          <w:p>
            <w:r/>
            <w:r>
              <w:t>Angola</w:t>
            </w:r>
          </w:p>
        </w:tc>
        <w:tc>
          <w:tcPr>
            <w:tcW w:type="dxa" w:w="2160"/>
          </w:tcPr>
          <w:p>
            <w:r/>
            <w:r>
              <w:t>$7M</w:t>
            </w:r>
          </w:p>
        </w:tc>
        <w:tc>
          <w:tcPr>
            <w:tcW w:type="dxa" w:w="2160"/>
          </w:tcPr>
          <w:p>
            <w:r/>
            <w:r>
              <w:t>7.5%</w:t>
            </w:r>
          </w:p>
        </w:tc>
        <w:tc>
          <w:tcPr>
            <w:tcW w:type="dxa" w:w="2160"/>
          </w:tcPr>
          <w:p>
            <w:r/>
            <w:r>
              <w:t>$6.48M</w:t>
            </w:r>
          </w:p>
        </w:tc>
      </w:tr>
      <w:tr>
        <w:tc>
          <w:tcPr>
            <w:tcW w:type="dxa" w:w="2160"/>
          </w:tcPr>
          <w:p>
            <w:r/>
            <w:r>
              <w:t>Brazil</w:t>
            </w:r>
          </w:p>
        </w:tc>
        <w:tc>
          <w:tcPr>
            <w:tcW w:type="dxa" w:w="2160"/>
          </w:tcPr>
          <w:p>
            <w:r/>
            <w:r>
              <w:t>$8M</w:t>
            </w:r>
          </w:p>
        </w:tc>
        <w:tc>
          <w:tcPr>
            <w:tcW w:type="dxa" w:w="2160"/>
          </w:tcPr>
          <w:p>
            <w:r/>
            <w:r>
              <w:t>15%</w:t>
            </w:r>
          </w:p>
        </w:tc>
        <w:tc>
          <w:tcPr>
            <w:tcW w:type="dxa" w:w="2160"/>
          </w:tcPr>
          <w:p>
            <w:r/>
            <w:r>
              <w:t>$6.8M</w:t>
            </w:r>
          </w:p>
        </w:tc>
      </w:tr>
      <w:tr>
        <w:tc>
          <w:tcPr>
            <w:tcW w:type="dxa" w:w="2160"/>
          </w:tcPr>
          <w:p>
            <w:r/>
            <w:r>
              <w:t>Indonesia</w:t>
            </w:r>
          </w:p>
        </w:tc>
        <w:tc>
          <w:tcPr>
            <w:tcW w:type="dxa" w:w="2160"/>
          </w:tcPr>
          <w:p>
            <w:r/>
            <w:r>
              <w:t>$7M</w:t>
            </w:r>
          </w:p>
        </w:tc>
        <w:tc>
          <w:tcPr>
            <w:tcW w:type="dxa" w:w="2160"/>
          </w:tcPr>
          <w:p>
            <w:r/>
            <w:r>
              <w:t>10%</w:t>
            </w:r>
          </w:p>
        </w:tc>
        <w:tc>
          <w:tcPr>
            <w:tcW w:type="dxa" w:w="2160"/>
          </w:tcPr>
          <w:p>
            <w:r/>
            <w:r>
              <w:t>$6.3M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$30M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$2.62M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$27.38M</w:t>
            </w:r>
          </w:p>
        </w:tc>
      </w:tr>
    </w:tbl>
    <w:p/>
    <w:p>
      <w:r>
        <w:rPr>
          <w:b/>
        </w:rPr>
        <w:t>Ireland Tax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income = $27.38M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Operating expenses = $1.5M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income = $25.88M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KDB rate = 10%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Ireland tax = $25.88M × 10% = $2.588M</w:t>
      </w:r>
    </w:p>
    <w:p/>
    <w:p>
      <w:r>
        <w:rPr>
          <w:b/>
        </w:rPr>
        <w:t>U.S. GILTI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CFC net income = $24.792M ($27.38M - $2.588M Ireland tax)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QBAI (tangible assets: $2M) = $2M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GILTI = $24.792M - (10% × $2M) = $24.592M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Section 250 deduction (50%) = $12.296M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GILTI = $12.296M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tax at 21% = $2.582M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Foreign tax credit (80% of Ireland tax): $2.588M × 80% = $2.070M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U.S. GILTI tax = $2.582M - $2.070M = $512K</w:t>
      </w:r>
    </w:p>
    <w:p/>
    <w:p>
      <w:r>
        <w:rPr>
          <w:b/>
        </w:rPr>
        <w:t>Total Annual Tax (Ireland Structure - Pre-Pillar Two)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Foreign WHT = $2.62M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Ireland tax = $2.588M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GILTI tax = $512K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= $5.72M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rate: 19.1%</w:t>
      </w:r>
    </w:p>
    <w:p/>
    <w:p>
      <w:r>
        <w:rPr>
          <w:b/>
        </w:rPr>
        <w:t>Conclusion</w:t>
      </w:r>
      <w:r>
        <w:t xml:space="preserve">: Ireland structure provides </w:t>
      </w:r>
      <w:r>
        <w:rPr>
          <w:b/>
        </w:rPr>
        <w:t>no material savings</w:t>
      </w:r>
      <w:r>
        <w:t xml:space="preserve"> (0.2 percentage points higher effective rate vs. current structure at 18.9%).</w:t>
      </w:r>
    </w:p>
    <w:p>
      <w:r>
        <w:rPr>
          <w:b/>
        </w:rPr>
        <w:t>Pillar Two Impact (Ireland Structure)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Ireland ETR = 10%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Top-up required = 5%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Additional top-up tax = $25.88M × 5% = $1.294M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effective rate: 23.4%</w:t>
      </w:r>
    </w:p>
    <w:p/>
    <w:p>
      <w:r>
        <w:rPr>
          <w:b/>
        </w:rPr>
        <w:t>Step 5: Substance Costs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Annual Substance Costs</w:t>
            </w:r>
          </w:p>
        </w:tc>
      </w:tr>
      <w:tr>
        <w:tc>
          <w:tcPr>
            <w:tcW w:type="dxa" w:w="4320"/>
          </w:tcPr>
          <w:p>
            <w:r/>
            <w:r>
              <w:t>Netherlands</w:t>
            </w:r>
          </w:p>
        </w:tc>
        <w:tc>
          <w:tcPr>
            <w:tcW w:type="dxa" w:w="4320"/>
          </w:tcPr>
          <w:p>
            <w:r/>
            <w:r>
              <w:t>$850K (3 FTEs, office, fees)</w:t>
            </w:r>
          </w:p>
        </w:tc>
      </w:tr>
      <w:tr>
        <w:tc>
          <w:tcPr>
            <w:tcW w:type="dxa" w:w="4320"/>
          </w:tcPr>
          <w:p>
            <w:r/>
            <w:r>
              <w:t>Singapore</w:t>
            </w:r>
          </w:p>
        </w:tc>
        <w:tc>
          <w:tcPr>
            <w:tcW w:type="dxa" w:w="4320"/>
          </w:tcPr>
          <w:p>
            <w:r/>
            <w:r>
              <w:t>$1,200K (higher labor costs, office rent)</w:t>
            </w:r>
          </w:p>
        </w:tc>
      </w:tr>
      <w:tr>
        <w:tc>
          <w:tcPr>
            <w:tcW w:type="dxa" w:w="4320"/>
          </w:tcPr>
          <w:p>
            <w:r/>
            <w:r>
              <w:t>Ireland</w:t>
            </w:r>
          </w:p>
        </w:tc>
        <w:tc>
          <w:tcPr>
            <w:tcW w:type="dxa" w:w="4320"/>
          </w:tcPr>
          <w:p>
            <w:r/>
            <w:r>
              <w:t>$1,500K (high salaries for qualified personnel)</w:t>
            </w:r>
          </w:p>
        </w:tc>
      </w:tr>
    </w:tbl>
    <w:p/>
    <w:p>
      <w:r>
        <w:rPr>
          <w:b/>
        </w:rPr>
        <w:t>Step 6: Summary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Structure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Pre-Pillar Two Effective Rate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Post-Pillar Two Effective Rate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Upfront Exit Tax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Annual Substance Costs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Net Annual Benefit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Current (U.S.)</w:t>
            </w:r>
          </w:p>
        </w:tc>
        <w:tc>
          <w:tcPr>
            <w:tcW w:type="dxa" w:w="1440"/>
          </w:tcPr>
          <w:p>
            <w:r/>
            <w:r>
              <w:t>18.9%</w:t>
            </w:r>
          </w:p>
        </w:tc>
        <w:tc>
          <w:tcPr>
            <w:tcW w:type="dxa" w:w="1440"/>
          </w:tcPr>
          <w:p>
            <w:r/>
            <w:r>
              <w:t>18.9% (Pillar Two likely doesn't apply)</w:t>
            </w:r>
          </w:p>
        </w:tc>
        <w:tc>
          <w:tcPr>
            <w:tcW w:type="dxa" w:w="1440"/>
          </w:tcPr>
          <w:p>
            <w:r/>
            <w:r>
              <w:t>$0</w:t>
            </w:r>
          </w:p>
        </w:tc>
        <w:tc>
          <w:tcPr>
            <w:tcW w:type="dxa" w:w="1440"/>
          </w:tcPr>
          <w:p>
            <w:r/>
            <w:r>
              <w:t>$0</w:t>
            </w:r>
          </w:p>
        </w:tc>
        <w:tc>
          <w:tcPr>
            <w:tcW w:type="dxa" w:w="1440"/>
          </w:tcPr>
          <w:p>
            <w:r/>
            <w:r>
              <w:t>Baseline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Netherlands</w:t>
            </w:r>
          </w:p>
        </w:tc>
        <w:tc>
          <w:tcPr>
            <w:tcW w:type="dxa" w:w="1440"/>
          </w:tcPr>
          <w:p>
            <w:r/>
            <w:r>
              <w:t>18.9%</w:t>
            </w:r>
          </w:p>
        </w:tc>
        <w:tc>
          <w:tcPr>
            <w:tcW w:type="dxa" w:w="1440"/>
          </w:tcPr>
          <w:p>
            <w:r/>
            <w:r>
              <w:t>21.8%</w:t>
            </w:r>
          </w:p>
        </w:tc>
        <w:tc>
          <w:tcPr>
            <w:tcW w:type="dxa" w:w="1440"/>
          </w:tcPr>
          <w:p>
            <w:r/>
            <w:r>
              <w:t>$21M</w:t>
            </w:r>
          </w:p>
        </w:tc>
        <w:tc>
          <w:tcPr>
            <w:tcW w:type="dxa" w:w="1440"/>
          </w:tcPr>
          <w:p>
            <w:r/>
            <w:r>
              <w:t>$850K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Negative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Singapore</w:t>
            </w:r>
          </w:p>
        </w:tc>
        <w:tc>
          <w:tcPr>
            <w:tcW w:type="dxa" w:w="1440"/>
          </w:tcPr>
          <w:p>
            <w:r/>
            <w:r>
              <w:t>20.9%</w:t>
            </w:r>
          </w:p>
        </w:tc>
        <w:tc>
          <w:tcPr>
            <w:tcW w:type="dxa" w:w="1440"/>
          </w:tcPr>
          <w:p>
            <w:r/>
            <w:r>
              <w:t>22.2%</w:t>
            </w:r>
          </w:p>
        </w:tc>
        <w:tc>
          <w:tcPr>
            <w:tcW w:type="dxa" w:w="1440"/>
          </w:tcPr>
          <w:p>
            <w:r/>
            <w:r>
              <w:t>$21M</w:t>
            </w:r>
          </w:p>
        </w:tc>
        <w:tc>
          <w:tcPr>
            <w:tcW w:type="dxa" w:w="1440"/>
          </w:tcPr>
          <w:p>
            <w:r/>
            <w:r>
              <w:t>$1,200K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Negative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Ireland</w:t>
            </w:r>
          </w:p>
        </w:tc>
        <w:tc>
          <w:tcPr>
            <w:tcW w:type="dxa" w:w="1440"/>
          </w:tcPr>
          <w:p>
            <w:r/>
            <w:r>
              <w:t>19.1%</w:t>
            </w:r>
          </w:p>
        </w:tc>
        <w:tc>
          <w:tcPr>
            <w:tcW w:type="dxa" w:w="1440"/>
          </w:tcPr>
          <w:p>
            <w:r/>
            <w:r>
              <w:t>23.4%</w:t>
            </w:r>
          </w:p>
        </w:tc>
        <w:tc>
          <w:tcPr>
            <w:tcW w:type="dxa" w:w="1440"/>
          </w:tcPr>
          <w:p>
            <w:r/>
            <w:r>
              <w:t>$21M</w:t>
            </w:r>
          </w:p>
        </w:tc>
        <w:tc>
          <w:tcPr>
            <w:tcW w:type="dxa" w:w="1440"/>
          </w:tcPr>
          <w:p>
            <w:r/>
            <w:r>
              <w:t>$1,500K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Negative</w:t>
            </w:r>
          </w:p>
        </w:tc>
      </w:tr>
    </w:tbl>
    <w:p/>
    <w:p>
      <w:pPr>
        <w:pStyle w:val="Heading3"/>
      </w:pPr>
      <w:r>
        <w:t>Recommendation</w:t>
      </w:r>
    </w:p>
    <w:p>
      <w:r>
        <w:rPr>
          <w:b/>
        </w:rPr>
        <w:t>Do NOT establish an IP holding company</w:t>
      </w:r>
      <w:r>
        <w:t xml:space="preserve"> because:</w:t>
      </w:r>
    </w:p>
    <w:p>
      <w:pPr>
        <w:pStyle w:val="ListNumber"/>
      </w:pPr>
      <w:r>
        <w:rPr>
          <w:b/>
        </w:rPr>
        <w:t>No tax savings pre-Pillar Two</w:t>
      </w:r>
      <w:r>
        <w:t>: Netherlands provides no savings (18.9% same as current), Ireland is slightly worse (19.1%), and Singapore is significantly worse (20.9%), insufficient to justify $21M upfront exit tax and $850K-$1.5M annual substance costs</w:t>
      </w:r>
    </w:p>
    <w:p>
      <w:pPr>
        <w:pStyle w:val="ListNumber"/>
      </w:pPr>
      <w:r>
        <w:rPr>
          <w:b/>
        </w:rPr>
        <w:t>Pillar Two eliminates benefits</w:t>
      </w:r>
      <w:r>
        <w:t xml:space="preserve">: All IP HoldCo structures result in </w:t>
      </w:r>
      <w:r>
        <w:rPr>
          <w:b/>
        </w:rPr>
        <w:t>higher effective rates</w:t>
      </w:r>
      <w:r>
        <w:t xml:space="preserve"> (21.8%-23.4%) compared to current U.S. structure (18.9%) once Pillar Two applies</w:t>
      </w:r>
    </w:p>
    <w:p>
      <w:pPr>
        <w:pStyle w:val="ListNumber"/>
      </w:pPr>
      <w:r>
        <w:rPr>
          <w:b/>
        </w:rPr>
        <w:t>Treaty WHT rates</w:t>
      </w:r>
      <w:r>
        <w:t>: TitanEnergy already benefits from favorable U.S. treaty rates (especially Norway at 0%)</w:t>
      </w:r>
    </w:p>
    <w:p>
      <w:pPr>
        <w:pStyle w:val="ListNumber"/>
      </w:pPr>
      <w:r>
        <w:rPr>
          <w:b/>
        </w:rPr>
        <w:t>Upfront exit tax</w:t>
      </w:r>
      <w:r>
        <w:t>: $21M Section 367(d) tax creates a significant payback period even if annual savings existed</w:t>
      </w:r>
    </w:p>
    <w:p>
      <w:pPr>
        <w:pStyle w:val="ListNumber"/>
      </w:pPr>
      <w:r>
        <w:rPr>
          <w:b/>
        </w:rPr>
        <w:t>Complexity and risk</w:t>
      </w:r>
      <w:r>
        <w:t>: IP HoldCo structures increase:</w:t>
      </w:r>
    </w:p>
    <w:p>
      <w:pPr>
        <w:pStyle w:val="ListBullet"/>
        <w:ind w:left="360"/>
      </w:pPr>
      <w:r>
        <w:t>Compliance costs (TP documentation, CbCR, Pillar Two reporting)</w:t>
      </w:r>
    </w:p>
    <w:p>
      <w:pPr>
        <w:pStyle w:val="ListBullet"/>
        <w:ind w:left="360"/>
      </w:pPr>
      <w:r>
        <w:t>Transfer pricing audit risk</w:t>
      </w:r>
    </w:p>
    <w:p>
      <w:pPr>
        <w:pStyle w:val="ListBullet"/>
        <w:ind w:left="360"/>
      </w:pPr>
      <w:r>
        <w:t>Reputational risk (criticism of offshore tax structures)</w:t>
      </w:r>
    </w:p>
    <w:p>
      <w:r>
        <w:rPr>
          <w:b/>
        </w:rPr>
        <w:t>Alternative Recommendation</w:t>
      </w:r>
      <w:r>
        <w:t>:</w:t>
      </w:r>
    </w:p>
    <w:p>
      <w:r>
        <w:rPr>
          <w:b/>
        </w:rPr>
        <w:t>Maintain IP in U.S.</w:t>
      </w:r>
      <w:r>
        <w:t xml:space="preserve"> and optimize through:</w:t>
      </w:r>
    </w:p>
    <w:p>
      <w:pPr>
        <w:pStyle w:val="ListNumber"/>
      </w:pPr>
      <w:r>
        <w:rPr>
          <w:b/>
        </w:rPr>
        <w:t>FDII deduction</w:t>
      </w:r>
      <w:r>
        <w:t xml:space="preserve">: Ensure foreign-derived revenue from IP licensing qualifies for </w:t>
      </w:r>
      <w:r>
        <w:rPr>
          <w:b/>
        </w:rPr>
        <w:t>13.125% effective U.S. rate</w:t>
      </w:r>
    </w:p>
    <w:p>
      <w:pPr>
        <w:pStyle w:val="ListNumber"/>
      </w:pPr>
      <w:r>
        <w:rPr>
          <w:b/>
        </w:rPr>
        <w:t>R&amp;D tax credits</w:t>
      </w:r>
      <w:r>
        <w:t>: Maximize U.S. R&amp;D credits on IP development</w:t>
      </w:r>
    </w:p>
    <w:p>
      <w:pPr>
        <w:pStyle w:val="ListNumber"/>
      </w:pPr>
      <w:r>
        <w:rPr>
          <w:b/>
        </w:rPr>
        <w:t>Cost-sharing arrangement</w:t>
      </w:r>
      <w:r>
        <w:t>: Consider implementing a CSA where foreign subsidiaries co-fund IP development and share ownership (eliminates royalties and WHT)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WORKED EXAMPLE 2: Restructuring an Existing IP Holding Company for Pillar Two Compliance</w:t>
      </w:r>
    </w:p>
    <w:p>
      <w:pPr>
        <w:pStyle w:val="Heading3"/>
      </w:pPr>
      <w:r>
        <w:t>Facts</w:t>
      </w:r>
    </w:p>
    <w:p>
      <w:r>
        <w:rPr>
          <w:b/>
        </w:rPr>
        <w:t>NorthStar Petroleum Group</w:t>
      </w:r>
      <w:r>
        <w:t xml:space="preserve">, a Norwegian-based multinational, established a </w:t>
      </w:r>
      <w:r>
        <w:rPr>
          <w:b/>
        </w:rPr>
        <w:t>Netherlands IP HoldCo</w:t>
      </w:r>
      <w:r>
        <w:t xml:space="preserve"> in </w:t>
      </w:r>
      <w:r>
        <w:rPr>
          <w:b/>
        </w:rPr>
        <w:t>2018</w:t>
      </w:r>
      <w:r>
        <w:t xml:space="preserve"> to own group-wide drilling and production technology IP. The structure has been operating successfully with the following characteristics:</w:t>
      </w:r>
    </w:p>
    <w:p>
      <w:r>
        <w:rPr>
          <w:b/>
        </w:rPr>
        <w:t>Netherlands IP B.V.</w:t>
      </w:r>
      <w:r>
        <w:t>:</w:t>
      </w:r>
    </w:p>
    <w:p>
      <w:pPr>
        <w:pStyle w:val="ListBullet"/>
      </w:pPr>
      <w:r>
        <w:t>Owns all group IP (FMV: €500 million)</w:t>
      </w:r>
    </w:p>
    <w:p>
      <w:pPr>
        <w:pStyle w:val="ListBullet"/>
      </w:pPr>
      <w:r>
        <w:t>Receives royalties from operating entities in Norway, UK, Angola, and Brazil</w:t>
      </w:r>
    </w:p>
    <w:p>
      <w:pPr>
        <w:pStyle w:val="ListBullet"/>
      </w:pPr>
      <w:r>
        <w:t>Annual royalty income: €40 million</w:t>
      </w:r>
    </w:p>
    <w:p>
      <w:pPr>
        <w:pStyle w:val="ListBullet"/>
      </w:pPr>
      <w:r>
        <w:t>Netherlands tax (Innovation Box at 9%): €3.6 million</w:t>
      </w:r>
    </w:p>
    <w:p>
      <w:pPr>
        <w:pStyle w:val="ListBullet"/>
      </w:pPr>
      <w:r>
        <w:rPr>
          <w:b/>
        </w:rPr>
        <w:t>After-tax income</w:t>
      </w:r>
      <w:r>
        <w:t>: €36.4 million</w:t>
      </w:r>
    </w:p>
    <w:p>
      <w:r>
        <w:rPr>
          <w:b/>
        </w:rPr>
        <w:t>Substance</w:t>
      </w:r>
      <w:r>
        <w:t>:</w:t>
      </w:r>
    </w:p>
    <w:p>
      <w:pPr>
        <w:pStyle w:val="ListBullet"/>
      </w:pPr>
      <w:r>
        <w:rPr>
          <w:b/>
        </w:rPr>
        <w:t>3 employees</w:t>
      </w:r>
      <w:r>
        <w:t xml:space="preserve"> in Netherlands (IP manager, patent attorney, licensing coordinator)</w:t>
      </w:r>
    </w:p>
    <w:p>
      <w:pPr>
        <w:pStyle w:val="ListBullet"/>
      </w:pPr>
      <w:r>
        <w:t>Annual payroll: €600K</w:t>
      </w:r>
    </w:p>
    <w:p>
      <w:pPr>
        <w:pStyle w:val="ListBullet"/>
      </w:pPr>
      <w:r>
        <w:t>Office rent and operating expenses: €400K</w:t>
      </w:r>
    </w:p>
    <w:p>
      <w:pPr>
        <w:pStyle w:val="ListBullet"/>
      </w:pPr>
      <w:r>
        <w:rPr>
          <w:b/>
        </w:rPr>
        <w:t>Total annual substance costs</w:t>
      </w:r>
      <w:r>
        <w:t>: €1 million</w:t>
      </w:r>
    </w:p>
    <w:p>
      <w:r>
        <w:rPr>
          <w:b/>
        </w:rPr>
        <w:t>Group Structure</w:t>
      </w:r>
      <w:r>
        <w:t>:</w:t>
      </w:r>
    </w:p>
    <w:p>
      <w:pPr>
        <w:pStyle w:val="ListBullet"/>
      </w:pPr>
      <w:r>
        <w:rPr>
          <w:b/>
        </w:rPr>
        <w:t>NorthStar Petroleum ASA (Norway)</w:t>
      </w:r>
      <w:r>
        <w:t xml:space="preserve"> - Parent company</w:t>
      </w:r>
    </w:p>
    <w:p>
      <w:pPr>
        <w:pStyle w:val="ListBullet"/>
      </w:pPr>
      <w:r>
        <w:rPr>
          <w:b/>
        </w:rPr>
        <w:t>Netherlands IP B.V.</w:t>
      </w:r>
      <w:r>
        <w:t xml:space="preserve"> - IP holding company (100% owned by Norway parent)</w:t>
      </w:r>
    </w:p>
    <w:p>
      <w:pPr>
        <w:pStyle w:val="ListBullet"/>
      </w:pPr>
      <w:r>
        <w:rPr>
          <w:b/>
        </w:rPr>
        <w:t>Operating subsidiaries</w:t>
      </w:r>
      <w:r>
        <w:t xml:space="preserve"> - Norway, UK, Angola, Brazil</w:t>
      </w:r>
    </w:p>
    <w:p>
      <w:r>
        <w:rPr>
          <w:b/>
        </w:rPr>
        <w:t>Challenge</w:t>
      </w:r>
      <w:r>
        <w:t>:</w:t>
      </w:r>
    </w:p>
    <w:p>
      <w:r>
        <w:t xml:space="preserve">With </w:t>
      </w:r>
      <w:r>
        <w:rPr>
          <w:b/>
        </w:rPr>
        <w:t>OECD Pillar Two</w:t>
      </w:r>
      <w:r>
        <w:t xml:space="preserve"> implementation in 2025, NorthStar faces a </w:t>
      </w:r>
      <w:r>
        <w:rPr>
          <w:b/>
        </w:rPr>
        <w:t>top-up tax</w:t>
      </w:r>
      <w:r>
        <w:t xml:space="preserve"> on the Netherlands IP B.V.'s income, as the 9% Innovation Box rate is below the 15% minimum.</w:t>
      </w:r>
    </w:p>
    <w:p>
      <w:r>
        <w:rPr>
          <w:b/>
        </w:rPr>
        <w:t>Options Under Consideration</w:t>
      </w:r>
      <w:r>
        <w:t>:</w:t>
      </w:r>
    </w:p>
    <w:p>
      <w:pPr>
        <w:pStyle w:val="ListNumber"/>
      </w:pPr>
      <w:r>
        <w:rPr>
          <w:b/>
        </w:rPr>
        <w:t>Maintain Netherlands IP HoldCo</w:t>
      </w:r>
      <w:r>
        <w:t xml:space="preserve"> and pay Pillar Two top-up tax</w:t>
      </w:r>
    </w:p>
    <w:p>
      <w:pPr>
        <w:pStyle w:val="ListNumber"/>
      </w:pPr>
      <w:r>
        <w:rPr>
          <w:b/>
        </w:rPr>
        <w:t>Repatriate IP to Norway</w:t>
      </w:r>
      <w:r>
        <w:t xml:space="preserve"> to consolidate ownership and simplify structure</w:t>
      </w:r>
    </w:p>
    <w:p>
      <w:pPr>
        <w:pStyle w:val="ListNumber"/>
      </w:pPr>
      <w:r>
        <w:rPr>
          <w:b/>
        </w:rPr>
        <w:t>Restructure to cost-sharing arrangement</w:t>
      </w:r>
      <w:r>
        <w:t xml:space="preserve"> to eliminate cross-border royalties</w:t>
      </w:r>
    </w:p>
    <w:p>
      <w:pPr>
        <w:pStyle w:val="ListNumber"/>
      </w:pPr>
      <w:r>
        <w:rPr>
          <w:b/>
        </w:rPr>
        <w:t>Increase substance</w:t>
      </w:r>
      <w:r>
        <w:t xml:space="preserve"> in Netherlands to maximize Substance-Based Income Exclusion (SBIE)</w:t>
      </w:r>
    </w:p>
    <w:p>
      <w:pPr>
        <w:pStyle w:val="Heading3"/>
      </w:pPr>
      <w:r>
        <w:t>Required</w:t>
      </w:r>
    </w:p>
    <w:p>
      <w:pPr>
        <w:pStyle w:val="ListNumber"/>
      </w:pPr>
      <w:r>
        <w:t xml:space="preserve">Calculate the </w:t>
      </w:r>
      <w:r>
        <w:rPr>
          <w:b/>
        </w:rPr>
        <w:t>Pillar Two top-up tax</w:t>
      </w:r>
      <w:r>
        <w:t xml:space="preserve"> under the current structure</w:t>
      </w:r>
    </w:p>
    <w:p>
      <w:pPr>
        <w:pStyle w:val="ListNumber"/>
      </w:pPr>
      <w:r>
        <w:t xml:space="preserve">Evaluate the </w:t>
      </w:r>
      <w:r>
        <w:rPr>
          <w:b/>
        </w:rPr>
        <w:t>tax and cash flow impact</w:t>
      </w:r>
      <w:r>
        <w:t xml:space="preserve"> of each restructuring option</w:t>
      </w:r>
    </w:p>
    <w:p>
      <w:pPr>
        <w:pStyle w:val="ListNumber"/>
      </w:pPr>
      <w:r>
        <w:t xml:space="preserve">Consider </w:t>
      </w:r>
      <w:r>
        <w:rPr>
          <w:b/>
        </w:rPr>
        <w:t>non-tax factors</w:t>
      </w:r>
      <w:r>
        <w:t xml:space="preserve"> (operational efficiency, compliance costs, reputational risk)</w:t>
      </w:r>
    </w:p>
    <w:p>
      <w:pPr>
        <w:pStyle w:val="ListNumber"/>
      </w:pPr>
      <w:r>
        <w:t>Recommend the optimal path forward</w:t>
      </w:r>
    </w:p>
    <w:p>
      <w:pPr>
        <w:pStyle w:val="Heading3"/>
      </w:pPr>
      <w:r>
        <w:t>Analysis</w:t>
      </w:r>
    </w:p>
    <w:p>
      <w:r>
        <w:rPr>
          <w:b/>
        </w:rPr>
        <w:t>Step 1: Pillar Two Top-Up Tax Calculation (Current Structure)</w:t>
      </w:r>
    </w:p>
    <w:p>
      <w:r>
        <w:rPr>
          <w:b/>
        </w:rPr>
        <w:t>Netherlands IP B.V. - Pillar Two ETR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GloBE Income = €40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Adjusted Covered Taxes = €3.6 million (9% Netherlands tax)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Jurisdictional ETR = €3.6M / €40M = 9%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Top-Up Tax Percentage = 15% - 9% = 6%</w:t>
      </w:r>
    </w:p>
    <w:p/>
    <w:p>
      <w:r>
        <w:rPr>
          <w:b/>
        </w:rPr>
        <w:t>Substance-Based Income Exclusion (SBIE)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Payroll carve-out = 5% × €600K (payroll) = €30K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Tangible asset carve-out = 5% × €500K (office equipment, furniture) = €25K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SBIE = €55K</w:t>
      </w:r>
    </w:p>
    <w:p/>
    <w:p>
      <w:r>
        <w:rPr>
          <w:b/>
        </w:rPr>
        <w:t>Excess Profit Subject to Top-Up Tax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GloBE Income = €40M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SBIE = €0.055M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Excess Profit = €39.945M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Top-Up Tax = €39.945M × 6% = €2.397M</w:t>
      </w:r>
    </w:p>
    <w:p/>
    <w:p>
      <w:r>
        <w:rPr>
          <w:b/>
        </w:rPr>
        <w:t>Total Tax (Post-Pillar Two)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Netherlands tax = €3.6M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Pillar Two top-up tax = €2.397M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= €5.997M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rate: 15%</w:t>
      </w:r>
    </w:p>
    <w:p/>
    <w:p>
      <w:r>
        <w:rPr>
          <w:b/>
        </w:rPr>
        <w:t>Who Collects Top-Up Tax?</w:t>
      </w:r>
    </w:p>
    <w:p>
      <w:pPr>
        <w:pStyle w:val="ListBullet"/>
      </w:pPr>
      <w:r>
        <w:rPr>
          <w:b/>
        </w:rPr>
        <w:t>Norway (IIR)</w:t>
      </w:r>
      <w:r>
        <w:t>: As the ultimate parent jurisdiction, Norway will impose the top-up tax via Income Inclusion Rule</w:t>
      </w:r>
    </w:p>
    <w:p>
      <w:pPr>
        <w:pStyle w:val="ListBullet"/>
      </w:pPr>
      <w:r>
        <w:rPr>
          <w:b/>
        </w:rPr>
        <w:t>Netherlands (QDMTT)</w:t>
      </w:r>
      <w:r>
        <w:t>: If Netherlands enacts a Qualified Domestic Minimum Top-Up Tax, it could collect the top-up tax locally</w:t>
      </w:r>
    </w:p>
    <w:p>
      <w:pPr>
        <w:pStyle w:val="ListBullet"/>
      </w:pPr>
      <w:r>
        <w:rPr>
          <w:b/>
        </w:rPr>
        <w:t>Cash flow impact</w:t>
      </w:r>
      <w:r>
        <w:t>: If Norway collects (IIR), the Netherlands subsidiary remits full after-tax income as dividends, and the Norwegian parent pays the top-up tax</w:t>
      </w:r>
    </w:p>
    <w:p>
      <w:r>
        <w:rPr>
          <w:b/>
        </w:rPr>
        <w:t>Step 2: Option 1 - Maintain Netherlands IP HoldCo</w:t>
      </w:r>
    </w:p>
    <w:p>
      <w:r>
        <w:rPr>
          <w:b/>
        </w:rPr>
        <w:t>Annual Cash Flow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Royalty income = €40M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Netherlands tax = €3.6M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Top-up tax (paid in Norway) = €2.397M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After-tax cash flow = €34.003M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Annual substance costs = €1M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cash flow to group = €33.003M</w:t>
      </w:r>
    </w:p>
    <w:p/>
    <w:p>
      <w:r>
        <w:rPr>
          <w:b/>
        </w:rPr>
        <w:t>Advantages</w:t>
      </w:r>
      <w:r>
        <w:t>:</w:t>
      </w:r>
    </w:p>
    <w:p>
      <w:pPr>
        <w:pStyle w:val="ListBullet"/>
      </w:pPr>
      <w:r>
        <w:rPr>
          <w:b/>
        </w:rPr>
        <w:t>No restructuring cost</w:t>
      </w:r>
      <w:r>
        <w:t>: Avoids exit tax or transfer pricing valuation</w:t>
      </w:r>
    </w:p>
    <w:p>
      <w:pPr>
        <w:pStyle w:val="ListBullet"/>
      </w:pPr>
      <w:r>
        <w:rPr>
          <w:b/>
        </w:rPr>
        <w:t>Treaty benefits</w:t>
      </w:r>
      <w:r>
        <w:t>: Continues to benefit from Netherlands treaty network (0% WHT on some royalties)</w:t>
      </w:r>
    </w:p>
    <w:p>
      <w:pPr>
        <w:pStyle w:val="ListBullet"/>
      </w:pPr>
      <w:r>
        <w:rPr>
          <w:b/>
        </w:rPr>
        <w:t>Operational continuity</w:t>
      </w:r>
      <w:r>
        <w:t>: No disruption to existing licensing agreements</w:t>
      </w:r>
    </w:p>
    <w:p>
      <w:r>
        <w:rPr>
          <w:b/>
        </w:rPr>
        <w:t>Disadvantages</w:t>
      </w:r>
      <w:r>
        <w:t>:</w:t>
      </w:r>
    </w:p>
    <w:p>
      <w:pPr>
        <w:pStyle w:val="ListBullet"/>
      </w:pPr>
      <w:r>
        <w:rPr>
          <w:b/>
        </w:rPr>
        <w:t>Higher effective rate</w:t>
      </w:r>
      <w:r>
        <w:t>: 15% vs. 9% previously</w:t>
      </w:r>
    </w:p>
    <w:p>
      <w:pPr>
        <w:pStyle w:val="ListBullet"/>
      </w:pPr>
      <w:r>
        <w:rPr>
          <w:b/>
        </w:rPr>
        <w:t>Ongoing substance costs</w:t>
      </w:r>
      <w:r>
        <w:t>: €1M per year for minimal benefit</w:t>
      </w:r>
    </w:p>
    <w:p>
      <w:pPr>
        <w:pStyle w:val="ListBullet"/>
      </w:pPr>
      <w:r>
        <w:rPr>
          <w:b/>
        </w:rPr>
        <w:t>Complexity</w:t>
      </w:r>
      <w:r>
        <w:t>: Continued Pillar Two compliance and reporting</w:t>
      </w:r>
    </w:p>
    <w:p>
      <w:r>
        <w:rPr>
          <w:b/>
        </w:rPr>
        <w:t>Step 3: Option 2 - Repatriate IP to Norway</w:t>
      </w:r>
    </w:p>
    <w:p>
      <w:r>
        <w:rPr>
          <w:b/>
        </w:rPr>
        <w:t>Exit Tax</w:t>
      </w:r>
      <w:r>
        <w:t>:</w:t>
      </w:r>
    </w:p>
    <w:p>
      <w:r>
        <w:t xml:space="preserve">If IP is transferred back to Norway, the Netherlands may impose </w:t>
      </w:r>
      <w:r>
        <w:rPr>
          <w:b/>
        </w:rPr>
        <w:t>exit taxation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FMV of IP = €500M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 basis in Netherlands = €400M (assume IP was acquired/contributed at this value in 2018)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Exit gain = €100M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Netherlands corporate tax at 25.8% = €25.8M (immediate cost)</w:t>
      </w:r>
    </w:p>
    <w:p/>
    <w:p>
      <w:r>
        <w:rPr>
          <w:b/>
        </w:rPr>
        <w:t>Note</w:t>
      </w:r>
      <w:r>
        <w:t xml:space="preserve">: </w:t>
      </w:r>
      <w:r>
        <w:rPr>
          <w:b/>
        </w:rPr>
        <w:t>EU ATAD (Anti-Tax Avoidance Directive) Article 5</w:t>
      </w:r>
      <w:r>
        <w:t xml:space="preserve"> allows payment deferral over 5 years if certain conditions are met.</w:t>
      </w:r>
    </w:p>
    <w:p>
      <w:r>
        <w:rPr>
          <w:b/>
        </w:rPr>
        <w:t>Norway - Annual Tax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Royalty income from foreign subsidiaries = €40M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Norway corporate tax at 22% = €8.8M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rate: 22%</w:t>
      </w:r>
    </w:p>
    <w:p/>
    <w:p>
      <w:r>
        <w:rPr>
          <w:b/>
        </w:rPr>
        <w:t>Foreign WHT on Royalties (if paid to Norway vs. Netherlands)</w:t>
      </w:r>
      <w:r>
        <w:t>:</w:t>
      </w:r>
    </w:p>
    <w:p>
      <w:r>
        <w:t xml:space="preserve">Royalty WHT rates may differ if paid to Norway vs. Netherlands. Assume modest additional WHT cost of </w:t>
      </w:r>
      <w:r>
        <w:rPr>
          <w:b/>
        </w:rPr>
        <w:t>€500K per year</w:t>
      </w:r>
      <w:r>
        <w:t xml:space="preserve"> due to less favorable Norway treaty rates.</w:t>
      </w:r>
    </w:p>
    <w:p>
      <w:r>
        <w:rPr>
          <w:b/>
        </w:rPr>
        <w:t>Annual Cash Flow (Repatriated to Norway)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royalty income = €40M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Foreign WHT = €3.5M (includes €500K additional vs. Netherlands)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royalty income = €36.5M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Norway tax at 22% = €8.03M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After-tax income = €28.47M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No substance costs (IP in parent company)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cash flow = €28.47M</w:t>
      </w:r>
    </w:p>
    <w:p/>
    <w:p>
      <w:r>
        <w:rPr>
          <w:b/>
        </w:rPr>
        <w:t>Comparison to Pillar Two Netherlands Structure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Netherlands (with Pillar Two): €33.003M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Norway (repatriated): €28.47M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Annual cost of repatriation: €4.533M</w:t>
      </w:r>
    </w:p>
    <w:p/>
    <w:p>
      <w:r>
        <w:rPr>
          <w:b/>
        </w:rPr>
        <w:t>However, eliminate substance costs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Annual substance savings = €1M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annual cost = €3.533M</w:t>
      </w:r>
    </w:p>
    <w:p/>
    <w:p>
      <w:r>
        <w:rPr>
          <w:b/>
        </w:rPr>
        <w:t>Upfront Exit Tax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Netherlands exit tax = €25.8M (can be deferred over 5 years = €5.16M per year)</w:t>
      </w:r>
    </w:p>
    <w:p/>
    <w:p>
      <w:r>
        <w:rPr>
          <w:b/>
        </w:rPr>
        <w:t>Payback Analysis</w:t>
      </w:r>
      <w:r>
        <w:t>:</w:t>
      </w:r>
    </w:p>
    <w:p>
      <w:r>
        <w:t xml:space="preserve">Repatriation results in </w:t>
      </w:r>
      <w:r>
        <w:rPr>
          <w:b/>
        </w:rPr>
        <w:t>higher annual tax costs</w:t>
      </w:r>
      <w:r>
        <w:t xml:space="preserve"> (€3.533M per year) plus upfront exit tax (€25.8M). This option is </w:t>
      </w:r>
      <w:r>
        <w:rPr>
          <w:b/>
        </w:rPr>
        <w:t>economically unfavorable</w:t>
      </w:r>
      <w:r>
        <w:t>.</w:t>
      </w:r>
    </w:p>
    <w:p>
      <w:r>
        <w:rPr>
          <w:b/>
        </w:rPr>
        <w:t>Step 4: Option 3 - Cost-Sharing Arrangement</w:t>
      </w:r>
    </w:p>
    <w:p>
      <w:r>
        <w:rPr>
          <w:b/>
        </w:rPr>
        <w:t>Structure</w:t>
      </w:r>
      <w:r>
        <w:t>:</w:t>
      </w:r>
    </w:p>
    <w:p>
      <w:pPr>
        <w:pStyle w:val="ListBullet"/>
      </w:pPr>
      <w:r>
        <w:rPr>
          <w:b/>
        </w:rPr>
        <w:t>Terminate IP HoldCo licensing</w:t>
      </w:r>
      <w:r>
        <w:t xml:space="preserve"> arrangements</w:t>
      </w:r>
    </w:p>
    <w:p>
      <w:pPr>
        <w:pStyle w:val="ListBullet"/>
      </w:pPr>
      <w:r>
        <w:t xml:space="preserve">Establish a </w:t>
      </w:r>
      <w:r>
        <w:rPr>
          <w:b/>
        </w:rPr>
        <w:t>cost-sharing agreement (CSA)</w:t>
      </w:r>
      <w:r>
        <w:t xml:space="preserve"> where:</w:t>
      </w:r>
    </w:p>
    <w:p>
      <w:pPr>
        <w:pStyle w:val="ListBullet"/>
        <w:ind w:left="360"/>
      </w:pPr>
      <w:r>
        <w:t>All operating entities (Norway, UK, Angola, Brazil) co-fund ongoing IP development</w:t>
      </w:r>
    </w:p>
    <w:p>
      <w:pPr>
        <w:pStyle w:val="ListBullet"/>
        <w:ind w:left="360"/>
      </w:pPr>
      <w:r>
        <w:t>Each participant receives an undivided interest in the IP proportional to contributions</w:t>
      </w:r>
    </w:p>
    <w:p>
      <w:pPr>
        <w:pStyle w:val="ListBullet"/>
        <w:ind w:left="360"/>
      </w:pPr>
      <w:r>
        <w:rPr>
          <w:b/>
        </w:rPr>
        <w:t>Royalty-free use</w:t>
      </w:r>
      <w:r>
        <w:t xml:space="preserve"> of IP within the group</w:t>
      </w:r>
    </w:p>
    <w:p>
      <w:r>
        <w:rPr>
          <w:b/>
        </w:rPr>
        <w:t>Platform Contribution Transaction (PCT)</w:t>
      </w:r>
      <w:r>
        <w:t>:</w:t>
      </w:r>
    </w:p>
    <w:p>
      <w:r>
        <w:t xml:space="preserve">Netherlands IP B.V. must be compensated for transferring </w:t>
      </w:r>
      <w:r>
        <w:rPr>
          <w:b/>
        </w:rPr>
        <w:t>pre-existing IP</w:t>
      </w:r>
      <w:r>
        <w:t xml:space="preserve"> to the CSA: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FMV of existing IP = €500M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PCT payment from CSA participants = €500M (allocated proportionally)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Netherlands tax on PCT income = €500M × 9% (Innovation Box) = €45M</w:t>
      </w:r>
    </w:p>
    <w:p/>
    <w:p>
      <w:r>
        <w:rPr>
          <w:b/>
        </w:rPr>
        <w:t>Note</w:t>
      </w:r>
      <w:r>
        <w:t>: This one-time PCT income triggers substantial Netherlands tax, but eliminates ongoing royalty flows.</w:t>
      </w:r>
    </w:p>
    <w:p>
      <w:r>
        <w:rPr>
          <w:b/>
        </w:rPr>
        <w:t>Annual Tax (CSA Structure)</w:t>
      </w:r>
      <w:r>
        <w:t>:</w:t>
      </w:r>
    </w:p>
    <w:p>
      <w:pPr>
        <w:pStyle w:val="ListBullet"/>
      </w:pPr>
      <w:r>
        <w:rPr>
          <w:b/>
        </w:rPr>
        <w:t>No cross-border royalties</w:t>
      </w:r>
      <w:r>
        <w:t>: Eliminates WHT</w:t>
      </w:r>
    </w:p>
    <w:p>
      <w:pPr>
        <w:pStyle w:val="ListBullet"/>
      </w:pPr>
      <w:r>
        <w:rPr>
          <w:b/>
        </w:rPr>
        <w:t>Each jurisdiction taxes its share</w:t>
      </w:r>
      <w:r>
        <w:t xml:space="preserve"> of IP income based on local operations</w:t>
      </w:r>
    </w:p>
    <w:p>
      <w:pPr>
        <w:pStyle w:val="ListBullet"/>
      </w:pPr>
      <w:r>
        <w:rPr>
          <w:b/>
        </w:rPr>
        <w:t>Norway parent</w:t>
      </w:r>
      <w:r>
        <w:t>: Taxed at 22% on Norwegian operations (largest portion of group income)</w:t>
      </w:r>
    </w:p>
    <w:p>
      <w:r>
        <w:rPr>
          <w:b/>
        </w:rPr>
        <w:t>Estimated Annual Tax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Combined group tax (weighted by jurisdictional profit allocation):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Norway (50% of group profit): 22% rate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UK (20%): 25% rate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Angola (20%): 35% rate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Brazil (10%): 34% rate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Blended effective rate: ~26%</w:t>
      </w:r>
    </w:p>
    <w:p/>
    <w:p>
      <w:r>
        <w:rPr>
          <w:b/>
        </w:rPr>
        <w:t>Comparison</w:t>
      </w:r>
      <w:r>
        <w:t>:</w:t>
      </w:r>
    </w:p>
    <w:p>
      <w:r>
        <w:t xml:space="preserve">CSA structure results in </w:t>
      </w:r>
      <w:r>
        <w:rPr>
          <w:b/>
        </w:rPr>
        <w:t>higher overall tax</w:t>
      </w:r>
      <w:r>
        <w:t xml:space="preserve"> (~26% blended rate vs. 15% Pillar Two Netherlands rate) due to elimination of low-tax IP concentration in Netherlands.</w:t>
      </w:r>
    </w:p>
    <w:p>
      <w:r>
        <w:rPr>
          <w:b/>
        </w:rPr>
        <w:t>Conclusion</w:t>
      </w:r>
      <w:r>
        <w:t xml:space="preserve">: Option 3 is </w:t>
      </w:r>
      <w:r>
        <w:rPr>
          <w:b/>
        </w:rPr>
        <w:t>not economically attractive</w:t>
      </w:r>
      <w:r>
        <w:t xml:space="preserve"> for tax purposes, though it simplifies structure.</w:t>
      </w:r>
    </w:p>
    <w:p>
      <w:r>
        <w:rPr>
          <w:b/>
        </w:rPr>
        <w:t>Step 5: Option 4 - Increase Substance in Netherlands</w:t>
      </w:r>
    </w:p>
    <w:p>
      <w:r>
        <w:rPr>
          <w:b/>
        </w:rPr>
        <w:t>Strategy</w:t>
      </w:r>
      <w:r>
        <w:t xml:space="preserve">: Increase payroll and tangible assets in Netherlands to maximize </w:t>
      </w:r>
      <w:r>
        <w:rPr>
          <w:b/>
        </w:rPr>
        <w:t>Substance-Based Income Exclusion (SBIE)</w:t>
      </w:r>
      <w:r>
        <w:t>.</w:t>
      </w:r>
    </w:p>
    <w:p>
      <w:r>
        <w:rPr>
          <w:b/>
        </w:rPr>
        <w:t>Enhanced Substance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Current payroll: €600K → Increase to €3M (hire 10 FTEs instead of 3)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Current tangible assets: €500K → Increase to €3M (larger office, equipment)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Annual substance costs: €1M → €3.5M</w:t>
      </w:r>
    </w:p>
    <w:p/>
    <w:p>
      <w:r>
        <w:rPr>
          <w:b/>
        </w:rPr>
        <w:t>Revised SBIE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Payroll carve-out = 5% × €3M = €150K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Tangible asset carve-out = 5% × €3M = €150K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SBIE = €300K (vs. €55K previously)</w:t>
      </w:r>
    </w:p>
    <w:p/>
    <w:p>
      <w:r>
        <w:rPr>
          <w:b/>
        </w:rPr>
        <w:t>Revised Top-Up Tax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Excess Profit = €40M - €0.3M = €39.7M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Top-Up Tax = €39.7M × 6% = €2.382M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(Only €15K savings vs. low-substance scenario)</w:t>
      </w:r>
    </w:p>
    <w:p/>
    <w:p>
      <w:r>
        <w:rPr>
          <w:b/>
        </w:rPr>
        <w:t>Conclusion</w:t>
      </w:r>
      <w:r>
        <w:t xml:space="preserve">: Increasing substance provides </w:t>
      </w:r>
      <w:r>
        <w:rPr>
          <w:b/>
        </w:rPr>
        <w:t>minimal tax benefit</w:t>
      </w:r>
      <w:r>
        <w:t xml:space="preserve"> (only €15K reduction in top-up tax) while </w:t>
      </w:r>
      <w:r>
        <w:rPr>
          <w:b/>
        </w:rPr>
        <w:t>increasing costs by €2.5M per year</w:t>
      </w:r>
      <w:r>
        <w:t xml:space="preserve">. This option is </w:t>
      </w:r>
      <w:r>
        <w:rPr>
          <w:b/>
        </w:rPr>
        <w:t>not economically viable</w:t>
      </w:r>
      <w:r>
        <w:t>.</w:t>
      </w:r>
    </w:p>
    <w:p>
      <w:pPr>
        <w:pStyle w:val="Heading3"/>
      </w:pPr>
      <w:r>
        <w:t>Recommendation</w:t>
      </w:r>
    </w:p>
    <w:p>
      <w:r>
        <w:rPr>
          <w:b/>
        </w:rPr>
        <w:t>Maintain Netherlands IP HoldCo</w:t>
      </w:r>
      <w:r>
        <w:t xml:space="preserve"> (Option 1) because:</w:t>
      </w:r>
    </w:p>
    <w:p>
      <w:pPr>
        <w:pStyle w:val="ListNumber"/>
      </w:pPr>
      <w:r>
        <w:rPr>
          <w:b/>
        </w:rPr>
        <w:t>Lowest total tax cost</w:t>
      </w:r>
      <w:r>
        <w:t>: 15% effective rate (€5.997M) is lower than repatriation to Norway (22% effective rate, €8.03M)</w:t>
      </w:r>
    </w:p>
    <w:p>
      <w:pPr>
        <w:pStyle w:val="ListNumber"/>
      </w:pPr>
      <w:r>
        <w:rPr>
          <w:b/>
        </w:rPr>
        <w:t>No upfront exit tax</w:t>
      </w:r>
      <w:r>
        <w:t>: Avoids €25.8M Netherlands exit tax from repatriation</w:t>
      </w:r>
    </w:p>
    <w:p>
      <w:pPr>
        <w:pStyle w:val="ListNumber"/>
      </w:pPr>
      <w:r>
        <w:rPr>
          <w:b/>
        </w:rPr>
        <w:t>Treaty benefits</w:t>
      </w:r>
      <w:r>
        <w:t>: Continues to benefit from Netherlands' 0% WHT on royalties from Norway and UK</w:t>
      </w:r>
    </w:p>
    <w:p>
      <w:pPr>
        <w:pStyle w:val="ListNumber"/>
      </w:pPr>
      <w:r>
        <w:rPr>
          <w:b/>
        </w:rPr>
        <w:t>Operational simplicity</w:t>
      </w:r>
      <w:r>
        <w:t>: No need to renegotiate licensing agreements or restructure CSA</w:t>
      </w:r>
    </w:p>
    <w:p>
      <w:pPr>
        <w:pStyle w:val="ListNumber"/>
      </w:pPr>
      <w:r>
        <w:rPr>
          <w:b/>
        </w:rPr>
        <w:t>Pillar Two is manageable</w:t>
      </w:r>
      <w:r>
        <w:t>: 15% effective rate is reasonable and aligns with global standard</w:t>
      </w:r>
    </w:p>
    <w:p>
      <w:r>
        <w:rPr>
          <w:b/>
        </w:rPr>
        <w:t>Implementation Steps</w:t>
      </w:r>
      <w:r>
        <w:t>:</w:t>
      </w:r>
    </w:p>
    <w:p>
      <w:pPr>
        <w:pStyle w:val="ListNumber"/>
      </w:pPr>
      <w:r>
        <w:rPr>
          <w:b/>
        </w:rPr>
        <w:t>Prepare for Pillar Two compliance</w:t>
      </w:r>
      <w:r>
        <w:t>: Implement systems to calculate GloBE Income, ETR, and top-up tax</w:t>
      </w:r>
    </w:p>
    <w:p>
      <w:pPr>
        <w:pStyle w:val="ListNumber"/>
      </w:pPr>
      <w:r>
        <w:rPr>
          <w:b/>
        </w:rPr>
        <w:t>Maintain adequate substance</w:t>
      </w:r>
      <w:r>
        <w:t>: Continue current substance (3 FTEs, €1M annual costs) as it satisfies Dutch requirements and increasing substance provides minimal SBIE benefit</w:t>
      </w:r>
    </w:p>
    <w:p>
      <w:pPr>
        <w:pStyle w:val="ListNumber"/>
      </w:pPr>
      <w:r>
        <w:rPr>
          <w:b/>
        </w:rPr>
        <w:t>Monitor QDMTT</w:t>
      </w:r>
      <w:r>
        <w:t>: If Netherlands enacts a Qualified Domestic Minimum Top-Up Tax, the top-up tax will be paid in Netherlands rather than Norway (same economic cost, but affects cash management)</w:t>
      </w:r>
    </w:p>
    <w:p>
      <w:pPr>
        <w:pStyle w:val="ListNumber"/>
      </w:pPr>
      <w:r>
        <w:rPr>
          <w:b/>
        </w:rPr>
        <w:t>Communicate to stakeholders</w:t>
      </w:r>
      <w:r>
        <w:t>: Explain to board and shareholders that the 15% effective rate post-Pillar Two is aligned with global standards and remains competitive</w:t>
      </w:r>
    </w:p>
    <w:p>
      <w:r>
        <w:rPr>
          <w:b/>
        </w:rPr>
        <w:t>Long-Term Consideration</w:t>
      </w:r>
      <w:r>
        <w:t>:</w:t>
      </w:r>
    </w:p>
    <w:p>
      <w:r>
        <w:t>In 3-5 years, reassess whether IP should be repatriated to Norway or restructured based on:</w:t>
      </w:r>
    </w:p>
    <w:p>
      <w:pPr>
        <w:pStyle w:val="ListBullet"/>
      </w:pPr>
      <w:r>
        <w:t>Changes in Norwegian tax rates or incentives</w:t>
      </w:r>
    </w:p>
    <w:p>
      <w:pPr>
        <w:pStyle w:val="ListBullet"/>
      </w:pPr>
      <w:r>
        <w:t>Evolution of Pillar Two rules (e.g., adjustments to SBIE)</w:t>
      </w:r>
    </w:p>
    <w:p>
      <w:pPr>
        <w:pStyle w:val="ListBullet"/>
      </w:pPr>
      <w:r>
        <w:t>Group's broader corporate strategy and operational structure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