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 (Federal Taxation)</w:t>
      </w:r>
    </w:p>
    <w:p>
      <w:pPr>
        <w:pStyle w:val="Heading2"/>
      </w:pPr>
      <w:r>
        <w:t>ADIT Energy Resources Module 3.04 - Study Note</w:t>
      </w:r>
    </w:p>
    <w:p>
      <w:r>
        <w:t>**Knowledge Level:** Broad (Level 1)</w:t>
      </w:r>
    </w:p>
    <w:p>
      <w:r>
        <w:t>__________________________________________________</w:t>
      </w:r>
    </w:p>
    <w:p>
      <w:pPr>
        <w:pStyle w:val="Heading2"/>
      </w:pPr>
      <w:r>
        <w:t>1. Core Framework of US Federal Petroleum Taxation</w:t>
      </w:r>
    </w:p>
    <w:p>
      <w:pPr>
        <w:pStyle w:val="Heading3"/>
      </w:pPr>
      <w:r>
        <w:t>1.1 Statutory Basis and Legislative Foundation</w:t>
      </w:r>
    </w:p>
    <w:p>
      <w:r>
        <w:t>The United States federal petroleum taxation framework is governed by the **Internal Revenue Code (IRC)** (Title 26 of the United States Code), which establishes comprehensive rules for upstream oil and gas operations. Unlike many jurisdictions with specialized petroleum tax legislation, the US integrates petroleum taxation within its general corporate tax system while providing industry-specific incentives designed to encourage domestic exploration and production, maintain energy security, and support independent producers.</w:t>
      </w:r>
    </w:p>
    <w:p>
      <w:r>
        <w:t>**Key IRC Provisions (Title 26):**</w:t>
      </w:r>
    </w:p>
    <w:p>
      <w:pPr>
        <w:pStyle w:val="ListBullet"/>
      </w:pPr>
      <w:r>
        <w:t>**IRC §61**: Defines gross income including revenue from oil and gas production</w:t>
      </w:r>
    </w:p>
    <w:p>
      <w:pPr>
        <w:pStyle w:val="ListBullet"/>
      </w:pPr>
      <w:r>
        <w:t>**IRC §162**: Deduction for ordinary and necessary business expenses (lease operating expenses)</w:t>
      </w:r>
    </w:p>
    <w:p>
      <w:pPr>
        <w:pStyle w:val="ListBullet"/>
      </w:pPr>
      <w:r>
        <w:t>**IRC §167** and **§168**: Depreciation and Modified Accelerated Cost Recovery System (MACRS) for tangible petroleum property</w:t>
      </w:r>
    </w:p>
    <w:p>
      <w:pPr>
        <w:pStyle w:val="ListBullet"/>
      </w:pPr>
      <w:r>
        <w:t>**IRC §263(c)**: Election to deduct intangible drilling and development costs</w:t>
      </w:r>
    </w:p>
    <w:p>
      <w:pPr>
        <w:pStyle w:val="ListBullet"/>
      </w:pPr>
      <w:r>
        <w:t>**IRC §465**: At-risk limitations preventing tax shelter abuses</w:t>
      </w:r>
    </w:p>
    <w:p>
      <w:pPr>
        <w:pStyle w:val="ListBullet"/>
      </w:pPr>
      <w:r>
        <w:t>**IRC §469**: Passive activity loss rules (with working interest exclusion for oil and gas)</w:t>
      </w:r>
    </w:p>
    <w:p>
      <w:pPr>
        <w:pStyle w:val="ListBullet"/>
      </w:pPr>
      <w:r>
        <w:t>**IRC §482**: Transfer pricing rules requiring arm's-length pricing for intercompany transactions</w:t>
      </w:r>
    </w:p>
    <w:p>
      <w:pPr>
        <w:pStyle w:val="ListBullet"/>
      </w:pPr>
      <w:r>
        <w:t>**IRC §611-612**: General depletion allowance and cost depletion methodology</w:t>
      </w:r>
    </w:p>
    <w:p>
      <w:pPr>
        <w:pStyle w:val="ListBullet"/>
      </w:pPr>
      <w:r>
        <w:t>**IRC §613**: Percentage depletion for natural resources (cross-references §613A for oil and gas)</w:t>
      </w:r>
    </w:p>
    <w:p>
      <w:pPr>
        <w:pStyle w:val="ListBullet"/>
      </w:pPr>
      <w:r>
        <w:t>**IRC §613A**: Limitations on percentage depletion for oil and gas wells (15% rate; independent producer exemption; 1,000 barrel per day limit; 65% taxable income limitation)</w:t>
      </w:r>
    </w:p>
    <w:p>
      <w:pPr>
        <w:pStyle w:val="ListBullet"/>
      </w:pPr>
      <w:r>
        <w:t>**IRC §901-909**: Foreign tax credit provisions preventing double taxation on foreign-source income</w:t>
      </w:r>
    </w:p>
    <w:p>
      <w:r>
        <w:t>These provisions collectively form the technical architecture for petroleum taxation at the federal level, balancing revenue collection with incentives that have existed in various forms since the early 20th century.</w:t>
      </w:r>
    </w:p>
    <w:p>
      <w:pPr>
        <w:pStyle w:val="Heading3"/>
      </w:pPr>
      <w:r>
        <w:t>1.2 Concession and Lease System</w:t>
      </w:r>
    </w:p>
    <w:p>
      <w:r>
        <w:t>The US operates under a **concession/lease regime** where federal lands (onshore and offshore) are administered by agencies within the Department of the Interior:</w:t>
      </w:r>
    </w:p>
    <w:p>
      <w:r>
        <w:t>**Bureau of Land Management (BLM):** Manages over 700 million acres of onshore federal lands and subsurface mineral estate, conducting competitive lease auctions. **Historical royalty rate:** 12.5% minimum (Mineral Leasing Act of 1920). **Current royalty rate:** **18.75%** for new leases issued after **April 15, 2022** (first increase since 1920, implementing a 50% increase to align with offshore rates and reflect modern resource valuation).</w:t>
      </w:r>
    </w:p>
    <w:p>
      <w:r>
        <w:t>**Bureau of Ocean Energy Management (BOEM):** Administers offshore lease sales in the Outer Continental Shelf (OCS), managing 1.7 billion acres of submerged lands under the Outer Continental Shelf Lands Act (OCSLA). Royalty rates typically range from **12.5% to 18.75%** depending on water depth, production levels, and lease vintage. Deep-water leases (generally deeper than 200 meters) commanded **18.75%** royalties beginning in 2008; shallow-water leases historically set at 12.5% but increasing to 18.75% for new leases. Offshore Gulf of Mexico accounts for the majority of federal offshore production.</w:t>
      </w:r>
    </w:p>
    <w:p>
      <w:r>
        <w:t>**Lease Acquisition Process:**</w:t>
      </w:r>
    </w:p>
    <w:p>
      <w:pPr>
        <w:pStyle w:val="ListBullet"/>
      </w:pPr>
      <w:r>
        <w:t>**Competitive bidding:** Sealed bids submitted for lease tracts, with highest bid winning</w:t>
      </w:r>
    </w:p>
    <w:p>
      <w:pPr>
        <w:pStyle w:val="ListBullet"/>
      </w:pPr>
      <w:r>
        <w:t>**Upfront bonus payments:** Cash payments to secure lease rights; **non-deductible capital costs** capitalized to the property basis for cost depletion purposes</w:t>
      </w:r>
    </w:p>
    <w:p>
      <w:pPr>
        <w:pStyle w:val="ListBullet"/>
      </w:pPr>
      <w:r>
        <w:t>**Annual delay rentals:** Payments to maintain lease during non-producing periods; **deductible as operating expenses** if production has not commenced</w:t>
      </w:r>
    </w:p>
    <w:p>
      <w:pPr>
        <w:pStyle w:val="ListBullet"/>
      </w:pPr>
      <w:r>
        <w:t>**Ad valorem royalties:** Upon commercial discovery, lessees pay royalties calculated as a percentage of **gross production value at the wellhead** (sales price less post-production costs to bring product to marketable condition)</w:t>
      </w:r>
    </w:p>
    <w:p>
      <w:r>
        <w:t>**Federal Oil and Gas Royalty Management Act (FOGRMA):** Enacted 1982, mandates accurate valuation methodologies, timely royalty payment, and comprehensive reporting to the Office of Natural Resources Revenue (ONRR), which collects and distributes royalty revenues.</w:t>
      </w:r>
    </w:p>
    <w:p>
      <w:pPr>
        <w:pStyle w:val="Heading2"/>
      </w:pPr>
      <w:r>
        <w:t>2. Technical Rules and Tax Computation</w:t>
      </w:r>
    </w:p>
    <w:p>
      <w:pPr>
        <w:pStyle w:val="Heading3"/>
      </w:pPr>
      <w:r>
        <w:t>2.1 Corporate Income Tax</w:t>
      </w:r>
    </w:p>
    <w:p>
      <w:r>
        <w:t>The **Tax Cuts and Jobs Act (TCJA)**, enacted **December 22, 2017** (Public Law 115-97), reduced the federal corporate income tax rate from a graduated structure with a top rate of 35% to a flat **21%** rate applying to all net taxable income, effective for tax years beginning after December 31, 2017. This rate applies uniformly to petroleum operations and all other corporate activities.</w:t>
      </w:r>
    </w:p>
    <w:p>
      <w:r>
        <w:t>Petroleum companies (both integrated oil companies and independent producers) calculate taxable income by deducting allowable expenses from gross revenue. The TCJA eliminated the graduated corporate rate structure, creating a single-tier system more comparable to international corporate tax regimes.</w:t>
      </w:r>
    </w:p>
    <w:p>
      <w:r>
        <w:t>**Classification Distinction:**</w:t>
      </w:r>
    </w:p>
    <w:p>
      <w:pPr>
        <w:pStyle w:val="ListBullet"/>
      </w:pPr>
      <w:r>
        <w:t>**Independent producers:** Producers not engaged in retail sales or refining operations exceeding 50,000 barrels per day on any day during the tax year; eligible for percentage depletion and full IDC expensing</w:t>
      </w:r>
    </w:p>
    <w:p>
      <w:pPr>
        <w:pStyle w:val="ListBullet"/>
      </w:pPr>
      <w:r>
        <w:t>**Integrated producers:** Vertically integrated companies engaged in production, refining, and/or retail operations with refinery runs exceeding 50,000 barrels per day; subject to restrictions on percentage depletion (generally prohibited except for marginal properties) and IDC expensing (30% capitalization requirement)</w:t>
      </w:r>
    </w:p>
    <w:p>
      <w:pPr>
        <w:pStyle w:val="Heading3"/>
      </w:pPr>
      <w:r>
        <w:t>2.2 Royalty Payments</w:t>
      </w:r>
    </w:p>
    <w:p>
      <w:r>
        <w:t>Federal royalties are **not federal income taxes** but rather contractual payments for the right to extract publicly-owned natural resources. Royalties constitute **deductible expenses** for federal corporate income tax purposes under IRC §162 (ordinary and necessary business expenses).</w:t>
      </w:r>
    </w:p>
    <w:p>
      <w:r>
        <w:t>**Current Federal Royalty Rates:**</w:t>
      </w:r>
    </w:p>
    <w:p>
      <w:pPr>
        <w:pStyle w:val="ListBullet"/>
      </w:pPr>
      <w:r>
        <w:t>**Onshore (BLM):** 18.75% of gross production value for leases issued after April 15, 2022; 12.5% for pre-existing leases issued under the Mineral Leasing Act of 1920</w:t>
      </w:r>
    </w:p>
    <w:p>
      <w:pPr>
        <w:pStyle w:val="ListBullet"/>
      </w:pPr>
      <w:r>
        <w:t>**Offshore shallow water (BOEM):** 12.5% for older leases; 18.75% for leases issued after recent policy changes</w:t>
      </w:r>
    </w:p>
    <w:p>
      <w:pPr>
        <w:pStyle w:val="ListBullet"/>
      </w:pPr>
      <w:r>
        <w:t>**Offshore deep water (BOEM):** 18.75% (established 2008 for leases in water depths greater than 200 meters in the Gulf of Mexico)</w:t>
      </w:r>
    </w:p>
    <w:p>
      <w:r>
        <w:t>The Federal Oil and Gas Royalty Management Act (FOGRMA) mandates accurate valuation and timely payment, with the Office of Natural Resources Revenue (ONRR) administering collection and enforcement. Royalty relief provisions exist for marginal production and deep-water fields under specified economic conditions.</w:t>
      </w:r>
    </w:p>
    <w:p>
      <w:pPr>
        <w:pStyle w:val="Heading3"/>
      </w:pPr>
      <w:r>
        <w:t>2.3 Depletion Allowances</w:t>
      </w:r>
    </w:p>
    <w:p>
      <w:r>
        <w:t>The IRC provides two alternative methods for depletion deductions, reflecting the consumption of natural resource reserves as a capital recovery mechanism:</w:t>
      </w:r>
    </w:p>
    <w:p>
      <w:pPr>
        <w:pStyle w:val="Heading4"/>
      </w:pPr>
      <w:r>
        <w:t>2.3.1 Percentage Depletion (IRC §613 and §613A)</w:t>
      </w:r>
    </w:p>
    <w:p>
      <w:r>
        <w:t>**Percentage depletion** allows an annual deduction equal to **15%** of gross income from oil and gas production, subject to critical limitations designed to restrict the benefit to independent producers and small-scale operations:</w:t>
      </w:r>
    </w:p>
    <w:p>
      <w:r>
        <w:t>**Eligibility Restrictions:**</w:t>
      </w:r>
    </w:p>
    <w:p>
      <w:pPr>
        <w:pStyle w:val="ListBullet"/>
      </w:pPr>
      <w:r>
        <w:t>**Independent producers only:** IRC §613A generally prohibits integrated producers (those with refinery runs exceeding 50,000 barrels per day or engaged in retail operations) from claiming percentage depletion, except for production from marginal properties qualifying under special rules</w:t>
      </w:r>
    </w:p>
    <w:p>
      <w:pPr>
        <w:pStyle w:val="ListBullet"/>
      </w:pPr>
      <w:r>
        <w:t>**Production volume limitation:** Percentage depletion applies only to the taxpayer's **first 1,000 barrels of average daily production** of domestic crude oil (or 6,000 mcf of domestic natural gas equivalent). Production exceeding this threshold receives no percentage depletion benefit, though cost depletion remains available.</w:t>
      </w:r>
    </w:p>
    <w:p>
      <w:pPr>
        <w:pStyle w:val="ListBullet"/>
      </w:pPr>
      <w:r>
        <w:t>**Property-level limitation:** Percentage depletion cannot exceed **100% of taxable income** from the property (calculated before the depletion deduction but after all other deductions allocable to the property)</w:t>
      </w:r>
    </w:p>
    <w:p>
      <w:pPr>
        <w:pStyle w:val="ListBullet"/>
      </w:pPr>
      <w:r>
        <w:t>**Overall 65% limitation:** Total percentage depletion from all oil and gas properties cannot exceed **65% of the taxpayer's taxable income** from all sources (computed without regard to depletion, net operating loss carrybacks, or capital loss carrybacks) per IRC §613A(d)(1). Depletion disallowed under this limitation may be carried forward to subsequent tax years.</w:t>
      </w:r>
    </w:p>
    <w:p>
      <w:r>
        <w:t>**Calculation Methodology:**</w:t>
      </w:r>
    </w:p>
    <w:p>
      <w:pPr/>
      <w:r>
        <w:rPr>
          <w:rFonts w:ascii="Courier New" w:hAnsi="Courier New"/>
          <w:sz w:val="18"/>
        </w:rPr>
        <w:t>Percentage Depletion = 15% × Gross Income from Property</w:t>
        <w:br/>
        <w:t>Subject to: Lesser of (a) 100% of property taxable income, or (b) allocable share of 65% overall limitation</w:t>
      </w:r>
    </w:p>
    <w:p>
      <w:r>
        <w:t>**Excess Depletion:** Unlike cost depletion, percentage depletion is not limited to the property's adjusted basis. Over the life of a property, cumulative percentage depletion can exceed original capitalized costs, creating "excess depletion" that provides a subsidy beyond capital recovery. This policy aims to incentivize domestic exploration and offset the high risks associated with petroleum development.</w:t>
      </w:r>
    </w:p>
    <w:p>
      <w:r>
        <w:t>**Historical Context:** The Tax Reduction Act of 1975 repealed percentage depletion for integrated oil companies for production after December 31, 1974, creating the current "small producer exemption" that restricts the benefit to independent producers and royalty owners.</w:t>
      </w:r>
    </w:p>
    <w:p>
      <w:pPr>
        <w:pStyle w:val="Heading4"/>
      </w:pPr>
      <w:r>
        <w:t>2.3.2 Cost Depletion (IRC §611-612)</w:t>
      </w:r>
    </w:p>
    <w:p>
      <w:r>
        <w:t>**Cost depletion** allocates the capitalized cost basis of the property over estimated recoverable reserves using a units-of-production methodology:</w:t>
      </w:r>
    </w:p>
    <w:p>
      <w:r>
        <w:t>**Formula:**</w:t>
      </w:r>
    </w:p>
    <w:p>
      <w:pPr/>
      <w:r>
        <w:rPr>
          <w:rFonts w:ascii="Courier New" w:hAnsi="Courier New"/>
          <w:sz w:val="18"/>
        </w:rPr>
        <w:t>Cost Depletion = (Adjusted Basis in Property ÷ Total Estimated Recoverable Units) × Units Sold During Year</w:t>
      </w:r>
    </w:p>
    <w:p>
      <w:r>
        <w:t>**Adjusted Basis Calculation:**</w:t>
      </w:r>
    </w:p>
    <w:p>
      <w:pPr>
        <w:pStyle w:val="ListBullet"/>
      </w:pPr>
      <w:r>
        <w:t>Initial basis: Bonus payments, acquisition costs, capitalized exploration costs (for full cost method), capitalized development costs</w:t>
      </w:r>
    </w:p>
    <w:p>
      <w:pPr>
        <w:pStyle w:val="ListBullet"/>
      </w:pPr>
      <w:r>
        <w:t>Adjustments: Reduced by prior cost depletion deductions; increased by subsequent capital additions</w:t>
      </w:r>
    </w:p>
    <w:p>
      <w:r>
        <w:t>**Reserve Estimates:** Taxpayers must maintain reserve estimates based on proved reserves (1P) or proved plus probable reserves (2P) depending on methodology elected, with annual updates reflecting production, revisions, and new discoveries.</w:t>
      </w:r>
    </w:p>
    <w:p>
      <w:r>
        <w:t>**Availability:** Cost depletion is available to **all taxpayers** (independent producers and integrated producers) and is not subject to production volume limitations or the 65% overall limitation. However, cost depletion cannot exceed the property's remaining adjusted basis (cannot create "negative basis").</w:t>
      </w:r>
    </w:p>
    <w:p>
      <w:r>
        <w:t>**Comparison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**Percentage Depletion**</w:t>
            </w:r>
          </w:p>
        </w:tc>
        <w:tc>
          <w:tcPr>
            <w:tcW w:type="dxa" w:w="2880"/>
          </w:tcPr>
          <w:p>
            <w:r>
              <w:t>**Cost Depletion**</w:t>
            </w:r>
          </w:p>
        </w:tc>
      </w:tr>
      <w:tr>
        <w:tc>
          <w:tcPr>
            <w:tcW w:type="dxa" w:w="2880"/>
          </w:tcPr>
          <w:p>
            <w:r>
              <w:t>**Calculation Basis**</w:t>
            </w:r>
          </w:p>
        </w:tc>
        <w:tc>
          <w:tcPr>
            <w:tcW w:type="dxa" w:w="2880"/>
          </w:tcPr>
          <w:p>
            <w:r>
              <w:t>15% of gross income</w:t>
            </w:r>
          </w:p>
        </w:tc>
        <w:tc>
          <w:tcPr>
            <w:tcW w:type="dxa" w:w="2880"/>
          </w:tcPr>
          <w:p>
            <w:r>
              <w:t>Pro-rata cost recovery based on reserves</w:t>
            </w:r>
          </w:p>
        </w:tc>
      </w:tr>
      <w:tr>
        <w:tc>
          <w:tcPr>
            <w:tcW w:type="dxa" w:w="2880"/>
          </w:tcPr>
          <w:p>
            <w:r>
              <w:t>**Eligibility**</w:t>
            </w:r>
          </w:p>
        </w:tc>
        <w:tc>
          <w:tcPr>
            <w:tcW w:type="dxa" w:w="2880"/>
          </w:tcPr>
          <w:p>
            <w:r>
              <w:t>Independent producers only (with exceptions)</w:t>
            </w:r>
          </w:p>
        </w:tc>
        <w:tc>
          <w:tcPr>
            <w:tcW w:type="dxa" w:w="2880"/>
          </w:tcPr>
          <w:p>
            <w:r>
              <w:t>All taxpayers</w:t>
            </w:r>
          </w:p>
        </w:tc>
      </w:tr>
      <w:tr>
        <w:tc>
          <w:tcPr>
            <w:tcW w:type="dxa" w:w="2880"/>
          </w:tcPr>
          <w:p>
            <w:r>
              <w:t>**Production Limit**</w:t>
            </w:r>
          </w:p>
        </w:tc>
        <w:tc>
          <w:tcPr>
            <w:tcW w:type="dxa" w:w="2880"/>
          </w:tcPr>
          <w:p>
            <w:r>
              <w:t>First 1,000 barrels/day average</w:t>
            </w:r>
          </w:p>
        </w:tc>
        <w:tc>
          <w:tcPr>
            <w:tcW w:type="dxa" w:w="2880"/>
          </w:tcPr>
          <w:p>
            <w:r>
              <w:t>No limitation</w:t>
            </w:r>
          </w:p>
        </w:tc>
      </w:tr>
      <w:tr>
        <w:tc>
          <w:tcPr>
            <w:tcW w:type="dxa" w:w="2880"/>
          </w:tcPr>
          <w:p>
            <w:r>
              <w:t>**Property Income Limit**</w:t>
            </w:r>
          </w:p>
        </w:tc>
        <w:tc>
          <w:tcPr>
            <w:tcW w:type="dxa" w:w="2880"/>
          </w:tcPr>
          <w:p>
            <w:r>
              <w:t>100% of taxable income from property</w:t>
            </w:r>
          </w:p>
        </w:tc>
        <w:tc>
          <w:tcPr>
            <w:tcW w:type="dxa" w:w="2880"/>
          </w:tcPr>
          <w:p>
            <w:r>
              <w:t>No income limitation</w:t>
            </w:r>
          </w:p>
        </w:tc>
      </w:tr>
      <w:tr>
        <w:tc>
          <w:tcPr>
            <w:tcW w:type="dxa" w:w="2880"/>
          </w:tcPr>
          <w:p>
            <w:r>
              <w:t>**Overall Limit**</w:t>
            </w:r>
          </w:p>
        </w:tc>
        <w:tc>
          <w:tcPr>
            <w:tcW w:type="dxa" w:w="2880"/>
          </w:tcPr>
          <w:p>
            <w:r>
              <w:t>65% of taxable income from all sources</w:t>
            </w:r>
          </w:p>
        </w:tc>
        <w:tc>
          <w:tcPr>
            <w:tcW w:type="dxa" w:w="2880"/>
          </w:tcPr>
          <w:p>
            <w:r>
              <w:t>No overall limitation</w:t>
            </w:r>
          </w:p>
        </w:tc>
      </w:tr>
      <w:tr>
        <w:tc>
          <w:tcPr>
            <w:tcW w:type="dxa" w:w="2880"/>
          </w:tcPr>
          <w:p>
            <w:r>
              <w:t>**Basis Limitation**</w:t>
            </w:r>
          </w:p>
        </w:tc>
        <w:tc>
          <w:tcPr>
            <w:tcW w:type="dxa" w:w="2880"/>
          </w:tcPr>
          <w:p>
            <w:r>
              <w:t>Can exceed original cost (excess depletion)</w:t>
            </w:r>
          </w:p>
        </w:tc>
        <w:tc>
          <w:tcPr>
            <w:tcW w:type="dxa" w:w="2880"/>
          </w:tcPr>
          <w:p>
            <w:r>
              <w:t>Cannot exceed adjusted basis</w:t>
            </w:r>
          </w:p>
        </w:tc>
      </w:tr>
      <w:tr>
        <w:tc>
          <w:tcPr>
            <w:tcW w:type="dxa" w:w="2880"/>
          </w:tcPr>
          <w:p>
            <w:r>
              <w:t>**Total Recovery**</w:t>
            </w:r>
          </w:p>
        </w:tc>
        <w:tc>
          <w:tcPr>
            <w:tcW w:type="dxa" w:w="2880"/>
          </w:tcPr>
          <w:p>
            <w:r>
              <w:t>Can significantly exceed capitalized costs</w:t>
            </w:r>
          </w:p>
        </w:tc>
        <w:tc>
          <w:tcPr>
            <w:tcW w:type="dxa" w:w="2880"/>
          </w:tcPr>
          <w:p>
            <w:r>
              <w:t>Limited to capitalized costs</w:t>
            </w:r>
          </w:p>
        </w:tc>
      </w:tr>
      <w:tr>
        <w:tc>
          <w:tcPr>
            <w:tcW w:type="dxa" w:w="2880"/>
          </w:tcPr>
          <w:p>
            <w:r>
              <w:t>**Complexity**</w:t>
            </w:r>
          </w:p>
        </w:tc>
        <w:tc>
          <w:tcPr>
            <w:tcW w:type="dxa" w:w="2880"/>
          </w:tcPr>
          <w:p>
            <w:r>
              <w:t>Simpler calculation; statutory 15% rate</w:t>
            </w:r>
          </w:p>
        </w:tc>
        <w:tc>
          <w:tcPr>
            <w:tcW w:type="dxa" w:w="2880"/>
          </w:tcPr>
          <w:p>
            <w:r>
              <w:t>Requires annual reserve estimates and basis tracking</w:t>
            </w:r>
          </w:p>
        </w:tc>
      </w:tr>
      <w:tr>
        <w:tc>
          <w:tcPr>
            <w:tcW w:type="dxa" w:w="2880"/>
          </w:tcPr>
          <w:p>
            <w:r>
              <w:t>**Policy Objective**</w:t>
            </w:r>
          </w:p>
        </w:tc>
        <w:tc>
          <w:tcPr>
            <w:tcW w:type="dxa" w:w="2880"/>
          </w:tcPr>
          <w:p>
            <w:r>
              <w:t>Incentivize domestic production by independents</w:t>
            </w:r>
          </w:p>
        </w:tc>
        <w:tc>
          <w:tcPr>
            <w:tcW w:type="dxa" w:w="2880"/>
          </w:tcPr>
          <w:p>
            <w:r>
              <w:t>Provide capital recovery for all producers</w:t>
            </w:r>
          </w:p>
        </w:tc>
      </w:tr>
    </w:tbl>
    <w:p>
      <w:r>
        <w:t>**Annual Election:** Taxpayers calculate both methods annually and claim the **greater deduction** for each property. Once percentage depletion is elected for a property, it generally continues unless cost depletion exceeds percentage depletion in a subsequent year.</w:t>
      </w:r>
    </w:p>
    <w:p>
      <w:pPr>
        <w:pStyle w:val="Heading3"/>
      </w:pPr>
      <w:r>
        <w:t>2.4 Intangible Drilling Costs (IRC §263(c))</w:t>
      </w:r>
    </w:p>
    <w:p>
      <w:r>
        <w:t>**Intangible drilling costs (IDC)** represent expenditures incurred for drilling, completing, and developing oil and gas wells that have no salvage value and are incident to and necessary for the drilling and preparation of wells for production. IDC typically comprises **60-80%** of total well costs.</w:t>
      </w:r>
    </w:p>
    <w:p>
      <w:r>
        <w:t>**Components of IDC:**</w:t>
      </w:r>
    </w:p>
    <w:p>
      <w:pPr>
        <w:pStyle w:val="ListBullet"/>
      </w:pPr>
      <w:r>
        <w:t>Wages, fuel, and supplies for drilling operations</w:t>
      </w:r>
    </w:p>
    <w:p>
      <w:pPr>
        <w:pStyle w:val="ListBullet"/>
      </w:pPr>
      <w:r>
        <w:t>Drilling fluids, mud, chemicals, and additives</w:t>
      </w:r>
    </w:p>
    <w:p>
      <w:pPr>
        <w:pStyle w:val="ListBullet"/>
      </w:pPr>
      <w:r>
        <w:t>Site preparation, road construction, and grading</w:t>
      </w:r>
    </w:p>
    <w:p>
      <w:pPr>
        <w:pStyle w:val="ListBullet"/>
      </w:pPr>
      <w:r>
        <w:t>Costs of securing water supply and drilling permits</w:t>
      </w:r>
    </w:p>
    <w:p>
      <w:pPr>
        <w:pStyle w:val="ListBullet"/>
      </w:pPr>
      <w:r>
        <w:t>Hauling and transportation directly related to drilling</w:t>
      </w:r>
    </w:p>
    <w:p>
      <w:pPr>
        <w:pStyle w:val="ListBullet"/>
      </w:pPr>
      <w:r>
        <w:t>Labor costs for well completion and testing</w:t>
      </w:r>
    </w:p>
    <w:p>
      <w:pPr>
        <w:pStyle w:val="ListBullet"/>
      </w:pPr>
      <w:r>
        <w:t>Fracturing fluids and stimulation chemicals (for unconventional wells)</w:t>
      </w:r>
    </w:p>
    <w:p>
      <w:r>
        <w:t>**Tax Treatment Election (IRC §263(c)):**</w:t>
      </w:r>
    </w:p>
    <w:p>
      <w:r>
        <w:t>Taxpayers may elect to **immediately expense IDC** rather than capitalizing and amortizing costs over the well's productive life. This election provides substantial cash flow benefits by accelerating deductions into the year incurred, particularly during high drilling activity periods.</w:t>
      </w:r>
    </w:p>
    <w:p>
      <w:r>
        <w:t>**Independent Producers:** May elect to expense **100%** of IDC immediately in the year incurred. This favorable treatment encourages exploration and development by small producers with limited capital.</w:t>
      </w:r>
    </w:p>
    <w:p>
      <w:r>
        <w:t>**Integrated Producers:** Must **capitalize 30%** of IDC and amortize ratably over **60 months** (5 years), while expensing the remaining 70% immediately. This restriction (imposed by the Tax Reform Act of 1986) reduces the subsidy available to large, vertically integrated companies while maintaining some acceleration benefit.</w:t>
      </w:r>
    </w:p>
    <w:p>
      <w:r>
        <w:t>**Dry Hole Treatment:** IDC incurred on unsuccessful exploratory wells ("dry holes") remains fully deductible under the election, provided the well was drilled to the targeted geological formation. The well need not produce to qualify, though it must be operational by March 31 of the year following drilling to claim full deductions.</w:t>
      </w:r>
    </w:p>
    <w:p>
      <w:r>
        <w:t>**Policy Rationale:** The IDC expensing election has existed since 1916 and aims to offset the high risks of petroleum exploration by providing immediate tax relief rather than requiring capitalization and recovery over 10-15 years. This encourages drilling activity and domestic energy production.</w:t>
      </w:r>
    </w:p>
    <w:p>
      <w:pPr>
        <w:pStyle w:val="Heading3"/>
      </w:pPr>
      <w:r>
        <w:t>2.5 Depreciation - Modified Accelerated Cost Recovery System (MACRS)</w:t>
      </w:r>
    </w:p>
    <w:p>
      <w:r>
        <w:t>**Tangible property** associated with petroleum operations (equipment with salvage value) must be capitalized and depreciated under the **Modified Accelerated Cost Recovery System (MACRS)** established by the Tax Reform Act of 1986 (IRC §168).</w:t>
      </w:r>
    </w:p>
    <w:p>
      <w:r>
        <w:t>**Tangible Drilling Costs (TDC):** Expenditures for lease and well equipment with salvage value, including:</w:t>
      </w:r>
    </w:p>
    <w:p>
      <w:pPr>
        <w:pStyle w:val="ListBullet"/>
      </w:pPr>
      <w:r>
        <w:t>Wellhead equipment and Christmas trees</w:t>
      </w:r>
    </w:p>
    <w:p>
      <w:pPr>
        <w:pStyle w:val="ListBullet"/>
      </w:pPr>
      <w:r>
        <w:t>Casing, tubing, and subsurface safety equipment</w:t>
      </w:r>
    </w:p>
    <w:p>
      <w:pPr>
        <w:pStyle w:val="ListBullet"/>
      </w:pPr>
      <w:r>
        <w:t>Pumping units, rod pumps, and electric submersible pumps</w:t>
      </w:r>
    </w:p>
    <w:p>
      <w:pPr>
        <w:pStyle w:val="ListBullet"/>
      </w:pPr>
      <w:r>
        <w:t>Separators, heater-treaters, and production tanks</w:t>
      </w:r>
    </w:p>
    <w:p>
      <w:pPr>
        <w:pStyle w:val="ListBullet"/>
      </w:pPr>
      <w:r>
        <w:t>Gathering lines and production facilities</w:t>
      </w:r>
    </w:p>
    <w:p>
      <w:r>
        <w:t>**MACRS Classification:** Most petroleum equipment qualifies as **7-year property** under IRC §168(e)(3), using the 200% declining balance method (double-declining balance) with half-year convention.</w:t>
      </w:r>
    </w:p>
    <w:p>
      <w:r>
        <w:t>**First-Year Depreciation (7-year property, 200% DB, half-year convention):** 14.29%</w:t>
      </w:r>
    </w:p>
    <w:p>
      <w:r>
        <w:t>**Alternative Depreciation System (ADS):** Taxpayers may elect the Alternative Depreciation System using straight-line depreciation over prescribed recovery periods, which may be required for certain property or beneficial for alternative minimum tax planning.</w:t>
      </w:r>
    </w:p>
    <w:p>
      <w:r>
        <w:t>**IRC §179 Expensing Election:** Taxpayers may elect to immediately expense up to **$1,220,000** (2024 limit, indexed for inflation) of qualifying tangible personal property, subject to phaseout beginning when total property placed in service exceeds $3,050,000 (2024 threshold). This election provides immediate deduction similar to IDC for tangible equipment, though subject to dollar limitations.</w:t>
      </w:r>
    </w:p>
    <w:p>
      <w:r>
        <w:t>**Bonus Depreciation (IRC §168(k)):** The Tax Cuts and Jobs Act provided **100% bonus depreciation** for qualifying property placed in service between September 27, 2017 and December 31, 2022. The TCJA mandates a phasedown schedule: **80%** (2023), **60%** (2024), **40%** (2025), **20%** (2026), **0%** (2027 and beyond). Bonus depreciation allows immediate expensing of the full (or phased percentage) cost of qualifying property before regular MACRS depreciation applies to any remaining basis.</w:t>
      </w:r>
    </w:p>
    <w:p>
      <w:r>
        <w:t>**Example Calculation (Year 1, 7-year Property, $1,200,000 cost, placed in service 2024 with 60% bonus depreciation):**</w:t>
      </w:r>
    </w:p>
    <w:p>
      <w:pPr/>
      <w:r>
        <w:rPr>
          <w:rFonts w:ascii="Courier New" w:hAnsi="Courier New"/>
          <w:sz w:val="18"/>
        </w:rPr>
        <w:t>Bonus depreciation: $1,200,000 × 60% = $720,000</w:t>
        <w:br/>
        <w:t>Remaining basis: $1,200,000 - $720,000 = $480,000</w:t>
        <w:br/>
        <w:t>MACRS depreciation (year 1): $480,000 × 14.29% = $68,592</w:t>
        <w:br/>
        <w:t>Total first-year depreciation: $720,000 + $68,592 = $788,592 (65.7% of cost)</w:t>
      </w:r>
    </w:p>
    <w:p>
      <w:pPr>
        <w:pStyle w:val="Heading3"/>
      </w:pPr>
      <w:r>
        <w:t>2.6 Repealed Provisions</w:t>
      </w:r>
    </w:p>
    <w:p>
      <w:r>
        <w:t>**Domestic Production Activities Deduction (IRC §199):** Formerly allowed a deduction equal to **9%** of the lesser of qualified production activities income (QPAI) or taxable income (subject to W-2 wage limitation of 50% of allocable wages). The deduction applied to domestic manufacturing, including oil and gas extraction (though certain oil and gas activities qualified for a reduced 6% rate under special rules).</w:t>
      </w:r>
    </w:p>
    <w:p>
      <w:r>
        <w:t>**Repeal:** The Tax Cuts and Jobs Act **repealed IRC §199** effective for tax years beginning after **December 31, 2017** (Public Law 115-97, §13305(a), enacted December 22, 2017). The repeal increased effective tax rates for petroleum companies by approximately 3-5 percentage points (9% deduction × 35% prior corporate rate = ~3% effective rate benefit), though this was more than offset by the reduction in the corporate rate from 35% to 21%.</w:t>
      </w:r>
    </w:p>
    <w:p>
      <w:r>
        <w:t>**Exception:** IRC §199A(g) provides a modified domestic production activities deduction for specified agricultural and horticultural cooperatives for tax years beginning after 2017, but this exception does not extend to petroleum operations.</w:t>
      </w:r>
    </w:p>
    <w:p>
      <w:pPr>
        <w:pStyle w:val="Heading3"/>
      </w:pPr>
      <w:r>
        <w:t>2.7 Foreign Tax Credits (IRC §901-909)</w:t>
      </w:r>
    </w:p>
    <w:p>
      <w:r>
        <w:t>US companies with international petroleum operations may claim **foreign tax credits (FTC)** for foreign income taxes paid to foreign governments, preventing double taxation of foreign-source income. The FTC operates as a dollar-for-dollar reduction of US tax liability (a credit, not a deduction) up to the amount of US tax attributable to foreign-source income.</w:t>
      </w:r>
    </w:p>
    <w:p>
      <w:r>
        <w:t>**Basket Limitation System (IRC §904):** Foreign tax credits are subject to a "basket" or "limitation category" system that requires separate FTC calculations for different categories of income:</w:t>
      </w:r>
    </w:p>
    <w:p>
      <w:pPr>
        <w:pStyle w:val="ListBullet"/>
      </w:pPr>
      <w:r>
        <w:t>**General category income:** Active business income, including most petroleum production and service income</w:t>
      </w:r>
    </w:p>
    <w:p>
      <w:pPr>
        <w:pStyle w:val="ListBullet"/>
      </w:pPr>
      <w:r>
        <w:t>**Passive category income:** Dividends, interest, rents, and royalties from passive investments</w:t>
      </w:r>
    </w:p>
    <w:p>
      <w:pPr>
        <w:pStyle w:val="ListBullet"/>
      </w:pPr>
      <w:r>
        <w:t>**Specified income categories:** Certain treaty-based categories</w:t>
      </w:r>
    </w:p>
    <w:p>
      <w:r>
        <w:t>**FTC Limitation Formula:**</w:t>
      </w:r>
    </w:p>
    <w:p>
      <w:pPr/>
      <w:r>
        <w:rPr>
          <w:rFonts w:ascii="Courier New" w:hAnsi="Courier New"/>
          <w:sz w:val="18"/>
        </w:rPr>
        <w:t>FTC Limit = US Tax Liability × (Foreign-Source Taxable Income ÷ Worldwide Taxable Income)</w:t>
      </w:r>
    </w:p>
    <w:p>
      <w:r>
        <w:t>**Production Sharing Contract Complexity:** Under many international production sharing contracts (PSCs), the host government's "tax" may be structured as profit oil allocation rather than an explicit income tax payment. IRC §901 and §903 require analysis of whether such payments constitute creditable foreign income taxes or non-creditable royalties. Treasury Regulation §1.901-2 provides a multi-factor test examining legal liability, levy requirements, and economic substance.</w:t>
      </w:r>
    </w:p>
    <w:p>
      <w:r>
        <w:t>**Excess Foreign Tax Credits:** When foreign taxes exceed the FTC limitation (common when foreign petroleum tax rates exceed 21%), excess credits may be carried back one year and carried forward ten years to offset US tax on foreign-source income in those years.</w:t>
      </w:r>
    </w:p>
    <w:p>
      <w:r>
        <w:t>**Transfer Pricing (IRC §482):** Integrated multinational petroleum companies must apply **arm's-length pricing** for intercompany transactions, including crude oil sales between production and refining affiliates, service charges for technical support, cost allocations for shared functions, and interest on intercompany loans. The IRS increasingly applies OECD Transfer Pricing Guidelines and conducts detailed examinations of petroleum sector transfer pricing, particularly for cross-border integrated operations involving low-tax jurisdictions.</w:t>
      </w:r>
    </w:p>
    <w:p>
      <w:pPr>
        <w:pStyle w:val="Heading2"/>
      </w:pPr>
      <w:r>
        <w:t>3. Analytical Depth and Compliance Considerations</w:t>
      </w:r>
    </w:p>
    <w:p>
      <w:pPr>
        <w:pStyle w:val="Heading3"/>
      </w:pPr>
      <w:r>
        <w:t>3.1 Successful Efforts vs. Full Cost Accounting</w:t>
      </w:r>
    </w:p>
    <w:p>
      <w:r>
        <w:t>For **financial reporting purposes** (GAAP/IFRS), petroleum companies elect between two accounting methods that significantly impact financial statements:</w:t>
      </w:r>
    </w:p>
    <w:p>
      <w:r>
        <w:t>**Successful Efforts Method:** Immediately expenses costs of unsuccessful exploratory wells; capitalizes costs of successful wells and productive properties; generally used by larger integrated companies</w:t>
      </w:r>
    </w:p>
    <w:p>
      <w:r>
        <w:t>**Full Cost Method:** Capitalizes all exploration, development, and acquisition costs within a defined cost center (typically a country or continent), regardless of success; amortizes costs based on total reserves in the cost center; generally used by smaller independent producers</w:t>
      </w:r>
    </w:p>
    <w:p>
      <w:r>
        <w:t>**Tax Divergence:** While this election affects **financial accounting** and the calculation of percentage and cost depletion for financial statement purposes, **federal income tax rules diverge significantly** from financial accounting treatment. For tax purposes:</w:t>
      </w:r>
    </w:p>
    <w:p>
      <w:pPr>
        <w:pStyle w:val="ListBullet"/>
      </w:pPr>
      <w:r>
        <w:t>IDC expensing election (IRC §263(c)) allows immediate deduction regardless of financial accounting method</w:t>
      </w:r>
    </w:p>
    <w:p>
      <w:pPr>
        <w:pStyle w:val="ListBullet"/>
      </w:pPr>
      <w:r>
        <w:t>Tax basis for cost depletion determined by capitalized costs under tax rules, not financial statement capitalization</w:t>
      </w:r>
    </w:p>
    <w:p>
      <w:pPr>
        <w:pStyle w:val="ListBullet"/>
      </w:pPr>
      <w:r>
        <w:t>Successful efforts vs. full cost election does not control tax treatment</w:t>
      </w:r>
    </w:p>
    <w:p>
      <w:r>
        <w:t>Taxpayers must maintain separate "book-tax" calculations, with Schedule M-1 or M-3 reconciling book income to taxable income on the corporate tax return (Form 1120).</w:t>
      </w:r>
    </w:p>
    <w:p>
      <w:pPr>
        <w:pStyle w:val="Heading3"/>
      </w:pPr>
      <w:r>
        <w:t>3.2 At-Risk and Passive Loss Limitations</w:t>
      </w:r>
    </w:p>
    <w:p>
      <w:r>
        <w:t>**At-Risk Rules (IRC §465):** Limit deductions to amounts the taxpayer has economically **at risk** in the activity. Amounts at risk generally include:</w:t>
      </w:r>
    </w:p>
    <w:p>
      <w:pPr>
        <w:pStyle w:val="ListBullet"/>
      </w:pPr>
      <w:r>
        <w:t>Cash and adjusted basis of property contributed</w:t>
      </w:r>
    </w:p>
    <w:p>
      <w:pPr>
        <w:pStyle w:val="ListBullet"/>
      </w:pPr>
      <w:r>
        <w:t>Amounts borrowed for which the taxpayer is personally liable or has pledged property as security</w:t>
      </w:r>
    </w:p>
    <w:p>
      <w:pPr>
        <w:pStyle w:val="ListBullet"/>
      </w:pPr>
      <w:r>
        <w:t>Excludes nonrecourse financing (unless qualified real property financing)</w:t>
      </w:r>
    </w:p>
    <w:p>
      <w:r>
        <w:t>The at-risk rules prevent tax shelter abuses where investors claimed deductions exceeding their economic investment through nonrecourse debt. For petroleum operations, at-risk limitations apply to amounts invested in drilling partnerships and operating ventures.</w:t>
      </w:r>
    </w:p>
    <w:p>
      <w:r>
        <w:t>**Passive Activity Loss Rules (IRC §469):** Generally restrict the ability of passive investors to offset passive activity losses against active business income or portfolio income. Passive activities include trade or business activities in which the taxpayer does not materially participate.</w:t>
      </w:r>
    </w:p>
    <w:p>
      <w:r>
        <w:t>**Oil and Gas Working Interest Exemption:** IRC §469(c)(3) provides a critical **exclusion from passive loss rules** for working interests in oil and gas properties, regardless of the taxpayer's level of participation. This exclusion treats working interest income and losses as **active income/losses** (not passive), allowing losses to offset other active or portfolio income without material participation requirements.</w:t>
      </w:r>
    </w:p>
    <w:p>
      <w:r>
        <w:t>**Policy Rationale:** The working interest exclusion encourages direct investment in petroleum development by enabling tax benefits for investors without requiring operational involvement. This provision significantly supports capital formation for independent producers.</w:t>
      </w:r>
    </w:p>
    <w:p>
      <w:r>
        <w:t>**Royalty Interests:** Income from royalty interests (non-operating interests retaining a share of production) remains subject to passive loss rules and is generally classified as passive income unless the taxpayer materially participates in the underlying operating activity (uncommon for royalty owners).</w:t>
      </w:r>
    </w:p>
    <w:p>
      <w:pPr>
        <w:pStyle w:val="Heading3"/>
      </w:pPr>
      <w:r>
        <w:t>3.3 Transfer Pricing and Related Party Transactions</w:t>
      </w:r>
    </w:p>
    <w:p>
      <w:r>
        <w:t>**IRC §482 Authority:** Grants the IRS broad authority to allocate income, deductions, credits, and allowances among related parties to clearly reflect income and prevent tax avoidance. For integrated petroleum companies, §482 applies to:</w:t>
      </w:r>
    </w:p>
    <w:p>
      <w:r>
        <w:t>**Common Transfer Pricing Issues:**</w:t>
      </w:r>
    </w:p>
    <w:p>
      <w:pPr>
        <w:pStyle w:val="ListBullet"/>
      </w:pPr>
      <w:r>
        <w:t>**Crude oil sales:** Transfers from upstream production affiliates to midstream/downstream refining and marketing affiliates must reflect arm's-length pricing (typically benchmarked to published crude oil indices adjusted for quality and location)</w:t>
      </w:r>
    </w:p>
    <w:p>
      <w:pPr>
        <w:pStyle w:val="ListBullet"/>
      </w:pPr>
      <w:r>
        <w:t>**Technical services:** Charges for geological, engineering, and technical support provided by parent companies or service affiliates to operating subsidiaries</w:t>
      </w:r>
    </w:p>
    <w:p>
      <w:pPr>
        <w:pStyle w:val="ListBullet"/>
      </w:pPr>
      <w:r>
        <w:t>**Management fees:** Allocations of corporate overhead and shared services (finance, legal, HR, IT)</w:t>
      </w:r>
    </w:p>
    <w:p>
      <w:pPr>
        <w:pStyle w:val="ListBullet"/>
      </w:pPr>
      <w:r>
        <w:t>**Intercompany financing:** Interest rates on loans between related parties must satisfy arm's-length standards</w:t>
      </w:r>
    </w:p>
    <w:p>
      <w:pPr>
        <w:pStyle w:val="ListBullet"/>
      </w:pPr>
      <w:r>
        <w:t>**Cost-sharing arrangements:** Allocation of exploration and development costs among participants in joint ventures or global development projects</w:t>
      </w:r>
    </w:p>
    <w:p>
      <w:r>
        <w:t>**OECD Transfer Pricing Guidelines:** The IRS increasingly applies OECD principles in examinations, including:</w:t>
      </w:r>
    </w:p>
    <w:p>
      <w:pPr>
        <w:pStyle w:val="ListBullet"/>
      </w:pPr>
      <w:r>
        <w:t>Comparability analysis using comparable uncontrolled price (CUP), resale price, cost-plus, profit split, and transactional net margin methods</w:t>
      </w:r>
    </w:p>
    <w:p>
      <w:pPr>
        <w:pStyle w:val="ListBullet"/>
      </w:pPr>
      <w:r>
        <w:t>Documentation requirements (contemporaneous transfer pricing studies)</w:t>
      </w:r>
    </w:p>
    <w:p>
      <w:pPr>
        <w:pStyle w:val="ListBullet"/>
      </w:pPr>
      <w:r>
        <w:t>Advance Pricing Agreements (APAs) providing certainty for complex international structures</w:t>
      </w:r>
    </w:p>
    <w:p>
      <w:r>
        <w:t>**Country-by-Country Reporting:** Large multinational petroleum companies (consolidated revenue exceeding $850 million) must file Form 8975 reporting revenue, profit, tax paid, and economic activity by jurisdiction, enhancing IRS ability to identify transfer pricing risks.</w:t>
      </w:r>
    </w:p>
    <w:p>
      <w:pPr>
        <w:pStyle w:val="Heading2"/>
      </w:pPr>
      <w:r>
        <w:t>4. Application Methodology: Federal Tax Calculation Framework</w:t>
      </w:r>
    </w:p>
    <w:p>
      <w:r>
        <w:t>**Step-by-Step Calculation Process:**</w:t>
      </w:r>
    </w:p>
    <w:p>
      <w:r>
        <w:t>**Step 1:** Calculate **gross revenue** from petroleum production</w:t>
      </w:r>
    </w:p>
    <w:p>
      <w:pPr/>
      <w:r>
        <w:rPr>
          <w:rFonts w:ascii="Courier New" w:hAnsi="Courier New"/>
          <w:sz w:val="18"/>
        </w:rPr>
        <w:t>Gross Revenue = Production Volume × Realized Sales Price</w:t>
      </w:r>
    </w:p>
    <w:p>
      <w:r>
        <w:t>**Step 2:** Deduct **royalty payments** (federal, state, and private royalties)</w:t>
      </w:r>
    </w:p>
    <w:p>
      <w:pPr/>
      <w:r>
        <w:rPr>
          <w:rFonts w:ascii="Courier New" w:hAnsi="Courier New"/>
          <w:sz w:val="18"/>
        </w:rPr>
        <w:t>Net Revenue = Gross Revenue - Royalties</w:t>
      </w:r>
    </w:p>
    <w:p>
      <w:r>
        <w:t>**Step 3:** Deduct **lease operating expenses** (LOE)</w:t>
      </w:r>
    </w:p>
    <w:p>
      <w:pPr>
        <w:pStyle w:val="ListBullet"/>
      </w:pPr>
      <w:r>
        <w:t>Direct operating costs (pumping, treating, gathering)</w:t>
      </w:r>
    </w:p>
    <w:p>
      <w:pPr>
        <w:pStyle w:val="ListBullet"/>
      </w:pPr>
      <w:r>
        <w:t>Well workovers and maintenance</w:t>
      </w:r>
    </w:p>
    <w:p>
      <w:pPr>
        <w:pStyle w:val="ListBullet"/>
      </w:pPr>
      <w:r>
        <w:t>Production taxes (state severance taxes, ad valorem taxes)</w:t>
      </w:r>
    </w:p>
    <w:p>
      <w:pPr>
        <w:pStyle w:val="ListBullet"/>
      </w:pPr>
      <w:r>
        <w:t>Allocated overhead costs</w:t>
      </w:r>
    </w:p>
    <w:p>
      <w:r>
        <w:t>**Step 4:** Deduct **intangible drilling costs** (IDC)</w:t>
      </w:r>
    </w:p>
    <w:p>
      <w:pPr>
        <w:pStyle w:val="ListBullet"/>
      </w:pPr>
      <w:r>
        <w:t>Independent producers: 100% immediate deduction</w:t>
      </w:r>
    </w:p>
    <w:p>
      <w:pPr>
        <w:pStyle w:val="ListBullet"/>
      </w:pPr>
      <w:r>
        <w:t>Integrated producers: 70% immediate deduction + 30% amortized over 60 months</w:t>
      </w:r>
    </w:p>
    <w:p>
      <w:r>
        <w:t>**Step 5:** Deduct **depreciation** on tangible property</w:t>
      </w:r>
    </w:p>
    <w:p>
      <w:pPr>
        <w:pStyle w:val="ListBullet"/>
      </w:pPr>
      <w:r>
        <w:t>Apply MACRS (typically 7-year, 200% DB) or</w:t>
      </w:r>
    </w:p>
    <w:p>
      <w:pPr>
        <w:pStyle w:val="ListBullet"/>
      </w:pPr>
      <w:r>
        <w:t>Apply bonus depreciation (60% for 2024 under TCJA phasedown) or</w:t>
      </w:r>
    </w:p>
    <w:p>
      <w:pPr>
        <w:pStyle w:val="ListBullet"/>
      </w:pPr>
      <w:r>
        <w:t>Elect IRC §179 expensing (subject to annual limits)</w:t>
      </w:r>
    </w:p>
    <w:p>
      <w:r>
        <w:t>**Step 6:** Calculate **depletion deduction**</w:t>
      </w:r>
    </w:p>
    <w:p>
      <w:pPr>
        <w:pStyle w:val="ListBullet"/>
      </w:pPr>
      <w:r>
        <w:t>Compute percentage depletion: 15% × Gross Income (subject to 100% property limit and 65% overall limit)</w:t>
      </w:r>
    </w:p>
    <w:p>
      <w:pPr>
        <w:pStyle w:val="ListBullet"/>
      </w:pPr>
      <w:r>
        <w:t>Compute cost depletion: (Basis ÷ Reserves) × Production</w:t>
      </w:r>
    </w:p>
    <w:p>
      <w:pPr>
        <w:pStyle w:val="ListBullet"/>
      </w:pPr>
      <w:r>
        <w:t>Deduct the **greater of percentage or cost depletion**</w:t>
      </w:r>
    </w:p>
    <w:p>
      <w:r>
        <w:t>**Step 7:** Calculate **taxable income before credits**</w:t>
      </w:r>
    </w:p>
    <w:p>
      <w:pPr/>
      <w:r>
        <w:rPr>
          <w:rFonts w:ascii="Courier New" w:hAnsi="Courier New"/>
          <w:sz w:val="18"/>
        </w:rPr>
        <w:t>Taxable Income = Net Revenue - LOE - IDC - Depreciation - Depletion - Other Deductions</w:t>
      </w:r>
    </w:p>
    <w:p>
      <w:r>
        <w:t>**Step 8:** Apply **corporate income tax rate** (21%)</w:t>
      </w:r>
    </w:p>
    <w:p>
      <w:pPr/>
      <w:r>
        <w:rPr>
          <w:rFonts w:ascii="Courier New" w:hAnsi="Courier New"/>
          <w:sz w:val="18"/>
        </w:rPr>
        <w:t>Federal Income Tax = Taxable Income × 21%</w:t>
      </w:r>
    </w:p>
    <w:p>
      <w:r>
        <w:t>**Step 9:** Claim **tax credits** (if applicable)</w:t>
      </w:r>
    </w:p>
    <w:p>
      <w:pPr>
        <w:pStyle w:val="ListBullet"/>
      </w:pPr>
      <w:r>
        <w:t>Foreign tax credits (IRC §901)</w:t>
      </w:r>
    </w:p>
    <w:p>
      <w:pPr>
        <w:pStyle w:val="ListBullet"/>
      </w:pPr>
      <w:r>
        <w:t>Enhanced oil recovery credit (IRC §43)</w:t>
      </w:r>
    </w:p>
    <w:p>
      <w:pPr>
        <w:pStyle w:val="ListBullet"/>
      </w:pPr>
      <w:r>
        <w:t>Marginal well production credit (IRC §45I, expired but subject to periodic extension)</w:t>
      </w:r>
    </w:p>
    <w:p>
      <w:pPr>
        <w:pStyle w:val="ListBullet"/>
      </w:pPr>
      <w:r>
        <w:t>Carbon capture and sequestration credit (IRC §45Q)</w:t>
      </w:r>
    </w:p>
    <w:p>
      <w:r>
        <w:t>**Step 10:** Calculate **net tax liability**</w:t>
      </w:r>
    </w:p>
    <w:p>
      <w:pPr/>
      <w:r>
        <w:rPr>
          <w:rFonts w:ascii="Courier New" w:hAnsi="Courier New"/>
          <w:sz w:val="18"/>
        </w:rPr>
        <w:t>Net Tax = Federal Income Tax - Credits</w:t>
      </w:r>
    </w:p>
    <w:p>
      <w:pPr>
        <w:pStyle w:val="Heading2"/>
      </w:pPr>
      <w:r>
        <w:t>5. Worked Example - US Onshore Independent Producer</w:t>
      </w:r>
    </w:p>
    <w:p>
      <w:pPr>
        <w:pStyle w:val="Heading3"/>
      </w:pPr>
      <w:r>
        <w:t>5.1 Fact Pattern</w:t>
      </w:r>
    </w:p>
    <w:p>
      <w:r>
        <w:t>**Independent Oil Company LLC** operates a federal lease in the Permian Basin of Texas during the 2024 tax year. The company qualifies as an independent producer (no refining operations, production below 1,000 barrels per day average).</w:t>
      </w:r>
    </w:p>
    <w:p>
      <w:r>
        <w:t>**Production and Revenue Data:**</w:t>
      </w:r>
    </w:p>
    <w:p>
      <w:pPr>
        <w:pStyle w:val="ListBullet"/>
      </w:pPr>
      <w:r>
        <w:t>**Annual production:** 200,000 barrels of crude oil</w:t>
      </w:r>
    </w:p>
    <w:p>
      <w:pPr>
        <w:pStyle w:val="ListBullet"/>
      </w:pPr>
      <w:r>
        <w:t>**Realized sales price:** $75 per barrel (average for year)</w:t>
      </w:r>
    </w:p>
    <w:p>
      <w:pPr>
        <w:pStyle w:val="ListBullet"/>
      </w:pPr>
      <w:r>
        <w:t>**Gross revenue:** 200,000 barrels × $75/bbl = **$15,000,000**</w:t>
      </w:r>
    </w:p>
    <w:p>
      <w:r>
        <w:t>**Costs and Expenditures:**</w:t>
      </w:r>
    </w:p>
    <w:p>
      <w:pPr>
        <w:pStyle w:val="ListBullet"/>
      </w:pPr>
      <w:r>
        <w:t>**Federal royalty:** 18.75% of gross revenue = **$2,812,500** (new lease issued in 2023)</w:t>
      </w:r>
    </w:p>
    <w:p>
      <w:pPr>
        <w:pStyle w:val="ListBullet"/>
      </w:pPr>
      <w:r>
        <w:t>**Lease operating expenses (LOE):** **$2,500,000**</w:t>
      </w:r>
    </w:p>
    <w:p>
      <w:pPr>
        <w:pStyle w:val="ListBullet"/>
      </w:pPr>
      <w:r>
        <w:t>Includes: pumping costs, well maintenance, workovers, allocated overhead, state severance taxes</w:t>
      </w:r>
    </w:p>
    <w:p>
      <w:pPr>
        <w:pStyle w:val="ListBullet"/>
      </w:pPr>
      <w:r>
        <w:t>**Intangible drilling costs (IDC):** **$4,000,000** incurred for drilling and completing 5 new development wells</w:t>
      </w:r>
    </w:p>
    <w:p>
      <w:pPr>
        <w:pStyle w:val="ListBullet"/>
      </w:pPr>
      <w:r>
        <w:t>Independent producer election: 100% immediately deductible</w:t>
      </w:r>
    </w:p>
    <w:p>
      <w:pPr>
        <w:pStyle w:val="ListBullet"/>
      </w:pPr>
      <w:r>
        <w:t>**Tangible equipment costs:** **$1,200,000** for wellhead equipment, pumps, and surface facilities placed in service during 2024</w:t>
      </w:r>
    </w:p>
    <w:p>
      <w:pPr>
        <w:pStyle w:val="ListBullet"/>
      </w:pPr>
      <w:r>
        <w:t>Classification: 7-year property</w:t>
      </w:r>
    </w:p>
    <w:p>
      <w:pPr>
        <w:pStyle w:val="ListBullet"/>
      </w:pPr>
      <w:r>
        <w:t>Bonus depreciation available: 60% (2024 TCJA phasedown rate)</w:t>
      </w:r>
    </w:p>
    <w:p>
      <w:r>
        <w:t>**Depletion Information:**</w:t>
      </w:r>
    </w:p>
    <w:p>
      <w:pPr>
        <w:pStyle w:val="ListBullet"/>
      </w:pPr>
      <w:r>
        <w:t>**Adjusted basis in property** (for cost depletion): **$5,000,000**</w:t>
      </w:r>
    </w:p>
    <w:p>
      <w:pPr>
        <w:pStyle w:val="ListBullet"/>
      </w:pPr>
      <w:r>
        <w:t>Includes: original bonus payment, acquisition costs, prior capitalized development costs, reduced by prior depletion</w:t>
      </w:r>
    </w:p>
    <w:p>
      <w:pPr>
        <w:pStyle w:val="ListBullet"/>
      </w:pPr>
      <w:r>
        <w:t>**Estimated total recoverable reserves** (proved reserves, 1P): **2,000,000 barrels**</w:t>
      </w:r>
    </w:p>
    <w:p>
      <w:pPr>
        <w:pStyle w:val="Heading3"/>
      </w:pPr>
      <w:r>
        <w:t>5.2 Tax Calculation</w:t>
      </w:r>
    </w:p>
    <w:p>
      <w:r>
        <w:t>**Step 1: Gross Revenue**</w:t>
      </w:r>
    </w:p>
    <w:p>
      <w:pPr/>
      <w:r>
        <w:rPr>
          <w:rFonts w:ascii="Courier New" w:hAnsi="Courier New"/>
          <w:sz w:val="18"/>
        </w:rPr>
        <w:t>Gross Revenue = 200,000 barrels × $75/barrel = $15,000,000</w:t>
      </w:r>
    </w:p>
    <w:p>
      <w:r>
        <w:t>**Step 2: Royalty Deduction**</w:t>
      </w:r>
    </w:p>
    <w:p>
      <w:pPr/>
      <w:r>
        <w:rPr>
          <w:rFonts w:ascii="Courier New" w:hAnsi="Courier New"/>
          <w:sz w:val="18"/>
        </w:rPr>
        <w:t>Federal Royalty = 18.75% × $15,000,000 = $2,812,500</w:t>
        <w:br/>
        <w:t>Net Revenue = $15,000,000 - $2,812,500 = $12,187,500</w:t>
      </w:r>
    </w:p>
    <w:p>
      <w:r>
        <w:t>**Step 3: Lease Operating Expenses**</w:t>
      </w:r>
    </w:p>
    <w:p>
      <w:pPr/>
      <w:r>
        <w:rPr>
          <w:rFonts w:ascii="Courier New" w:hAnsi="Courier New"/>
          <w:sz w:val="18"/>
        </w:rPr>
        <w:t>LOE Deduction = $2,500,000</w:t>
      </w:r>
    </w:p>
    <w:p>
      <w:r>
        <w:t>**Step 4: Intangible Drilling Costs**</w:t>
      </w:r>
    </w:p>
    <w:p>
      <w:pPr/>
      <w:r>
        <w:rPr>
          <w:rFonts w:ascii="Courier New" w:hAnsi="Courier New"/>
          <w:sz w:val="18"/>
        </w:rPr>
        <w:t>IDC Deduction (100% for independent producer) = $4,000,000</w:t>
      </w:r>
    </w:p>
    <w:p>
      <w:r>
        <w:t>**Step 5: Depreciation Calculation**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 ($)**</w:t>
            </w:r>
          </w:p>
        </w:tc>
      </w:tr>
      <w:tr>
        <w:tc>
          <w:tcPr>
            <w:tcW w:type="dxa" w:w="4320"/>
          </w:tcPr>
          <w:p>
            <w:r>
              <w:t>Tangible equipment cost</w:t>
            </w:r>
          </w:p>
        </w:tc>
        <w:tc>
          <w:tcPr>
            <w:tcW w:type="dxa" w:w="4320"/>
          </w:tcPr>
          <w:p>
            <w:r>
              <w:t>1,200,000</w:t>
            </w:r>
          </w:p>
        </w:tc>
      </w:tr>
      <w:tr>
        <w:tc>
          <w:tcPr>
            <w:tcW w:type="dxa" w:w="4320"/>
          </w:tcPr>
          <w:p>
            <w:r>
              <w:t>**Bonus depreciation (60% for 2024):**</w:t>
            </w:r>
          </w:p>
        </w:tc>
        <w:tc>
          <w:tcPr>
            <w:tcW w:type="dxa" w:w="4320"/>
          </w:tcPr>
          <w:p>
            <w:r/>
          </w:p>
        </w:tc>
      </w:tr>
      <w:tr>
        <w:tc>
          <w:tcPr>
            <w:tcW w:type="dxa" w:w="4320"/>
          </w:tcPr>
          <w:p>
            <w:r>
              <w:t>Bonus amount (60% × $1,200,000)</w:t>
            </w:r>
          </w:p>
        </w:tc>
        <w:tc>
          <w:tcPr>
            <w:tcW w:type="dxa" w:w="4320"/>
          </w:tcPr>
          <w:p>
            <w:r>
              <w:t>720,000</w:t>
            </w:r>
          </w:p>
        </w:tc>
      </w:tr>
      <w:tr>
        <w:tc>
          <w:tcPr>
            <w:tcW w:type="dxa" w:w="4320"/>
          </w:tcPr>
          <w:p>
            <w:r>
              <w:t>Remaining basis after bonus</w:t>
            </w:r>
          </w:p>
        </w:tc>
        <w:tc>
          <w:tcPr>
            <w:tcW w:type="dxa" w:w="4320"/>
          </w:tcPr>
          <w:p>
            <w:r>
              <w:t>480,000</w:t>
            </w:r>
          </w:p>
        </w:tc>
      </w:tr>
      <w:tr>
        <w:tc>
          <w:tcPr>
            <w:tcW w:type="dxa" w:w="4320"/>
          </w:tcPr>
          <w:p>
            <w:r>
              <w:t>**Regular MACRS depreciation (year 1, 7-year property, 14.29%):**</w:t>
            </w:r>
          </w:p>
        </w:tc>
        <w:tc>
          <w:tcPr>
            <w:tcW w:type="dxa" w:w="4320"/>
          </w:tcPr>
          <w:p>
            <w:r/>
          </w:p>
        </w:tc>
      </w:tr>
      <w:tr>
        <w:tc>
          <w:tcPr>
            <w:tcW w:type="dxa" w:w="4320"/>
          </w:tcPr>
          <w:p>
            <w:r>
              <w:t>MACRS on remaining basis ($480,000 × 14.29%)</w:t>
            </w:r>
          </w:p>
        </w:tc>
        <w:tc>
          <w:tcPr>
            <w:tcW w:type="dxa" w:w="4320"/>
          </w:tcPr>
          <w:p>
            <w:r>
              <w:t>68,592</w:t>
            </w:r>
          </w:p>
        </w:tc>
      </w:tr>
      <w:tr>
        <w:tc>
          <w:tcPr>
            <w:tcW w:type="dxa" w:w="4320"/>
          </w:tcPr>
          <w:p>
            <w:r>
              <w:t>**Total depreciation deduction**</w:t>
            </w:r>
          </w:p>
        </w:tc>
        <w:tc>
          <w:tcPr>
            <w:tcW w:type="dxa" w:w="4320"/>
          </w:tcPr>
          <w:p>
            <w:r>
              <w:t>**788,592**</w:t>
            </w:r>
          </w:p>
        </w:tc>
      </w:tr>
    </w:tbl>
    <w:p>
      <w:r>
        <w:t>**Step 6: Income Before Depletion**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 ($)**</w:t>
            </w:r>
          </w:p>
        </w:tc>
      </w:tr>
      <w:tr>
        <w:tc>
          <w:tcPr>
            <w:tcW w:type="dxa" w:w="4320"/>
          </w:tcPr>
          <w:p>
            <w:r>
              <w:t>Gross revenue</w:t>
            </w:r>
          </w:p>
        </w:tc>
        <w:tc>
          <w:tcPr>
            <w:tcW w:type="dxa" w:w="4320"/>
          </w:tcPr>
          <w:p>
            <w:r>
              <w:t>15,000,000</w:t>
            </w:r>
          </w:p>
        </w:tc>
      </w:tr>
      <w:tr>
        <w:tc>
          <w:tcPr>
            <w:tcW w:type="dxa" w:w="4320"/>
          </w:tcPr>
          <w:p>
            <w:r>
              <w:t>Less: Federal royalty</w:t>
            </w:r>
          </w:p>
        </w:tc>
        <w:tc>
          <w:tcPr>
            <w:tcW w:type="dxa" w:w="4320"/>
          </w:tcPr>
          <w:p>
            <w:r>
              <w:t>(2,812,500)</w:t>
            </w:r>
          </w:p>
        </w:tc>
      </w:tr>
      <w:tr>
        <w:tc>
          <w:tcPr>
            <w:tcW w:type="dxa" w:w="4320"/>
          </w:tcPr>
          <w:p>
            <w:r>
              <w:t>Net revenue</w:t>
            </w:r>
          </w:p>
        </w:tc>
        <w:tc>
          <w:tcPr>
            <w:tcW w:type="dxa" w:w="4320"/>
          </w:tcPr>
          <w:p>
            <w:r>
              <w:t>12,187,500</w:t>
            </w:r>
          </w:p>
        </w:tc>
      </w:tr>
      <w:tr>
        <w:tc>
          <w:tcPr>
            <w:tcW w:type="dxa" w:w="4320"/>
          </w:tcPr>
          <w:p>
            <w:r>
              <w:t>Less: Lease operating expenses</w:t>
            </w:r>
          </w:p>
        </w:tc>
        <w:tc>
          <w:tcPr>
            <w:tcW w:type="dxa" w:w="4320"/>
          </w:tcPr>
          <w:p>
            <w:r>
              <w:t>(2,500,000)</w:t>
            </w:r>
          </w:p>
        </w:tc>
      </w:tr>
      <w:tr>
        <w:tc>
          <w:tcPr>
            <w:tcW w:type="dxa" w:w="4320"/>
          </w:tcPr>
          <w:p>
            <w:r>
              <w:t>Less: Intangible drilling costs</w:t>
            </w:r>
          </w:p>
        </w:tc>
        <w:tc>
          <w:tcPr>
            <w:tcW w:type="dxa" w:w="4320"/>
          </w:tcPr>
          <w:p>
            <w:r>
              <w:t>(4,000,000)</w:t>
            </w:r>
          </w:p>
        </w:tc>
      </w:tr>
      <w:tr>
        <w:tc>
          <w:tcPr>
            <w:tcW w:type="dxa" w:w="4320"/>
          </w:tcPr>
          <w:p>
            <w:r>
              <w:t>Less: Depreciation</w:t>
            </w:r>
          </w:p>
        </w:tc>
        <w:tc>
          <w:tcPr>
            <w:tcW w:type="dxa" w:w="4320"/>
          </w:tcPr>
          <w:p>
            <w:r>
              <w:t>(788,592)</w:t>
            </w:r>
          </w:p>
        </w:tc>
      </w:tr>
      <w:tr>
        <w:tc>
          <w:tcPr>
            <w:tcW w:type="dxa" w:w="4320"/>
          </w:tcPr>
          <w:p>
            <w:r>
              <w:t>**Income before depletion**</w:t>
            </w:r>
          </w:p>
        </w:tc>
        <w:tc>
          <w:tcPr>
            <w:tcW w:type="dxa" w:w="4320"/>
          </w:tcPr>
          <w:p>
            <w:r>
              <w:t>**4,898,908**</w:t>
            </w:r>
          </w:p>
        </w:tc>
      </w:tr>
    </w:tbl>
    <w:p>
      <w:r>
        <w:t>**Step 7: Depletion Calculation**</w:t>
      </w:r>
    </w:p>
    <w:p>
      <w:r>
        <w:t>**Option A: Percentage Depletion**</w:t>
      </w:r>
    </w:p>
    <w:p>
      <w:pPr/>
      <w:r>
        <w:rPr>
          <w:rFonts w:ascii="Courier New" w:hAnsi="Courier New"/>
          <w:sz w:val="18"/>
        </w:rPr>
        <w:t>Percentage Depletion = 15% × Gross Income from Property</w:t>
        <w:br/>
        <w:t>= 15% × $15,000,000 = $2,250,000</w:t>
      </w:r>
    </w:p>
    <w:p>
      <w:r>
        <w:t>**Limitation Tests:**</w:t>
      </w:r>
    </w:p>
    <w:p>
      <w:pPr>
        <w:pStyle w:val="ListBullet"/>
      </w:pPr>
      <w:r>
        <w:t>**Property income limitation:** Cannot exceed 100% of taxable income from property before depletion</w:t>
      </w:r>
    </w:p>
    <w:p>
      <w:pPr>
        <w:pStyle w:val="ListBullet"/>
      </w:pPr>
      <w:r>
        <w:t>Property income before depletion: $4,898,908</w:t>
      </w:r>
    </w:p>
    <w:p>
      <w:pPr>
        <w:pStyle w:val="ListBullet"/>
      </w:pPr>
      <w:r>
        <w:t>Percentage depletion ($2,250,000) &lt; Property income ($4,898,908) ✓ Passes</w:t>
      </w:r>
    </w:p>
    <w:p>
      <w:pPr>
        <w:pStyle w:val="ListBullet"/>
      </w:pPr>
      <w:r>
        <w:t>**Overall 65% limitation:** Total percentage depletion cannot exceed 65% of taxable income from all sources</w:t>
      </w:r>
    </w:p>
    <w:p>
      <w:pPr>
        <w:pStyle w:val="ListBullet"/>
      </w:pPr>
      <w:r>
        <w:t>% of taxable income from all sources: 65% × $4,898,908 = $3,184,290</w:t>
      </w:r>
    </w:p>
    <w:p>
      <w:pPr>
        <w:pStyle w:val="ListBullet"/>
      </w:pPr>
      <w:r>
        <w:t>Percentage depletion ($2,250,000) &lt; 65% limit ($3,184,290) ✓ Passes</w:t>
      </w:r>
    </w:p>
    <w:p>
      <w:pPr>
        <w:pStyle w:val="ListBullet"/>
      </w:pPr>
      <w:r>
        <w:t>**Production volume limitation:** 200,000 barrels ÷ 365 days = 548 barrels/day average</w:t>
      </w:r>
    </w:p>
    <w:p>
      <w:pPr>
        <w:pStyle w:val="ListBullet"/>
      </w:pPr>
      <w:r>
        <w:t>Average production (548 bbl/day) &lt; 1,000 bbl/day limit ✓ Qualifies</w:t>
      </w:r>
    </w:p>
    <w:p>
      <w:r>
        <w:t>**Allowable percentage depletion: $2,250,000**</w:t>
      </w:r>
    </w:p>
    <w:p>
      <w:r>
        <w:t>**Option B: Cost Depletion**</w:t>
      </w:r>
    </w:p>
    <w:p>
      <w:pPr/>
      <w:r>
        <w:rPr>
          <w:rFonts w:ascii="Courier New" w:hAnsi="Courier New"/>
          <w:sz w:val="18"/>
        </w:rPr>
        <w:t>Cost Depletion = (Adjusted Basis ÷ Total Recoverable Reserves) × Production</w:t>
        <w:br/>
        <w:t>= ($5,000,000 ÷ 2,000,000 barrels) × 200,000 barrels</w:t>
        <w:br/>
        <w:t>= $2.50/barrel × 200,000 barrels = $500,000</w:t>
      </w:r>
    </w:p>
    <w:p>
      <w:r>
        <w:t>**Step 8: Select Greater Depletion Method**</w:t>
      </w:r>
    </w:p>
    <w:p>
      <w:pPr/>
      <w:r>
        <w:rPr>
          <w:rFonts w:ascii="Courier New" w:hAnsi="Courier New"/>
          <w:sz w:val="18"/>
        </w:rPr>
        <w:t>Percentage Depletion ($2,250,000) &gt; Cost Depletion ($500,000)</w:t>
        <w:br/>
        <w:t>Depletion Deduction = $2,250,000</w:t>
      </w:r>
    </w:p>
    <w:p>
      <w:r>
        <w:t>**Step 9: Taxable Income Calculation**</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 ($)**</w:t>
            </w:r>
          </w:p>
        </w:tc>
      </w:tr>
      <w:tr>
        <w:tc>
          <w:tcPr>
            <w:tcW w:type="dxa" w:w="4320"/>
          </w:tcPr>
          <w:p>
            <w:r>
              <w:t>Income before depletion</w:t>
            </w:r>
          </w:p>
        </w:tc>
        <w:tc>
          <w:tcPr>
            <w:tcW w:type="dxa" w:w="4320"/>
          </w:tcPr>
          <w:p>
            <w:r>
              <w:t>4,898,908</w:t>
            </w:r>
          </w:p>
        </w:tc>
      </w:tr>
      <w:tr>
        <w:tc>
          <w:tcPr>
            <w:tcW w:type="dxa" w:w="4320"/>
          </w:tcPr>
          <w:p>
            <w:r>
              <w:t>Less: Percentage depletion</w:t>
            </w:r>
          </w:p>
        </w:tc>
        <w:tc>
          <w:tcPr>
            <w:tcW w:type="dxa" w:w="4320"/>
          </w:tcPr>
          <w:p>
            <w:r>
              <w:t>(2,250,000)</w:t>
            </w:r>
          </w:p>
        </w:tc>
      </w:tr>
      <w:tr>
        <w:tc>
          <w:tcPr>
            <w:tcW w:type="dxa" w:w="4320"/>
          </w:tcPr>
          <w:p>
            <w:r>
              <w:t>**Taxable income**</w:t>
            </w:r>
          </w:p>
        </w:tc>
        <w:tc>
          <w:tcPr>
            <w:tcW w:type="dxa" w:w="4320"/>
          </w:tcPr>
          <w:p>
            <w:r>
              <w:t>**2,648,908**</w:t>
            </w:r>
          </w:p>
        </w:tc>
      </w:tr>
    </w:tbl>
    <w:p>
      <w:r>
        <w:t>**Step 10: Federal Income Tax**</w:t>
      </w:r>
    </w:p>
    <w:p>
      <w:pPr/>
      <w:r>
        <w:rPr>
          <w:rFonts w:ascii="Courier New" w:hAnsi="Courier New"/>
          <w:sz w:val="18"/>
        </w:rPr>
        <w:t>Federal Income Tax = Taxable Income × 21%</w:t>
        <w:br/>
        <w:t>= $2,648,908 × 21% = $556,271</w:t>
      </w:r>
    </w:p>
    <w:p>
      <w:pPr>
        <w:pStyle w:val="Heading3"/>
      </w:pPr>
      <w:r>
        <w:t>5.3 Analysis and Observations</w:t>
      </w:r>
    </w:p>
    <w:p>
      <w:r>
        <w:t>**Effective Tax Rates:**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**Calculation**</w:t>
            </w:r>
          </w:p>
        </w:tc>
        <w:tc>
          <w:tcPr>
            <w:tcW w:type="dxa" w:w="2880"/>
          </w:tcPr>
          <w:p>
            <w:r>
              <w:t>**Rate**</w:t>
            </w:r>
          </w:p>
        </w:tc>
      </w:tr>
      <w:tr>
        <w:tc>
          <w:tcPr>
            <w:tcW w:type="dxa" w:w="2880"/>
          </w:tcPr>
          <w:p>
            <w:r>
              <w:t>Statutory corporate tax rate</w:t>
            </w:r>
          </w:p>
        </w:tc>
        <w:tc>
          <w:tcPr>
            <w:tcW w:type="dxa" w:w="2880"/>
          </w:tcPr>
          <w:p>
            <w:r>
              <w:t>N/A</w:t>
            </w:r>
          </w:p>
        </w:tc>
        <w:tc>
          <w:tcPr>
            <w:tcW w:type="dxa" w:w="2880"/>
          </w:tcPr>
          <w:p>
            <w:r>
              <w:t>21.0%</w:t>
            </w:r>
          </w:p>
        </w:tc>
      </w:tr>
      <w:tr>
        <w:tc>
          <w:tcPr>
            <w:tcW w:type="dxa" w:w="2880"/>
          </w:tcPr>
          <w:p>
            <w:r>
              <w:t>Effective rate on taxable income</w:t>
            </w:r>
          </w:p>
        </w:tc>
        <w:tc>
          <w:tcPr>
            <w:tcW w:type="dxa" w:w="2880"/>
          </w:tcPr>
          <w:p>
            <w:r>
              <w:t>$556,271 ÷ $2,648,908</w:t>
            </w:r>
          </w:p>
        </w:tc>
        <w:tc>
          <w:tcPr>
            <w:tcW w:type="dxa" w:w="2880"/>
          </w:tcPr>
          <w:p>
            <w:r>
              <w:t>21.0%</w:t>
            </w:r>
          </w:p>
        </w:tc>
      </w:tr>
      <w:tr>
        <w:tc>
          <w:tcPr>
            <w:tcW w:type="dxa" w:w="2880"/>
          </w:tcPr>
          <w:p>
            <w:r>
              <w:t>Effective rate on gross revenue</w:t>
            </w:r>
          </w:p>
        </w:tc>
        <w:tc>
          <w:tcPr>
            <w:tcW w:type="dxa" w:w="2880"/>
          </w:tcPr>
          <w:p>
            <w:r>
              <w:t>$556,271 ÷ $15,000,000</w:t>
            </w:r>
          </w:p>
        </w:tc>
        <w:tc>
          <w:tcPr>
            <w:tcW w:type="dxa" w:w="2880"/>
          </w:tcPr>
          <w:p>
            <w:r>
              <w:t>3.7%</w:t>
            </w:r>
          </w:p>
        </w:tc>
      </w:tr>
      <w:tr>
        <w:tc>
          <w:tcPr>
            <w:tcW w:type="dxa" w:w="2880"/>
          </w:tcPr>
          <w:p>
            <w:r>
              <w:t>Effective rate on cash flow before tax</w:t>
            </w:r>
          </w:p>
        </w:tc>
        <w:tc>
          <w:tcPr>
            <w:tcW w:type="dxa" w:w="2880"/>
          </w:tcPr>
          <w:p>
            <w:r>
              <w:t>$556,271 ÷ $5,687,500*</w:t>
            </w:r>
          </w:p>
        </w:tc>
        <w:tc>
          <w:tcPr>
            <w:tcW w:type="dxa" w:w="2880"/>
          </w:tcPr>
          <w:p>
            <w:r>
              <w:t>9.8%</w:t>
            </w:r>
          </w:p>
        </w:tc>
      </w:tr>
    </w:tbl>
    <w:p>
      <w:r>
        <w:t>*Cash flow before tax = Gross revenue - Royalties - LOE - Capex = $15,000,000 - $2,812,500 - $2,500,000 - $4,000,000 - $1,200,000 = $4,487,500</w:t>
      </w:r>
    </w:p>
    <w:p>
      <w:r>
        <w:t>**Key Tax Benefits Demonstrated:**</w:t>
      </w:r>
    </w:p>
    <w:p>
      <w:pPr>
        <w:pStyle w:val="ListBullet"/>
      </w:pPr>
      <w:r>
        <w:t>**Immediate IDC Expensing:** $4,000,000 deduction (100% expensing election)</w:t>
      </w:r>
    </w:p>
    <w:p>
      <w:r>
        <w:t xml:space="preserve">   - Tax savings: $4,000,000 × 21% = **$840,000**</w:t>
      </w:r>
    </w:p>
    <w:p>
      <w:r>
        <w:t xml:space="preserve">   - If capitalized over 15 years: annual deduction only $266,667; first-year tax benefit only $56,000</w:t>
      </w:r>
    </w:p>
    <w:p>
      <w:r>
        <w:t xml:space="preserve">   - **Acceleration benefit: $784,000** in year 1 cash flow</w:t>
      </w:r>
    </w:p>
    <w:p>
      <w:pPr>
        <w:pStyle w:val="ListBullet"/>
      </w:pPr>
      <w:r>
        <w:t>**Percentage Depletion Exceeding Cost Depletion:**</w:t>
      </w:r>
    </w:p>
    <w:p>
      <w:r>
        <w:t xml:space="preserve">   - Percentage depletion: $2,250,000</w:t>
      </w:r>
    </w:p>
    <w:p>
      <w:r>
        <w:t xml:space="preserve">   - Cost depletion: $500,000</w:t>
      </w:r>
    </w:p>
    <w:p>
      <w:r>
        <w:t xml:space="preserve">   - **Additional deduction: $1,750,000**</w:t>
      </w:r>
    </w:p>
    <w:p>
      <w:r>
        <w:t xml:space="preserve">   - Tax savings: $1,750,000 × 21% = **$367,500**</w:t>
      </w:r>
    </w:p>
    <w:p>
      <w:pPr>
        <w:pStyle w:val="ListBullet"/>
      </w:pPr>
      <w:r>
        <w:t>**Bonus Depreciation Acceleration:**</w:t>
      </w:r>
    </w:p>
    <w:p>
      <w:r>
        <w:t xml:space="preserve">   - Total depreciation: $788,592 (65.7% of tangible cost in year 1)</w:t>
      </w:r>
    </w:p>
    <w:p>
      <w:r>
        <w:t xml:space="preserve">   - Without bonus depreciation: only $171,480 (14.29% MACRS)</w:t>
      </w:r>
    </w:p>
    <w:p>
      <w:r>
        <w:t xml:space="preserve">   - **Acceleration benefit: $617,112** additional deduction in year 1</w:t>
      </w:r>
    </w:p>
    <w:p>
      <w:r>
        <w:t xml:space="preserve">   - Tax savings: $617,112 × 21% = **$129,594**</w:t>
      </w:r>
    </w:p>
    <w:p>
      <w:pPr>
        <w:pStyle w:val="ListBullet"/>
      </w:pPr>
      <w:r>
        <w:t>**Combined Petroleum Tax Incentives:**</w:t>
      </w:r>
    </w:p>
    <w:p>
      <w:r>
        <w:t xml:space="preserve">   - IDC benefit: $840,000</w:t>
      </w:r>
    </w:p>
    <w:p>
      <w:r>
        <w:t xml:space="preserve">   - Excess percentage depletion benefit: $367,500</w:t>
      </w:r>
    </w:p>
    <w:p>
      <w:r>
        <w:t xml:space="preserve">   - Bonus depreciation benefit: $129,594</w:t>
      </w:r>
    </w:p>
    <w:p>
      <w:r>
        <w:t xml:space="preserve">   - **Total tax reduction from petroleum incentives: $1,337,094**</w:t>
      </w:r>
    </w:p>
    <w:p>
      <w:r>
        <w:t>**Comparison to No Incentives Scenario:**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**With Incentives**</w:t>
            </w:r>
          </w:p>
        </w:tc>
        <w:tc>
          <w:tcPr>
            <w:tcW w:type="dxa" w:w="2160"/>
          </w:tcPr>
          <w:p>
            <w:r>
              <w:t>**Without Incentives**</w:t>
            </w:r>
          </w:p>
        </w:tc>
        <w:tc>
          <w:tcPr>
            <w:tcW w:type="dxa" w:w="2160"/>
          </w:tcPr>
          <w:p>
            <w:r>
              <w:t>**Benefit**</w:t>
            </w:r>
          </w:p>
        </w:tc>
      </w:tr>
      <w:tr>
        <w:tc>
          <w:tcPr>
            <w:tcW w:type="dxa" w:w="2160"/>
          </w:tcPr>
          <w:p>
            <w:r>
              <w:t>Taxable Income</w:t>
            </w:r>
          </w:p>
        </w:tc>
        <w:tc>
          <w:tcPr>
            <w:tcW w:type="dxa" w:w="2160"/>
          </w:tcPr>
          <w:p>
            <w:r>
              <w:t>$2,648,908</w:t>
            </w:r>
          </w:p>
        </w:tc>
        <w:tc>
          <w:tcPr>
            <w:tcW w:type="dxa" w:w="2160"/>
          </w:tcPr>
          <w:p>
            <w:r>
              <w:t>$7,648,908*</w:t>
            </w:r>
          </w:p>
        </w:tc>
        <w:tc>
          <w:tcPr>
            <w:tcW w:type="dxa" w:w="2160"/>
          </w:tcPr>
          <w:p>
            <w:r>
              <w:t>$5,000,000 lower</w:t>
            </w:r>
          </w:p>
        </w:tc>
      </w:tr>
      <w:tr>
        <w:tc>
          <w:tcPr>
            <w:tcW w:type="dxa" w:w="2160"/>
          </w:tcPr>
          <w:p>
            <w:r>
              <w:t>Federal Tax @ 21%</w:t>
            </w:r>
          </w:p>
        </w:tc>
        <w:tc>
          <w:tcPr>
            <w:tcW w:type="dxa" w:w="2160"/>
          </w:tcPr>
          <w:p>
            <w:r>
              <w:t>$556,271</w:t>
            </w:r>
          </w:p>
        </w:tc>
        <w:tc>
          <w:tcPr>
            <w:tcW w:type="dxa" w:w="2160"/>
          </w:tcPr>
          <w:p>
            <w:r>
              <w:t>$1,606,271</w:t>
            </w:r>
          </w:p>
        </w:tc>
        <w:tc>
          <w:tcPr>
            <w:tcW w:type="dxa" w:w="2160"/>
          </w:tcPr>
          <w:p>
            <w:r>
              <w:t>$1,050,000 savings</w:t>
            </w:r>
          </w:p>
        </w:tc>
      </w:tr>
      <w:tr>
        <w:tc>
          <w:tcPr>
            <w:tcW w:type="dxa" w:w="2160"/>
          </w:tcPr>
          <w:p>
            <w:r>
              <w:t>Effective Rate (on gross revenue)</w:t>
            </w:r>
          </w:p>
        </w:tc>
        <w:tc>
          <w:tcPr>
            <w:tcW w:type="dxa" w:w="2160"/>
          </w:tcPr>
          <w:p>
            <w:r>
              <w:t>3.7%</w:t>
            </w:r>
          </w:p>
        </w:tc>
        <w:tc>
          <w:tcPr>
            <w:tcW w:type="dxa" w:w="2160"/>
          </w:tcPr>
          <w:p>
            <w:r>
              <w:t>10.7%</w:t>
            </w:r>
          </w:p>
        </w:tc>
        <w:tc>
          <w:tcPr>
            <w:tcW w:type="dxa" w:w="2160"/>
          </w:tcPr>
          <w:p>
            <w:r>
              <w:t>7.0 pp reduction</w:t>
            </w:r>
          </w:p>
        </w:tc>
      </w:tr>
    </w:tbl>
    <w:p>
      <w:r>
        <w:t>*Without incentives: Income before depletion $4,898,908 + Excess percentage depletion $1,750,000 + Additional IDC capitalization $1,000,000** = approximately $7,649,000</w:t>
      </w:r>
    </w:p>
    <w:p>
      <w:r>
        <w:t>**IDC would be amortized over useful life (assume 15 years): $4,000,000 ÷ 15 = $266,667 annual, versus $4,000,000 immediate</w:t>
      </w:r>
    </w:p>
    <w:p>
      <w:r>
        <w:t>**Government Take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**Amount ($)**</w:t>
            </w:r>
          </w:p>
        </w:tc>
        <w:tc>
          <w:tcPr>
            <w:tcW w:type="dxa" w:w="2880"/>
          </w:tcPr>
          <w:p>
            <w:r>
              <w:t>**% of Gross Revenue**</w:t>
            </w:r>
          </w:p>
        </w:tc>
      </w:tr>
      <w:tr>
        <w:tc>
          <w:tcPr>
            <w:tcW w:type="dxa" w:w="2880"/>
          </w:tcPr>
          <w:p>
            <w:r>
              <w:t>Federal Royalty</w:t>
            </w:r>
          </w:p>
        </w:tc>
        <w:tc>
          <w:tcPr>
            <w:tcW w:type="dxa" w:w="2880"/>
          </w:tcPr>
          <w:p>
            <w:r>
              <w:t>2,812,500</w:t>
            </w:r>
          </w:p>
        </w:tc>
        <w:tc>
          <w:tcPr>
            <w:tcW w:type="dxa" w:w="2880"/>
          </w:tcPr>
          <w:p>
            <w:r>
              <w:t>18.75%</w:t>
            </w:r>
          </w:p>
        </w:tc>
      </w:tr>
      <w:tr>
        <w:tc>
          <w:tcPr>
            <w:tcW w:type="dxa" w:w="2880"/>
          </w:tcPr>
          <w:p>
            <w:r>
              <w:t>Federal Income Tax</w:t>
            </w:r>
          </w:p>
        </w:tc>
        <w:tc>
          <w:tcPr>
            <w:tcW w:type="dxa" w:w="2880"/>
          </w:tcPr>
          <w:p>
            <w:r>
              <w:t>556,271</w:t>
            </w:r>
          </w:p>
        </w:tc>
        <w:tc>
          <w:tcPr>
            <w:tcW w:type="dxa" w:w="2880"/>
          </w:tcPr>
          <w:p>
            <w:r>
              <w:t>3.71%</w:t>
            </w:r>
          </w:p>
        </w:tc>
      </w:tr>
      <w:tr>
        <w:tc>
          <w:tcPr>
            <w:tcW w:type="dxa" w:w="2880"/>
          </w:tcPr>
          <w:p>
            <w:r>
              <w:t>**Total Federal Take**</w:t>
            </w:r>
          </w:p>
        </w:tc>
        <w:tc>
          <w:tcPr>
            <w:tcW w:type="dxa" w:w="2880"/>
          </w:tcPr>
          <w:p>
            <w:r>
              <w:t>**3,368,771**</w:t>
            </w:r>
          </w:p>
        </w:tc>
        <w:tc>
          <w:tcPr>
            <w:tcW w:type="dxa" w:w="2880"/>
          </w:tcPr>
          <w:p>
            <w:r>
              <w:t>**22.46%**</w:t>
            </w:r>
          </w:p>
        </w:tc>
      </w:tr>
      <w:tr>
        <w:tc>
          <w:tcPr>
            <w:tcW w:type="dxa" w:w="2880"/>
          </w:tcPr>
          <w:p>
            <w:r>
              <w:t>**Contractor Take (after federal costs)**</w:t>
            </w:r>
          </w:p>
        </w:tc>
        <w:tc>
          <w:tcPr>
            <w:tcW w:type="dxa" w:w="2880"/>
          </w:tcPr>
          <w:p>
            <w:r>
              <w:t>**11,631,229**</w:t>
            </w:r>
          </w:p>
        </w:tc>
        <w:tc>
          <w:tcPr>
            <w:tcW w:type="dxa" w:w="2880"/>
          </w:tcPr>
          <w:p>
            <w:r>
              <w:t>**77.54%**</w:t>
            </w:r>
          </w:p>
        </w:tc>
      </w:tr>
    </w:tbl>
    <w:p>
      <w:r>
        <w:t>**Cash Flow Summary:**</w:t>
      </w:r>
    </w:p>
    <w:p>
      <w:pPr/>
      <w:r>
        <w:rPr>
          <w:rFonts w:ascii="Courier New" w:hAnsi="Courier New"/>
          <w:sz w:val="18"/>
        </w:rPr>
        <w:t>Gross Revenue:                    $15,000,000</w:t>
        <w:br/>
        <w:t>Less: Federal Royalty:            ($ 2,812,500)</w:t>
        <w:br/>
        <w:t>Less: Lease Operating Expenses:  ($ 2,500,000)</w:t>
        <w:br/>
        <w:t>Less: Capital Expenditures:       ($ 5,200,000) [IDC $4M + Tangible $1.2M]</w:t>
        <w:br/>
        <w:t>Cash Flow Before Tax:             $ 4,487,500</w:t>
        <w:br/>
        <w:t>Less: Federal Income Tax:         ($   556,271)</w:t>
        <w:br/>
        <w:t>Net Cash Flow After Tax:          $ 3,931,229</w:t>
        <w:br/>
        <w:br/>
        <w:t>Return on Capital Employed (ROCE): $3,931,229 ÷ $5,200,000 = 75.6% (Year 1 only)</w:t>
      </w:r>
    </w:p>
    <w:p>
      <w:r>
        <w:t>**Observations:**</w:t>
      </w:r>
    </w:p>
    <w:p>
      <w:pPr>
        <w:pStyle w:val="ListBullet"/>
      </w:pPr>
      <w:r>
        <w:t>The effective federal tax rate on gross revenue (3.7%) is significantly lower than the statutory corporate rate (21%) due to the combined effects of IDC expensing, percentage depletion, and bonus depreciation</w:t>
      </w:r>
    </w:p>
    <w:p>
      <w:pPr>
        <w:pStyle w:val="ListBullet"/>
      </w:pPr>
      <w:r>
        <w:t>The ability to immediately deduct $4 million of IDC provides substantial cash flow benefits, reducing first-year tax by $840,000 compared to capitalization and amortization</w:t>
      </w:r>
    </w:p>
    <w:p>
      <w:pPr>
        <w:pStyle w:val="ListBullet"/>
      </w:pPr>
      <w:r>
        <w:t>Percentage depletion provides $1.75 million of additional deductions beyond cost recovery, representing a permanent subsidy that can exceed the property's total capitalized basis over its productive life</w:t>
      </w:r>
    </w:p>
    <w:p>
      <w:pPr>
        <w:pStyle w:val="ListBullet"/>
      </w:pPr>
      <w:r>
        <w:t>Federal government take (22.46% of gross revenue) combines royalties (18.75%) and income tax (3.71%), demonstrating that royalties represent the primary federal revenue source from this operation</w:t>
      </w:r>
    </w:p>
    <w:p>
      <w:pPr>
        <w:pStyle w:val="ListBullet"/>
      </w:pPr>
      <w:r>
        <w:t>The petroleum tax incentives (IDC expensing, percentage depletion, accelerated depreciation) reduce federal tax by approximately $1.05 million in Year 1, encouraging continued domestic drilling activity</w:t>
      </w:r>
    </w:p>
    <w:p>
      <w:r>
        <w:t>__________________________________________________</w:t>
      </w:r>
    </w:p>
    <w:p>
      <w:r>
        <w:t>**Study Note Key Points:**</w:t>
      </w:r>
    </w:p>
    <w:p>
      <w:pPr>
        <w:pStyle w:val="ListBullet"/>
      </w:pPr>
      <w:r>
        <w:t>**US federal petroleum taxation** integrates industry-specific incentives within the general corporate income tax system (IRC Title 26) rather than establishing a separate petroleum tax regime</w:t>
      </w:r>
    </w:p>
    <w:p>
      <w:pPr>
        <w:pStyle w:val="ListBullet"/>
      </w:pPr>
      <w:r>
        <w:t>**Corporate income tax rate:** Flat **21%** applying to net taxable income (Tax Cuts and Jobs Act of 2017, effective January 1, 2018)</w:t>
      </w:r>
    </w:p>
    <w:p>
      <w:pPr>
        <w:pStyle w:val="ListBullet"/>
      </w:pPr>
      <w:r>
        <w:t>**Federal royalties** on public lands: **18.75%** for new leases (April 2022 onward, first increase since 1920); 12.5% for older leases. Royalties are deductible expenses, not taxes.</w:t>
      </w:r>
    </w:p>
    <w:p>
      <w:pPr>
        <w:pStyle w:val="ListBullet"/>
      </w:pPr>
      <w:r>
        <w:t>**Intangible drilling costs (IDC):** IRC §263(c) election allows immediate expensing - **100%** for independent producers; **70%** immediate + **30%** capitalized over 60 months for integrated producers</w:t>
      </w:r>
    </w:p>
    <w:p>
      <w:pPr>
        <w:pStyle w:val="ListBullet"/>
      </w:pPr>
      <w:r>
        <w:t>**Percentage depletion** (IRC §613A): **15%** of gross income, limited to independent producers producing less than **1,000 barrels/day** average; cannot exceed **100%** of property income or **65%** of overall taxable income; can exceed original cost basis (creating "excess depletion")</w:t>
      </w:r>
    </w:p>
    <w:p>
      <w:pPr>
        <w:pStyle w:val="ListBullet"/>
      </w:pPr>
      <w:r>
        <w:t>**Cost depletion** (IRC §611-612): Pro-rata allocation of basis over reserves; available to all taxpayers; cannot exceed adjusted basis</w:t>
      </w:r>
    </w:p>
    <w:p>
      <w:pPr>
        <w:pStyle w:val="ListBullet"/>
      </w:pPr>
      <w:r>
        <w:t>**Depreciation:** Tangible property (MACRS **7-year** recovery, 200% declining balance); **bonus depreciation** phases down **80%** (2023), **60%** (2024), **40%** (2025), **20%** (2026), **0%** (2027)</w:t>
      </w:r>
    </w:p>
    <w:p>
      <w:pPr>
        <w:pStyle w:val="ListBullet"/>
      </w:pPr>
      <w:r>
        <w:t>**IRC §199 (DPAD)** providing **9%** domestic production deduction was **repealed** effective **January 1, 2018** by TCJA</w:t>
      </w:r>
    </w:p>
    <w:p>
      <w:pPr>
        <w:pStyle w:val="ListBullet"/>
      </w:pPr>
      <w:r>
        <w:t>**Working interest exclusion** (IRC §469(c)(3)): Oil and gas working interests exempt from passive loss limitations regardless of material participation, encouraging direct investment</w:t>
      </w:r>
    </w:p>
    <w:p>
      <w:pPr>
        <w:pStyle w:val="ListBullet"/>
      </w:pPr>
      <w:r>
        <w:t>**Foreign tax credits** (IRC §901): Dollar-for-dollar credit for foreign income taxes paid; subject to basket limitations and FTC limit formula; complex application to production sharing contract structures requiring analysis under §901 creditable tax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