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Country tax examples Norway</w:t>
      </w:r>
    </w:p>
    <w:p>
      <w:pPr>
        <w:pStyle w:val="Heading1"/>
      </w:pPr>
      <w:r>
        <w:t>Country Tax Examples: Norway</w:t>
      </w:r>
    </w:p>
    <w:p>
      <w:pPr>
        <w:pStyle w:val="Heading2"/>
      </w:pPr>
      <w:r>
        <w:t>ADIT Energy Resources Module 3.04 - Study Note</w:t>
      </w:r>
    </w:p>
    <w:p>
      <w:r>
        <w:rPr>
          <w:b/>
        </w:rPr>
        <w:t>Knowledge Level:</w:t>
      </w:r>
      <w:r>
        <w:t xml:space="preserve"> Broad (Level 1)</w:t>
      </w:r>
    </w:p>
    <w:p>
      <w:pPr>
        <w:spacing w:before="120" w:after="120"/>
        <w:pBdr>
          <w:bottom w:val="single" w:sz="6" w:space="1" w:color="auto"/>
        </w:pBdr>
      </w:pPr>
    </w:p>
    <w:p>
      <w:pPr>
        <w:pStyle w:val="Heading2"/>
      </w:pPr>
      <w:r>
        <w:t>1. Core Framework of Norway's Petroleum Fiscal Regime</w:t>
      </w:r>
    </w:p>
    <w:p>
      <w:pPr>
        <w:pStyle w:val="Heading3"/>
      </w:pPr>
      <w:r>
        <w:t>1.1 Introduction to Norwegian Petroleum Taxation</w:t>
      </w:r>
    </w:p>
    <w:p>
      <w:r>
        <w:t>Norway operates one of the world's most sophisticated petroleum tax regimes, combining standard corporate taxation (22%) with a special petroleum tax (technically 71.8%, maintaining a combined marginal rate of 78%) to capture resource rents from North Sea oil and gas reserves. This dual-tax structure reflects Norway's policy objective of securing substantial government revenue from non-renewable resources while incentivizing continued exploration and development through uplift provisions and loss carry-forward mechanisms. The high nominal tax rates are offset by generous uplift allowances and immediate expensing provisions, creating an effective risk-sharing partnership between the state and private investors where the government bears 78% of project losses through tax relief.</w:t>
      </w:r>
    </w:p>
    <w:p>
      <w:pPr>
        <w:pStyle w:val="Heading3"/>
      </w:pPr>
      <w:r>
        <w:t>1.2 Statutory Basis and Regulatory Framework</w:t>
      </w:r>
    </w:p>
    <w:p>
      <w:r>
        <w:t>The Norwegian petroleum tax regime is primarily governed by:</w:t>
      </w:r>
    </w:p>
    <w:p>
      <w:pPr>
        <w:pStyle w:val="ListBullet"/>
      </w:pPr>
      <w:r>
        <w:rPr>
          <w:b/>
        </w:rPr>
        <w:t>Petroleum Tax Act (Petroleumsskatteloven)</w:t>
      </w:r>
      <w:r>
        <w:t xml:space="preserve"> of </w:t>
      </w:r>
      <w:r>
        <w:rPr>
          <w:b/>
        </w:rPr>
        <w:t>13 June 1975 No. 35</w:t>
      </w:r>
      <w:r>
        <w:t>: Principal legislation establishing the special petroleum tax regime for subsea petroleum deposits</w:t>
      </w:r>
    </w:p>
    <w:p>
      <w:pPr>
        <w:pStyle w:val="ListBullet"/>
      </w:pPr>
      <w:r>
        <w:rPr>
          <w:b/>
        </w:rPr>
        <w:t>Income Tax Act (Skatteloven)</w:t>
      </w:r>
      <w:r>
        <w:t>: General corporate tax provisions applicable to petroleum activities (22% ordinary corporate tax)</w:t>
      </w:r>
    </w:p>
    <w:p>
      <w:pPr>
        <w:pStyle w:val="ListBullet"/>
      </w:pPr>
      <w:r>
        <w:rPr>
          <w:b/>
        </w:rPr>
        <w:t>Petroleum Activities Act</w:t>
      </w:r>
      <w:r>
        <w:t>: Regulating operational aspects, licensing, and field development</w:t>
      </w:r>
    </w:p>
    <w:p>
      <w:pPr>
        <w:pStyle w:val="ListBullet"/>
      </w:pPr>
      <w:r>
        <w:rPr>
          <w:b/>
        </w:rPr>
        <w:t>Annual Finance Acts</w:t>
      </w:r>
      <w:r>
        <w:t>: Updating rates and temporary measures in response to economic conditions</w:t>
      </w:r>
    </w:p>
    <w:p>
      <w:r>
        <w:rPr>
          <w:b/>
        </w:rPr>
        <w:t>Norwegian Offshore Directorate (formerly Norwegian Petroleum Directorate - NPD)</w:t>
      </w:r>
      <w:r>
        <w:t xml:space="preserve">: Administers licensing rounds, monitors production, ensures operational compliance, and maintains the Norwegian Petroleum Directorate resource accounts. Tax administration is handled by </w:t>
      </w:r>
      <w:r>
        <w:rPr>
          <w:b/>
        </w:rPr>
        <w:t>Skatteetaten (Norwegian Tax Administration)</w:t>
      </w:r>
      <w:r>
        <w:t>, specifically the Petroleum Tax Office.</w:t>
      </w:r>
    </w:p>
    <w:p>
      <w:pPr>
        <w:pStyle w:val="Heading3"/>
      </w:pPr>
      <w:r>
        <w:t>1.3 The Concession System</w:t>
      </w:r>
    </w:p>
    <w:p>
      <w:r>
        <w:t xml:space="preserve">Norway operates a </w:t>
      </w:r>
      <w:r>
        <w:rPr>
          <w:b/>
        </w:rPr>
        <w:t>concession-based licensing system</w:t>
      </w:r>
      <w:r>
        <w:t xml:space="preserve"> where production licenses grant exclusive rights to explore for and produce petroleum within defined areas. This system has operated continuously since the first licensing round in 1965, reflecting Norway's long-established petroleum regime.</w:t>
      </w:r>
    </w:p>
    <w:p>
      <w:r>
        <w:rPr>
          <w:b/>
        </w:rPr>
        <w:t>Key Features:</w:t>
      </w:r>
    </w:p>
    <w:p>
      <w:pPr>
        <w:pStyle w:val="ListBullet"/>
      </w:pPr>
      <w:r>
        <w:rPr>
          <w:b/>
        </w:rPr>
        <w:t>Regular licensing rounds</w:t>
      </w:r>
      <w:r>
        <w:t>: Periodic auctions for frontier and underexplored acreage</w:t>
      </w:r>
    </w:p>
    <w:p>
      <w:pPr>
        <w:pStyle w:val="ListBullet"/>
      </w:pPr>
      <w:r>
        <w:rPr>
          <w:b/>
        </w:rPr>
        <w:t>Awards in Predefined Areas (APA)</w:t>
      </w:r>
      <w:r>
        <w:t>: Annual awards for mature regions with established infrastructure, lower entry barriers</w:t>
      </w:r>
    </w:p>
    <w:p>
      <w:pPr>
        <w:pStyle w:val="ListBullet"/>
      </w:pPr>
      <w:r>
        <w:rPr>
          <w:b/>
        </w:rPr>
        <w:t>Mandatory work obligations</w:t>
      </w:r>
      <w:r>
        <w:t>: Licensees must fulfill committed exploration work programs</w:t>
      </w:r>
    </w:p>
    <w:p>
      <w:pPr>
        <w:pStyle w:val="ListBullet"/>
      </w:pPr>
      <w:r>
        <w:rPr>
          <w:b/>
        </w:rPr>
        <w:t>10-year initial exploration period</w:t>
      </w:r>
      <w:r>
        <w:t>: Extendable for production phase (typically 30-year production licenses)</w:t>
      </w:r>
    </w:p>
    <w:p>
      <w:pPr>
        <w:pStyle w:val="ListBullet"/>
      </w:pPr>
      <w:r>
        <w:rPr>
          <w:b/>
        </w:rPr>
        <w:t>Ownership transfer</w:t>
      </w:r>
      <w:r>
        <w:t>: Petroleum ownership transfers to licensees at the wellhead, distinguishing Norway's concession regime from production sharing contracts</w:t>
      </w:r>
    </w:p>
    <w:p>
      <w:pPr>
        <w:spacing w:before="120" w:after="120"/>
        <w:pBdr>
          <w:bottom w:val="single" w:sz="6" w:space="1" w:color="auto"/>
        </w:pBdr>
      </w:pPr>
    </w:p>
    <w:p>
      <w:pPr>
        <w:pStyle w:val="Heading2"/>
      </w:pPr>
      <w:r>
        <w:t>2. Technical Rules: Tax Structure and Rates</w:t>
      </w:r>
    </w:p>
    <w:p>
      <w:pPr>
        <w:pStyle w:val="Heading3"/>
      </w:pPr>
      <w:r>
        <w:t>2.1 Dual Tax System</w:t>
      </w:r>
    </w:p>
    <w:p>
      <w:r>
        <w:t>Norway's petroleum taxation comprises two distinct taxes calculated on the same income base: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Tax Component</w:t>
            </w:r>
          </w:p>
        </w:tc>
        <w:tc>
          <w:tcPr>
            <w:tcW w:type="dxa" w:w="2160"/>
          </w:tcPr>
          <w:p>
            <w:r>
              <w:rPr>
                <w:b/>
              </w:rPr>
            </w:r>
            <w:r>
              <w:rPr>
                <w:b/>
              </w:rPr>
              <w:t>Statutory Rate</w:t>
            </w:r>
          </w:p>
        </w:tc>
        <w:tc>
          <w:tcPr>
            <w:tcW w:type="dxa" w:w="2160"/>
          </w:tcPr>
          <w:p>
            <w:r>
              <w:rPr>
                <w:b/>
              </w:rPr>
            </w:r>
            <w:r>
              <w:rPr>
                <w:b/>
              </w:rPr>
              <w:t>Technical Rate</w:t>
            </w:r>
          </w:p>
        </w:tc>
        <w:tc>
          <w:tcPr>
            <w:tcW w:type="dxa" w:w="2160"/>
          </w:tcPr>
          <w:p>
            <w:r>
              <w:rPr>
                <w:b/>
              </w:rPr>
            </w:r>
            <w:r>
              <w:rPr>
                <w:b/>
              </w:rPr>
              <w:t>Tax Base</w:t>
            </w:r>
          </w:p>
        </w:tc>
      </w:tr>
      <w:tr>
        <w:tc>
          <w:tcPr>
            <w:tcW w:type="dxa" w:w="2160"/>
          </w:tcPr>
          <w:p>
            <w:r/>
            <w:r>
              <w:rPr>
                <w:b/>
              </w:rPr>
              <w:t>Ordinary Corporate Tax (CIT)</w:t>
            </w:r>
          </w:p>
        </w:tc>
        <w:tc>
          <w:tcPr>
            <w:tcW w:type="dxa" w:w="2160"/>
          </w:tcPr>
          <w:p>
            <w:r/>
            <w:r>
              <w:t>22%</w:t>
            </w:r>
          </w:p>
        </w:tc>
        <w:tc>
          <w:tcPr>
            <w:tcW w:type="dxa" w:w="2160"/>
          </w:tcPr>
          <w:p>
            <w:r/>
            <w:r>
              <w:t>22%</w:t>
            </w:r>
          </w:p>
        </w:tc>
        <w:tc>
          <w:tcPr>
            <w:tcW w:type="dxa" w:w="2160"/>
          </w:tcPr>
          <w:p>
            <w:r/>
            <w:r>
              <w:t>Net income from petroleum activities</w:t>
            </w:r>
          </w:p>
        </w:tc>
      </w:tr>
      <w:tr>
        <w:tc>
          <w:tcPr>
            <w:tcW w:type="dxa" w:w="2160"/>
          </w:tcPr>
          <w:p>
            <w:r/>
            <w:r>
              <w:rPr>
                <w:b/>
              </w:rPr>
              <w:t>Special Petroleum Tax (SPT)</w:t>
            </w:r>
          </w:p>
        </w:tc>
        <w:tc>
          <w:tcPr>
            <w:tcW w:type="dxa" w:w="2160"/>
          </w:tcPr>
          <w:p>
            <w:r/>
            <w:r>
              <w:t>56% (statutory)</w:t>
            </w:r>
          </w:p>
        </w:tc>
        <w:tc>
          <w:tcPr>
            <w:tcW w:type="dxa" w:w="2160"/>
          </w:tcPr>
          <w:p>
            <w:r/>
            <w:r>
              <w:t>71.8% (technical)</w:t>
            </w:r>
          </w:p>
        </w:tc>
        <w:tc>
          <w:tcPr>
            <w:tcW w:type="dxa" w:w="2160"/>
          </w:tcPr>
          <w:p>
            <w:r/>
            <w:r>
              <w:t>Net income minus uplift deductions</w:t>
            </w:r>
          </w:p>
        </w:tc>
      </w:tr>
      <w:tr>
        <w:tc>
          <w:tcPr>
            <w:tcW w:type="dxa" w:w="2160"/>
          </w:tcPr>
          <w:p>
            <w:r/>
            <w:r>
              <w:rPr>
                <w:b/>
              </w:rPr>
              <w:t>Combined Marginal Rate</w:t>
            </w:r>
          </w:p>
        </w:tc>
        <w:tc>
          <w:tcPr>
            <w:tcW w:type="dxa" w:w="2160"/>
          </w:tcPr>
          <w:p>
            <w:r/>
            <w:r>
              <w:t>78%</w:t>
            </w:r>
          </w:p>
        </w:tc>
        <w:tc>
          <w:tcPr>
            <w:tcW w:type="dxa" w:w="2160"/>
          </w:tcPr>
          <w:p>
            <w:r/>
            <w:r>
              <w:t>78%</w:t>
            </w:r>
          </w:p>
        </w:tc>
        <w:tc>
          <w:tcPr>
            <w:tcW w:type="dxa" w:w="2160"/>
          </w:tcPr>
          <w:p>
            <w:r/>
            <w:r>
              <w:t>Maintained through technical adjustment</w:t>
            </w:r>
          </w:p>
        </w:tc>
      </w:tr>
    </w:tbl>
    <w:p/>
    <w:p>
      <w:r>
        <w:rPr>
          <w:b/>
        </w:rPr>
        <w:t>Technical Rate Adjustment Explained:</w:t>
      </w:r>
    </w:p>
    <w:p>
      <w:r>
        <w:t>When Norway introduced a cash flow-based tax in the special tax starting from income year 2022 (allowing immediate expensing of investments), the special petroleum tax rate was technically increased from 56% to 71.8% to maintain the combined marginal tax rate of 78%. This technical adjustment ensures that the overall tax burden remains consistent despite the move to immediate expensing in the special tax base.</w:t>
      </w:r>
    </w:p>
    <w:p>
      <w:r>
        <w:rPr>
          <w:b/>
        </w:rPr>
        <w:t>Effective Tax Rate Calculation:</w:t>
      </w:r>
    </w:p>
    <w:p>
      <w:pPr>
        <w:shd w:fill="F0F0F0"/>
        <w:spacing w:after="0" w:line="240" w:lineRule="auto"/>
      </w:pPr>
      <w:r>
        <w:rPr>
          <w:rFonts w:ascii="Courier New" w:hAnsi="Courier New"/>
          <w:sz w:val="20"/>
        </w:rPr>
        <w:t>Combined rate = Ordinary CIT + (SPT × (1 - Ordinary CIT rate))</w:t>
      </w:r>
    </w:p>
    <w:p>
      <w:pPr>
        <w:shd w:fill="F0F0F0"/>
        <w:spacing w:after="0" w:line="240" w:lineRule="auto"/>
      </w:pPr>
      <w:r>
        <w:rPr>
          <w:rFonts w:ascii="Courier New" w:hAnsi="Courier New"/>
          <w:sz w:val="20"/>
        </w:rPr>
        <w:t>= 22% + (71.8% × (1 - 0.22))</w:t>
      </w:r>
    </w:p>
    <w:p>
      <w:pPr>
        <w:shd w:fill="F0F0F0"/>
        <w:spacing w:after="0" w:line="240" w:lineRule="auto"/>
      </w:pPr>
      <w:r>
        <w:rPr>
          <w:rFonts w:ascii="Courier New" w:hAnsi="Courier New"/>
          <w:sz w:val="20"/>
        </w:rPr>
        <w:t>= 22% + (71.8% × 0.78)</w:t>
      </w:r>
    </w:p>
    <w:p>
      <w:pPr>
        <w:shd w:fill="F0F0F0"/>
        <w:spacing w:after="0" w:line="240" w:lineRule="auto"/>
      </w:pPr>
      <w:r>
        <w:rPr>
          <w:rFonts w:ascii="Courier New" w:hAnsi="Courier New"/>
          <w:sz w:val="20"/>
        </w:rPr>
        <w:t>= 22% + 56% = 78%</w:t>
      </w:r>
    </w:p>
    <w:p/>
    <w:p>
      <w:r>
        <w:t>The 78% combined marginal rate applies to petroleum income before considering uplift deductions and other tax-specific allowances.</w:t>
      </w:r>
    </w:p>
    <w:p>
      <w:pPr>
        <w:pStyle w:val="Heading3"/>
      </w:pPr>
      <w:r>
        <w:t>2.2 Cost Recovery and Deductions</w:t>
      </w:r>
    </w:p>
    <w:p>
      <w:r>
        <w:rPr>
          <w:b/>
        </w:rPr>
        <w:t>Allowable Deductions (Both Ordinary CIT and SPT):</w:t>
      </w:r>
    </w:p>
    <w:p>
      <w:pPr>
        <w:pStyle w:val="ListBullet"/>
      </w:pPr>
      <w:r>
        <w:rPr>
          <w:b/>
        </w:rPr>
        <w:t>Operating expenses</w:t>
      </w:r>
      <w:r>
        <w:t>: Immediately deductible</w:t>
      </w:r>
    </w:p>
    <w:p>
      <w:pPr>
        <w:pStyle w:val="ListBullet"/>
      </w:pPr>
      <w:r>
        <w:rPr>
          <w:b/>
        </w:rPr>
        <w:t>Exploration costs</w:t>
      </w:r>
      <w:r>
        <w:t>: Immediately deductible (100% expensed in year incurred)</w:t>
      </w:r>
    </w:p>
    <w:p>
      <w:pPr>
        <w:pStyle w:val="ListBullet"/>
      </w:pPr>
      <w:r>
        <w:rPr>
          <w:b/>
        </w:rPr>
        <w:t>Development investments</w:t>
      </w:r>
      <w:r>
        <w:t>: Linear depreciation over 6 years (16.67% annually) for ordinary CIT; immediate expensing for SPT (post-2022 cash flow tax)</w:t>
      </w:r>
    </w:p>
    <w:p>
      <w:pPr>
        <w:pStyle w:val="ListBullet"/>
      </w:pPr>
      <w:r>
        <w:rPr>
          <w:b/>
        </w:rPr>
        <w:t>Interest expenses</w:t>
      </w:r>
      <w:r>
        <w:t>: Subject to limitation rules aligned with EU ATAD (Anti-Tax Avoidance Directive), with petroleum-specific carve-outs</w:t>
      </w:r>
    </w:p>
    <w:p>
      <w:pPr>
        <w:pStyle w:val="ListBullet"/>
      </w:pPr>
      <w:r>
        <w:rPr>
          <w:b/>
        </w:rPr>
        <w:t>Decommissioning costs</w:t>
      </w:r>
      <w:r>
        <w:t>: Deductible when incurred; advance provisions may be established</w:t>
      </w:r>
    </w:p>
    <w:p>
      <w:r>
        <w:rPr>
          <w:b/>
        </w:rPr>
        <w:t>Area Fees:</w:t>
      </w:r>
    </w:p>
    <w:p>
      <w:r>
        <w:t>Annual license fees based on area size and exploration phase, escalating over time to encourage acreage relinquishment and efficient resource development.</w:t>
      </w:r>
    </w:p>
    <w:p>
      <w:pPr>
        <w:pStyle w:val="Heading3"/>
      </w:pPr>
      <w:r>
        <w:t>2.3 The Uplift Mechanism (Investment Incentive)</w:t>
      </w:r>
    </w:p>
    <w:p>
      <w:r>
        <w:t xml:space="preserve">The </w:t>
      </w:r>
      <w:r>
        <w:rPr>
          <w:b/>
        </w:rPr>
        <w:t>uplift (friinntekt)</w:t>
      </w:r>
      <w:r>
        <w:t xml:space="preserve"> provides an additional deduction on qualifying capital expenditure, applicable only against the special petroleum tax base (not ordinary CIT). The uplift compensates investors for the risk premium required on capital-intensive petroleum projects and prevents normal investment returns from being subject to the special tax.</w:t>
      </w:r>
    </w:p>
    <w:p>
      <w:r>
        <w:rPr>
          <w:b/>
        </w:rPr>
        <w:t>Current Uplift Structure (Post-2022 Regime):</w:t>
      </w:r>
    </w:p>
    <w:p>
      <w:r>
        <w:t xml:space="preserve">Following the introduction of the cash flow tax in 2022, the uplift mechanism was adjusted. As of 2023, the uplift is </w:t>
      </w:r>
      <w:r>
        <w:rPr>
          <w:b/>
        </w:rPr>
        <w:t>12.4%</w:t>
      </w:r>
      <w:r>
        <w:t xml:space="preserve"> of qualifying capital expenditure, deducted in the year the investment is made.</w:t>
      </w:r>
    </w:p>
    <w:p>
      <w:r>
        <w:rPr>
          <w:b/>
        </w:rPr>
        <w:t>Historical Uplift Rates:</w:t>
      </w:r>
    </w:p>
    <w:p>
      <w:pPr>
        <w:pStyle w:val="ListBullet"/>
      </w:pPr>
      <w:r>
        <w:t>Pre-2013: 7.5% annually for 4 years = 30% total</w:t>
      </w:r>
    </w:p>
    <w:p>
      <w:pPr>
        <w:pStyle w:val="ListBullet"/>
      </w:pPr>
      <w:r>
        <w:t>2013-2019: 5.5% annually for 4 years = 22% total</w:t>
      </w:r>
    </w:p>
    <w:p>
      <w:pPr>
        <w:pStyle w:val="ListBullet"/>
      </w:pPr>
      <w:r>
        <w:t>2020-2021 (temporary COVID measures): 24% in investment year only</w:t>
      </w:r>
    </w:p>
    <w:p>
      <w:pPr>
        <w:pStyle w:val="ListBullet"/>
      </w:pPr>
      <w:r>
        <w:t>2022 (cash flow tax introduction): 17.69% (adjusted)</w:t>
      </w:r>
    </w:p>
    <w:p>
      <w:pPr>
        <w:pStyle w:val="ListBullet"/>
      </w:pPr>
      <w:r>
        <w:t>2023-present: 12.4%</w:t>
      </w:r>
    </w:p>
    <w:p>
      <w:r>
        <w:rPr>
          <w:b/>
        </w:rPr>
        <w:t>Qualifying Assets:</w:t>
      </w:r>
    </w:p>
    <w:p>
      <w:pPr>
        <w:pStyle w:val="ListBullet"/>
      </w:pPr>
      <w:r>
        <w:t>Production installations (platforms, FPSOs, subsea facilities)</w:t>
      </w:r>
    </w:p>
    <w:p>
      <w:pPr>
        <w:pStyle w:val="ListBullet"/>
      </w:pPr>
      <w:r>
        <w:t>Equipment for extraction and processing</w:t>
      </w:r>
    </w:p>
    <w:p>
      <w:pPr>
        <w:pStyle w:val="ListBullet"/>
      </w:pPr>
      <w:r>
        <w:t>Production pipelines for transportation</w:t>
      </w:r>
    </w:p>
    <w:p>
      <w:r>
        <w:rPr>
          <w:b/>
        </w:rPr>
        <w:t>Non-Qualifying Assets:</w:t>
      </w:r>
    </w:p>
    <w:p>
      <w:pPr>
        <w:pStyle w:val="ListBullet"/>
      </w:pPr>
      <w:r>
        <w:t>Exploration costs (already immediately deductible)</w:t>
      </w:r>
    </w:p>
    <w:p>
      <w:pPr>
        <w:pStyle w:val="ListBullet"/>
      </w:pPr>
      <w:r>
        <w:t>Operating expenditures</w:t>
      </w:r>
    </w:p>
    <w:p>
      <w:pPr>
        <w:pStyle w:val="ListBullet"/>
      </w:pPr>
      <w:r>
        <w:t>Administrative facilities not directly related to production</w:t>
      </w:r>
    </w:p>
    <w:p>
      <w:r>
        <w:t>The uplift mechanism significantly reduces the effective tax rate on capital-intensive projects. For example, with a 12.4% uplift and 71.8% special tax rate, the uplift provides a tax benefit of approximately 8.9% of capital expenditure (12.4% × 71.8%), reducing the effective combined tax rate below 78%.</w:t>
      </w:r>
    </w:p>
    <w:p>
      <w:pPr>
        <w:spacing w:before="120" w:after="120"/>
        <w:pBdr>
          <w:bottom w:val="single" w:sz="6" w:space="1" w:color="auto"/>
        </w:pBdr>
      </w:pPr>
    </w:p>
    <w:p>
      <w:pPr>
        <w:pStyle w:val="Heading2"/>
      </w:pPr>
      <w:r>
        <w:t>3. Analytical Depth: Advanced Provisions</w:t>
      </w:r>
    </w:p>
    <w:p>
      <w:pPr>
        <w:pStyle w:val="Heading3"/>
      </w:pPr>
      <w:r>
        <w:t>3.1 Ring-Fencing Rules</w:t>
      </w:r>
    </w:p>
    <w:p>
      <w:r>
        <w:t xml:space="preserve">Norwegian petroleum taxation operates under </w:t>
      </w:r>
      <w:r>
        <w:rPr>
          <w:b/>
        </w:rPr>
        <w:t>strict ring-fencing</w:t>
      </w:r>
      <w:r>
        <w:t xml:space="preserve"> to ensure petroleum activities are taxed independently from other business operations:</w:t>
      </w:r>
    </w:p>
    <w:p>
      <w:pPr>
        <w:pStyle w:val="ListBullet"/>
      </w:pPr>
      <w:r>
        <w:rPr>
          <w:b/>
        </w:rPr>
        <w:t>Separate taxation</w:t>
      </w:r>
      <w:r>
        <w:t>: Petroleum activities are taxed separately from non-petroleum business operations</w:t>
      </w:r>
    </w:p>
    <w:p>
      <w:pPr>
        <w:pStyle w:val="ListBullet"/>
      </w:pPr>
      <w:r>
        <w:rPr>
          <w:b/>
        </w:rPr>
        <w:t>Loss offset limitations</w:t>
      </w:r>
      <w:r>
        <w:t>: Losses from petroleum operations cannot offset non-petroleum income</w:t>
      </w:r>
    </w:p>
    <w:p>
      <w:pPr>
        <w:pStyle w:val="ListBullet"/>
      </w:pPr>
      <w:r>
        <w:rPr>
          <w:b/>
        </w:rPr>
        <w:t>Company-level ring-fence</w:t>
      </w:r>
      <w:r>
        <w:t>: The ring-fence applies at company level across all petroleum licenses held by the same entity</w:t>
      </w:r>
    </w:p>
    <w:p>
      <w:pPr>
        <w:pStyle w:val="ListBullet"/>
      </w:pPr>
      <w:r>
        <w:rPr>
          <w:b/>
        </w:rPr>
        <w:t>Shared costs</w:t>
      </w:r>
      <w:r>
        <w:t>: Companies must maintain separate accounting for costs shared between petroleum and non-petroleum activities</w:t>
      </w:r>
    </w:p>
    <w:p>
      <w:r>
        <w:t>Ring-fencing ensures that the high petroleum tax rates and generous deductions apply exclusively to petroleum income and do not create tax planning opportunities across business lines.</w:t>
      </w:r>
    </w:p>
    <w:p>
      <w:pPr>
        <w:pStyle w:val="Heading3"/>
      </w:pPr>
      <w:r>
        <w:t>3.2 Loss Carry-Forward with Interest</w:t>
      </w:r>
    </w:p>
    <w:p>
      <w:r>
        <w:t xml:space="preserve">Unused losses and uplift amounts can be </w:t>
      </w:r>
      <w:r>
        <w:rPr>
          <w:b/>
        </w:rPr>
        <w:t>carried forward indefinitely with interest</w:t>
      </w:r>
      <w:r>
        <w:t xml:space="preserve"> based on Norwegian government bond yields, preserving the real value of tax losses over time. This interest compensation reflects Norway's risk-sharing approach, ensuring that losses incurred in early project years retain purchasing power when eventually utilized against future profits.</w:t>
      </w:r>
    </w:p>
    <w:p>
      <w:r>
        <w:rPr>
          <w:b/>
        </w:rPr>
        <w:t>Key Features:</w:t>
      </w:r>
    </w:p>
    <w:p>
      <w:pPr>
        <w:pStyle w:val="ListBullet"/>
      </w:pPr>
      <w:r>
        <w:rPr>
          <w:b/>
        </w:rPr>
        <w:t>Indefinite carry-forward period</w:t>
      </w:r>
      <w:r>
        <w:t>: No time limitation on loss utilization</w:t>
      </w:r>
    </w:p>
    <w:p>
      <w:pPr>
        <w:pStyle w:val="ListBullet"/>
      </w:pPr>
      <w:r>
        <w:rPr>
          <w:b/>
        </w:rPr>
        <w:t>Interest accrual</w:t>
      </w:r>
      <w:r>
        <w:t>: Losses are uplifted annually by a rate based on government bond yields</w:t>
      </w:r>
    </w:p>
    <w:p>
      <w:pPr>
        <w:pStyle w:val="ListBullet"/>
      </w:pPr>
      <w:r>
        <w:rPr>
          <w:b/>
        </w:rPr>
        <w:t>Petroleum-only offset</w:t>
      </w:r>
      <w:r>
        <w:t>: Carried forward losses offset future petroleum income only</w:t>
      </w:r>
    </w:p>
    <w:p>
      <w:pPr>
        <w:pStyle w:val="ListBullet"/>
      </w:pPr>
      <w:r>
        <w:rPr>
          <w:b/>
        </w:rPr>
        <w:t>No carry-back</w:t>
      </w:r>
      <w:r>
        <w:t>: Losses cannot be carried back to prior tax years for refunds (except under temporary COVID-19 measures for specific years)</w:t>
      </w:r>
    </w:p>
    <w:p>
      <w:pPr>
        <w:pStyle w:val="Heading3"/>
      </w:pPr>
      <w:r>
        <w:t>3.3 State Direct Financial Interest (SDFI)</w:t>
      </w:r>
    </w:p>
    <w:p>
      <w:r>
        <w:t xml:space="preserve">The Norwegian state participates directly in petroleum production through the </w:t>
      </w:r>
      <w:r>
        <w:rPr>
          <w:b/>
        </w:rPr>
        <w:t>State's Direct Financial Interest (SDFI)</w:t>
      </w:r>
      <w:r>
        <w:t xml:space="preserve">, managed by the state-owned company </w:t>
      </w:r>
      <w:r>
        <w:rPr>
          <w:b/>
        </w:rPr>
        <w:t>Petoro AS</w:t>
      </w:r>
      <w:r>
        <w:t xml:space="preserve"> (established 2001). SDFI provides the government with direct revenue from production beyond taxation, aligning state interests with field development economics.</w:t>
      </w:r>
    </w:p>
    <w:p>
      <w:r>
        <w:rPr>
          <w:b/>
        </w:rPr>
        <w:t>SDFI Portfolio Characteristics:</w:t>
      </w:r>
    </w:p>
    <w:p>
      <w:pPr>
        <w:pStyle w:val="ListBullet"/>
      </w:pPr>
      <w:r>
        <w:rPr>
          <w:b/>
        </w:rPr>
        <w:t>Ownership varies by field</w:t>
      </w:r>
      <w:r>
        <w:t>: Government determines SDFI participation when awarding production licenses, varying significantly across fields based on strategic importance and prospectivity</w:t>
      </w:r>
    </w:p>
    <w:p>
      <w:pPr>
        <w:pStyle w:val="ListBullet"/>
      </w:pPr>
      <w:r>
        <w:rPr>
          <w:b/>
        </w:rPr>
        <w:t>Overall share</w:t>
      </w:r>
      <w:r>
        <w:t xml:space="preserve">: SDFI represents approximately </w:t>
      </w:r>
      <w:r>
        <w:rPr>
          <w:b/>
        </w:rPr>
        <w:t>24% of oil reserves</w:t>
      </w:r>
      <w:r>
        <w:t xml:space="preserve"> and </w:t>
      </w:r>
      <w:r>
        <w:rPr>
          <w:b/>
        </w:rPr>
        <w:t>41.6% of natural gas reserves</w:t>
      </w:r>
      <w:r>
        <w:t xml:space="preserve"> on the Norwegian Continental Shelf</w:t>
      </w:r>
    </w:p>
    <w:p>
      <w:pPr>
        <w:pStyle w:val="ListBullet"/>
      </w:pPr>
      <w:r>
        <w:rPr>
          <w:b/>
        </w:rPr>
        <w:t>Licensee status</w:t>
      </w:r>
      <w:r>
        <w:t>: Petoro manages interests in approximately 44 producing fields, making it one of the largest licenseholders</w:t>
      </w:r>
    </w:p>
    <w:p>
      <w:pPr>
        <w:pStyle w:val="ListBullet"/>
      </w:pPr>
      <w:r>
        <w:rPr>
          <w:b/>
        </w:rPr>
        <w:t>Tax treatment</w:t>
      </w:r>
      <w:r>
        <w:t>: SDFI interests are subject to the same tax rules (78% marginal rate) as private participants</w:t>
      </w:r>
    </w:p>
    <w:p>
      <w:r>
        <w:t>SDFI generated NOK 220 billion in net cash flow in 2024, contributing substantially to government petroleum revenues alongside taxation.</w:t>
      </w:r>
    </w:p>
    <w:p>
      <w:pPr>
        <w:pStyle w:val="Heading3"/>
      </w:pPr>
      <w:r>
        <w:t>3.4 Withholding Taxes and Treaty Considerations</w:t>
      </w:r>
    </w:p>
    <w:p>
      <w:r>
        <w:rPr>
          <w:b/>
        </w:rPr>
        <w:t>Standard Withholding Tax Rates:</w:t>
      </w:r>
    </w:p>
    <w:p>
      <w:pPr>
        <w:pStyle w:val="ListBullet"/>
      </w:pPr>
      <w:r>
        <w:rPr>
          <w:b/>
        </w:rPr>
        <w:t>Dividends</w:t>
      </w:r>
      <w:r>
        <w:t>: 25% standard rate, subject to treaty reduction or exemptions</w:t>
      </w:r>
    </w:p>
    <w:p>
      <w:pPr>
        <w:pStyle w:val="ListBullet"/>
      </w:pPr>
      <w:r>
        <w:rPr>
          <w:b/>
        </w:rPr>
        <w:t>Interest</w:t>
      </w:r>
      <w:r>
        <w:t>: 0% generally; 15% on interest to related parties in low-tax jurisdictions (effective July 2021)</w:t>
      </w:r>
    </w:p>
    <w:p>
      <w:pPr>
        <w:pStyle w:val="ListBullet"/>
      </w:pPr>
      <w:r>
        <w:rPr>
          <w:b/>
        </w:rPr>
        <w:t>Royalties</w:t>
      </w:r>
      <w:r>
        <w:t>: Subject to treaty provisions</w:t>
      </w:r>
    </w:p>
    <w:p>
      <w:r>
        <w:rPr>
          <w:b/>
        </w:rPr>
        <w:t>Petroleum-Specific Dividend Exemption:</w:t>
      </w:r>
    </w:p>
    <w:p>
      <w:r>
        <w:rPr>
          <w:b/>
        </w:rPr>
        <w:t>No withholding tax</w:t>
      </w:r>
      <w:r>
        <w:t xml:space="preserve"> applies to dividends paid out of income subject to petroleum tax if the recipient company owns at least </w:t>
      </w:r>
      <w:r>
        <w:rPr>
          <w:b/>
        </w:rPr>
        <w:t>25% of the capital</w:t>
      </w:r>
      <w:r>
        <w:t xml:space="preserve"> in the distributing company. This exemption facilitates tax-efficient distributions of petroleum profits without additional withholding tax burden beyond the 78% petroleum tax already paid.</w:t>
      </w:r>
    </w:p>
    <w:p>
      <w:r>
        <w:rPr>
          <w:b/>
        </w:rPr>
        <w:t>Treaty Network:</w:t>
      </w:r>
    </w:p>
    <w:p>
      <w:r>
        <w:t>Norway's extensive tax treaty network (over 90 treaties) provides withholding rate reductions and permanent establishment protection, particularly relevant for Norway-UK North Sea operations where cross-border activities are common.</w:t>
      </w:r>
    </w:p>
    <w:p>
      <w:pPr>
        <w:pStyle w:val="Heading3"/>
      </w:pPr>
      <w:r>
        <w:t>3.5 Temporary Tax Rules (2020 Cash Flow Tax Transition)</w:t>
      </w:r>
    </w:p>
    <w:p>
      <w:r>
        <w:t xml:space="preserve">Norway introduced </w:t>
      </w:r>
      <w:r>
        <w:rPr>
          <w:b/>
        </w:rPr>
        <w:t>temporary tax incentives</w:t>
      </w:r>
      <w:r>
        <w:t xml:space="preserve"> in June 2020 in response to COVID-19's impact on oil prices and investment:</w:t>
      </w:r>
    </w:p>
    <w:p>
      <w:r>
        <w:rPr>
          <w:b/>
        </w:rPr>
        <w:t>Key Provisions:</w:t>
      </w:r>
    </w:p>
    <w:p>
      <w:pPr>
        <w:pStyle w:val="ListBullet"/>
      </w:pPr>
      <w:r>
        <w:rPr>
          <w:b/>
        </w:rPr>
        <w:t>Immediate expensing</w:t>
      </w:r>
      <w:r>
        <w:t>: Full deduction of investments in the year incurred (for special tax)</w:t>
      </w:r>
    </w:p>
    <w:p>
      <w:pPr>
        <w:pStyle w:val="ListBullet"/>
      </w:pPr>
      <w:r>
        <w:rPr>
          <w:b/>
        </w:rPr>
        <w:t>Enhanced uplift</w:t>
      </w:r>
      <w:r>
        <w:t>: 24% uplift in investment year for 2020-2021 investments</w:t>
      </w:r>
    </w:p>
    <w:p>
      <w:pPr>
        <w:pStyle w:val="ListBullet"/>
      </w:pPr>
      <w:r>
        <w:rPr>
          <w:b/>
        </w:rPr>
        <w:t>Loss refunds</w:t>
      </w:r>
      <w:r>
        <w:t>: Companies with tax losses in 2020-2021 could obtain refunds</w:t>
      </w:r>
    </w:p>
    <w:p>
      <w:r>
        <w:rPr>
          <w:b/>
        </w:rPr>
        <w:t>Current Status:</w:t>
      </w:r>
    </w:p>
    <w:p>
      <w:r>
        <w:t xml:space="preserve">These temporary rules apply only to investments made under development plans (PDOs/PIOs) submitted before </w:t>
      </w:r>
      <w:r>
        <w:rPr>
          <w:b/>
        </w:rPr>
        <w:t>1 January 2023</w:t>
      </w:r>
      <w:r>
        <w:t xml:space="preserve"> and approved by the government before </w:t>
      </w:r>
      <w:r>
        <w:rPr>
          <w:b/>
        </w:rPr>
        <w:t>1 January 2024</w:t>
      </w:r>
      <w:r>
        <w:t>. Qualifying investments can occur in subsequent years (2024, 2025) if they fall under approved plans meeting these deadlines. The temporary rules do not apply to all new investments made in 2024-2025; only those under qualifying pre-approved development plans benefit.</w:t>
      </w:r>
    </w:p>
    <w:p>
      <w:r>
        <w:t xml:space="preserve">The temporary measures transitioned into a permanent </w:t>
      </w:r>
      <w:r>
        <w:rPr>
          <w:b/>
        </w:rPr>
        <w:t>cash flow tax regime</w:t>
      </w:r>
      <w:r>
        <w:t xml:space="preserve"> starting from income year 2022, providing immediate expensing for special tax purposes while maintaining 6-year depreciation for ordinary CIT.</w:t>
      </w:r>
    </w:p>
    <w:p>
      <w:pPr>
        <w:spacing w:before="120" w:after="120"/>
        <w:pBdr>
          <w:bottom w:val="single" w:sz="6" w:space="1" w:color="auto"/>
        </w:pBdr>
      </w:pPr>
    </w:p>
    <w:p>
      <w:pPr>
        <w:pStyle w:val="Heading2"/>
      </w:pPr>
      <w:r>
        <w:t>4. Worked Example: Norwegian North Sea Field Tax Calculation</w:t>
      </w:r>
    </w:p>
    <w:p>
      <w:r>
        <w:rPr>
          <w:b/>
        </w:rPr>
        <w:t>Scenario</w:t>
      </w:r>
      <w:r>
        <w:t>: PetroNor AS operates a North Sea field. For income year 2024, the following financials apply (NOK million):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Amount (NOK m)</w:t>
            </w:r>
          </w:p>
        </w:tc>
      </w:tr>
      <w:tr>
        <w:tc>
          <w:tcPr>
            <w:tcW w:type="dxa" w:w="4320"/>
          </w:tcPr>
          <w:p>
            <w:r/>
            <w:r>
              <w:t>Gross production revenue</w:t>
            </w:r>
          </w:p>
        </w:tc>
        <w:tc>
          <w:tcPr>
            <w:tcW w:type="dxa" w:w="4320"/>
          </w:tcPr>
          <w:p>
            <w:r/>
            <w:r>
              <w:t>1,000</w:t>
            </w:r>
          </w:p>
        </w:tc>
      </w:tr>
      <w:tr>
        <w:tc>
          <w:tcPr>
            <w:tcW w:type="dxa" w:w="4320"/>
          </w:tcPr>
          <w:p>
            <w:r/>
            <w:r>
              <w:t>Operating expenses</w:t>
            </w:r>
          </w:p>
        </w:tc>
        <w:tc>
          <w:tcPr>
            <w:tcW w:type="dxa" w:w="4320"/>
          </w:tcPr>
          <w:p>
            <w:r/>
            <w:r>
              <w:t>(200)</w:t>
            </w:r>
          </w:p>
        </w:tc>
      </w:tr>
      <w:tr>
        <w:tc>
          <w:tcPr>
            <w:tcW w:type="dxa" w:w="4320"/>
          </w:tcPr>
          <w:p>
            <w:r/>
            <w:r>
              <w:t>Capital investment (current year)</w:t>
            </w:r>
          </w:p>
        </w:tc>
        <w:tc>
          <w:tcPr>
            <w:tcW w:type="dxa" w:w="4320"/>
          </w:tcPr>
          <w:p>
            <w:r/>
            <w:r>
              <w:t>150</w:t>
            </w:r>
          </w:p>
        </w:tc>
      </w:tr>
      <w:tr>
        <w:tc>
          <w:tcPr>
            <w:tcW w:type="dxa" w:w="4320"/>
          </w:tcPr>
          <w:p>
            <w:r/>
            <w:r>
              <w:t>Depreciation on prior investments (year 3 of 6)</w:t>
            </w:r>
          </w:p>
        </w:tc>
        <w:tc>
          <w:tcPr>
            <w:tcW w:type="dxa" w:w="4320"/>
          </w:tcPr>
          <w:p>
            <w:r/>
            <w:r>
              <w:t>(100)</w:t>
            </w:r>
          </w:p>
        </w:tc>
      </w:tr>
      <w:tr>
        <w:tc>
          <w:tcPr>
            <w:tcW w:type="dxa" w:w="4320"/>
          </w:tcPr>
          <w:p>
            <w:r/>
            <w:r>
              <w:t>Uplift deduction on current investment (12.4% × 150)</w:t>
            </w:r>
          </w:p>
        </w:tc>
        <w:tc>
          <w:tcPr>
            <w:tcW w:type="dxa" w:w="4320"/>
          </w:tcPr>
          <w:p>
            <w:r/>
            <w:r>
              <w:t>(18.6)</w:t>
            </w:r>
          </w:p>
        </w:tc>
      </w:tr>
    </w:tbl>
    <w:p/>
    <w:p>
      <w:r>
        <w:rPr>
          <w:b/>
        </w:rPr>
        <w:t>Tax Calculation:</w:t>
      </w:r>
    </w:p>
    <w:p>
      <w:r>
        <w:rPr>
          <w:b/>
        </w:rPr>
        <w:t>Step 1 - Ordinary Corporate Tax (22%):</w:t>
      </w:r>
    </w:p>
    <w:p>
      <w:pPr>
        <w:shd w:fill="F0F0F0"/>
        <w:spacing w:after="0" w:line="240" w:lineRule="auto"/>
      </w:pPr>
      <w:r>
        <w:rPr>
          <w:rFonts w:ascii="Courier New" w:hAnsi="Courier New"/>
          <w:sz w:val="20"/>
        </w:rPr>
        <w:t>Taxable income = Revenue - Opex - Depreciation (6-year linear)</w:t>
      </w:r>
    </w:p>
    <w:p>
      <w:pPr>
        <w:shd w:fill="F0F0F0"/>
        <w:spacing w:after="0" w:line="240" w:lineRule="auto"/>
      </w:pPr>
      <w:r>
        <w:rPr>
          <w:rFonts w:ascii="Courier New" w:hAnsi="Courier New"/>
          <w:sz w:val="20"/>
        </w:rPr>
        <w:t>= 1,000 - 200 - 100 = 700 NOK million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Ordinary CIT = 700 × 22% = 154 NOK million</w:t>
      </w:r>
    </w:p>
    <w:p/>
    <w:p>
      <w:r>
        <w:rPr>
          <w:b/>
        </w:rPr>
        <w:t>Step 2 - Special Petroleum Tax (71.8% technical rate):</w:t>
      </w:r>
    </w:p>
    <w:p>
      <w:pPr>
        <w:shd w:fill="F0F0F0"/>
        <w:spacing w:after="0" w:line="240" w:lineRule="auto"/>
      </w:pPr>
      <w:r>
        <w:rPr>
          <w:rFonts w:ascii="Courier New" w:hAnsi="Courier New"/>
          <w:sz w:val="20"/>
        </w:rPr>
        <w:t>SPT base = Revenue - Opex - Immediate expensing - Uplift</w:t>
      </w:r>
    </w:p>
    <w:p>
      <w:pPr>
        <w:shd w:fill="F0F0F0"/>
        <w:spacing w:after="0" w:line="240" w:lineRule="auto"/>
      </w:pPr>
      <w:r>
        <w:rPr>
          <w:rFonts w:ascii="Courier New" w:hAnsi="Courier New"/>
          <w:sz w:val="20"/>
        </w:rPr>
        <w:t>= 1,000 - 200 - 150 - 18.6 = 631.4 NOK million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Special petroleum tax = 631.4 × 71.8% = 453.3 NOK million</w:t>
      </w:r>
    </w:p>
    <w:p/>
    <w:p>
      <w:r>
        <w:rPr>
          <w:b/>
        </w:rPr>
        <w:t>Step 3 - Total Tax Liability:</w:t>
      </w:r>
    </w:p>
    <w:p>
      <w:pPr>
        <w:shd w:fill="F0F0F0"/>
        <w:spacing w:after="0" w:line="240" w:lineRule="auto"/>
      </w:pPr>
      <w:r>
        <w:rPr>
          <w:rFonts w:ascii="Courier New" w:hAnsi="Courier New"/>
          <w:sz w:val="20"/>
        </w:rPr>
        <w:t>Total tax = Ordinary CIT + SPT</w:t>
      </w:r>
    </w:p>
    <w:p>
      <w:pPr>
        <w:shd w:fill="F0F0F0"/>
        <w:spacing w:after="0" w:line="240" w:lineRule="auto"/>
      </w:pPr>
      <w:r>
        <w:rPr>
          <w:rFonts w:ascii="Courier New" w:hAnsi="Courier New"/>
          <w:sz w:val="20"/>
        </w:rPr>
        <w:t>= 154 + 453.3 = 607.3 NOK million</w:t>
      </w:r>
    </w:p>
    <w:p/>
    <w:p>
      <w:r>
        <w:rPr>
          <w:b/>
        </w:rPr>
        <w:t>Step 4 - Effective Tax Rate:</w:t>
      </w:r>
    </w:p>
    <w:p>
      <w:pPr>
        <w:shd w:fill="F0F0F0"/>
        <w:spacing w:after="0" w:line="240" w:lineRule="auto"/>
      </w:pPr>
      <w:r>
        <w:rPr>
          <w:rFonts w:ascii="Courier New" w:hAnsi="Courier New"/>
          <w:sz w:val="20"/>
        </w:rPr>
        <w:t>Cash flow before tax = Revenue - Opex - Capital investment</w:t>
      </w:r>
    </w:p>
    <w:p>
      <w:pPr>
        <w:shd w:fill="F0F0F0"/>
        <w:spacing w:after="0" w:line="240" w:lineRule="auto"/>
      </w:pPr>
      <w:r>
        <w:rPr>
          <w:rFonts w:ascii="Courier New" w:hAnsi="Courier New"/>
          <w:sz w:val="20"/>
        </w:rPr>
        <w:t>= 1,000 - 200 - 150 = 650 NOK million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Effective tax rate = 607.3 / 650 = 93.4%</w:t>
      </w:r>
    </w:p>
    <w:p/>
    <w:p>
      <w:r>
        <w:rPr>
          <w:b/>
        </w:rPr>
        <w:t>Analysis:</w:t>
      </w:r>
    </w:p>
    <w:p>
      <w:r>
        <w:t>The effective tax rate of 93.4% on cash flow appears to exceed the nominal 78% marginal rate due to timing differences. The calculation shows:</w:t>
      </w:r>
    </w:p>
    <w:p>
      <w:pPr>
        <w:pStyle w:val="ListBullet"/>
      </w:pPr>
      <w:r>
        <w:t>Ordinary CIT uses 6-year depreciation (100 deducted this year)</w:t>
      </w:r>
    </w:p>
    <w:p>
      <w:pPr>
        <w:pStyle w:val="ListBullet"/>
      </w:pPr>
      <w:r>
        <w:t>SPT uses immediate expensing (150 deducted immediately) plus uplift (18.6)</w:t>
      </w:r>
    </w:p>
    <w:p>
      <w:pPr>
        <w:pStyle w:val="ListBullet"/>
      </w:pPr>
      <w:r>
        <w:t>Total deductions: 100 + 150 + 18.6 = 268.6 against 150 actual investment</w:t>
      </w:r>
    </w:p>
    <w:p>
      <w:r>
        <w:t>The net tax benefit from immediate expensing and uplift is:</w:t>
      </w:r>
    </w:p>
    <w:p>
      <w:pPr>
        <w:shd w:fill="F0F0F0"/>
        <w:spacing w:after="0" w:line="240" w:lineRule="auto"/>
      </w:pPr>
      <w:r>
        <w:rPr>
          <w:rFonts w:ascii="Courier New" w:hAnsi="Courier New"/>
          <w:sz w:val="20"/>
        </w:rPr>
        <w:t>Additional deductions in SPT = (150 - 100) + 18.6 = 68.6</w:t>
      </w:r>
    </w:p>
    <w:p>
      <w:pPr>
        <w:shd w:fill="F0F0F0"/>
        <w:spacing w:after="0" w:line="240" w:lineRule="auto"/>
      </w:pPr>
      <w:r>
        <w:rPr>
          <w:rFonts w:ascii="Courier New" w:hAnsi="Courier New"/>
          <w:sz w:val="20"/>
        </w:rPr>
        <w:t>Tax benefit = 68.6 × 71.8% = 49.2 NOK million</w:t>
      </w:r>
    </w:p>
    <w:p/>
    <w:p>
      <w:r>
        <w:t>This 49.2 NOK million tax benefit will reverse over the next 5 years as depreciation for ordinary CIT continues while no further SPT deductions occur for this investment.</w:t>
      </w:r>
    </w:p>
    <w:p>
      <w:r>
        <w:rPr>
          <w:b/>
        </w:rPr>
        <w:t>Step 5 - After-Tax Cash Flow:</w:t>
      </w:r>
    </w:p>
    <w:p>
      <w:pPr>
        <w:shd w:fill="F0F0F0"/>
        <w:spacing w:after="0" w:line="240" w:lineRule="auto"/>
      </w:pPr>
      <w:r>
        <w:rPr>
          <w:rFonts w:ascii="Courier New" w:hAnsi="Courier New"/>
          <w:sz w:val="20"/>
        </w:rPr>
        <w:t>After-tax cash flow = Revenue - Opex - Investment - Total tax</w:t>
      </w:r>
    </w:p>
    <w:p>
      <w:pPr>
        <w:shd w:fill="F0F0F0"/>
        <w:spacing w:after="0" w:line="240" w:lineRule="auto"/>
      </w:pPr>
      <w:r>
        <w:rPr>
          <w:rFonts w:ascii="Courier New" w:hAnsi="Courier New"/>
          <w:sz w:val="20"/>
        </w:rPr>
        <w:t>= 1,000 - 200 - 150 - 607.3 = 42.7 NOK million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Alternative view (correcting for timing):</w:t>
      </w:r>
    </w:p>
    <w:p>
      <w:pPr>
        <w:shd w:fill="F0F0F0"/>
        <w:spacing w:after="0" w:line="240" w:lineRule="auto"/>
      </w:pPr>
      <w:r>
        <w:rPr>
          <w:rFonts w:ascii="Courier New" w:hAnsi="Courier New"/>
          <w:sz w:val="20"/>
        </w:rPr>
        <w:t>Net income = 700 (as calculated)</w:t>
      </w:r>
    </w:p>
    <w:p>
      <w:pPr>
        <w:shd w:fill="F0F0F0"/>
        <w:spacing w:after="0" w:line="240" w:lineRule="auto"/>
      </w:pPr>
      <w:r>
        <w:rPr>
          <w:rFonts w:ascii="Courier New" w:hAnsi="Courier New"/>
          <w:sz w:val="20"/>
        </w:rPr>
        <w:t>Tax on net income = 700 × 78% = 546 (nominal rate)</w:t>
      </w:r>
    </w:p>
    <w:p>
      <w:pPr>
        <w:shd w:fill="F0F0F0"/>
        <w:spacing w:after="0" w:line="240" w:lineRule="auto"/>
      </w:pPr>
      <w:r>
        <w:rPr>
          <w:rFonts w:ascii="Courier New" w:hAnsi="Courier New"/>
          <w:sz w:val="20"/>
        </w:rPr>
        <w:t>Uplift benefit = 18.6 × 71.8% = 13.4</w:t>
      </w:r>
    </w:p>
    <w:p>
      <w:pPr>
        <w:shd w:fill="F0F0F0"/>
        <w:spacing w:after="0" w:line="240" w:lineRule="auto"/>
      </w:pPr>
      <w:r>
        <w:rPr>
          <w:rFonts w:ascii="Courier New" w:hAnsi="Courier New"/>
          <w:sz w:val="20"/>
        </w:rPr>
        <w:t>Net tax (economic) = 546 - 13.4 = 532.6 NOK million</w:t>
      </w:r>
    </w:p>
    <w:p>
      <w:pPr>
        <w:shd w:fill="F0F0F0"/>
        <w:spacing w:after="0" w:line="240" w:lineRule="auto"/>
      </w:pPr>
      <w:r>
        <w:rPr>
          <w:rFonts w:ascii="Courier New" w:hAnsi="Courier New"/>
          <w:sz w:val="20"/>
        </w:rPr>
        <w:t>After-tax net income = 700 - 532.6 = 167.4 NOK million</w:t>
      </w:r>
    </w:p>
    <w:p/>
    <w:p>
      <w:r>
        <w:rPr>
          <w:b/>
        </w:rPr>
        <w:t>Key Observations:</w:t>
      </w:r>
    </w:p>
    <w:p>
      <w:pPr>
        <w:pStyle w:val="ListNumber"/>
      </w:pPr>
      <w:r>
        <w:t xml:space="preserve">The </w:t>
      </w:r>
      <w:r>
        <w:rPr>
          <w:b/>
        </w:rPr>
        <w:t>12.4% uplift</w:t>
      </w:r>
      <w:r>
        <w:t xml:space="preserve"> reduces the special tax base, providing a tax benefit of 8.9% of qualifying capital expenditure (12.4% × 71.8%)</w:t>
      </w:r>
    </w:p>
    <w:p>
      <w:pPr>
        <w:pStyle w:val="ListNumber"/>
      </w:pPr>
      <w:r>
        <w:rPr>
          <w:b/>
        </w:rPr>
        <w:t>Immediate expensing</w:t>
      </w:r>
      <w:r>
        <w:t xml:space="preserve"> in the special tax accelerates deductions, improving project cash flows</w:t>
      </w:r>
    </w:p>
    <w:p>
      <w:pPr>
        <w:pStyle w:val="ListNumber"/>
      </w:pPr>
      <w:r>
        <w:t xml:space="preserve">The </w:t>
      </w:r>
      <w:r>
        <w:rPr>
          <w:b/>
        </w:rPr>
        <w:t>78% marginal rate</w:t>
      </w:r>
      <w:r>
        <w:t xml:space="preserve"> applies to operating income; the effective rate on capital-intensive projects is reduced by uplift and timing benefits</w:t>
      </w:r>
    </w:p>
    <w:p>
      <w:pPr>
        <w:pStyle w:val="ListNumber"/>
      </w:pPr>
      <w:r>
        <w:t xml:space="preserve">The state effectively </w:t>
      </w:r>
      <w:r>
        <w:rPr>
          <w:b/>
        </w:rPr>
        <w:t>bears 78% of losses</w:t>
      </w:r>
      <w:r>
        <w:t xml:space="preserve"> through the tax system, creating genuine risk-sharing that incentivizes exploration and development despite high nominal rates</w:t>
      </w:r>
    </w:p>
    <w:p>
      <w:pPr>
        <w:spacing w:before="120" w:after="120"/>
        <w:pBdr>
          <w:bottom w:val="single" w:sz="6" w:space="1" w:color="auto"/>
        </w:pBdr>
      </w:pPr>
    </w:p>
    <w:p>
      <w:r>
        <w:rPr>
          <w:b/>
        </w:rPr>
        <w:t>Study Note Key Points:</w:t>
      </w:r>
    </w:p>
    <w:p>
      <w:pPr>
        <w:pStyle w:val="ListNumber"/>
      </w:pPr>
      <w:r>
        <w:t xml:space="preserve">Norway's petroleum tax combines </w:t>
      </w:r>
      <w:r>
        <w:rPr>
          <w:b/>
        </w:rPr>
        <w:t>22% ordinary CIT</w:t>
      </w:r>
      <w:r>
        <w:t xml:space="preserve"> and </w:t>
      </w:r>
      <w:r>
        <w:rPr>
          <w:b/>
        </w:rPr>
        <w:t>71.8% special petroleum tax</w:t>
      </w:r>
      <w:r>
        <w:t xml:space="preserve"> (technical rate) for a </w:t>
      </w:r>
      <w:r>
        <w:rPr>
          <w:b/>
        </w:rPr>
        <w:t>78% combined marginal rate</w:t>
      </w:r>
    </w:p>
    <w:p>
      <w:pPr>
        <w:pStyle w:val="ListNumber"/>
      </w:pPr>
      <w:r>
        <w:rPr>
          <w:b/>
        </w:rPr>
        <w:t>Petroleum Tax Act</w:t>
      </w:r>
      <w:r>
        <w:t xml:space="preserve"> of </w:t>
      </w:r>
      <w:r>
        <w:rPr>
          <w:b/>
        </w:rPr>
        <w:t>13 June 1975 No. 35</w:t>
      </w:r>
      <w:r>
        <w:t xml:space="preserve"> establishes the special tax regime; ordinary CIT governed by Income Tax Act (Skatteloven)</w:t>
      </w:r>
    </w:p>
    <w:p>
      <w:pPr>
        <w:pStyle w:val="ListNumber"/>
      </w:pPr>
      <w:r>
        <w:rPr>
          <w:b/>
        </w:rPr>
        <w:t>Uplift mechanism</w:t>
      </w:r>
      <w:r>
        <w:t xml:space="preserve">: Currently </w:t>
      </w:r>
      <w:r>
        <w:rPr>
          <w:b/>
        </w:rPr>
        <w:t>12.4%</w:t>
      </w:r>
      <w:r>
        <w:t xml:space="preserve"> of qualifying capital expenditure (2023), deducted against special tax only, reducing effective tax rates on capital-intensive projects</w:t>
      </w:r>
    </w:p>
    <w:p>
      <w:pPr>
        <w:pStyle w:val="ListNumber"/>
      </w:pPr>
      <w:r>
        <w:rPr>
          <w:b/>
        </w:rPr>
        <w:t>Cash flow tax</w:t>
      </w:r>
      <w:r>
        <w:t xml:space="preserve"> introduced 2022: Immediate expensing of investments for special tax purposes; 6-year linear depreciation continues for ordinary CIT</w:t>
      </w:r>
    </w:p>
    <w:p>
      <w:pPr>
        <w:pStyle w:val="ListNumber"/>
      </w:pPr>
      <w:r>
        <w:rPr>
          <w:b/>
        </w:rPr>
        <w:t>Ring-fencing</w:t>
      </w:r>
      <w:r>
        <w:t>: Petroleum activities taxed separately from other business; losses cannot offset non-petroleum income</w:t>
      </w:r>
    </w:p>
    <w:p>
      <w:pPr>
        <w:pStyle w:val="ListNumber"/>
      </w:pPr>
      <w:r>
        <w:rPr>
          <w:b/>
        </w:rPr>
        <w:t>Loss carry-forward with interest</w:t>
      </w:r>
      <w:r>
        <w:t>: Indefinite carry-forward period with annual interest uplift based on government bond yields, preserving real value</w:t>
      </w:r>
    </w:p>
    <w:p>
      <w:pPr>
        <w:pStyle w:val="ListNumber"/>
      </w:pPr>
      <w:r>
        <w:rPr>
          <w:b/>
        </w:rPr>
        <w:t>SDFI</w:t>
      </w:r>
      <w:r>
        <w:t>: State Direct Financial Interest managed by Petoro AS represents ~24% of oil reserves and ~41.6% of gas reserves, providing direct state participation beyond taxation</w:t>
      </w:r>
    </w:p>
    <w:p>
      <w:pPr>
        <w:pStyle w:val="ListNumber"/>
      </w:pPr>
      <w:r>
        <w:rPr>
          <w:b/>
        </w:rPr>
        <w:t>Dividend withholding tax exemption</w:t>
      </w:r>
      <w:r>
        <w:t>: 0% withholding on dividends paid from petroleum income if recipient owns ≥25% of capital (otherwise 25% standard rate)</w:t>
      </w:r>
    </w:p>
    <w:p>
      <w:pPr>
        <w:pStyle w:val="ListNumber"/>
      </w:pPr>
      <w:r>
        <w:rPr>
          <w:b/>
        </w:rPr>
        <w:t>Temporary COVID measures (2020)</w:t>
      </w:r>
      <w:r>
        <w:t>: 24% uplift and immediate expensing for investments under PDOs approved before 1 Jan 2024; permanent cash flow tax began 2022</w:t>
      </w:r>
    </w:p>
    <w:p>
      <w:pPr>
        <w:pStyle w:val="ListNumber"/>
      </w:pPr>
      <w:r>
        <w:t>Norway's regime balances high government take (78% marginal rate) with investment incentives (uplift, immediate expensing, loss carry-forward with interest) creating effective public-private risk-sharing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