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tax examples United Kingdom</w:t>
      </w:r>
    </w:p>
    <w:p>
      <w:pPr>
        <w:pStyle w:val="Heading1"/>
      </w:pPr>
      <w:r>
        <w:t>United Kingdom - Country Tax Example for Energy Resources</w:t>
      </w:r>
    </w:p>
    <w:p>
      <w:pPr>
        <w:pStyle w:val="Heading2"/>
      </w:pPr>
      <w:r>
        <w:t>ADIT Energy Resources Module 3.04 - Study Note</w:t>
      </w:r>
    </w:p>
    <w:p>
      <w:r>
        <w:rPr>
          <w:b/>
        </w:rPr>
        <w:t>Knowledge Level:</w:t>
      </w:r>
      <w:r>
        <w:t xml:space="preserve"> Broad (Level 1)</w:t>
      </w:r>
    </w:p>
    <w:p>
      <w:pPr>
        <w:spacing w:before="120" w:after="120"/>
        <w:pBdr>
          <w:bottom w:val="single" w:sz="6" w:space="1" w:color="auto"/>
        </w:pBdr>
      </w:pPr>
    </w:p>
    <w:p>
      <w:pPr>
        <w:pStyle w:val="Heading2"/>
      </w:pPr>
      <w:r>
        <w:t>1. Core Framework and Statutory Basis</w:t>
      </w:r>
    </w:p>
    <w:p>
      <w:r>
        <w:t xml:space="preserve">The </w:t>
      </w:r>
      <w:r>
        <w:rPr>
          <w:b/>
        </w:rPr>
        <w:t>United Kingdom petroleum fiscal regime</w:t>
      </w:r>
      <w:r>
        <w:t xml:space="preserve"> applies to oil and gas extraction in the UK Continental Shelf (UKCS), primarily the North Sea, creating one of the world's most complex multi-tier hydrocarbon tax regimes. The regime combines standard corporate taxation with petroleum-specific charges and a temporary windfall profits levy, resulting in combined marginal rates significantly higher than non-ring fence corporation tax. This structure reflects the UK's policy objective of capturing resource rents from hydrocarbon production while maintaining investment incentives through capital allowances and decommissioning relief provisions.</w:t>
      </w:r>
    </w:p>
    <w:p>
      <w:pPr>
        <w:pStyle w:val="Heading3"/>
      </w:pPr>
      <w:r>
        <w:t>1.1 Legislative Framework</w:t>
      </w:r>
    </w:p>
    <w:p>
      <w:r>
        <w:rPr>
          <w:b/>
        </w:rPr>
        <w:t>Primary Legislation:</w:t>
      </w:r>
    </w:p>
    <w:p>
      <w:pPr>
        <w:pStyle w:val="ListBullet"/>
      </w:pPr>
      <w:r>
        <w:rPr>
          <w:b/>
        </w:rPr>
        <w:t>Petroleum Act 1998</w:t>
      </w:r>
      <w:r>
        <w:t>: Establishes the licensing framework for petroleum exploration and production on the UK Continental Shelf; vests petroleum rights in the Crown; empowers the North Sea Transition Authority to grant production licenses</w:t>
      </w:r>
    </w:p>
    <w:p>
      <w:pPr>
        <w:pStyle w:val="ListBullet"/>
      </w:pPr>
      <w:r>
        <w:rPr>
          <w:b/>
        </w:rPr>
        <w:t>Energy (Oil and Gas) Profits Levy Act 2022</w:t>
      </w:r>
      <w:r>
        <w:t xml:space="preserve">: Introduced the Energy Profits Levy (windfall tax) with effect from </w:t>
      </w:r>
      <w:r>
        <w:rPr>
          <w:b/>
        </w:rPr>
        <w:t>26 May 2022</w:t>
      </w:r>
      <w:r>
        <w:t xml:space="preserve">; received Royal Assent on </w:t>
      </w:r>
      <w:r>
        <w:rPr>
          <w:b/>
        </w:rPr>
        <w:t>14 July 2022</w:t>
      </w:r>
    </w:p>
    <w:p>
      <w:pPr>
        <w:pStyle w:val="ListBullet"/>
      </w:pPr>
      <w:r>
        <w:rPr>
          <w:b/>
        </w:rPr>
        <w:t>Finance Act 2023</w:t>
      </w:r>
      <w:r>
        <w:t xml:space="preserve">: Increased Energy Profits Levy rate from 25% to 35% effective </w:t>
      </w:r>
      <w:r>
        <w:rPr>
          <w:b/>
        </w:rPr>
        <w:t>1 January 2023</w:t>
      </w:r>
      <w:r>
        <w:t xml:space="preserve"> (sections 1-3); extended sunset clause to 31 March 2028 (subsequently extended to 31 March 2030)</w:t>
      </w:r>
    </w:p>
    <w:p>
      <w:pPr>
        <w:pStyle w:val="ListBullet"/>
      </w:pPr>
      <w:r>
        <w:rPr>
          <w:b/>
        </w:rPr>
        <w:t>Corporation Tax Act 2010 (Part 8)</w:t>
      </w:r>
      <w:r>
        <w:t>: Ring fence corporation tax provisions applying to oil extraction activities and oil rights (Chapters 2-5 covering definitions, deemed separate trade, and profit calculation)</w:t>
      </w:r>
    </w:p>
    <w:p>
      <w:pPr>
        <w:pStyle w:val="ListBullet"/>
      </w:pPr>
      <w:r>
        <w:rPr>
          <w:b/>
        </w:rPr>
        <w:t>Oil Taxation Act 1975</w:t>
      </w:r>
      <w:r>
        <w:t xml:space="preserve">: Established Petroleum Revenue Tax (PRT) regime; received Royal Assent on </w:t>
      </w:r>
      <w:r>
        <w:rPr>
          <w:b/>
        </w:rPr>
        <w:t>8 May 1975</w:t>
      </w:r>
      <w:r>
        <w:t xml:space="preserve">; PRT rate reduced to 0% from </w:t>
      </w:r>
      <w:r>
        <w:rPr>
          <w:b/>
        </w:rPr>
        <w:t>1 January 2016</w:t>
      </w:r>
      <w:r>
        <w:t xml:space="preserve"> (effectively zero-rated rather than abolished to enable loss carry-back)</w:t>
      </w:r>
    </w:p>
    <w:p>
      <w:pPr>
        <w:pStyle w:val="ListBullet"/>
      </w:pPr>
      <w:r>
        <w:rPr>
          <w:b/>
        </w:rPr>
        <w:t>Finance Act 2002</w:t>
      </w:r>
      <w:r>
        <w:t xml:space="preserve">: Introduced Supplementary Charge on ring fence profits effective </w:t>
      </w:r>
      <w:r>
        <w:rPr>
          <w:b/>
        </w:rPr>
        <w:t>17 April 2002</w:t>
      </w:r>
      <w:r>
        <w:t xml:space="preserve"> (provisions now consolidated in Corporation Tax Act 2010 following repeal of original sections)</w:t>
      </w:r>
    </w:p>
    <w:p>
      <w:r>
        <w:rPr>
          <w:b/>
        </w:rPr>
        <w:t>Regulatory Authority:</w:t>
      </w:r>
      <w:r>
        <w:t xml:space="preserve"> </w:t>
      </w:r>
      <w:r>
        <w:rPr>
          <w:b/>
        </w:rPr>
        <w:t>North Sea Transition Authority (NSTA)</w:t>
      </w:r>
      <w:r>
        <w:t xml:space="preserve"> (formerly the Oil &amp; Gas Authority) issues production licenses under the Petroleum Act 1998, monitors decommissioning obligations, and ensures compliance with operational requirements under the Offshore Petroleum Licensing (Offshore Safety Directive) Regulations 2015. </w:t>
      </w:r>
      <w:r>
        <w:rPr>
          <w:b/>
        </w:rPr>
        <w:t>HM Revenue &amp; Customs (HMRC)</w:t>
      </w:r>
      <w:r>
        <w:t xml:space="preserve"> administers petroleum taxation. License holders pay no upfront signature bonuses but face multi-tier taxation on profits.</w:t>
      </w:r>
    </w:p>
    <w:p>
      <w:r>
        <w:rPr>
          <w:b/>
        </w:rPr>
        <w:t>Licensing System:</w:t>
      </w:r>
      <w:r>
        <w:t xml:space="preserve"> The NSTA grants production licenses conferring exclusive rights to "search and bore for and get" petroleum in defined areas of the UKCS. Licenses distinguish between exploration licenses (exploration only) and production licenses (exploration and production), with separate onshore and offshore licensing regimes.</w:t>
      </w:r>
    </w:p>
    <w:p>
      <w:pPr>
        <w:pStyle w:val="Heading2"/>
      </w:pPr>
      <w:r>
        <w:t>2. Technical Rules - UK Petroleum Tax Structure</w:t>
      </w:r>
    </w:p>
    <w:p>
      <w:pPr>
        <w:pStyle w:val="Heading3"/>
      </w:pPr>
      <w:r>
        <w:t>2.1 Multi-Tier Tax Regime</w:t>
      </w:r>
    </w:p>
    <w:p>
      <w:r>
        <w:t xml:space="preserve">UK petroleum companies operating in the ring fence trade face </w:t>
      </w:r>
      <w:r>
        <w:rPr>
          <w:b/>
        </w:rPr>
        <w:t>three separate profit-based taxes</w:t>
      </w:r>
      <w:r>
        <w:t xml:space="preserve"> calculated on adjusted tax bases:</w:t>
      </w:r>
    </w:p>
    <w:p>
      <w:r>
        <w:rPr>
          <w:b/>
        </w:rPr>
        <w:t>Ring Fence Corporation Tax (RF CT):</w:t>
      </w:r>
      <w:r>
        <w:t xml:space="preserve"> </w:t>
      </w:r>
      <w:r>
        <w:rPr>
          <w:b/>
        </w:rPr>
        <w:t>30%</w:t>
      </w:r>
      <w:r>
        <w:t xml:space="preserve"> main rate (Corporation Tax Act 2010, Part 8, Chapter 5) on ring fence profits. The ring fence prevents companies from reducing taxable profits from oil and gas extraction by losses from other activities or by excessive interest payments. A small profits rate of </w:t>
      </w:r>
      <w:r>
        <w:rPr>
          <w:b/>
        </w:rPr>
        <w:t>19%</w:t>
      </w:r>
      <w:r>
        <w:t xml:space="preserve"> applies to ring fence profits up to £50,000, with marginal relief applying between £50,001 and £250,000 (profit limits effective from 1 April 2023, replacing prior thresholds of £300,000 and £1.5 million).</w:t>
      </w:r>
    </w:p>
    <w:p>
      <w:r>
        <w:rPr>
          <w:b/>
        </w:rPr>
        <w:t>Ring-Fencing Mechanism:</w:t>
      </w:r>
      <w:r>
        <w:t xml:space="preserve"> Ring fence profits are taxed separately from non-ring fence business operations. Non-ring fence losses cannot offset ring fence profits. Group relief is restricted to ring fence profits and losses, with limited exceptions for decommissioning. The ring fence trade encompasses oil extraction activities and activities involving the acquisition, enjoyment, or exploitation of oil rights in the UK or designated areas (UK Continental Shelf).</w:t>
      </w:r>
    </w:p>
    <w:p>
      <w:r>
        <w:rPr>
          <w:b/>
        </w:rPr>
        <w:t>Supplementary Charge (SC):</w:t>
      </w:r>
      <w:r>
        <w:t xml:space="preserve"> </w:t>
      </w:r>
      <w:r>
        <w:rPr>
          <w:b/>
        </w:rPr>
        <w:t>10%</w:t>
      </w:r>
      <w:r>
        <w:t xml:space="preserve"> rate (Corporation Tax Act 2010, consolidating provisions originally introduced by Finance Act 2002) on adjusted ring fence profits. The SC base excludes financing cost deductions, creating a pseudo-cash flow tax element that prevents interest deductions from reducing the supplementary charge liability. An </w:t>
      </w:r>
      <w:r>
        <w:rPr>
          <w:b/>
        </w:rPr>
        <w:t>80% investment allowance</w:t>
      </w:r>
      <w:r>
        <w:t xml:space="preserve"> is available against qualifying capital expenditure, reducing the SC tax base.</w:t>
      </w:r>
    </w:p>
    <w:p>
      <w:r>
        <w:rPr>
          <w:b/>
        </w:rPr>
        <w:t>Historical SC Rate Evolution:</w:t>
      </w:r>
    </w:p>
    <w:p>
      <w:pPr>
        <w:pStyle w:val="ListBullet"/>
      </w:pPr>
      <w:r>
        <w:t>2002-2005: 10%</w:t>
      </w:r>
    </w:p>
    <w:p>
      <w:pPr>
        <w:pStyle w:val="ListBullet"/>
      </w:pPr>
      <w:r>
        <w:t>2006-2010: 20%</w:t>
      </w:r>
    </w:p>
    <w:p>
      <w:pPr>
        <w:pStyle w:val="ListBullet"/>
      </w:pPr>
      <w:r>
        <w:t>2011-2014: 32%</w:t>
      </w:r>
    </w:p>
    <w:p>
      <w:pPr>
        <w:pStyle w:val="ListBullet"/>
      </w:pPr>
      <w:r>
        <w:t>2015: 20%</w:t>
      </w:r>
    </w:p>
    <w:p>
      <w:pPr>
        <w:pStyle w:val="ListBullet"/>
      </w:pPr>
      <w:r>
        <w:t>2016-present: 10%</w:t>
      </w:r>
    </w:p>
    <w:p>
      <w:r>
        <w:rPr>
          <w:b/>
        </w:rPr>
        <w:t>Energy Profits Levy (EPL):</w:t>
      </w:r>
      <w:r>
        <w:t xml:space="preserve"> </w:t>
      </w:r>
      <w:r>
        <w:rPr>
          <w:b/>
        </w:rPr>
        <w:t>35%</w:t>
      </w:r>
      <w:r>
        <w:t xml:space="preserve"> rate (Energy [Oil and Gas] Profits Levy Act 2022 as amended by Finance Act 2023, section 1) on adjusted ring fence profits. Temporary windfall tax introduced </w:t>
      </w:r>
      <w:r>
        <w:rPr>
          <w:b/>
        </w:rPr>
        <w:t>26 May 2022</w:t>
      </w:r>
      <w:r>
        <w:t xml:space="preserve"> at 25% rate, increased to 35% effective </w:t>
      </w:r>
      <w:r>
        <w:rPr>
          <w:b/>
        </w:rPr>
        <w:t>1 January 2023</w:t>
      </w:r>
      <w:r>
        <w:t xml:space="preserve">. Current sunset date: </w:t>
      </w:r>
      <w:r>
        <w:rPr>
          <w:b/>
        </w:rPr>
        <w:t>31 March 2030</w:t>
      </w:r>
      <w:r>
        <w:t xml:space="preserve"> (extended from original 31 December 2025 sunset to 31 March 2028 in November 2022 Autumn Statement, further extended to 31 March 2029 in Spring Budget 2024, and to 31 March 2030 in October 2024). The EPL can terminate earlier if oil and gas prices both fall to thresholds set out in the Energy Security Investment Mechanism for a sustained period.</w:t>
      </w:r>
    </w:p>
    <w:p>
      <w:r>
        <w:rPr>
          <w:b/>
        </w:rPr>
        <w:t>EPL Investment Allowance:</w:t>
      </w:r>
      <w:r>
        <w:t xml:space="preserve"> Originally </w:t>
      </w:r>
      <w:r>
        <w:rPr>
          <w:b/>
        </w:rPr>
        <w:t>80%</w:t>
      </w:r>
      <w:r>
        <w:t xml:space="preserve"> of qualifying capital expenditure (May 2022-December 2022), providing tax relief of approximately 91p per £1 invested. The general investment allowance was reduced to </w:t>
      </w:r>
      <w:r>
        <w:rPr>
          <w:b/>
        </w:rPr>
        <w:t>29%</w:t>
      </w:r>
      <w:r>
        <w:t xml:space="preserve"> for the period 1 January 2023 to 31 October 2024 (reduction designed to maintain cash value of relief following EPL rate increase from 25% to 35%), then </w:t>
      </w:r>
      <w:r>
        <w:rPr>
          <w:b/>
        </w:rPr>
        <w:t>abolished</w:t>
      </w:r>
      <w:r>
        <w:t xml:space="preserve"> for qualifying expenditure incurred on or after </w:t>
      </w:r>
      <w:r>
        <w:rPr>
          <w:b/>
        </w:rPr>
        <w:t>1 November 2024</w:t>
      </w:r>
      <w:r>
        <w:t xml:space="preserve">. The </w:t>
      </w:r>
      <w:r>
        <w:rPr>
          <w:b/>
        </w:rPr>
        <w:t>80% decarbonisation allowance</w:t>
      </w:r>
      <w:r>
        <w:t xml:space="preserve"> for upstream decarbonisation expenditure (platform electrification, carbon capture and storage infrastructure, hydrogen facilities, and emissions reduction equipment) has been retained.</w:t>
      </w:r>
    </w:p>
    <w:p>
      <w:r>
        <w:rPr>
          <w:b/>
        </w:rPr>
        <w:t>EPL Loss Restrictions:</w:t>
      </w:r>
      <w:r>
        <w:t xml:space="preserve"> Pre-commencement losses (incurred before 26 May 2022) cannot reduce EPL liability. Only post-commencement losses (arising on or after 26 May 2022) can offset EPL profits. Ring fence losses can be carried forward indefinitely for RF CT and SC purposes.</w:t>
      </w:r>
    </w:p>
    <w:p>
      <w:pPr>
        <w:pStyle w:val="Heading3"/>
      </w:pPr>
      <w:r>
        <w:t>2.2 Combined Tax Rate and Evolution</w:t>
      </w:r>
    </w:p>
    <w:p>
      <w:r>
        <w:t>The combined marginal tax rate applies sequentially, with each subsequent charge calculated on profits net of previous taxes: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Tax Component</w:t>
            </w:r>
          </w:p>
        </w:tc>
        <w:tc>
          <w:tcPr>
            <w:tcW w:type="dxa" w:w="2880"/>
          </w:tcPr>
          <w:p>
            <w:r>
              <w:rPr>
                <w:b/>
              </w:rPr>
            </w:r>
            <w:r>
              <w:rPr>
                <w:b/>
              </w:rPr>
              <w:t>Rate</w:t>
            </w:r>
          </w:p>
        </w:tc>
        <w:tc>
          <w:tcPr>
            <w:tcW w:type="dxa" w:w="2880"/>
          </w:tcPr>
          <w:p>
            <w:r>
              <w:rPr>
                <w:b/>
              </w:rPr>
            </w:r>
            <w:r>
              <w:rPr>
                <w:b/>
              </w:rPr>
              <w:t>Cumulative Marginal Rate</w:t>
            </w:r>
          </w:p>
        </w:tc>
      </w:tr>
      <w:tr>
        <w:tc>
          <w:tcPr>
            <w:tcW w:type="dxa" w:w="2880"/>
          </w:tcPr>
          <w:p>
            <w:r/>
            <w:r>
              <w:t>Ring Fence Corporation Tax</w:t>
            </w:r>
          </w:p>
        </w:tc>
        <w:tc>
          <w:tcPr>
            <w:tcW w:type="dxa" w:w="2880"/>
          </w:tcPr>
          <w:p>
            <w:r/>
            <w:r>
              <w:t>30.0%</w:t>
            </w:r>
          </w:p>
        </w:tc>
        <w:tc>
          <w:tcPr>
            <w:tcW w:type="dxa" w:w="2880"/>
          </w:tcPr>
          <w:p>
            <w:r/>
            <w:r>
              <w:t>30.0%</w:t>
            </w:r>
          </w:p>
        </w:tc>
      </w:tr>
      <w:tr>
        <w:tc>
          <w:tcPr>
            <w:tcW w:type="dxa" w:w="2880"/>
          </w:tcPr>
          <w:p>
            <w:r/>
            <w:r>
              <w:t>Supplementary Charge</w:t>
            </w:r>
          </w:p>
        </w:tc>
        <w:tc>
          <w:tcPr>
            <w:tcW w:type="dxa" w:w="2880"/>
          </w:tcPr>
          <w:p>
            <w:r/>
            <w:r>
              <w:t>10.0%</w:t>
            </w:r>
          </w:p>
        </w:tc>
        <w:tc>
          <w:tcPr>
            <w:tcW w:type="dxa" w:w="2880"/>
          </w:tcPr>
          <w:p>
            <w:r/>
            <w:r>
              <w:t>37.0%</w:t>
            </w:r>
          </w:p>
        </w:tc>
      </w:tr>
      <w:tr>
        <w:tc>
          <w:tcPr>
            <w:tcW w:type="dxa" w:w="2880"/>
          </w:tcPr>
          <w:p>
            <w:r/>
            <w:r>
              <w:t>Energy Profits Levy</w:t>
            </w:r>
          </w:p>
        </w:tc>
        <w:tc>
          <w:tcPr>
            <w:tcW w:type="dxa" w:w="2880"/>
          </w:tcPr>
          <w:p>
            <w:r/>
            <w:r>
              <w:t>35.0%</w:t>
            </w:r>
          </w:p>
        </w:tc>
        <w:tc>
          <w:tcPr>
            <w:tcW w:type="dxa" w:w="2880"/>
          </w:tcPr>
          <w:p>
            <w:r/>
            <w:r>
              <w:rPr>
                <w:b/>
              </w:rPr>
              <w:t>75.25%</w:t>
            </w:r>
          </w:p>
        </w:tc>
      </w:tr>
    </w:tbl>
    <w:p/>
    <w:p>
      <w:r>
        <w:rPr>
          <w:b/>
        </w:rPr>
        <w:t>Combined Rate Calculation:</w:t>
      </w:r>
    </w:p>
    <w:p>
      <w:pPr>
        <w:shd w:fill="F0F0F0"/>
        <w:spacing w:after="0" w:line="240" w:lineRule="auto"/>
      </w:pPr>
      <w:r>
        <w:rPr>
          <w:rFonts w:ascii="Courier New" w:hAnsi="Courier New"/>
          <w:sz w:val="20"/>
        </w:rPr>
        <w:t>Cumulative rate = CT + (SC × [1 - CT]) + (EPL × [1 - CT - SC adjusted])</w:t>
      </w:r>
    </w:p>
    <w:p>
      <w:pPr>
        <w:shd w:fill="F0F0F0"/>
        <w:spacing w:after="0" w:line="240" w:lineRule="auto"/>
      </w:pPr>
      <w:r>
        <w:rPr>
          <w:rFonts w:ascii="Courier New" w:hAnsi="Courier New"/>
          <w:sz w:val="20"/>
        </w:rPr>
        <w:t>= 30% + (10% × 70%) + (35% × 62%)</w:t>
      </w:r>
    </w:p>
    <w:p>
      <w:pPr>
        <w:shd w:fill="F0F0F0"/>
        <w:spacing w:after="0" w:line="240" w:lineRule="auto"/>
      </w:pPr>
      <w:r>
        <w:rPr>
          <w:rFonts w:ascii="Courier New" w:hAnsi="Courier New"/>
          <w:sz w:val="20"/>
        </w:rPr>
        <w:t>= 30% + 7% + 21.7% (approximately)</w:t>
      </w:r>
    </w:p>
    <w:p>
      <w:pPr>
        <w:shd w:fill="F0F0F0"/>
        <w:spacing w:after="0" w:line="240" w:lineRule="auto"/>
      </w:pPr>
      <w:r>
        <w:rPr>
          <w:rFonts w:ascii="Courier New" w:hAnsi="Courier New"/>
          <w:sz w:val="20"/>
        </w:rPr>
        <w:t>= 58.7% (before EPL)</w:t>
      </w:r>
    </w:p>
    <w:p>
      <w:pPr>
        <w:shd w:fill="F0F0F0"/>
        <w:spacing w:after="0" w:line="240" w:lineRule="auto"/>
      </w:pPr>
      <w:r>
        <w:rPr>
          <w:rFonts w:ascii="Courier New" w:hAnsi="Courier New"/>
          <w:sz w:val="20"/>
        </w:rPr>
        <w:t>Combined with EPL = 75.25%</w:t>
      </w:r>
    </w:p>
    <w:p/>
    <w:p>
      <w:r>
        <w:rPr>
          <w:b/>
        </w:rPr>
        <w:t>Tax Regime Evolution: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Period</w:t>
            </w:r>
          </w:p>
        </w:tc>
        <w:tc>
          <w:tcPr>
            <w:tcW w:type="dxa" w:w="1728"/>
          </w:tcPr>
          <w:p>
            <w:r>
              <w:rPr>
                <w:b/>
              </w:rPr>
            </w:r>
            <w:r>
              <w:rPr>
                <w:b/>
              </w:rPr>
              <w:t>RF CT</w:t>
            </w:r>
          </w:p>
        </w:tc>
        <w:tc>
          <w:tcPr>
            <w:tcW w:type="dxa" w:w="1728"/>
          </w:tcPr>
          <w:p>
            <w:r>
              <w:rPr>
                <w:b/>
              </w:rPr>
            </w:r>
            <w:r>
              <w:rPr>
                <w:b/>
              </w:rPr>
              <w:t>SC</w:t>
            </w:r>
          </w:p>
        </w:tc>
        <w:tc>
          <w:tcPr>
            <w:tcW w:type="dxa" w:w="1728"/>
          </w:tcPr>
          <w:p>
            <w:r>
              <w:rPr>
                <w:b/>
              </w:rPr>
            </w:r>
            <w:r>
              <w:rPr>
                <w:b/>
              </w:rPr>
              <w:t>EPL</w:t>
            </w:r>
          </w:p>
        </w:tc>
        <w:tc>
          <w:tcPr>
            <w:tcW w:type="dxa" w:w="1728"/>
          </w:tcPr>
          <w:p>
            <w:r>
              <w:rPr>
                <w:b/>
              </w:rPr>
            </w:r>
            <w:r>
              <w:rPr>
                <w:b/>
              </w:rPr>
              <w:t>Combined Marginal Rate</w:t>
            </w:r>
          </w:p>
        </w:tc>
      </w:tr>
      <w:tr>
        <w:tc>
          <w:tcPr>
            <w:tcW w:type="dxa" w:w="1728"/>
          </w:tcPr>
          <w:p>
            <w:r/>
            <w:r>
              <w:t>Pre-May 2022</w:t>
            </w:r>
          </w:p>
        </w:tc>
        <w:tc>
          <w:tcPr>
            <w:tcW w:type="dxa" w:w="1728"/>
          </w:tcPr>
          <w:p>
            <w:r/>
            <w:r>
              <w:t>30%</w:t>
            </w:r>
          </w:p>
        </w:tc>
        <w:tc>
          <w:tcPr>
            <w:tcW w:type="dxa" w:w="1728"/>
          </w:tcPr>
          <w:p>
            <w:r/>
            <w:r>
              <w:t>10%</w:t>
            </w:r>
          </w:p>
        </w:tc>
        <w:tc>
          <w:tcPr>
            <w:tcW w:type="dxa" w:w="1728"/>
          </w:tcPr>
          <w:p>
            <w:r/>
            <w:r>
              <w:t>-</w:t>
            </w:r>
          </w:p>
        </w:tc>
        <w:tc>
          <w:tcPr>
            <w:tcW w:type="dxa" w:w="1728"/>
          </w:tcPr>
          <w:p>
            <w:r/>
            <w:r>
              <w:t>40.0%</w:t>
            </w:r>
          </w:p>
        </w:tc>
      </w:tr>
      <w:tr>
        <w:tc>
          <w:tcPr>
            <w:tcW w:type="dxa" w:w="1728"/>
          </w:tcPr>
          <w:p>
            <w:r/>
            <w:r>
              <w:t>26 May 2022 - 31 Dec 2022</w:t>
            </w:r>
          </w:p>
        </w:tc>
        <w:tc>
          <w:tcPr>
            <w:tcW w:type="dxa" w:w="1728"/>
          </w:tcPr>
          <w:p>
            <w:r/>
            <w:r>
              <w:t>30%</w:t>
            </w:r>
          </w:p>
        </w:tc>
        <w:tc>
          <w:tcPr>
            <w:tcW w:type="dxa" w:w="1728"/>
          </w:tcPr>
          <w:p>
            <w:r/>
            <w:r>
              <w:t>10%</w:t>
            </w:r>
          </w:p>
        </w:tc>
        <w:tc>
          <w:tcPr>
            <w:tcW w:type="dxa" w:w="1728"/>
          </w:tcPr>
          <w:p>
            <w:r/>
            <w:r>
              <w:t>25%</w:t>
            </w:r>
          </w:p>
        </w:tc>
        <w:tc>
          <w:tcPr>
            <w:tcW w:type="dxa" w:w="1728"/>
          </w:tcPr>
          <w:p>
            <w:r/>
            <w:r>
              <w:t>69.4%</w:t>
            </w:r>
          </w:p>
        </w:tc>
      </w:tr>
      <w:tr>
        <w:tc>
          <w:tcPr>
            <w:tcW w:type="dxa" w:w="1728"/>
          </w:tcPr>
          <w:p>
            <w:r/>
            <w:r>
              <w:t>1 Jan 2023 - Present</w:t>
            </w:r>
          </w:p>
        </w:tc>
        <w:tc>
          <w:tcPr>
            <w:tcW w:type="dxa" w:w="1728"/>
          </w:tcPr>
          <w:p>
            <w:r/>
            <w:r>
              <w:t>30%</w:t>
            </w:r>
          </w:p>
        </w:tc>
        <w:tc>
          <w:tcPr>
            <w:tcW w:type="dxa" w:w="1728"/>
          </w:tcPr>
          <w:p>
            <w:r/>
            <w:r>
              <w:t>10%</w:t>
            </w:r>
          </w:p>
        </w:tc>
        <w:tc>
          <w:tcPr>
            <w:tcW w:type="dxa" w:w="1728"/>
          </w:tcPr>
          <w:p>
            <w:r/>
            <w:r>
              <w:t>35%</w:t>
            </w:r>
          </w:p>
        </w:tc>
        <w:tc>
          <w:tcPr>
            <w:tcW w:type="dxa" w:w="1728"/>
          </w:tcPr>
          <w:p>
            <w:r/>
            <w:r>
              <w:t>75.25%</w:t>
            </w:r>
          </w:p>
        </w:tc>
      </w:tr>
      <w:tr>
        <w:tc>
          <w:tcPr>
            <w:tcW w:type="dxa" w:w="1728"/>
          </w:tcPr>
          <w:p>
            <w:r/>
            <w:r>
              <w:t>Post-31 March 2030 (planned)</w:t>
            </w:r>
          </w:p>
        </w:tc>
        <w:tc>
          <w:tcPr>
            <w:tcW w:type="dxa" w:w="1728"/>
          </w:tcPr>
          <w:p>
            <w:r/>
            <w:r>
              <w:t>30%</w:t>
            </w:r>
          </w:p>
        </w:tc>
        <w:tc>
          <w:tcPr>
            <w:tcW w:type="dxa" w:w="1728"/>
          </w:tcPr>
          <w:p>
            <w:r/>
            <w:r>
              <w:t>10%</w:t>
            </w:r>
          </w:p>
        </w:tc>
        <w:tc>
          <w:tcPr>
            <w:tcW w:type="dxa" w:w="1728"/>
          </w:tcPr>
          <w:p>
            <w:r/>
            <w:r>
              <w:t>-</w:t>
            </w:r>
          </w:p>
        </w:tc>
        <w:tc>
          <w:tcPr>
            <w:tcW w:type="dxa" w:w="1728"/>
          </w:tcPr>
          <w:p>
            <w:r/>
            <w:r>
              <w:t>40.0%</w:t>
            </w:r>
          </w:p>
        </w:tc>
      </w:tr>
    </w:tbl>
    <w:p/>
    <w:p>
      <w:pPr>
        <w:pStyle w:val="Heading3"/>
      </w:pPr>
      <w:r>
        <w:t>2.3 Capital Allowances and Investment Incentives</w:t>
      </w:r>
    </w:p>
    <w:p>
      <w:r>
        <w:rPr>
          <w:b/>
        </w:rPr>
        <w:t>Full Expensing (100% First-Year Allowances):</w:t>
      </w:r>
      <w:r>
        <w:t xml:space="preserve"> Immediate 100% deduction for qualifying capital expenditure on production installations, petroleum pipelines, long-term assets for enhanced oil recovery, and certain offshore machinery and plant. This accelerates tax relief by allowing full deduction in the year of expenditure rather than over the asset's life.</w:t>
      </w:r>
    </w:p>
    <w:p>
      <w:r>
        <w:rPr>
          <w:b/>
        </w:rPr>
        <w:t>Investment Allowances (SC and EPL):</w:t>
      </w:r>
      <w:r>
        <w:t xml:space="preserve"> </w:t>
      </w:r>
      <w:r>
        <w:rPr>
          <w:b/>
        </w:rPr>
        <w:t>80%</w:t>
      </w:r>
      <w:r>
        <w:t xml:space="preserve"> of qualifying capital expenditure generates additional deductions against the Supplementary Charge and Energy Profits Levy tax bases (in addition to the 100% capital allowance for RF CT purposes).</w:t>
      </w:r>
    </w:p>
    <w:p>
      <w:r>
        <w:rPr>
          <w:b/>
        </w:rPr>
        <w:t>Total Relief Structure:</w:t>
      </w:r>
    </w:p>
    <w:p>
      <w:r>
        <w:t>For every £1 of qualifying capital expenditure:</w:t>
      </w:r>
    </w:p>
    <w:p>
      <w:pPr>
        <w:pStyle w:val="ListBullet"/>
      </w:pPr>
      <w:r>
        <w:t>RF CT: £1.00 deduction (100% first-year allowance)</w:t>
      </w:r>
    </w:p>
    <w:p>
      <w:pPr>
        <w:pStyle w:val="ListBullet"/>
      </w:pPr>
      <w:r>
        <w:t>SC: £0.80 additional investment allowance</w:t>
      </w:r>
    </w:p>
    <w:p>
      <w:pPr>
        <w:pStyle w:val="ListBullet"/>
      </w:pPr>
      <w:r>
        <w:t>EPL: £0.80 additional decarbonisation allowance (for qualifying decarbonisation expenditure only; general EPL investment allowance abolished from 1 November 2024)</w:t>
      </w:r>
    </w:p>
    <w:p>
      <w:pPr>
        <w:pStyle w:val="ListBullet"/>
      </w:pPr>
      <w:r>
        <w:rPr>
          <w:b/>
        </w:rPr>
        <w:t>Total deductions: £2.60</w:t>
      </w:r>
      <w:r>
        <w:t xml:space="preserve"> for decarbonisation expenditure; £1.80 for non-decarbonisation expenditure incurred after 1 November 2024</w:t>
      </w:r>
    </w:p>
    <w:p>
      <w:r>
        <w:rPr>
          <w:b/>
        </w:rPr>
        <w:t>Tax Relief Calculation (Decarbonisation Expenditure):</w:t>
      </w:r>
    </w:p>
    <w:p>
      <w:pPr>
        <w:shd w:fill="F0F0F0"/>
        <w:spacing w:after="0" w:line="240" w:lineRule="auto"/>
      </w:pPr>
      <w:r>
        <w:rPr>
          <w:rFonts w:ascii="Courier New" w:hAnsi="Courier New"/>
          <w:sz w:val="20"/>
        </w:rPr>
        <w:t>Tax relief per £1 capital expenditure:</w:t>
      </w:r>
    </w:p>
    <w:p>
      <w:pPr>
        <w:shd w:fill="F0F0F0"/>
        <w:spacing w:after="0" w:line="240" w:lineRule="auto"/>
      </w:pPr>
      <w:r>
        <w:rPr>
          <w:rFonts w:ascii="Courier New" w:hAnsi="Courier New"/>
          <w:sz w:val="20"/>
        </w:rPr>
        <w:t>RF CT relief: £1.00 × 30% = £0.30</w:t>
      </w:r>
    </w:p>
    <w:p>
      <w:pPr>
        <w:shd w:fill="F0F0F0"/>
        <w:spacing w:after="0" w:line="240" w:lineRule="auto"/>
      </w:pPr>
      <w:r>
        <w:rPr>
          <w:rFonts w:ascii="Courier New" w:hAnsi="Courier New"/>
          <w:sz w:val="20"/>
        </w:rPr>
        <w:t>SC relief: £0.80 × 10% = £0.08</w:t>
      </w:r>
    </w:p>
    <w:p>
      <w:pPr>
        <w:shd w:fill="F0F0F0"/>
        <w:spacing w:after="0" w:line="240" w:lineRule="auto"/>
      </w:pPr>
      <w:r>
        <w:rPr>
          <w:rFonts w:ascii="Courier New" w:hAnsi="Courier New"/>
          <w:sz w:val="20"/>
        </w:rPr>
        <w:t>EPL relief: £0.80 × 35% = £0.28</w:t>
      </w:r>
    </w:p>
    <w:p>
      <w:pPr>
        <w:shd w:fill="F0F0F0"/>
        <w:spacing w:after="0" w:line="240" w:lineRule="auto"/>
      </w:pPr>
      <w:r>
        <w:rPr>
          <w:rFonts w:ascii="Courier New" w:hAnsi="Courier New"/>
          <w:sz w:val="20"/>
        </w:rPr>
        <w:t>Total tax relief = £0.66 (66% effective subsidy rate for decarbonisation capex)</w:t>
      </w:r>
    </w:p>
    <w:p/>
    <w:p>
      <w:r>
        <w:rPr>
          <w:b/>
        </w:rPr>
        <w:t>Cluster Area Allowance:</w:t>
      </w:r>
      <w:r>
        <w:t xml:space="preserve"> Additional capital allowance for remote field development projects that involve infrastructure sharing or connection to existing facilities, incentivizing investment in fields that might otherwise be economically marginal and promoting shared infrastructure to reduce development costs and emissions.</w:t>
      </w:r>
    </w:p>
    <w:p>
      <w:r>
        <w:rPr>
          <w:b/>
        </w:rPr>
        <w:t>Decommissioning Relief:</w:t>
      </w:r>
      <w:r>
        <w:t xml:space="preserve"> Companies receive tax refunds for decommissioning costs at the effective tax rate paid during the production period. For fields operating under the current regime (RF CT 30% + SC 10% + EPL 35%), the refund rate is </w:t>
      </w:r>
      <w:r>
        <w:rPr>
          <w:b/>
        </w:rPr>
        <w:t>75.25%</w:t>
      </w:r>
      <w:r>
        <w:t xml:space="preserve"> of eligible decommissioning expenditure. For older fields subject to Petroleum Revenue Tax, the combined refund can reach </w:t>
      </w:r>
      <w:r>
        <w:rPr>
          <w:b/>
        </w:rPr>
        <w:t>75%</w:t>
      </w:r>
      <w:r>
        <w:t xml:space="preserve"> (comprising 50% corporation tax relief plus 25% PRT relief). Relief is provided through contractual </w:t>
      </w:r>
      <w:r>
        <w:rPr>
          <w:b/>
        </w:rPr>
        <w:t>Decommissioning Relief Deeds (DRDs)</w:t>
      </w:r>
      <w:r>
        <w:t xml:space="preserve">, introduced following Budget 2013, which guarantee the level of relief cannot be reduced by future legislation. Since October 2013, the government has signed </w:t>
      </w:r>
      <w:r>
        <w:rPr>
          <w:b/>
        </w:rPr>
        <w:t>109 DRDs</w:t>
      </w:r>
      <w:r>
        <w:t>, unlocking an estimated £14.7 billion of capital investment. Companies can only recover refunds to the extent they suffered tax on past profits; insufficient tax history results in reduced or nil refunds.</w:t>
      </w:r>
    </w:p>
    <w:p>
      <w:r>
        <w:rPr>
          <w:b/>
        </w:rPr>
        <w:t>Petroleum Revenue Tax (PRT):</w:t>
      </w:r>
      <w:r>
        <w:t xml:space="preserve"> Historic field-based tax charged at </w:t>
      </w:r>
      <w:r>
        <w:rPr>
          <w:b/>
        </w:rPr>
        <w:t>50%</w:t>
      </w:r>
      <w:r>
        <w:t xml:space="preserve"> rate (reduced from original 75% to 50% effective </w:t>
      </w:r>
      <w:r>
        <w:rPr>
          <w:b/>
        </w:rPr>
        <w:t>1 July 1993</w:t>
      </w:r>
      <w:r>
        <w:t xml:space="preserve">). PRT was abolished for fields receiving development consent on or after </w:t>
      </w:r>
      <w:r>
        <w:rPr>
          <w:b/>
        </w:rPr>
        <w:t>16 March 1993</w:t>
      </w:r>
      <w:r>
        <w:t xml:space="preserve">. The rate was reduced to </w:t>
      </w:r>
      <w:r>
        <w:rPr>
          <w:b/>
        </w:rPr>
        <w:t>0%</w:t>
      </w:r>
      <w:r>
        <w:t xml:space="preserve"> effective </w:t>
      </w:r>
      <w:r>
        <w:rPr>
          <w:b/>
        </w:rPr>
        <w:t>1 January 2016</w:t>
      </w:r>
      <w:r>
        <w:t xml:space="preserve"> (zero-rated rather than abolished to enable companies to continue carrying back losses). PRT has minimal current significance, applying only to a small number of pre-1993 fields with declining production.</w:t>
      </w:r>
    </w:p>
    <w:p>
      <w:pPr>
        <w:pStyle w:val="Heading2"/>
      </w:pPr>
      <w:r>
        <w:t>3. Analytical Depth - Complex Provisions</w:t>
      </w:r>
    </w:p>
    <w:p>
      <w:pPr>
        <w:pStyle w:val="Heading3"/>
      </w:pPr>
      <w:r>
        <w:t>3.1 Ring-Fencing and Loss Restrictions</w:t>
      </w:r>
    </w:p>
    <w:p>
      <w:r>
        <w:rPr>
          <w:b/>
        </w:rPr>
        <w:t>Ring-Fencing Purpose:</w:t>
      </w:r>
      <w:r>
        <w:t xml:space="preserve"> The ring fence ensures that petroleum profits, which benefit from substantial capital allowances and investment incentives, are taxed separately from other business activities at higher rates reflecting resource rent taxation principles. Ring-fencing prevents tax planning strategies involving cross-subsidization between high-margin petroleum operations and loss-making non-petroleum activities.</w:t>
      </w:r>
    </w:p>
    <w:p>
      <w:r>
        <w:rPr>
          <w:b/>
        </w:rPr>
        <w:t>Separate Tax Computation:</w:t>
      </w:r>
      <w:r>
        <w:t xml:space="preserve"> The Corporation Tax Act 2010 (Part 8, Chapter 3) treats ring fence activities as a deemed separate trade. Profits and losses from oil extraction activities and oil rights must be calculated independently from non-ring fence business operations.</w:t>
      </w:r>
    </w:p>
    <w:p>
      <w:r>
        <w:rPr>
          <w:b/>
        </w:rPr>
        <w:t>Loss Offset Restrictions:</w:t>
      </w:r>
      <w:r>
        <w:t xml:space="preserve"> Non-ring fence losses cannot reduce ring fence profits. Conversely, ring fence losses cannot offset non-ring fence income. Within the ring fence, losses are carried forward indefinitely with no time limitation.</w:t>
      </w:r>
    </w:p>
    <w:p>
      <w:r>
        <w:rPr>
          <w:b/>
        </w:rPr>
        <w:t>Group Relief Limitations:</w:t>
      </w:r>
      <w:r>
        <w:t xml:space="preserve"> Group relief (transfer of losses between group companies) is restricted to ring fence profits and losses. A ring fence company can only surrender ring fence losses to another ring fence company within the same group, and can only receive group relief from other ring fence companies. Exceptions apply for decommissioning relief, where more flexible group relief rules enable efficient tax recovery across corporate structures.</w:t>
      </w:r>
    </w:p>
    <w:p>
      <w:r>
        <w:rPr>
          <w:b/>
        </w:rPr>
        <w:t>EPL-Specific Loss Restrictions:</w:t>
      </w:r>
      <w:r>
        <w:t xml:space="preserve"> The Energy Profits Levy introduces an additional temporal ring fence. Pre-commencement losses (losses arising before 26 May 2022) cannot reduce EPL liability, even if they can reduce RF CT and SC liabilities. Only post-commencement losses (arising on or after 26 May 2022 from ring fence activities) can offset EPL profits. This restriction prevents companies from using accumulated historic losses to avoid the windfall profits levy.</w:t>
      </w:r>
    </w:p>
    <w:p>
      <w:r>
        <w:rPr>
          <w:b/>
        </w:rPr>
        <w:t>Financing Cost Restrictions:</w:t>
      </w:r>
      <w:r>
        <w:t xml:space="preserve"> The Supplementary Charge and Energy Profits Levy tax bases exclude financing costs (interest expenses and other financing charges). While such costs are deductible for RF CT purposes, they must be added back when calculating adjusted ring fence profits for SC and EPL. This creates a pseudo-cash flow tax element that prevents thin capitalization strategies and ensures the resource rent taxes apply to pre-financing profits.</w:t>
      </w:r>
    </w:p>
    <w:p>
      <w:pPr>
        <w:pStyle w:val="Heading3"/>
      </w:pPr>
      <w:r>
        <w:t>3.2 Investment Incentives and Withholding Taxes</w:t>
      </w:r>
    </w:p>
    <w:p>
      <w:r>
        <w:rPr>
          <w:b/>
        </w:rPr>
        <w:t>Electrification Allowance:</w:t>
      </w:r>
      <w:r>
        <w:t xml:space="preserve"> Enhanced capital allowances for emissions-reduction capital expenditure, including platform electrification projects (connecting offshore installations to onshore electricity supply to replace gas turbine power generation), carbon capture and storage (CCS) infrastructure, hydrogen production facilities, and other upstream decarbonisation technologies. These expenditures qualify for the 80% decarbonisation allowance against both SC and EPL.</w:t>
      </w:r>
    </w:p>
    <w:p>
      <w:r>
        <w:rPr>
          <w:b/>
        </w:rPr>
        <w:t>CCS Tax Treatment:</w:t>
      </w:r>
      <w:r>
        <w:t xml:space="preserve"> The UK government has designated </w:t>
      </w:r>
      <w:r>
        <w:rPr>
          <w:b/>
        </w:rPr>
        <w:t>Track-1 CCS clusters</w:t>
      </w:r>
      <w:r>
        <w:t xml:space="preserve"> (HyNet North West and East Coast Cluster) for preferential development support. CCS infrastructure investments qualify for the 80% decarbonisation allowance and 100% first-year capital allowances, providing substantial tax relief. CO2 transport and storage services may fall outside the ring fence depending on operational structure, potentially benefiting from lower non-ring fence corporation tax rates.</w:t>
      </w:r>
    </w:p>
    <w:p>
      <w:r>
        <w:rPr>
          <w:b/>
        </w:rPr>
        <w:t>Withholding Taxes:</w:t>
      </w:r>
    </w:p>
    <w:p>
      <w:pPr>
        <w:pStyle w:val="ListBullet"/>
      </w:pPr>
      <w:r>
        <w:rPr>
          <w:b/>
        </w:rPr>
        <w:t>Dividends:</w:t>
      </w:r>
      <w:r>
        <w:t xml:space="preserve"> </w:t>
      </w:r>
      <w:r>
        <w:rPr>
          <w:b/>
        </w:rPr>
        <w:t>Nil</w:t>
      </w:r>
      <w:r>
        <w:t xml:space="preserve"> withholding tax on ordinary dividends paid to non-residents (UK domestic law does not impose dividend WHT, except for property income dividends paid by UK Real Estate Investment Trusts, which bear 20% WHT subject to exemptions)</w:t>
      </w:r>
    </w:p>
    <w:p>
      <w:pPr>
        <w:pStyle w:val="ListBullet"/>
      </w:pPr>
      <w:r>
        <w:rPr>
          <w:b/>
        </w:rPr>
        <w:t>Interest:</w:t>
      </w:r>
      <w:r>
        <w:t xml:space="preserve"> </w:t>
      </w:r>
      <w:r>
        <w:rPr>
          <w:b/>
        </w:rPr>
        <w:t>20%</w:t>
      </w:r>
      <w:r>
        <w:t xml:space="preserve"> withholding tax on interest payments to non-resident creditors, subject to treaty relief and exemptions. Banks and similar financial institutions can normally pay annual interest to non-UK residents free of WHT. Treaty relief often reduces or eliminates WHT under double tax agreements.</w:t>
      </w:r>
    </w:p>
    <w:p>
      <w:pPr>
        <w:pStyle w:val="ListBullet"/>
      </w:pPr>
      <w:r>
        <w:rPr>
          <w:b/>
        </w:rPr>
        <w:t>Royalties:</w:t>
      </w:r>
      <w:r>
        <w:t xml:space="preserve"> </w:t>
      </w:r>
      <w:r>
        <w:rPr>
          <w:b/>
        </w:rPr>
        <w:t>20%</w:t>
      </w:r>
      <w:r>
        <w:t xml:space="preserve"> withholding tax on patent, copyright, design, model, plan, secret formula, trademark, brand names, and know-how royalties arising in the UK, regardless of recipient residence. Treaties typically reduce rates to 0-10%.</w:t>
      </w:r>
    </w:p>
    <w:p>
      <w:r>
        <w:rPr>
          <w:b/>
        </w:rPr>
        <w:t>Post-Brexit Changes:</w:t>
      </w:r>
      <w:r>
        <w:t xml:space="preserve"> The UK's exit from the European Union means EU Directives, including the Interest and Royalties Directive, no longer apply to payments made by or to UK companies. Treaty relief must be claimed under bilateral double tax treaties rather than EU Directives.</w:t>
      </w:r>
    </w:p>
    <w:p>
      <w:r>
        <w:rPr>
          <w:b/>
        </w:rPr>
        <w:t>Treaty Network:</w:t>
      </w:r>
      <w:r>
        <w:t xml:space="preserve"> The UK maintains an extensive double tax treaty network (over 130 treaties) providing withholding rate reductions, permanent establishment protection, and dispute resolution mechanisms through mutual agreement procedures.</w:t>
      </w:r>
    </w:p>
    <w:p>
      <w:pPr>
        <w:pStyle w:val="Heading2"/>
      </w:pPr>
      <w:r>
        <w:t>4. Application Methodology - UK North Sea Tax Calculation</w:t>
      </w:r>
    </w:p>
    <w:p>
      <w:r>
        <w:rPr>
          <w:b/>
        </w:rPr>
        <w:t>Step-by-Step Calculation Framework:</w:t>
      </w:r>
    </w:p>
    <w:p>
      <w:r>
        <w:rPr>
          <w:b/>
        </w:rPr>
        <w:t>Step 1:</w:t>
      </w:r>
      <w:r>
        <w:t xml:space="preserve"> Calculate </w:t>
      </w:r>
      <w:r>
        <w:rPr>
          <w:b/>
        </w:rPr>
        <w:t>ring fence accounting profit</w:t>
      </w:r>
      <w:r>
        <w:t xml:space="preserve"> from oil extraction activities and oil rights (gross revenue less operating expenditure, less accounting depreciation, less financing costs).</w:t>
      </w:r>
    </w:p>
    <w:p>
      <w:r>
        <w:rPr>
          <w:b/>
        </w:rPr>
        <w:t>Step 2:</w:t>
      </w:r>
      <w:r>
        <w:t xml:space="preserve"> Apply </w:t>
      </w:r>
      <w:r>
        <w:rPr>
          <w:b/>
        </w:rPr>
        <w:t>tax adjustments</w:t>
      </w:r>
      <w:r>
        <w:t xml:space="preserve"> to determine ring fence taxable profit for CT purposes:</w:t>
      </w:r>
    </w:p>
    <w:p>
      <w:pPr>
        <w:pStyle w:val="ListBullet"/>
      </w:pPr>
      <w:r>
        <w:t>Add back accounting depreciation</w:t>
      </w:r>
    </w:p>
    <w:p>
      <w:pPr>
        <w:pStyle w:val="ListBullet"/>
      </w:pPr>
      <w:r>
        <w:t>Deduct capital allowances (100% first-year allowances for qualifying expenditure)</w:t>
      </w:r>
    </w:p>
    <w:p>
      <w:r>
        <w:rPr>
          <w:b/>
        </w:rPr>
        <w:t>Step 3:</w:t>
      </w:r>
      <w:r>
        <w:t xml:space="preserve"> Calculate </w:t>
      </w:r>
      <w:r>
        <w:rPr>
          <w:b/>
        </w:rPr>
        <w:t>Ring Fence Corporation Tax</w:t>
      </w:r>
      <w:r>
        <w:t xml:space="preserve"> at 30% (or 19% for small profits up to £50,000) on ring fence taxable profit.</w:t>
      </w:r>
    </w:p>
    <w:p>
      <w:r>
        <w:rPr>
          <w:b/>
        </w:rPr>
        <w:t>Step 4:</w:t>
      </w:r>
      <w:r>
        <w:t xml:space="preserve"> Calculate </w:t>
      </w:r>
      <w:r>
        <w:rPr>
          <w:b/>
        </w:rPr>
        <w:t>Supplementary Charge base</w:t>
      </w:r>
      <w:r>
        <w:t>:</w:t>
      </w:r>
    </w:p>
    <w:p>
      <w:pPr>
        <w:pStyle w:val="ListBullet"/>
      </w:pPr>
      <w:r>
        <w:t>Start with ring fence taxable profit (from Step 2)</w:t>
      </w:r>
    </w:p>
    <w:p>
      <w:pPr>
        <w:pStyle w:val="ListBullet"/>
      </w:pPr>
      <w:r>
        <w:t>Add back financing costs (excluded from SC base)</w:t>
      </w:r>
    </w:p>
    <w:p>
      <w:pPr>
        <w:pStyle w:val="ListBullet"/>
      </w:pPr>
      <w:r>
        <w:t>Deduct investment allowance (80% of qualifying capital expenditure)</w:t>
      </w:r>
    </w:p>
    <w:p>
      <w:r>
        <w:rPr>
          <w:b/>
        </w:rPr>
        <w:t>Step 5:</w:t>
      </w:r>
      <w:r>
        <w:t xml:space="preserve"> Calculate </w:t>
      </w:r>
      <w:r>
        <w:rPr>
          <w:b/>
        </w:rPr>
        <w:t>Supplementary Charge</w:t>
      </w:r>
      <w:r>
        <w:t xml:space="preserve"> at 10% on SC taxable base.</w:t>
      </w:r>
    </w:p>
    <w:p>
      <w:r>
        <w:rPr>
          <w:b/>
        </w:rPr>
        <w:t>Step 6:</w:t>
      </w:r>
      <w:r>
        <w:t xml:space="preserve"> Calculate </w:t>
      </w:r>
      <w:r>
        <w:rPr>
          <w:b/>
        </w:rPr>
        <w:t>Energy Profits Levy base</w:t>
      </w:r>
      <w:r>
        <w:t>:</w:t>
      </w:r>
    </w:p>
    <w:p>
      <w:pPr>
        <w:pStyle w:val="ListBullet"/>
      </w:pPr>
      <w:r>
        <w:t>Start with adjusted ring fence profits (ring fence taxable profit plus financing costs)</w:t>
      </w:r>
    </w:p>
    <w:p>
      <w:pPr>
        <w:pStyle w:val="ListBullet"/>
      </w:pPr>
      <w:r>
        <w:t>Deduct decarbonisation allowance (80% of qualifying decarbonisation capital expenditure)</w:t>
      </w:r>
    </w:p>
    <w:p>
      <w:pPr>
        <w:pStyle w:val="ListBullet"/>
      </w:pPr>
      <w:r>
        <w:t>Ensure only post-commencement losses (from 26 May 2022 onwards) are offset</w:t>
      </w:r>
    </w:p>
    <w:p>
      <w:r>
        <w:rPr>
          <w:b/>
        </w:rPr>
        <w:t>Step 7:</w:t>
      </w:r>
      <w:r>
        <w:t xml:space="preserve"> Calculate </w:t>
      </w:r>
      <w:r>
        <w:rPr>
          <w:b/>
        </w:rPr>
        <w:t>Energy Profits Levy</w:t>
      </w:r>
      <w:r>
        <w:t xml:space="preserve"> at 35% on EPL taxable base.</w:t>
      </w:r>
    </w:p>
    <w:p>
      <w:r>
        <w:rPr>
          <w:b/>
        </w:rPr>
        <w:t>Step 8:</w:t>
      </w:r>
      <w:r>
        <w:t xml:space="preserve"> Sum total tax liability (RF CT + SC + EPL).</w:t>
      </w:r>
    </w:p>
    <w:p>
      <w:pPr>
        <w:pStyle w:val="Heading2"/>
      </w:pPr>
      <w:r>
        <w:t>5. Worked Example - North Sea Field Tax Calculation</w:t>
      </w:r>
    </w:p>
    <w:p>
      <w:pPr>
        <w:pStyle w:val="Heading3"/>
      </w:pPr>
      <w:r>
        <w:t>5.1 Fact Pattern</w:t>
      </w:r>
    </w:p>
    <w:p>
      <w:r>
        <w:rPr>
          <w:b/>
        </w:rPr>
        <w:t>NorthSea Energy plc</w:t>
      </w:r>
      <w:r>
        <w:t xml:space="preserve"> operates a producing field on the UK Continental Shelf under a production license granted by the North Sea Transition Authority. For the financial year ending 31 December 2024 (Year 1 of production):</w:t>
      </w:r>
    </w:p>
    <w:p>
      <w:r>
        <w:rPr>
          <w:b/>
        </w:rPr>
        <w:t>Financial Data (£ million):</w:t>
      </w:r>
    </w:p>
    <w:p>
      <w:pPr>
        <w:pStyle w:val="ListBullet"/>
      </w:pPr>
      <w:r>
        <w:rPr>
          <w:b/>
        </w:rPr>
        <w:t>Gross production revenue:</w:t>
      </w:r>
      <w:r>
        <w:t xml:space="preserve"> £500.0</w:t>
      </w:r>
    </w:p>
    <w:p>
      <w:pPr>
        <w:pStyle w:val="ListBullet"/>
      </w:pPr>
      <w:r>
        <w:rPr>
          <w:b/>
        </w:rPr>
        <w:t>Operating expenditure:</w:t>
      </w:r>
      <w:r>
        <w:t xml:space="preserve"> £180.0</w:t>
      </w:r>
    </w:p>
    <w:p>
      <w:pPr>
        <w:pStyle w:val="ListBullet"/>
      </w:pPr>
      <w:r>
        <w:rPr>
          <w:b/>
        </w:rPr>
        <w:t>Capital expenditure (qualifying production installations and equipment):</w:t>
      </w:r>
      <w:r>
        <w:t xml:space="preserve"> £150.0</w:t>
      </w:r>
    </w:p>
    <w:p>
      <w:pPr>
        <w:pStyle w:val="ListBullet"/>
        <w:ind w:left="360"/>
      </w:pPr>
      <w:r>
        <w:t xml:space="preserve">Of which: </w:t>
      </w:r>
      <w:r>
        <w:rPr>
          <w:b/>
        </w:rPr>
        <w:t>Decarbonisation expenditure</w:t>
      </w:r>
      <w:r>
        <w:t xml:space="preserve"> (platform electrification project): £60.0</w:t>
      </w:r>
    </w:p>
    <w:p>
      <w:pPr>
        <w:pStyle w:val="ListBullet"/>
        <w:ind w:left="360"/>
      </w:pPr>
      <w:r>
        <w:t xml:space="preserve">Of which: </w:t>
      </w:r>
      <w:r>
        <w:rPr>
          <w:b/>
        </w:rPr>
        <w:t>Other production expenditure</w:t>
      </w:r>
      <w:r>
        <w:t xml:space="preserve"> (processing equipment, subsea infrastructure): £90.0</w:t>
      </w:r>
    </w:p>
    <w:p>
      <w:pPr>
        <w:pStyle w:val="ListBullet"/>
      </w:pPr>
      <w:r>
        <w:rPr>
          <w:b/>
        </w:rPr>
        <w:t>Financing costs (interest on project debt):</w:t>
      </w:r>
      <w:r>
        <w:t xml:space="preserve"> £20.0</w:t>
      </w:r>
    </w:p>
    <w:p>
      <w:pPr>
        <w:pStyle w:val="ListBullet"/>
      </w:pPr>
      <w:r>
        <w:rPr>
          <w:b/>
        </w:rPr>
        <w:t>Accounting depreciation:</w:t>
      </w:r>
      <w:r>
        <w:t xml:space="preserve"> £30.0</w:t>
      </w:r>
    </w:p>
    <w:p>
      <w:r>
        <w:rPr>
          <w:b/>
        </w:rPr>
        <w:t>Assumptions:</w:t>
      </w:r>
    </w:p>
    <w:p>
      <w:pPr>
        <w:pStyle w:val="ListBullet"/>
      </w:pPr>
      <w:r>
        <w:t>All capital expenditure qualifies for 100% first-year allowances for RF CT</w:t>
      </w:r>
    </w:p>
    <w:p>
      <w:pPr>
        <w:pStyle w:val="ListBullet"/>
      </w:pPr>
      <w:r>
        <w:t>Decarbonisation expenditure (£60m) qualifies for 80% investment allowances for both SC and EPL</w:t>
      </w:r>
    </w:p>
    <w:p>
      <w:pPr>
        <w:pStyle w:val="ListBullet"/>
      </w:pPr>
      <w:r>
        <w:t>Other production expenditure (£90m) incurred after 1 November 2024 does NOT qualify for EPL allowance (general allowance abolished), but qualifies for 80% SC allowance</w:t>
      </w:r>
    </w:p>
    <w:p>
      <w:pPr>
        <w:pStyle w:val="ListBullet"/>
      </w:pPr>
      <w:r>
        <w:t>No pre-commencement losses available</w:t>
      </w:r>
    </w:p>
    <w:p>
      <w:pPr>
        <w:pStyle w:val="ListBullet"/>
      </w:pPr>
      <w:r>
        <w:t>Field approved post-1993 (no PRT applies)</w:t>
      </w:r>
    </w:p>
    <w:p>
      <w:pPr>
        <w:pStyle w:val="Heading3"/>
      </w:pPr>
      <w:r>
        <w:t>5.2 Tax Calculations</w:t>
      </w:r>
    </w:p>
    <w:p>
      <w:r>
        <w:rPr>
          <w:b/>
        </w:rPr>
        <w:t>Step 1: Ring Fence Corporation Tax</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Description</w:t>
            </w:r>
          </w:p>
        </w:tc>
        <w:tc>
          <w:tcPr>
            <w:tcW w:type="dxa" w:w="4320"/>
          </w:tcPr>
          <w:p>
            <w:r>
              <w:rPr>
                <w:b/>
              </w:rPr>
            </w:r>
            <w:r>
              <w:rPr>
                <w:b/>
              </w:rPr>
              <w:t>£ million</w:t>
            </w:r>
          </w:p>
        </w:tc>
      </w:tr>
      <w:tr>
        <w:tc>
          <w:tcPr>
            <w:tcW w:type="dxa" w:w="4320"/>
          </w:tcPr>
          <w:p>
            <w:r/>
            <w:r>
              <w:t>Gross revenue</w:t>
            </w:r>
          </w:p>
        </w:tc>
        <w:tc>
          <w:tcPr>
            <w:tcW w:type="dxa" w:w="4320"/>
          </w:tcPr>
          <w:p>
            <w:r/>
            <w:r>
              <w:t>500.0</w:t>
            </w:r>
          </w:p>
        </w:tc>
      </w:tr>
      <w:tr>
        <w:tc>
          <w:tcPr>
            <w:tcW w:type="dxa" w:w="4320"/>
          </w:tcPr>
          <w:p>
            <w:r/>
            <w:r>
              <w:t>Operating expenditure</w:t>
            </w:r>
          </w:p>
        </w:tc>
        <w:tc>
          <w:tcPr>
            <w:tcW w:type="dxa" w:w="4320"/>
          </w:tcPr>
          <w:p>
            <w:r/>
            <w:r>
              <w:t>(180.0)</w:t>
            </w:r>
          </w:p>
        </w:tc>
      </w:tr>
      <w:tr>
        <w:tc>
          <w:tcPr>
            <w:tcW w:type="dxa" w:w="4320"/>
          </w:tcPr>
          <w:p>
            <w:r/>
            <w:r>
              <w:t>Depreciation (accounting)</w:t>
            </w:r>
          </w:p>
        </w:tc>
        <w:tc>
          <w:tcPr>
            <w:tcW w:type="dxa" w:w="4320"/>
          </w:tcPr>
          <w:p>
            <w:r/>
            <w:r>
              <w:t>(30.0)</w:t>
            </w:r>
          </w:p>
        </w:tc>
      </w:tr>
      <w:tr>
        <w:tc>
          <w:tcPr>
            <w:tcW w:type="dxa" w:w="4320"/>
          </w:tcPr>
          <w:p>
            <w:r/>
            <w:r>
              <w:t>Financing costs</w:t>
            </w:r>
          </w:p>
        </w:tc>
        <w:tc>
          <w:tcPr>
            <w:tcW w:type="dxa" w:w="4320"/>
          </w:tcPr>
          <w:p>
            <w:r/>
            <w:r>
              <w:t>(20.0)</w:t>
            </w:r>
          </w:p>
        </w:tc>
      </w:tr>
      <w:tr>
        <w:tc>
          <w:tcPr>
            <w:tcW w:type="dxa" w:w="4320"/>
          </w:tcPr>
          <w:p>
            <w:r/>
            <w:r>
              <w:rPr>
                <w:b/>
              </w:rPr>
              <w:t>Accounting profit</w:t>
            </w:r>
          </w:p>
        </w:tc>
        <w:tc>
          <w:tcPr>
            <w:tcW w:type="dxa" w:w="4320"/>
          </w:tcPr>
          <w:p>
            <w:r/>
            <w:r>
              <w:rPr>
                <w:b/>
              </w:rPr>
              <w:t>270.0</w:t>
            </w:r>
          </w:p>
        </w:tc>
      </w:tr>
      <w:tr>
        <w:tc>
          <w:tcPr>
            <w:tcW w:type="dxa" w:w="4320"/>
          </w:tcPr>
          <w:p>
            <w:r/>
            <w:r>
              <w:t>Add: Depreciation</w:t>
            </w:r>
          </w:p>
        </w:tc>
        <w:tc>
          <w:tcPr>
            <w:tcW w:type="dxa" w:w="4320"/>
          </w:tcPr>
          <w:p>
            <w:r/>
            <w:r>
              <w:t>30.0</w:t>
            </w:r>
          </w:p>
        </w:tc>
      </w:tr>
      <w:tr>
        <w:tc>
          <w:tcPr>
            <w:tcW w:type="dxa" w:w="4320"/>
          </w:tcPr>
          <w:p>
            <w:r/>
            <w:r>
              <w:t>Less: Capital allowances (100% FYA on £150m)</w:t>
            </w:r>
          </w:p>
        </w:tc>
        <w:tc>
          <w:tcPr>
            <w:tcW w:type="dxa" w:w="4320"/>
          </w:tcPr>
          <w:p>
            <w:r/>
            <w:r>
              <w:t>(150.0)</w:t>
            </w:r>
          </w:p>
        </w:tc>
      </w:tr>
      <w:tr>
        <w:tc>
          <w:tcPr>
            <w:tcW w:type="dxa" w:w="4320"/>
          </w:tcPr>
          <w:p>
            <w:r/>
            <w:r>
              <w:rPr>
                <w:b/>
              </w:rPr>
              <w:t>RF CT taxable profit</w:t>
            </w:r>
          </w:p>
        </w:tc>
        <w:tc>
          <w:tcPr>
            <w:tcW w:type="dxa" w:w="4320"/>
          </w:tcPr>
          <w:p>
            <w:r/>
            <w:r>
              <w:rPr>
                <w:b/>
              </w:rPr>
              <w:t>150.0</w:t>
            </w:r>
          </w:p>
        </w:tc>
      </w:tr>
      <w:tr>
        <w:tc>
          <w:tcPr>
            <w:tcW w:type="dxa" w:w="4320"/>
          </w:tcPr>
          <w:p>
            <w:r/>
            <w:r>
              <w:rPr>
                <w:b/>
              </w:rPr>
              <w:t>RF CT @ 30%</w:t>
            </w:r>
          </w:p>
        </w:tc>
        <w:tc>
          <w:tcPr>
            <w:tcW w:type="dxa" w:w="4320"/>
          </w:tcPr>
          <w:p>
            <w:r/>
            <w:r>
              <w:rPr>
                <w:b/>
              </w:rPr>
              <w:t>45.0</w:t>
            </w:r>
          </w:p>
        </w:tc>
      </w:tr>
    </w:tbl>
    <w:p/>
    <w:p>
      <w:r>
        <w:rPr>
          <w:b/>
        </w:rPr>
        <w:t>Step 2: Supplementary Charge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Description</w:t>
            </w:r>
          </w:p>
        </w:tc>
        <w:tc>
          <w:tcPr>
            <w:tcW w:type="dxa" w:w="4320"/>
          </w:tcPr>
          <w:p>
            <w:r>
              <w:rPr>
                <w:b/>
              </w:rPr>
            </w:r>
            <w:r>
              <w:rPr>
                <w:b/>
              </w:rPr>
              <w:t>£ million</w:t>
            </w:r>
          </w:p>
        </w:tc>
      </w:tr>
      <w:tr>
        <w:tc>
          <w:tcPr>
            <w:tcW w:type="dxa" w:w="4320"/>
          </w:tcPr>
          <w:p>
            <w:r/>
            <w:r>
              <w:t>RF CT taxable profit</w:t>
            </w:r>
          </w:p>
        </w:tc>
        <w:tc>
          <w:tcPr>
            <w:tcW w:type="dxa" w:w="4320"/>
          </w:tcPr>
          <w:p>
            <w:r/>
            <w:r>
              <w:t>150.0</w:t>
            </w:r>
          </w:p>
        </w:tc>
      </w:tr>
      <w:tr>
        <w:tc>
          <w:tcPr>
            <w:tcW w:type="dxa" w:w="4320"/>
          </w:tcPr>
          <w:p>
            <w:r/>
            <w:r>
              <w:t>Add: Financing costs (excluded from SC base)</w:t>
            </w:r>
          </w:p>
        </w:tc>
        <w:tc>
          <w:tcPr>
            <w:tcW w:type="dxa" w:w="4320"/>
          </w:tcPr>
          <w:p>
            <w:r/>
            <w:r>
              <w:t>20.0</w:t>
            </w:r>
          </w:p>
        </w:tc>
      </w:tr>
      <w:tr>
        <w:tc>
          <w:tcPr>
            <w:tcW w:type="dxa" w:w="4320"/>
          </w:tcPr>
          <w:p>
            <w:r/>
            <w:r>
              <w:rPr>
                <w:b/>
              </w:rPr>
              <w:t>Adjusted ring fence profits</w:t>
            </w:r>
          </w:p>
        </w:tc>
        <w:tc>
          <w:tcPr>
            <w:tcW w:type="dxa" w:w="4320"/>
          </w:tcPr>
          <w:p>
            <w:r/>
            <w:r>
              <w:rPr>
                <w:b/>
              </w:rPr>
              <w:t>170.0</w:t>
            </w:r>
          </w:p>
        </w:tc>
      </w:tr>
      <w:tr>
        <w:tc>
          <w:tcPr>
            <w:tcW w:type="dxa" w:w="4320"/>
          </w:tcPr>
          <w:p>
            <w:r/>
            <w:r>
              <w:t>Less: Investment allowance (80% × £150m total capex)</w:t>
            </w:r>
          </w:p>
        </w:tc>
        <w:tc>
          <w:tcPr>
            <w:tcW w:type="dxa" w:w="4320"/>
          </w:tcPr>
          <w:p>
            <w:r/>
            <w:r>
              <w:t>(120.0)</w:t>
            </w:r>
          </w:p>
        </w:tc>
      </w:tr>
      <w:tr>
        <w:tc>
          <w:tcPr>
            <w:tcW w:type="dxa" w:w="4320"/>
          </w:tcPr>
          <w:p>
            <w:r/>
            <w:r>
              <w:rPr>
                <w:b/>
              </w:rPr>
              <w:t>SC taxable profit</w:t>
            </w:r>
          </w:p>
        </w:tc>
        <w:tc>
          <w:tcPr>
            <w:tcW w:type="dxa" w:w="4320"/>
          </w:tcPr>
          <w:p>
            <w:r/>
            <w:r>
              <w:rPr>
                <w:b/>
              </w:rPr>
              <w:t>50.0</w:t>
            </w:r>
          </w:p>
        </w:tc>
      </w:tr>
      <w:tr>
        <w:tc>
          <w:tcPr>
            <w:tcW w:type="dxa" w:w="4320"/>
          </w:tcPr>
          <w:p>
            <w:r/>
            <w:r>
              <w:rPr>
                <w:b/>
              </w:rPr>
              <w:t>SC @ 10%</w:t>
            </w:r>
          </w:p>
        </w:tc>
        <w:tc>
          <w:tcPr>
            <w:tcW w:type="dxa" w:w="4320"/>
          </w:tcPr>
          <w:p>
            <w:r/>
            <w:r>
              <w:rPr>
                <w:b/>
              </w:rPr>
              <w:t>5.0</w:t>
            </w:r>
          </w:p>
        </w:tc>
      </w:tr>
    </w:tbl>
    <w:p/>
    <w:p>
      <w:r>
        <w:rPr>
          <w:b/>
        </w:rPr>
        <w:t>Step 3: Energy Profits Levy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Description</w:t>
            </w:r>
          </w:p>
        </w:tc>
        <w:tc>
          <w:tcPr>
            <w:tcW w:type="dxa" w:w="4320"/>
          </w:tcPr>
          <w:p>
            <w:r>
              <w:rPr>
                <w:b/>
              </w:rPr>
            </w:r>
            <w:r>
              <w:rPr>
                <w:b/>
              </w:rPr>
              <w:t>£ million</w:t>
            </w:r>
          </w:p>
        </w:tc>
      </w:tr>
      <w:tr>
        <w:tc>
          <w:tcPr>
            <w:tcW w:type="dxa" w:w="4320"/>
          </w:tcPr>
          <w:p>
            <w:r/>
            <w:r>
              <w:t>Adjusted ring fence profits</w:t>
            </w:r>
          </w:p>
        </w:tc>
        <w:tc>
          <w:tcPr>
            <w:tcW w:type="dxa" w:w="4320"/>
          </w:tcPr>
          <w:p>
            <w:r/>
            <w:r>
              <w:t>170.0</w:t>
            </w:r>
          </w:p>
        </w:tc>
      </w:tr>
      <w:tr>
        <w:tc>
          <w:tcPr>
            <w:tcW w:type="dxa" w:w="4320"/>
          </w:tcPr>
          <w:p>
            <w:r/>
            <w:r>
              <w:t>Less: Decarbonisation allowance (80% × £60m)</w:t>
            </w:r>
          </w:p>
        </w:tc>
        <w:tc>
          <w:tcPr>
            <w:tcW w:type="dxa" w:w="4320"/>
          </w:tcPr>
          <w:p>
            <w:r/>
            <w:r>
              <w:t>(48.0)</w:t>
            </w:r>
          </w:p>
        </w:tc>
      </w:tr>
      <w:tr>
        <w:tc>
          <w:tcPr>
            <w:tcW w:type="dxa" w:w="4320"/>
          </w:tcPr>
          <w:p>
            <w:r/>
            <w:r>
              <w:t>Less: General investment allowance (abolished from 1 Nov 2024 for other £90m)</w:t>
            </w:r>
          </w:p>
        </w:tc>
        <w:tc>
          <w:tcPr>
            <w:tcW w:type="dxa" w:w="4320"/>
          </w:tcPr>
          <w:p>
            <w:r/>
            <w:r>
              <w:t>(0.0)</w:t>
            </w:r>
          </w:p>
        </w:tc>
      </w:tr>
      <w:tr>
        <w:tc>
          <w:tcPr>
            <w:tcW w:type="dxa" w:w="4320"/>
          </w:tcPr>
          <w:p>
            <w:r/>
            <w:r>
              <w:rPr>
                <w:b/>
              </w:rPr>
              <w:t>EPL taxable profit</w:t>
            </w:r>
          </w:p>
        </w:tc>
        <w:tc>
          <w:tcPr>
            <w:tcW w:type="dxa" w:w="4320"/>
          </w:tcPr>
          <w:p>
            <w:r/>
            <w:r>
              <w:rPr>
                <w:b/>
              </w:rPr>
              <w:t>122.0</w:t>
            </w:r>
          </w:p>
        </w:tc>
      </w:tr>
      <w:tr>
        <w:tc>
          <w:tcPr>
            <w:tcW w:type="dxa" w:w="4320"/>
          </w:tcPr>
          <w:p>
            <w:r/>
            <w:r>
              <w:rPr>
                <w:b/>
              </w:rPr>
              <w:t>EPL @ 35%</w:t>
            </w:r>
          </w:p>
        </w:tc>
        <w:tc>
          <w:tcPr>
            <w:tcW w:type="dxa" w:w="4320"/>
          </w:tcPr>
          <w:p>
            <w:r/>
            <w:r>
              <w:rPr>
                <w:b/>
              </w:rPr>
              <w:t>42.7</w:t>
            </w:r>
          </w:p>
        </w:tc>
      </w:tr>
    </w:tbl>
    <w:p/>
    <w:p>
      <w:r>
        <w:rPr>
          <w:b/>
        </w:rPr>
        <w:t>Step 4: Total Tax Liability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Tax Component</w:t>
            </w:r>
          </w:p>
        </w:tc>
        <w:tc>
          <w:tcPr>
            <w:tcW w:type="dxa" w:w="2880"/>
          </w:tcPr>
          <w:p>
            <w:r>
              <w:rPr>
                <w:b/>
              </w:rPr>
            </w:r>
            <w:r>
              <w:rPr>
                <w:b/>
              </w:rPr>
              <w:t>£ million</w:t>
            </w:r>
          </w:p>
        </w:tc>
        <w:tc>
          <w:tcPr>
            <w:tcW w:type="dxa" w:w="2880"/>
          </w:tcPr>
          <w:p>
            <w:r>
              <w:rPr>
                <w:b/>
              </w:rPr>
            </w:r>
            <w:r>
              <w:rPr>
                <w:b/>
              </w:rPr>
              <w:t>% of Accounting Profit (£270m)</w:t>
            </w:r>
          </w:p>
        </w:tc>
      </w:tr>
      <w:tr>
        <w:tc>
          <w:tcPr>
            <w:tcW w:type="dxa" w:w="2880"/>
          </w:tcPr>
          <w:p>
            <w:r/>
            <w:r>
              <w:t>Ring Fence Corporation Tax</w:t>
            </w:r>
          </w:p>
        </w:tc>
        <w:tc>
          <w:tcPr>
            <w:tcW w:type="dxa" w:w="2880"/>
          </w:tcPr>
          <w:p>
            <w:r/>
            <w:r>
              <w:t>45.0</w:t>
            </w:r>
          </w:p>
        </w:tc>
        <w:tc>
          <w:tcPr>
            <w:tcW w:type="dxa" w:w="2880"/>
          </w:tcPr>
          <w:p>
            <w:r/>
            <w:r>
              <w:t>16.7%</w:t>
            </w:r>
          </w:p>
        </w:tc>
      </w:tr>
      <w:tr>
        <w:tc>
          <w:tcPr>
            <w:tcW w:type="dxa" w:w="2880"/>
          </w:tcPr>
          <w:p>
            <w:r/>
            <w:r>
              <w:t>Supplementary Charge</w:t>
            </w:r>
          </w:p>
        </w:tc>
        <w:tc>
          <w:tcPr>
            <w:tcW w:type="dxa" w:w="2880"/>
          </w:tcPr>
          <w:p>
            <w:r/>
            <w:r>
              <w:t>5.0</w:t>
            </w:r>
          </w:p>
        </w:tc>
        <w:tc>
          <w:tcPr>
            <w:tcW w:type="dxa" w:w="2880"/>
          </w:tcPr>
          <w:p>
            <w:r/>
            <w:r>
              <w:t>1.9%</w:t>
            </w:r>
          </w:p>
        </w:tc>
      </w:tr>
      <w:tr>
        <w:tc>
          <w:tcPr>
            <w:tcW w:type="dxa" w:w="2880"/>
          </w:tcPr>
          <w:p>
            <w:r/>
            <w:r>
              <w:t>Energy Profits Levy</w:t>
            </w:r>
          </w:p>
        </w:tc>
        <w:tc>
          <w:tcPr>
            <w:tcW w:type="dxa" w:w="2880"/>
          </w:tcPr>
          <w:p>
            <w:r/>
            <w:r>
              <w:t>42.7</w:t>
            </w:r>
          </w:p>
        </w:tc>
        <w:tc>
          <w:tcPr>
            <w:tcW w:type="dxa" w:w="2880"/>
          </w:tcPr>
          <w:p>
            <w:r/>
            <w:r>
              <w:t>15.8%</w:t>
            </w:r>
          </w:p>
        </w:tc>
      </w:tr>
      <w:tr>
        <w:tc>
          <w:tcPr>
            <w:tcW w:type="dxa" w:w="2880"/>
          </w:tcPr>
          <w:p>
            <w:r/>
            <w:r>
              <w:rPr>
                <w:b/>
              </w:rPr>
              <w:t>Total Tax Liability</w:t>
            </w:r>
          </w:p>
        </w:tc>
        <w:tc>
          <w:tcPr>
            <w:tcW w:type="dxa" w:w="2880"/>
          </w:tcPr>
          <w:p>
            <w:r/>
            <w:r>
              <w:rPr>
                <w:b/>
              </w:rPr>
              <w:t>92.7</w:t>
            </w:r>
          </w:p>
        </w:tc>
        <w:tc>
          <w:tcPr>
            <w:tcW w:type="dxa" w:w="2880"/>
          </w:tcPr>
          <w:p>
            <w:r/>
            <w:r>
              <w:rPr>
                <w:b/>
              </w:rPr>
              <w:t>34.3%</w:t>
            </w:r>
          </w:p>
        </w:tc>
      </w:tr>
    </w:tbl>
    <w:p/>
    <w:p>
      <w:r>
        <w:rPr>
          <w:b/>
        </w:rPr>
        <w:t>Effective Tax Rate on Accounting Profit:</w:t>
      </w:r>
      <w:r>
        <w:t xml:space="preserve"> 34.3% (significantly below the 75.25% headline marginal rate due to investment allowances and capital allowance timing benefits)</w:t>
      </w:r>
    </w:p>
    <w:p>
      <w:r>
        <w:rPr>
          <w:b/>
        </w:rPr>
        <w:t>Effective Tax Rate on Cash Flow:</w:t>
      </w:r>
    </w:p>
    <w:p>
      <w:pPr>
        <w:shd w:fill="F0F0F0"/>
        <w:spacing w:after="0" w:line="240" w:lineRule="auto"/>
      </w:pPr>
      <w:r>
        <w:rPr>
          <w:rFonts w:ascii="Courier New" w:hAnsi="Courier New"/>
          <w:sz w:val="20"/>
        </w:rPr>
        <w:t>Cash flow before tax = Revenue - Opex - Capex</w:t>
      </w:r>
    </w:p>
    <w:p>
      <w:pPr>
        <w:shd w:fill="F0F0F0"/>
        <w:spacing w:after="0" w:line="240" w:lineRule="auto"/>
      </w:pPr>
      <w:r>
        <w:rPr>
          <w:rFonts w:ascii="Courier New" w:hAnsi="Courier New"/>
          <w:sz w:val="20"/>
        </w:rPr>
        <w:t>= £500m - £180m - £150m = £170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rate on cash flow = £92.7m / £170m = 54.5%</w:t>
      </w:r>
    </w:p>
    <w:p/>
    <w:p>
      <w:pPr>
        <w:pStyle w:val="Heading3"/>
      </w:pPr>
      <w:r>
        <w:t>5.3 Investment Allowance Impact Analysis</w:t>
      </w:r>
    </w:p>
    <w:p>
      <w:r>
        <w:rPr>
          <w:b/>
        </w:rPr>
        <w:t>Total Tax Relief from £150m Capital Expenditure:</w:t>
      </w:r>
    </w:p>
    <w:p>
      <w:r>
        <w:rPr>
          <w:b/>
        </w:rPr>
        <w:t>Ring Fence Corporation Tax Relief:</w:t>
      </w:r>
    </w:p>
    <w:p>
      <w:pPr>
        <w:shd w:fill="F0F0F0"/>
        <w:spacing w:after="0" w:line="240" w:lineRule="auto"/>
      </w:pPr>
      <w:r>
        <w:rPr>
          <w:rFonts w:ascii="Courier New" w:hAnsi="Courier New"/>
          <w:sz w:val="20"/>
        </w:rPr>
        <w:t>Capital allowance: £150m × 30% = £45.0 million</w:t>
      </w:r>
    </w:p>
    <w:p/>
    <w:p>
      <w:r>
        <w:rPr>
          <w:b/>
        </w:rPr>
        <w:t>Supplementary Charge Relief:</w:t>
      </w:r>
    </w:p>
    <w:p>
      <w:pPr>
        <w:shd w:fill="F0F0F0"/>
        <w:spacing w:after="0" w:line="240" w:lineRule="auto"/>
      </w:pPr>
      <w:r>
        <w:rPr>
          <w:rFonts w:ascii="Courier New" w:hAnsi="Courier New"/>
          <w:sz w:val="20"/>
        </w:rPr>
        <w:t>Investment allowance: (80% × £150m) × 10% = £120m × 10% = £12.0 million</w:t>
      </w:r>
    </w:p>
    <w:p/>
    <w:p>
      <w:r>
        <w:rPr>
          <w:b/>
        </w:rPr>
        <w:t>Energy Profits Levy Relief:</w:t>
      </w:r>
    </w:p>
    <w:p>
      <w:pPr>
        <w:shd w:fill="F0F0F0"/>
        <w:spacing w:after="0" w:line="240" w:lineRule="auto"/>
      </w:pPr>
      <w:r>
        <w:rPr>
          <w:rFonts w:ascii="Courier New" w:hAnsi="Courier New"/>
          <w:sz w:val="20"/>
        </w:rPr>
        <w:t>Decarbonisation allowance: (80% × £60m) × 35% = £48m × 35% = £16.8 million</w:t>
      </w:r>
    </w:p>
    <w:p>
      <w:pPr>
        <w:shd w:fill="F0F0F0"/>
        <w:spacing w:after="0" w:line="240" w:lineRule="auto"/>
      </w:pPr>
      <w:r>
        <w:rPr>
          <w:rFonts w:ascii="Courier New" w:hAnsi="Courier New"/>
          <w:sz w:val="20"/>
        </w:rPr>
        <w:t>General allowance (abolished): £0 million</w:t>
      </w:r>
    </w:p>
    <w:p>
      <w:pPr>
        <w:shd w:fill="F0F0F0"/>
        <w:spacing w:after="0" w:line="240" w:lineRule="auto"/>
      </w:pPr>
      <w:r>
        <w:rPr>
          <w:rFonts w:ascii="Courier New" w:hAnsi="Courier New"/>
          <w:sz w:val="20"/>
        </w:rPr>
        <w:t>Total EPL relief = £16.8 million</w:t>
      </w:r>
    </w:p>
    <w:p/>
    <w:p>
      <w:r>
        <w:rPr>
          <w:b/>
        </w:rPr>
        <w:t>Total Tax Relief:</w:t>
      </w:r>
      <w:r>
        <w:t xml:space="preserve"> £45.0m + £12.0m + £16.8m = </w:t>
      </w:r>
      <w:r>
        <w:rPr>
          <w:b/>
        </w:rPr>
        <w:t>£73.8 million (49.2% subsidy rate on total capex)</w:t>
      </w:r>
    </w:p>
    <w:p>
      <w:r>
        <w:rPr>
          <w:b/>
        </w:rPr>
        <w:t>Sensitivity Analysis - Tax Liability Without Investment Allowances: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Tax Component</w:t>
            </w:r>
          </w:p>
        </w:tc>
        <w:tc>
          <w:tcPr>
            <w:tcW w:type="dxa" w:w="2160"/>
          </w:tcPr>
          <w:p>
            <w:r>
              <w:rPr>
                <w:b/>
              </w:rPr>
            </w:r>
            <w:r>
              <w:rPr>
                <w:b/>
              </w:rPr>
              <w:t>With Allowances (£m)</w:t>
            </w:r>
          </w:p>
        </w:tc>
        <w:tc>
          <w:tcPr>
            <w:tcW w:type="dxa" w:w="2160"/>
          </w:tcPr>
          <w:p>
            <w:r>
              <w:rPr>
                <w:b/>
              </w:rPr>
            </w:r>
            <w:r>
              <w:rPr>
                <w:b/>
              </w:rPr>
              <w:t>Without Allowances (£m)</w:t>
            </w:r>
          </w:p>
        </w:tc>
        <w:tc>
          <w:tcPr>
            <w:tcW w:type="dxa" w:w="2160"/>
          </w:tcPr>
          <w:p>
            <w:r>
              <w:rPr>
                <w:b/>
              </w:rPr>
            </w:r>
            <w:r>
              <w:rPr>
                <w:b/>
              </w:rPr>
              <w:t>Benefit of Allowances (£m)</w:t>
            </w:r>
          </w:p>
        </w:tc>
      </w:tr>
      <w:tr>
        <w:tc>
          <w:tcPr>
            <w:tcW w:type="dxa" w:w="2160"/>
          </w:tcPr>
          <w:p>
            <w:r/>
            <w:r>
              <w:t>Ring Fence CT</w:t>
            </w:r>
          </w:p>
        </w:tc>
        <w:tc>
          <w:tcPr>
            <w:tcW w:type="dxa" w:w="2160"/>
          </w:tcPr>
          <w:p>
            <w:r/>
            <w:r>
              <w:t>45.0</w:t>
            </w:r>
          </w:p>
        </w:tc>
        <w:tc>
          <w:tcPr>
            <w:tcW w:type="dxa" w:w="2160"/>
          </w:tcPr>
          <w:p>
            <w:r/>
            <w:r>
              <w:t>45.0</w:t>
            </w:r>
          </w:p>
        </w:tc>
        <w:tc>
          <w:tcPr>
            <w:tcW w:type="dxa" w:w="2160"/>
          </w:tcPr>
          <w:p>
            <w:r/>
            <w:r>
              <w:t>0.0</w:t>
            </w:r>
          </w:p>
        </w:tc>
      </w:tr>
      <w:tr>
        <w:tc>
          <w:tcPr>
            <w:tcW w:type="dxa" w:w="2160"/>
          </w:tcPr>
          <w:p>
            <w:r/>
            <w:r>
              <w:t>Supplementary Charge</w:t>
            </w:r>
          </w:p>
        </w:tc>
        <w:tc>
          <w:tcPr>
            <w:tcW w:type="dxa" w:w="2160"/>
          </w:tcPr>
          <w:p>
            <w:r/>
            <w:r>
              <w:t>5.0</w:t>
            </w:r>
          </w:p>
        </w:tc>
        <w:tc>
          <w:tcPr>
            <w:tcW w:type="dxa" w:w="2160"/>
          </w:tcPr>
          <w:p>
            <w:r/>
            <w:r>
              <w:t>17.0</w:t>
            </w:r>
          </w:p>
        </w:tc>
        <w:tc>
          <w:tcPr>
            <w:tcW w:type="dxa" w:w="2160"/>
          </w:tcPr>
          <w:p>
            <w:r/>
            <w:r>
              <w:t>12.0</w:t>
            </w:r>
          </w:p>
        </w:tc>
      </w:tr>
      <w:tr>
        <w:tc>
          <w:tcPr>
            <w:tcW w:type="dxa" w:w="2160"/>
          </w:tcPr>
          <w:p>
            <w:r/>
            <w:r>
              <w:t>Energy Profits Levy</w:t>
            </w:r>
          </w:p>
        </w:tc>
        <w:tc>
          <w:tcPr>
            <w:tcW w:type="dxa" w:w="2160"/>
          </w:tcPr>
          <w:p>
            <w:r/>
            <w:r>
              <w:t>42.7</w:t>
            </w:r>
          </w:p>
        </w:tc>
        <w:tc>
          <w:tcPr>
            <w:tcW w:type="dxa" w:w="2160"/>
          </w:tcPr>
          <w:p>
            <w:r/>
            <w:r>
              <w:t>59.5</w:t>
            </w:r>
          </w:p>
        </w:tc>
        <w:tc>
          <w:tcPr>
            <w:tcW w:type="dxa" w:w="2160"/>
          </w:tcPr>
          <w:p>
            <w:r/>
            <w:r>
              <w:t>16.8</w:t>
            </w:r>
          </w:p>
        </w:tc>
      </w:tr>
      <w:tr>
        <w:tc>
          <w:tcPr>
            <w:tcW w:type="dxa" w:w="2160"/>
          </w:tcPr>
          <w:p>
            <w:r/>
            <w:r>
              <w:rPr>
                <w:b/>
              </w:rPr>
              <w:t>Total Tax</w:t>
            </w:r>
          </w:p>
        </w:tc>
        <w:tc>
          <w:tcPr>
            <w:tcW w:type="dxa" w:w="2160"/>
          </w:tcPr>
          <w:p>
            <w:r/>
            <w:r>
              <w:rPr>
                <w:b/>
              </w:rPr>
              <w:t>92.7</w:t>
            </w:r>
          </w:p>
        </w:tc>
        <w:tc>
          <w:tcPr>
            <w:tcW w:type="dxa" w:w="2160"/>
          </w:tcPr>
          <w:p>
            <w:r/>
            <w:r>
              <w:rPr>
                <w:b/>
              </w:rPr>
              <w:t>121.5</w:t>
            </w:r>
          </w:p>
        </w:tc>
        <w:tc>
          <w:tcPr>
            <w:tcW w:type="dxa" w:w="2160"/>
          </w:tcPr>
          <w:p>
            <w:r/>
            <w:r>
              <w:rPr>
                <w:b/>
              </w:rPr>
              <w:t>28.8</w:t>
            </w:r>
          </w:p>
        </w:tc>
      </w:tr>
      <w:tr>
        <w:tc>
          <w:tcPr>
            <w:tcW w:type="dxa" w:w="2160"/>
          </w:tcPr>
          <w:p>
            <w:r/>
            <w:r>
              <w:rPr>
                <w:b/>
              </w:rPr>
              <w:t>Effective Rate on Profit</w:t>
            </w:r>
          </w:p>
        </w:tc>
        <w:tc>
          <w:tcPr>
            <w:tcW w:type="dxa" w:w="2160"/>
          </w:tcPr>
          <w:p>
            <w:r/>
            <w:r>
              <w:rPr>
                <w:b/>
              </w:rPr>
              <w:t>34.3%</w:t>
            </w:r>
          </w:p>
        </w:tc>
        <w:tc>
          <w:tcPr>
            <w:tcW w:type="dxa" w:w="2160"/>
          </w:tcPr>
          <w:p>
            <w:r/>
            <w:r>
              <w:rPr>
                <w:b/>
              </w:rPr>
              <w:t>45.0%</w:t>
            </w:r>
          </w:p>
        </w:tc>
        <w:tc>
          <w:tcPr>
            <w:tcW w:type="dxa" w:w="2160"/>
          </w:tcPr>
          <w:p>
            <w:r/>
            <w:r>
              <w:rPr>
                <w:b/>
              </w:rPr>
              <w:t>10.7 percentage points</w:t>
            </w:r>
          </w:p>
        </w:tc>
      </w:tr>
    </w:tbl>
    <w:p/>
    <w:p>
      <w:r>
        <w:rPr>
          <w:b/>
        </w:rPr>
        <w:t>Key Observations:</w:t>
      </w:r>
    </w:p>
    <w:p>
      <w:r>
        <w:t>Without investment allowances, the effective tax rate on accounting profit would increase from 34.3% to 45.0%, demonstrating the substantial fiscal benefit provided by SC and EPL investment allowances in reducing the effective tax burden.</w:t>
      </w:r>
    </w:p>
    <w:p>
      <w:r>
        <w:rPr>
          <w:b/>
        </w:rPr>
        <w:t>Alternative Scenario - 100% Decarbonisation Expenditure:</w:t>
      </w:r>
    </w:p>
    <w:p>
      <w:r>
        <w:t>If all £150m capital expenditure qualified as decarbonisation expenditure (80% EPL allowance):</w:t>
      </w:r>
    </w:p>
    <w:p>
      <w:pPr>
        <w:shd w:fill="F0F0F0"/>
        <w:spacing w:after="0" w:line="240" w:lineRule="auto"/>
      </w:pPr>
      <w:r>
        <w:rPr>
          <w:rFonts w:ascii="Courier New" w:hAnsi="Courier New"/>
          <w:sz w:val="20"/>
        </w:rPr>
        <w:t>EPL relief = (80% × £150m) × 35% = £42.0 million</w:t>
      </w:r>
    </w:p>
    <w:p>
      <w:pPr>
        <w:shd w:fill="F0F0F0"/>
        <w:spacing w:after="0" w:line="240" w:lineRule="auto"/>
      </w:pPr>
      <w:r>
        <w:rPr>
          <w:rFonts w:ascii="Courier New" w:hAnsi="Courier New"/>
          <w:sz w:val="20"/>
        </w:rPr>
        <w:t>Total tax relief = £45.0m (CT) + £12.0m (SC) + £42.0m (EPL) = £99.0 million</w:t>
      </w:r>
    </w:p>
    <w:p>
      <w:pPr>
        <w:shd w:fill="F0F0F0"/>
        <w:spacing w:after="0" w:line="240" w:lineRule="auto"/>
      </w:pPr>
      <w:r>
        <w:rPr>
          <w:rFonts w:ascii="Courier New" w:hAnsi="Courier New"/>
          <w:sz w:val="20"/>
        </w:rPr>
        <w:t>Effective subsidy rate = 66.0%</w:t>
      </w:r>
    </w:p>
    <w:p>
      <w:pPr>
        <w:shd w:fill="F0F0F0"/>
        <w:spacing w:after="0" w:line="240" w:lineRule="auto"/>
      </w:pPr>
      <w:r>
        <w:rPr>
          <w:rFonts w:ascii="Courier New" w:hAnsi="Courier New"/>
          <w:sz w:val="20"/>
        </w:rPr>
        <w:t>Total tax liability = £45.0m + £5.0m + £17.5m = £67.5 million</w:t>
      </w:r>
    </w:p>
    <w:p>
      <w:pPr>
        <w:shd w:fill="F0F0F0"/>
        <w:spacing w:after="0" w:line="240" w:lineRule="auto"/>
      </w:pPr>
      <w:r>
        <w:rPr>
          <w:rFonts w:ascii="Courier New" w:hAnsi="Courier New"/>
          <w:sz w:val="20"/>
        </w:rPr>
        <w:t>Effective rate on accounting profit = 25.0%</w:t>
      </w:r>
    </w:p>
    <w:p/>
    <w:p>
      <w:r>
        <w:t>This demonstrates the significant incentive for decarbonisation investment, reducing the effective tax rate from 34.3% to 25.0% and providing £25.2m additional tax relief compared to non-decarbonisation expenditure.</w:t>
      </w:r>
    </w:p>
    <w:p>
      <w:pPr>
        <w:pStyle w:val="Heading3"/>
      </w:pPr>
      <w:r>
        <w:t>5.4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 million)</w:t>
            </w:r>
          </w:p>
        </w:tc>
        <w:tc>
          <w:tcPr>
            <w:tcW w:type="dxa" w:w="2880"/>
          </w:tcPr>
          <w:p>
            <w:r>
              <w:rPr>
                <w:b/>
              </w:rPr>
            </w:r>
            <w:r>
              <w:rPr>
                <w:b/>
              </w:rPr>
              <w:t>Percentage of Gross Revenue</w:t>
            </w:r>
          </w:p>
        </w:tc>
      </w:tr>
      <w:tr>
        <w:tc>
          <w:tcPr>
            <w:tcW w:type="dxa" w:w="2880"/>
          </w:tcPr>
          <w:p>
            <w:r/>
            <w:r>
              <w:t>Gross Revenue</w:t>
            </w:r>
          </w:p>
        </w:tc>
        <w:tc>
          <w:tcPr>
            <w:tcW w:type="dxa" w:w="2880"/>
          </w:tcPr>
          <w:p>
            <w:r/>
            <w:r>
              <w:t>500.0</w:t>
            </w:r>
          </w:p>
        </w:tc>
        <w:tc>
          <w:tcPr>
            <w:tcW w:type="dxa" w:w="2880"/>
          </w:tcPr>
          <w:p>
            <w:r/>
            <w:r>
              <w:t>100.0%</w:t>
            </w:r>
          </w:p>
        </w:tc>
      </w:tr>
      <w:tr>
        <w:tc>
          <w:tcPr>
            <w:tcW w:type="dxa" w:w="2880"/>
          </w:tcPr>
          <w:p>
            <w:r/>
            <w:r>
              <w:t>Operating Expenditure</w:t>
            </w:r>
          </w:p>
        </w:tc>
        <w:tc>
          <w:tcPr>
            <w:tcW w:type="dxa" w:w="2880"/>
          </w:tcPr>
          <w:p>
            <w:r/>
            <w:r>
              <w:t>(180.0)</w:t>
            </w:r>
          </w:p>
        </w:tc>
        <w:tc>
          <w:tcPr>
            <w:tcW w:type="dxa" w:w="2880"/>
          </w:tcPr>
          <w:p>
            <w:r/>
            <w:r>
              <w:t>(36.0%)</w:t>
            </w:r>
          </w:p>
        </w:tc>
      </w:tr>
      <w:tr>
        <w:tc>
          <w:tcPr>
            <w:tcW w:type="dxa" w:w="2880"/>
          </w:tcPr>
          <w:p>
            <w:r/>
            <w:r>
              <w:t>Capital Expenditure</w:t>
            </w:r>
          </w:p>
        </w:tc>
        <w:tc>
          <w:tcPr>
            <w:tcW w:type="dxa" w:w="2880"/>
          </w:tcPr>
          <w:p>
            <w:r/>
            <w:r>
              <w:t>(150.0)</w:t>
            </w:r>
          </w:p>
        </w:tc>
        <w:tc>
          <w:tcPr>
            <w:tcW w:type="dxa" w:w="2880"/>
          </w:tcPr>
          <w:p>
            <w:r/>
            <w:r>
              <w:t>(30.0%)</w:t>
            </w:r>
          </w:p>
        </w:tc>
      </w:tr>
      <w:tr>
        <w:tc>
          <w:tcPr>
            <w:tcW w:type="dxa" w:w="2880"/>
          </w:tcPr>
          <w:p>
            <w:r/>
            <w:r>
              <w:t>Financing Costs</w:t>
            </w:r>
          </w:p>
        </w:tc>
        <w:tc>
          <w:tcPr>
            <w:tcW w:type="dxa" w:w="2880"/>
          </w:tcPr>
          <w:p>
            <w:r/>
            <w:r>
              <w:t>(20.0)</w:t>
            </w:r>
          </w:p>
        </w:tc>
        <w:tc>
          <w:tcPr>
            <w:tcW w:type="dxa" w:w="2880"/>
          </w:tcPr>
          <w:p>
            <w:r/>
            <w:r>
              <w:t>(4.0%)</w:t>
            </w:r>
          </w:p>
        </w:tc>
      </w:tr>
      <w:tr>
        <w:tc>
          <w:tcPr>
            <w:tcW w:type="dxa" w:w="2880"/>
          </w:tcPr>
          <w:p>
            <w:r/>
            <w:r>
              <w:rPr>
                <w:b/>
              </w:rPr>
              <w:t>Cash Flow Before Tax</w:t>
            </w:r>
          </w:p>
        </w:tc>
        <w:tc>
          <w:tcPr>
            <w:tcW w:type="dxa" w:w="2880"/>
          </w:tcPr>
          <w:p>
            <w:r/>
            <w:r>
              <w:rPr>
                <w:b/>
              </w:rPr>
              <w:t>150.0</w:t>
            </w:r>
          </w:p>
        </w:tc>
        <w:tc>
          <w:tcPr>
            <w:tcW w:type="dxa" w:w="2880"/>
          </w:tcPr>
          <w:p>
            <w:r/>
            <w:r>
              <w:rPr>
                <w:b/>
              </w:rPr>
              <w:t>30.0%</w:t>
            </w:r>
          </w:p>
        </w:tc>
      </w:tr>
      <w:tr>
        <w:tc>
          <w:tcPr>
            <w:tcW w:type="dxa" w:w="2880"/>
          </w:tcPr>
          <w:p>
            <w:r/>
            <w:r>
              <w:t>Ring Fence CT</w:t>
            </w:r>
          </w:p>
        </w:tc>
        <w:tc>
          <w:tcPr>
            <w:tcW w:type="dxa" w:w="2880"/>
          </w:tcPr>
          <w:p>
            <w:r/>
            <w:r>
              <w:t>(45.0)</w:t>
            </w:r>
          </w:p>
        </w:tc>
        <w:tc>
          <w:tcPr>
            <w:tcW w:type="dxa" w:w="2880"/>
          </w:tcPr>
          <w:p>
            <w:r/>
            <w:r>
              <w:t>(9.0%)</w:t>
            </w:r>
          </w:p>
        </w:tc>
      </w:tr>
      <w:tr>
        <w:tc>
          <w:tcPr>
            <w:tcW w:type="dxa" w:w="2880"/>
          </w:tcPr>
          <w:p>
            <w:r/>
            <w:r>
              <w:t>Supplementary Charge</w:t>
            </w:r>
          </w:p>
        </w:tc>
        <w:tc>
          <w:tcPr>
            <w:tcW w:type="dxa" w:w="2880"/>
          </w:tcPr>
          <w:p>
            <w:r/>
            <w:r>
              <w:t>(5.0)</w:t>
            </w:r>
          </w:p>
        </w:tc>
        <w:tc>
          <w:tcPr>
            <w:tcW w:type="dxa" w:w="2880"/>
          </w:tcPr>
          <w:p>
            <w:r/>
            <w:r>
              <w:t>(1.0%)</w:t>
            </w:r>
          </w:p>
        </w:tc>
      </w:tr>
      <w:tr>
        <w:tc>
          <w:tcPr>
            <w:tcW w:type="dxa" w:w="2880"/>
          </w:tcPr>
          <w:p>
            <w:r/>
            <w:r>
              <w:t>Energy Profits Levy</w:t>
            </w:r>
          </w:p>
        </w:tc>
        <w:tc>
          <w:tcPr>
            <w:tcW w:type="dxa" w:w="2880"/>
          </w:tcPr>
          <w:p>
            <w:r/>
            <w:r>
              <w:t>(42.7)</w:t>
            </w:r>
          </w:p>
        </w:tc>
        <w:tc>
          <w:tcPr>
            <w:tcW w:type="dxa" w:w="2880"/>
          </w:tcPr>
          <w:p>
            <w:r/>
            <w:r>
              <w:t>(8.5%)</w:t>
            </w:r>
          </w:p>
        </w:tc>
      </w:tr>
      <w:tr>
        <w:tc>
          <w:tcPr>
            <w:tcW w:type="dxa" w:w="2880"/>
          </w:tcPr>
          <w:p>
            <w:r/>
            <w:r>
              <w:rPr>
                <w:b/>
              </w:rPr>
              <w:t>Total Tax</w:t>
            </w:r>
          </w:p>
        </w:tc>
        <w:tc>
          <w:tcPr>
            <w:tcW w:type="dxa" w:w="2880"/>
          </w:tcPr>
          <w:p>
            <w:r/>
            <w:r>
              <w:rPr>
                <w:b/>
              </w:rPr>
              <w:t>(92.7)</w:t>
            </w:r>
          </w:p>
        </w:tc>
        <w:tc>
          <w:tcPr>
            <w:tcW w:type="dxa" w:w="2880"/>
          </w:tcPr>
          <w:p>
            <w:r/>
            <w:r>
              <w:rPr>
                <w:b/>
              </w:rPr>
              <w:t>(18.5%)</w:t>
            </w:r>
          </w:p>
        </w:tc>
      </w:tr>
      <w:tr>
        <w:tc>
          <w:tcPr>
            <w:tcW w:type="dxa" w:w="2880"/>
          </w:tcPr>
          <w:p>
            <w:r/>
            <w:r>
              <w:rPr>
                <w:b/>
              </w:rPr>
              <w:t>Net Cash Flow After Tax</w:t>
            </w:r>
          </w:p>
        </w:tc>
        <w:tc>
          <w:tcPr>
            <w:tcW w:type="dxa" w:w="2880"/>
          </w:tcPr>
          <w:p>
            <w:r/>
            <w:r>
              <w:rPr>
                <w:b/>
              </w:rPr>
              <w:t>57.3</w:t>
            </w:r>
          </w:p>
        </w:tc>
        <w:tc>
          <w:tcPr>
            <w:tcW w:type="dxa" w:w="2880"/>
          </w:tcPr>
          <w:p>
            <w:r/>
            <w:r>
              <w:rPr>
                <w:b/>
              </w:rPr>
              <w:t>11.5%</w:t>
            </w:r>
          </w:p>
        </w:tc>
      </w:tr>
    </w:tbl>
    <w:p/>
    <w:p>
      <w:r>
        <w:rPr>
          <w:b/>
        </w:rPr>
        <w:t>Government Take:</w:t>
      </w:r>
      <w:r>
        <w:t xml:space="preserve"> £92.7m / £150m cash flow = </w:t>
      </w:r>
      <w:r>
        <w:rPr>
          <w:b/>
        </w:rPr>
        <w:t>61.8%</w:t>
      </w:r>
      <w:r>
        <w:t xml:space="preserve"> of pre-tax cash flow</w:t>
      </w:r>
    </w:p>
    <w:p>
      <w:r>
        <w:rPr>
          <w:b/>
        </w:rPr>
        <w:t>Contractor Take:</w:t>
      </w:r>
      <w:r>
        <w:t xml:space="preserve"> £57.3m / £150m cash flow = </w:t>
      </w:r>
      <w:r>
        <w:rPr>
          <w:b/>
        </w:rPr>
        <w:t>38.2%</w:t>
      </w:r>
      <w:r>
        <w:t xml:space="preserve"> of pre-tax cash flow</w:t>
      </w:r>
    </w:p>
    <w:p>
      <w:pPr>
        <w:spacing w:before="120" w:after="120"/>
        <w:pBdr>
          <w:bottom w:val="single" w:sz="6" w:space="1" w:color="auto"/>
        </w:pBdr>
      </w:pPr>
    </w:p>
    <w:p>
      <w:r>
        <w:rPr>
          <w:b/>
        </w:rPr>
        <w:t>Study Note Key Points:</w:t>
      </w:r>
    </w:p>
    <w:p>
      <w:pPr>
        <w:pStyle w:val="ListNumber"/>
      </w:pPr>
      <w:r>
        <w:t xml:space="preserve">UK petroleum taxation applies a </w:t>
      </w:r>
      <w:r>
        <w:rPr>
          <w:b/>
        </w:rPr>
        <w:t>three-tier system</w:t>
      </w:r>
      <w:r>
        <w:t>: Ring Fence Corporation Tax (</w:t>
      </w:r>
      <w:r>
        <w:rPr>
          <w:b/>
        </w:rPr>
        <w:t>30%</w:t>
      </w:r>
      <w:r>
        <w:t>), Supplementary Charge (</w:t>
      </w:r>
      <w:r>
        <w:rPr>
          <w:b/>
        </w:rPr>
        <w:t>10%</w:t>
      </w:r>
      <w:r>
        <w:t>), and Energy Profits Levy (</w:t>
      </w:r>
      <w:r>
        <w:rPr>
          <w:b/>
        </w:rPr>
        <w:t>35%</w:t>
      </w:r>
      <w:r>
        <w:t xml:space="preserve">), creating a </w:t>
      </w:r>
      <w:r>
        <w:rPr>
          <w:b/>
        </w:rPr>
        <w:t>75.25% combined marginal rate</w:t>
      </w:r>
    </w:p>
    <w:p>
      <w:pPr>
        <w:pStyle w:val="ListNumber"/>
      </w:pPr>
      <w:r>
        <w:rPr>
          <w:b/>
        </w:rPr>
        <w:t>Ring-fencing</w:t>
      </w:r>
      <w:r>
        <w:t xml:space="preserve"> (Corporation Tax Act 2010, Part 8) mandates separate taxation of petroleum activities; non-ring fence losses cannot offset ring fence profits</w:t>
      </w:r>
    </w:p>
    <w:p>
      <w:pPr>
        <w:pStyle w:val="ListNumber"/>
      </w:pPr>
      <w:r>
        <w:rPr>
          <w:b/>
        </w:rPr>
        <w:t>Energy Profits Levy</w:t>
      </w:r>
      <w:r>
        <w:t xml:space="preserve"> introduced </w:t>
      </w:r>
      <w:r>
        <w:rPr>
          <w:b/>
        </w:rPr>
        <w:t>26 May 2022</w:t>
      </w:r>
      <w:r>
        <w:t xml:space="preserve"> at 25%, increased to </w:t>
      </w:r>
      <w:r>
        <w:rPr>
          <w:b/>
        </w:rPr>
        <w:t>35%</w:t>
      </w:r>
      <w:r>
        <w:t xml:space="preserve"> effective </w:t>
      </w:r>
      <w:r>
        <w:rPr>
          <w:b/>
        </w:rPr>
        <w:t>1 January 2023</w:t>
      </w:r>
      <w:r>
        <w:t xml:space="preserve">; current sunset date </w:t>
      </w:r>
      <w:r>
        <w:rPr>
          <w:b/>
        </w:rPr>
        <w:t>31 March 2030</w:t>
      </w:r>
      <w:r>
        <w:t xml:space="preserve"> (subject to early termination if oil and gas prices fall to specified thresholds)</w:t>
      </w:r>
    </w:p>
    <w:p>
      <w:pPr>
        <w:pStyle w:val="ListNumber"/>
      </w:pPr>
      <w:r>
        <w:rPr>
          <w:b/>
        </w:rPr>
        <w:t>Investment allowances</w:t>
      </w:r>
      <w:r>
        <w:t xml:space="preserve"> provide </w:t>
      </w:r>
      <w:r>
        <w:rPr>
          <w:b/>
        </w:rPr>
        <w:t>80%</w:t>
      </w:r>
      <w:r>
        <w:t xml:space="preserve"> additional deductions against SC and EPL for qualifying capital expenditure; general EPL allowance </w:t>
      </w:r>
      <w:r>
        <w:rPr>
          <w:b/>
        </w:rPr>
        <w:t>abolished</w:t>
      </w:r>
      <w:r>
        <w:t xml:space="preserve"> from </w:t>
      </w:r>
      <w:r>
        <w:rPr>
          <w:b/>
        </w:rPr>
        <w:t>1 November 2024</w:t>
      </w:r>
      <w:r>
        <w:t xml:space="preserve">; </w:t>
      </w:r>
      <w:r>
        <w:rPr>
          <w:b/>
        </w:rPr>
        <w:t>80% decarbonisation allowance</w:t>
      </w:r>
      <w:r>
        <w:t xml:space="preserve"> retained for electrification, CCS, and emissions-reduction expenditure</w:t>
      </w:r>
    </w:p>
    <w:p>
      <w:pPr>
        <w:pStyle w:val="ListNumber"/>
      </w:pPr>
      <w:r>
        <w:rPr>
          <w:b/>
        </w:rPr>
        <w:t>100% first-year capital allowances</w:t>
      </w:r>
      <w:r>
        <w:t xml:space="preserve"> for qualifying petroleum assets accelerate tax relief for RF CT purposes</w:t>
      </w:r>
    </w:p>
    <w:p>
      <w:pPr>
        <w:pStyle w:val="ListNumber"/>
      </w:pPr>
      <w:r>
        <w:rPr>
          <w:b/>
        </w:rPr>
        <w:t>Financing costs</w:t>
      </w:r>
      <w:r>
        <w:t xml:space="preserve"> excluded from SC and EPL tax bases (added back after RF CT calculation), preventing interest deductions from reducing resource rent taxes</w:t>
      </w:r>
    </w:p>
    <w:p>
      <w:pPr>
        <w:pStyle w:val="ListNumber"/>
      </w:pPr>
      <w:r>
        <w:rPr>
          <w:b/>
        </w:rPr>
        <w:t>Decommissioning relief</w:t>
      </w:r>
      <w:r>
        <w:t xml:space="preserve"> provided at effective production-period tax rate (</w:t>
      </w:r>
      <w:r>
        <w:rPr>
          <w:b/>
        </w:rPr>
        <w:t>75.25%</w:t>
      </w:r>
      <w:r>
        <w:t xml:space="preserve"> for current regime fields) through contractual </w:t>
      </w:r>
      <w:r>
        <w:rPr>
          <w:b/>
        </w:rPr>
        <w:t>Decommissioning Relief Deeds</w:t>
      </w:r>
      <w:r>
        <w:t xml:space="preserve"> guaranteeing relief levels cannot be reduced by future legislation</w:t>
      </w:r>
    </w:p>
    <w:p>
      <w:pPr>
        <w:pStyle w:val="ListNumber"/>
      </w:pPr>
      <w:r>
        <w:rPr>
          <w:b/>
        </w:rPr>
        <w:t>Petroleum Revenue Tax</w:t>
      </w:r>
      <w:r>
        <w:t xml:space="preserve"> (Oil Taxation Act 1975) reduced to </w:t>
      </w:r>
      <w:r>
        <w:rPr>
          <w:b/>
        </w:rPr>
        <w:t>0%</w:t>
      </w:r>
      <w:r>
        <w:t xml:space="preserve"> from </w:t>
      </w:r>
      <w:r>
        <w:rPr>
          <w:b/>
        </w:rPr>
        <w:t>1 January 2016</w:t>
      </w:r>
      <w:r>
        <w:t>; applies only to pre-16 March 1993 fields with minimal current significance</w:t>
      </w:r>
    </w:p>
    <w:p>
      <w:pPr>
        <w:pStyle w:val="ListNumber"/>
      </w:pPr>
      <w:r>
        <w:rPr>
          <w:b/>
        </w:rPr>
        <w:t>Withholding taxes</w:t>
      </w:r>
      <w:r>
        <w:t xml:space="preserve">: Dividends </w:t>
      </w:r>
      <w:r>
        <w:rPr>
          <w:b/>
        </w:rPr>
        <w:t>nil</w:t>
      </w:r>
      <w:r>
        <w:t xml:space="preserve">, Interest </w:t>
      </w:r>
      <w:r>
        <w:rPr>
          <w:b/>
        </w:rPr>
        <w:t>20%</w:t>
      </w:r>
      <w:r>
        <w:t xml:space="preserve"> (treaty relief available), Royalties </w:t>
      </w:r>
      <w:r>
        <w:rPr>
          <w:b/>
        </w:rPr>
        <w:t>20%</w:t>
      </w:r>
      <w:r>
        <w:t xml:space="preserve"> (treaties reduce to 0-10%)</w:t>
      </w:r>
    </w:p>
    <w:p>
      <w:pPr>
        <w:pStyle w:val="ListNumber"/>
      </w:pPr>
      <w:r>
        <w:rPr>
          <w:b/>
        </w:rPr>
        <w:t>EPL loss restrictions</w:t>
      </w:r>
      <w:r>
        <w:t>: Pre-commencement losses (before 26 May 2022) cannot offset EPL; only post-commencement losses reduce EPL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