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Permanent establishments Service companies</w:t>
      </w:r>
    </w:p>
    <w:p>
      <w:pPr>
        <w:pStyle w:val="Heading1"/>
      </w:pPr>
      <w:r>
        <w:t>Service Companies and Permanent Establishments in Energy Resources</w:t>
      </w:r>
    </w:p>
    <w:p>
      <w:pPr>
        <w:pStyle w:val="Heading2"/>
      </w:pPr>
      <w:r>
        <w:t>1. Core Framework</w:t>
      </w:r>
    </w:p>
    <w:p>
      <w:r>
        <w:rPr>
          <w:b/>
        </w:rPr>
        <w:t>Service companies</w:t>
      </w:r>
      <w:r>
        <w:t xml:space="preserve"> in the energy sector provide specialized technical, operational, and support services to upstream and downstream oil and gas operators. The provision of these services across borders creates significant </w:t>
      </w:r>
      <w:r>
        <w:rPr>
          <w:b/>
        </w:rPr>
        <w:t>permanent establishment (PE) risk</w:t>
      </w:r>
      <w:r>
        <w:t>, potentially subjecting the service provider to taxation in the host country on profits attributable to the services performed.</w:t>
      </w:r>
    </w:p>
    <w:p>
      <w:pPr>
        <w:pStyle w:val="Heading3"/>
      </w:pPr>
      <w:r>
        <w:t>1.1 Definition and Scope</w:t>
      </w:r>
    </w:p>
    <w:p>
      <w:r>
        <w:rPr>
          <w:b/>
        </w:rPr>
        <w:t>Service companies</w:t>
      </w:r>
      <w:r>
        <w:t xml:space="preserve"> are enterprises that provide specialized services to energy operators without taking ownership of production or hydrocarbon resources. Unlike contractors under </w:t>
      </w:r>
      <w:r>
        <w:rPr>
          <w:b/>
        </w:rPr>
        <w:t>Production Sharing Contracts (PSCs)</w:t>
      </w:r>
      <w:r>
        <w:t xml:space="preserve"> or concession holders, service companies operate on a fee-for-service basis without participating in production entitlements.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Remuneration based on fees (daily rates, lump-sum, cost-plus) rather than production entitlement</w:t>
      </w:r>
    </w:p>
    <w:p>
      <w:pPr>
        <w:pStyle w:val="ListBullet"/>
      </w:pPr>
      <w:r>
        <w:t>No direct interest in hydrocarbon reserves</w:t>
      </w:r>
    </w:p>
    <w:p>
      <w:pPr>
        <w:pStyle w:val="ListBullet"/>
      </w:pPr>
      <w:r>
        <w:t>Limited duration of engagement (project-based or term contracts)</w:t>
      </w:r>
    </w:p>
    <w:p>
      <w:pPr>
        <w:pStyle w:val="ListBullet"/>
      </w:pPr>
      <w:r>
        <w:t>Specialized technical expertise and equipment</w:t>
      </w:r>
    </w:p>
    <w:p>
      <w:pPr>
        <w:pStyle w:val="ListBullet"/>
      </w:pPr>
      <w:r>
        <w:t>May involve cross-border personnel deployment</w:t>
      </w:r>
    </w:p>
    <w:p>
      <w:pPr>
        <w:pStyle w:val="Heading3"/>
      </w:pPr>
      <w:r>
        <w:t>1.2 Types of Service Companies in Energy Sector</w:t>
      </w:r>
    </w:p>
    <w:p>
      <w:r>
        <w:rPr>
          <w:b/>
        </w:rPr>
        <w:t>Technical Services</w:t>
      </w:r>
      <w:r>
        <w:t>:</w:t>
      </w:r>
    </w:p>
    <w:p>
      <w:pPr>
        <w:pStyle w:val="ListBullet"/>
      </w:pPr>
      <w:r>
        <w:rPr>
          <w:b/>
        </w:rPr>
        <w:t>Seismic survey companies</w:t>
      </w:r>
      <w:r>
        <w:t>: Conduct geological and geophysical surveys (2D/3D seismic)</w:t>
      </w:r>
    </w:p>
    <w:p>
      <w:pPr>
        <w:pStyle w:val="ListBullet"/>
      </w:pPr>
      <w:r>
        <w:rPr>
          <w:b/>
        </w:rPr>
        <w:t>Drilling contractors</w:t>
      </w:r>
      <w:r>
        <w:t>: Provide drilling rigs and crews (exploration, development, workover)</w:t>
      </w:r>
    </w:p>
    <w:p>
      <w:pPr>
        <w:pStyle w:val="ListBullet"/>
      </w:pPr>
      <w:r>
        <w:rPr>
          <w:b/>
        </w:rPr>
        <w:t>Well services</w:t>
      </w:r>
      <w:r>
        <w:t>: Wireline, cementing, completion, stimulation services</w:t>
      </w:r>
    </w:p>
    <w:p>
      <w:pPr>
        <w:pStyle w:val="ListBullet"/>
      </w:pPr>
      <w:r>
        <w:rPr>
          <w:b/>
        </w:rPr>
        <w:t>Engineering consultants</w:t>
      </w:r>
      <w:r>
        <w:t>: Reservoir engineering, production optimization, facilities design</w:t>
      </w:r>
    </w:p>
    <w:p>
      <w:r>
        <w:rPr>
          <w:b/>
        </w:rPr>
        <w:t>Construction and Installation</w:t>
      </w:r>
      <w:r>
        <w:t>:</w:t>
      </w:r>
    </w:p>
    <w:p>
      <w:pPr>
        <w:pStyle w:val="ListBullet"/>
      </w:pPr>
      <w:r>
        <w:rPr>
          <w:b/>
        </w:rPr>
        <w:t>Offshore installation</w:t>
      </w:r>
      <w:r>
        <w:t>: Platform installation, subsea infrastructure</w:t>
      </w:r>
    </w:p>
    <w:p>
      <w:pPr>
        <w:pStyle w:val="ListBullet"/>
      </w:pPr>
      <w:r>
        <w:rPr>
          <w:b/>
        </w:rPr>
        <w:t>Pipeline construction</w:t>
      </w:r>
      <w:r>
        <w:t>: Onshore and offshore pipeline laying</w:t>
      </w:r>
    </w:p>
    <w:p>
      <w:pPr>
        <w:pStyle w:val="ListBullet"/>
      </w:pPr>
      <w:r>
        <w:rPr>
          <w:b/>
        </w:rPr>
        <w:t>Facilities construction</w:t>
      </w:r>
      <w:r>
        <w:t>: Processing plants, storage facilities, refineries</w:t>
      </w:r>
    </w:p>
    <w:p>
      <w:r>
        <w:rPr>
          <w:b/>
        </w:rPr>
        <w:t>Operational Support</w:t>
      </w:r>
      <w:r>
        <w:t>:</w:t>
      </w:r>
    </w:p>
    <w:p>
      <w:pPr>
        <w:pStyle w:val="ListBullet"/>
      </w:pPr>
      <w:r>
        <w:rPr>
          <w:b/>
        </w:rPr>
        <w:t>Maintenance and repair</w:t>
      </w:r>
      <w:r>
        <w:t>: Equipment servicing, facility maintenance</w:t>
      </w:r>
    </w:p>
    <w:p>
      <w:pPr>
        <w:pStyle w:val="ListBullet"/>
      </w:pPr>
      <w:r>
        <w:rPr>
          <w:b/>
        </w:rPr>
        <w:t>Catering and accommodation</w:t>
      </w:r>
      <w:r>
        <w:t>: Offshore platform catering, camp management</w:t>
      </w:r>
    </w:p>
    <w:p>
      <w:pPr>
        <w:pStyle w:val="ListBullet"/>
      </w:pPr>
      <w:r>
        <w:rPr>
          <w:b/>
        </w:rPr>
        <w:t>Transportation</w:t>
      </w:r>
      <w:r>
        <w:t>: Helicopter services, marine support vessels</w:t>
      </w:r>
    </w:p>
    <w:p>
      <w:pPr>
        <w:pStyle w:val="ListBullet"/>
      </w:pPr>
      <w:r>
        <w:rPr>
          <w:b/>
        </w:rPr>
        <w:t>IT and communications</w:t>
      </w:r>
      <w:r>
        <w:t>: Digital oilfield services, data management</w:t>
      </w:r>
    </w:p>
    <w:p>
      <w:pPr>
        <w:pStyle w:val="Heading3"/>
      </w:pPr>
      <w:r>
        <w:t>1.3 PE Creation Risks for Service Providers</w:t>
      </w:r>
    </w:p>
    <w:p>
      <w:r>
        <w:t xml:space="preserve">Service companies face </w:t>
      </w:r>
      <w:r>
        <w:rPr>
          <w:b/>
        </w:rPr>
        <w:t>multiple PE exposure scenarios</w:t>
      </w:r>
      <w:r>
        <w:t>:</w:t>
      </w:r>
    </w:p>
    <w:p>
      <w:r>
        <w:rPr>
          <w:b/>
        </w:rPr>
        <w:t>Fixed Place of Business PE (Article 5(1))</w:t>
      </w:r>
      <w:r>
        <w:t>:</w:t>
      </w:r>
    </w:p>
    <w:p>
      <w:pPr>
        <w:pStyle w:val="ListBullet"/>
      </w:pPr>
      <w:r>
        <w:t>Established office or facility in host country</w:t>
      </w:r>
    </w:p>
    <w:p>
      <w:pPr>
        <w:pStyle w:val="ListBullet"/>
      </w:pPr>
      <w:r>
        <w:t>Project site serving as fixed place of business</w:t>
      </w:r>
    </w:p>
    <w:p>
      <w:pPr>
        <w:pStyle w:val="ListBullet"/>
      </w:pPr>
      <w:r>
        <w:t>Equipment depot or storage facility</w:t>
      </w:r>
    </w:p>
    <w:p>
      <w:pPr>
        <w:pStyle w:val="ListBullet"/>
      </w:pPr>
      <w:r>
        <w:t>Permanent onshore base for offshore operations</w:t>
      </w:r>
    </w:p>
    <w:p>
      <w:r>
        <w:rPr>
          <w:b/>
        </w:rPr>
        <w:t>Construction/Installation PE (Article 5(3))</w:t>
      </w:r>
      <w:r>
        <w:t>:</w:t>
      </w:r>
    </w:p>
    <w:p>
      <w:pPr>
        <w:pStyle w:val="ListBullet"/>
      </w:pPr>
      <w:r>
        <w:t>Construction, installation, or assembly projects exceeding time threshold</w:t>
      </w:r>
    </w:p>
    <w:p>
      <w:pPr>
        <w:pStyle w:val="ListBullet"/>
      </w:pPr>
      <w:r>
        <w:t>Drilling operations (jurisdiction-specific treatment)</w:t>
      </w:r>
    </w:p>
    <w:p>
      <w:pPr>
        <w:pStyle w:val="ListBullet"/>
      </w:pPr>
      <w:r>
        <w:t>Offshore platform installation</w:t>
      </w:r>
    </w:p>
    <w:p>
      <w:pPr>
        <w:pStyle w:val="ListBullet"/>
      </w:pPr>
      <w:r>
        <w:t>Pipeline construction projects</w:t>
      </w:r>
    </w:p>
    <w:p>
      <w:r>
        <w:rPr>
          <w:b/>
        </w:rPr>
        <w:t>Service PE (UN Model Article 5(3)(b))</w:t>
      </w:r>
      <w:r>
        <w:t>:</w:t>
      </w:r>
    </w:p>
    <w:p>
      <w:pPr>
        <w:pStyle w:val="ListBullet"/>
      </w:pPr>
      <w:r>
        <w:t>Furnishing of services through employees/personnel</w:t>
      </w:r>
    </w:p>
    <w:p>
      <w:pPr>
        <w:pStyle w:val="ListBullet"/>
      </w:pPr>
      <w:r>
        <w:t>Threshold: Activities continue for specified period (typically 183 days in any 12-month period)</w:t>
      </w:r>
    </w:p>
    <w:p>
      <w:pPr>
        <w:pStyle w:val="ListBullet"/>
      </w:pPr>
      <w:r>
        <w:t>Applies where treaty includes UN Model service PE provision</w:t>
      </w:r>
    </w:p>
    <w:p>
      <w:r>
        <w:rPr>
          <w:b/>
        </w:rPr>
        <w:t>Dependent Agent PE (Article 5(5))</w:t>
      </w:r>
      <w:r>
        <w:t>:</w:t>
      </w:r>
    </w:p>
    <w:p>
      <w:pPr>
        <w:pStyle w:val="ListBullet"/>
      </w:pPr>
      <w:r>
        <w:t>Local agent with authority to conclude contracts</w:t>
      </w:r>
    </w:p>
    <w:p>
      <w:pPr>
        <w:pStyle w:val="ListBullet"/>
      </w:pPr>
      <w:r>
        <w:t>Habitual exercise of contracting authority</w:t>
      </w:r>
    </w:p>
    <w:p>
      <w:pPr>
        <w:pStyle w:val="ListBullet"/>
      </w:pPr>
      <w:r>
        <w:t>Service coordinator or procurement agent for service company</w:t>
      </w:r>
    </w:p>
    <w:p>
      <w:pPr>
        <w:pStyle w:val="Heading2"/>
      </w:pPr>
      <w:r>
        <w:t>2. Technical Rules and Treaty Provisions</w:t>
      </w:r>
    </w:p>
    <w:p>
      <w:pPr>
        <w:pStyle w:val="Heading3"/>
      </w:pPr>
      <w:r>
        <w:t>2.1 Service PE Thresholds - Treaty Variations</w:t>
      </w:r>
    </w:p>
    <w:p>
      <w:r>
        <w:rPr>
          <w:b/>
        </w:rPr>
        <w:t>PE Threshold Comparison Table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Treaty 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Service PE Provision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Time 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Activity 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OECD Model</w:t>
            </w:r>
          </w:p>
        </w:tc>
        <w:tc>
          <w:tcPr>
            <w:tcW w:type="dxa" w:w="2160"/>
          </w:tcPr>
          <w:p>
            <w:r/>
            <w:r>
              <w:t>No specific service PE provision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Services may create fixed place PE or dependent agent PE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UN Model Article 5(3)(b)</w:t>
            </w:r>
          </w:p>
        </w:tc>
        <w:tc>
          <w:tcPr>
            <w:tcW w:type="dxa" w:w="2160"/>
          </w:tcPr>
          <w:p>
            <w:r/>
            <w:r>
              <w:t>Furnishing of services through employees or other personnel</w:t>
            </w:r>
          </w:p>
        </w:tc>
        <w:tc>
          <w:tcPr>
            <w:tcW w:type="dxa" w:w="2160"/>
          </w:tcPr>
          <w:p>
            <w:r/>
            <w:r>
              <w:t>183 days within any 12-month period</w:t>
            </w:r>
          </w:p>
        </w:tc>
        <w:tc>
          <w:tcPr>
            <w:tcW w:type="dxa" w:w="2160"/>
          </w:tcPr>
          <w:p>
            <w:r/>
            <w:r>
              <w:t>Services for same or connected project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 Model</w:t>
            </w:r>
          </w:p>
        </w:tc>
        <w:tc>
          <w:tcPr>
            <w:tcW w:type="dxa" w:w="2160"/>
          </w:tcPr>
          <w:p>
            <w:r/>
            <w:r>
              <w:t>No specific service PE provision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Similar to OECD approach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Common Bilateral Variations</w:t>
            </w:r>
          </w:p>
        </w:tc>
        <w:tc>
          <w:tcPr>
            <w:tcW w:type="dxa" w:w="2160"/>
          </w:tcPr>
          <w:p>
            <w:r/>
            <w:r>
              <w:t>Service PE clause included</w:t>
            </w:r>
          </w:p>
        </w:tc>
        <w:tc>
          <w:tcPr>
            <w:tcW w:type="dxa" w:w="2160"/>
          </w:tcPr>
          <w:p>
            <w:r/>
            <w:r>
              <w:t>90-183 days (varies)</w:t>
            </w:r>
          </w:p>
        </w:tc>
        <w:tc>
          <w:tcPr>
            <w:tcW w:type="dxa" w:w="2160"/>
          </w:tcPr>
          <w:p>
            <w:r/>
            <w:r>
              <w:t>Same or connected project; some aggregate all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Oil-rich Countries</w:t>
            </w:r>
          </w:p>
        </w:tc>
        <w:tc>
          <w:tcPr>
            <w:tcW w:type="dxa" w:w="2160"/>
          </w:tcPr>
          <w:p>
            <w:r/>
            <w:r>
              <w:t>Service PE with low thresholds</w:t>
            </w:r>
          </w:p>
        </w:tc>
        <w:tc>
          <w:tcPr>
            <w:tcW w:type="dxa" w:w="2160"/>
          </w:tcPr>
          <w:p>
            <w:r/>
            <w:r>
              <w:t>30-90 days common</w:t>
            </w:r>
          </w:p>
        </w:tc>
        <w:tc>
          <w:tcPr>
            <w:tcW w:type="dxa" w:w="2160"/>
          </w:tcPr>
          <w:p>
            <w:r/>
            <w:r>
              <w:t>Broad definition including supervisory services</w:t>
            </w:r>
          </w:p>
        </w:tc>
      </w:tr>
    </w:tbl>
    <w:p/>
    <w:p>
      <w:r>
        <w:rPr>
          <w:b/>
        </w:rPr>
        <w:t>Key Treaty Examples</w:t>
      </w:r>
      <w:r>
        <w:t>:</w:t>
      </w:r>
    </w:p>
    <w:p>
      <w:pPr>
        <w:pStyle w:val="ListBullet"/>
      </w:pPr>
      <w:r>
        <w:rPr>
          <w:b/>
        </w:rPr>
        <w:t>India-Netherlands Treaty</w:t>
      </w:r>
      <w:r>
        <w:t>: Services PE at 90 days</w:t>
      </w:r>
    </w:p>
    <w:p>
      <w:pPr>
        <w:pStyle w:val="ListBullet"/>
      </w:pPr>
      <w:r>
        <w:rPr>
          <w:b/>
        </w:rPr>
        <w:t>UK-Brazil Treaty</w:t>
      </w:r>
      <w:r>
        <w:t>: No service PE provision (OECD approach)</w:t>
      </w:r>
    </w:p>
    <w:p>
      <w:pPr>
        <w:pStyle w:val="ListBullet"/>
      </w:pPr>
      <w:r>
        <w:rPr>
          <w:b/>
        </w:rPr>
        <w:t>Nigeria-China Treaty</w:t>
      </w:r>
      <w:r>
        <w:t>: Services PE at 183 days for connected projects</w:t>
      </w:r>
    </w:p>
    <w:p>
      <w:pPr>
        <w:pStyle w:val="ListBullet"/>
      </w:pPr>
      <w:r>
        <w:rPr>
          <w:b/>
        </w:rPr>
        <w:t>Kazakhstan-UK Treaty</w:t>
      </w:r>
      <w:r>
        <w:t>: Services PE at 6 months (183 days)</w:t>
      </w:r>
    </w:p>
    <w:p>
      <w:pPr>
        <w:pStyle w:val="ListBullet"/>
      </w:pPr>
      <w:r>
        <w:rPr>
          <w:b/>
        </w:rPr>
        <w:t>Indonesia-Australia Treaty</w:t>
      </w:r>
      <w:r>
        <w:t>: Services PE at 120 days</w:t>
      </w:r>
    </w:p>
    <w:p>
      <w:r>
        <w:rPr>
          <w:b/>
        </w:rPr>
        <w:t>Time Calculation Methods</w:t>
      </w:r>
      <w:r>
        <w:t>:</w:t>
      </w:r>
    </w:p>
    <w:p>
      <w:pPr>
        <w:pStyle w:val="ListBullet"/>
      </w:pPr>
      <w:r>
        <w:rPr>
          <w:b/>
        </w:rPr>
        <w:t>Calendar days</w:t>
      </w:r>
      <w:r>
        <w:t>: Each day personnel present counts (even partial days)</w:t>
      </w:r>
    </w:p>
    <w:p>
      <w:pPr>
        <w:pStyle w:val="ListBullet"/>
      </w:pPr>
      <w:r>
        <w:rPr>
          <w:b/>
        </w:rPr>
        <w:t>12-month period</w:t>
      </w:r>
      <w:r>
        <w:t>: Rolling 12-month period, not calendar year</w:t>
      </w:r>
    </w:p>
    <w:p>
      <w:pPr>
        <w:pStyle w:val="ListBullet"/>
      </w:pPr>
      <w:r>
        <w:rPr>
          <w:b/>
        </w:rPr>
        <w:t>Same or connected project</w:t>
      </w:r>
      <w:r>
        <w:t>: Multiple contracts for same operator may be aggregated</w:t>
      </w:r>
    </w:p>
    <w:p>
      <w:pPr>
        <w:pStyle w:val="ListBullet"/>
      </w:pPr>
      <w:r>
        <w:rPr>
          <w:b/>
        </w:rPr>
        <w:t>Multiple service providers</w:t>
      </w:r>
      <w:r>
        <w:t>: Generally counted separately unless related parties</w:t>
      </w:r>
    </w:p>
    <w:p>
      <w:pPr>
        <w:pStyle w:val="Heading3"/>
      </w:pPr>
      <w:r>
        <w:t>2.2 Construction PE for Installation Services</w:t>
      </w:r>
    </w:p>
    <w:p>
      <w:r>
        <w:rPr>
          <w:b/>
        </w:rPr>
        <w:t>Article 5(3) OECD Model</w:t>
      </w:r>
      <w:r>
        <w:t xml:space="preserve">: Building site, construction, assembly, or installation project constitutes PE if duration exceeds </w:t>
      </w:r>
      <w:r>
        <w:rPr>
          <w:b/>
        </w:rPr>
        <w:t>12 months</w:t>
      </w:r>
      <w:r>
        <w:t>.</w:t>
      </w:r>
    </w:p>
    <w:p>
      <w:r>
        <w:rPr>
          <w:b/>
        </w:rPr>
        <w:t>UN Model</w:t>
      </w:r>
      <w:r>
        <w:t xml:space="preserve">: Reduces threshold to </w:t>
      </w:r>
      <w:r>
        <w:rPr>
          <w:b/>
        </w:rPr>
        <w:t>6 months</w:t>
      </w:r>
      <w:r>
        <w:t>, more favorable to source countries.</w:t>
      </w:r>
    </w:p>
    <w:p>
      <w:r>
        <w:rPr>
          <w:b/>
        </w:rPr>
        <w:t>Drilling Operations - Jurisdictional Variations</w:t>
      </w:r>
      <w:r>
        <w:t>:</w:t>
      </w:r>
    </w:p>
    <w:p>
      <w:pPr>
        <w:pStyle w:val="ListBullet"/>
      </w:pPr>
      <w:r>
        <w:rPr>
          <w:b/>
        </w:rPr>
        <w:t>Offshore drilling rigs</w:t>
      </w:r>
      <w:r>
        <w:t>: Treatment varies by treaty and domestic law</w:t>
      </w:r>
    </w:p>
    <w:p>
      <w:pPr>
        <w:pStyle w:val="ListBullet"/>
        <w:ind w:left="360"/>
      </w:pPr>
      <w:r>
        <w:t>Some treaties explicitly include drilling operations in construction PE</w:t>
      </w:r>
    </w:p>
    <w:p>
      <w:pPr>
        <w:pStyle w:val="ListBullet"/>
        <w:ind w:left="360"/>
      </w:pPr>
      <w:r>
        <w:t>Others treat drilling separately with specific thresholds</w:t>
      </w:r>
    </w:p>
    <w:p>
      <w:pPr>
        <w:pStyle w:val="ListBullet"/>
        <w:ind w:left="360"/>
      </w:pPr>
      <w:r>
        <w:t>Time threshold: 6-12 months common</w:t>
      </w:r>
    </w:p>
    <w:p>
      <w:pPr>
        <w:pStyle w:val="ListBullet"/>
      </w:pPr>
      <w:r>
        <w:rPr>
          <w:b/>
        </w:rPr>
        <w:t>Onshore drilling</w:t>
      </w:r>
      <w:r>
        <w:t>: More likely to constitute construction PE</w:t>
      </w:r>
    </w:p>
    <w:p>
      <w:pPr>
        <w:pStyle w:val="ListBullet"/>
      </w:pPr>
      <w:r>
        <w:rPr>
          <w:b/>
        </w:rPr>
        <w:t>Workover operations</w:t>
      </w:r>
      <w:r>
        <w:t>: Generally shorter duration; may avoid PE threshold</w:t>
      </w:r>
    </w:p>
    <w:p>
      <w:r>
        <w:rPr>
          <w:b/>
        </w:rPr>
        <w:t>Installation Services</w:t>
      </w:r>
      <w:r>
        <w:t>:</w:t>
      </w:r>
    </w:p>
    <w:p>
      <w:pPr>
        <w:pStyle w:val="ListBullet"/>
      </w:pPr>
      <w:r>
        <w:t>Offshore platform installation, hook-up, and commissioning</w:t>
      </w:r>
    </w:p>
    <w:p>
      <w:pPr>
        <w:pStyle w:val="ListBullet"/>
      </w:pPr>
      <w:r>
        <w:t>Subsea infrastructure installation (pipelines, flowlines, umbilicals)</w:t>
      </w:r>
    </w:p>
    <w:p>
      <w:pPr>
        <w:pStyle w:val="ListBullet"/>
      </w:pPr>
      <w:r>
        <w:t>Time calculation: From commencement to completion (including mobilization/demobilization in some treaties)</w:t>
      </w:r>
    </w:p>
    <w:p>
      <w:pPr>
        <w:pStyle w:val="ListBullet"/>
      </w:pPr>
      <w:r>
        <w:t>Multiple installations: May be treated as connected projects if for same concession</w:t>
      </w:r>
    </w:p>
    <w:p>
      <w:pPr>
        <w:pStyle w:val="Heading3"/>
      </w:pPr>
      <w:r>
        <w:t>2.3 Dependent Agent PE (Article 5(5))</w:t>
      </w:r>
    </w:p>
    <w:p>
      <w:r>
        <w:rPr>
          <w:b/>
        </w:rPr>
        <w:t>Definition</w:t>
      </w:r>
      <w:r>
        <w:t>: Person acting on behalf of enterprise who habitually exercises authority to conclude contracts binding the enterprise creates PE.</w:t>
      </w:r>
    </w:p>
    <w:p>
      <w:r>
        <w:rPr>
          <w:b/>
        </w:rPr>
        <w:t>Service Company Application</w:t>
      </w:r>
      <w:r>
        <w:t>:</w:t>
      </w:r>
    </w:p>
    <w:p>
      <w:pPr>
        <w:pStyle w:val="ListBullet"/>
      </w:pPr>
      <w:r>
        <w:rPr>
          <w:b/>
        </w:rPr>
        <w:t>Local procurement agent</w:t>
      </w:r>
      <w:r>
        <w:t>: Arranges service contracts with local operators</w:t>
      </w:r>
    </w:p>
    <w:p>
      <w:pPr>
        <w:pStyle w:val="ListBullet"/>
      </w:pPr>
      <w:r>
        <w:rPr>
          <w:b/>
        </w:rPr>
        <w:t>Service coordinator</w:t>
      </w:r>
      <w:r>
        <w:t>: Manages service delivery, interfaces with client</w:t>
      </w:r>
    </w:p>
    <w:p>
      <w:pPr>
        <w:pStyle w:val="ListBullet"/>
      </w:pPr>
      <w:r>
        <w:rPr>
          <w:b/>
        </w:rPr>
        <w:t>Technical representative</w:t>
      </w:r>
      <w:r>
        <w:t>: With authority to modify contract terms or scope</w:t>
      </w:r>
    </w:p>
    <w:p>
      <w:r>
        <w:rPr>
          <w:b/>
        </w:rPr>
        <w:t>Independent Agent Exception (Article 5(6))</w:t>
      </w:r>
      <w:r>
        <w:t>:</w:t>
      </w:r>
    </w:p>
    <w:p>
      <w:pPr>
        <w:pStyle w:val="ListBullet"/>
      </w:pPr>
      <w:r>
        <w:t>Broker, general commission agent, or independent agent acting in ordinary course of business</w:t>
      </w:r>
    </w:p>
    <w:p>
      <w:pPr>
        <w:pStyle w:val="ListBullet"/>
      </w:pPr>
      <w:r>
        <w:t>Must be legally and economically independent</w:t>
      </w:r>
    </w:p>
    <w:p>
      <w:pPr>
        <w:pStyle w:val="ListBullet"/>
      </w:pPr>
      <w:r>
        <w:t>Cannot devote activities wholly/almost wholly to principal</w:t>
      </w:r>
    </w:p>
    <w:p>
      <w:r>
        <w:rPr>
          <w:b/>
        </w:rPr>
        <w:t>Critical Factors</w:t>
      </w:r>
      <w:r>
        <w:t>:</w:t>
      </w:r>
    </w:p>
    <w:p>
      <w:pPr>
        <w:pStyle w:val="ListBullet"/>
      </w:pPr>
      <w:r>
        <w:t>Legal authority to bind service company</w:t>
      </w:r>
    </w:p>
    <w:p>
      <w:pPr>
        <w:pStyle w:val="ListBullet"/>
      </w:pPr>
      <w:r>
        <w:t>Economic dependence on principal</w:t>
      </w:r>
    </w:p>
    <w:p>
      <w:pPr>
        <w:pStyle w:val="ListBullet"/>
      </w:pPr>
      <w:r>
        <w:t>Risk assumption by agent</w:t>
      </w:r>
    </w:p>
    <w:p>
      <w:pPr>
        <w:pStyle w:val="ListBullet"/>
      </w:pPr>
      <w:r>
        <w:t>Agent's own business premises and employees</w:t>
      </w:r>
    </w:p>
    <w:p>
      <w:pPr>
        <w:pStyle w:val="Heading3"/>
      </w:pPr>
      <w:r>
        <w:t>2.4 Preparatory/Auxiliary Activities Exception (Article 5(4))</w:t>
      </w:r>
    </w:p>
    <w:p>
      <w:r>
        <w:rPr>
          <w:b/>
        </w:rPr>
        <w:t>Exclusions from PE</w:t>
      </w:r>
      <w:r>
        <w:t>: Activities of preparatory or auxiliary character don't constitute PE:</w:t>
      </w:r>
    </w:p>
    <w:p>
      <w:pPr>
        <w:pStyle w:val="ListBullet"/>
      </w:pPr>
      <w:r>
        <w:t>Storage, display, or delivery of goods/merchandise</w:t>
      </w:r>
    </w:p>
    <w:p>
      <w:pPr>
        <w:pStyle w:val="ListBullet"/>
      </w:pPr>
      <w:r>
        <w:t>Maintenance of stock for processing by another enterprise</w:t>
      </w:r>
    </w:p>
    <w:p>
      <w:pPr>
        <w:pStyle w:val="ListBullet"/>
      </w:pPr>
      <w:r>
        <w:t>Purchasing goods or collecting information</w:t>
      </w:r>
    </w:p>
    <w:p>
      <w:pPr>
        <w:pStyle w:val="ListBullet"/>
      </w:pPr>
      <w:r>
        <w:t>Other activities of preparatory or auxiliary character</w:t>
      </w:r>
    </w:p>
    <w:p>
      <w:r>
        <w:rPr>
          <w:b/>
        </w:rPr>
        <w:t>BEPS Action 7 Impact</w:t>
      </w:r>
      <w:r>
        <w:t>: Narrowed scope of exceptions:</w:t>
      </w:r>
    </w:p>
    <w:p>
      <w:pPr>
        <w:pStyle w:val="ListBullet"/>
      </w:pPr>
      <w:r>
        <w:t>Activity must be preparatory or auxiliary in nature</w:t>
      </w:r>
    </w:p>
    <w:p>
      <w:pPr>
        <w:pStyle w:val="ListBullet"/>
      </w:pPr>
      <w:r>
        <w:t>Cannot be core business activity</w:t>
      </w:r>
    </w:p>
    <w:p>
      <w:pPr>
        <w:pStyle w:val="ListBullet"/>
      </w:pPr>
      <w:r>
        <w:t>Anti-fragmentation rule: Related entities' activities aggregated</w:t>
      </w:r>
    </w:p>
    <w:p>
      <w:r>
        <w:rPr>
          <w:b/>
        </w:rPr>
        <w:t>Service Company Application</w:t>
      </w:r>
      <w:r>
        <w:t>:</w:t>
      </w:r>
    </w:p>
    <w:p>
      <w:pPr>
        <w:pStyle w:val="ListBullet"/>
      </w:pPr>
      <w:r>
        <w:rPr>
          <w:b/>
        </w:rPr>
        <w:t>Equipment depot</w:t>
      </w:r>
      <w:r>
        <w:t>: Storage of drilling equipment or service tools (preparatory/auxiliary)</w:t>
      </w:r>
    </w:p>
    <w:p>
      <w:pPr>
        <w:pStyle w:val="ListBullet"/>
      </w:pPr>
      <w:r>
        <w:rPr>
          <w:b/>
        </w:rPr>
        <w:t>Supply base</w:t>
      </w:r>
      <w:r>
        <w:t>: Offshore supply and logistics coordination (borderline - may constitute PE if substantial)</w:t>
      </w:r>
    </w:p>
    <w:p>
      <w:pPr>
        <w:pStyle w:val="ListBullet"/>
      </w:pPr>
      <w:r>
        <w:rPr>
          <w:b/>
        </w:rPr>
        <w:t>Administrative office</w:t>
      </w:r>
      <w:r>
        <w:t>: Purely administrative support (preparatory/auxiliary)</w:t>
      </w:r>
    </w:p>
    <w:p>
      <w:pPr>
        <w:pStyle w:val="ListBullet"/>
      </w:pPr>
      <w:r>
        <w:rPr>
          <w:b/>
        </w:rPr>
        <w:t>Training facility</w:t>
      </w:r>
      <w:r>
        <w:t>: Training personnel for deployment elsewhere (preparatory/auxiliary if not core business)</w:t>
      </w:r>
    </w:p>
    <w:p>
      <w:r>
        <w:rPr>
          <w:b/>
        </w:rPr>
        <w:t>Post-BEPS Analysis</w:t>
      </w:r>
      <w:r>
        <w:t>: Each activity assessed to determine if preparatory/auxiliary considering:</w:t>
      </w:r>
    </w:p>
    <w:p>
      <w:pPr>
        <w:pStyle w:val="ListBullet"/>
      </w:pPr>
      <w:r>
        <w:t>Essential and significant part of enterprise's business</w:t>
      </w:r>
    </w:p>
    <w:p>
      <w:pPr>
        <w:pStyle w:val="ListBullet"/>
      </w:pPr>
      <w:r>
        <w:t>Activities complement core business activities</w:t>
      </w:r>
    </w:p>
    <w:p>
      <w:pPr>
        <w:pStyle w:val="ListBullet"/>
      </w:pPr>
      <w:r>
        <w:t>Standalone economic significance</w:t>
      </w:r>
    </w:p>
    <w:p>
      <w:pPr>
        <w:pStyle w:val="Heading3"/>
      </w:pPr>
      <w:r>
        <w:t>2.5 Profit Attribution to Service PE</w:t>
      </w:r>
    </w:p>
    <w:p>
      <w:r>
        <w:rPr>
          <w:b/>
        </w:rPr>
        <w:t>OECD Authorized OECD Approach (AOA)</w:t>
      </w:r>
      <w:r>
        <w:t>: Under the 2010 OECD Report on Attribution of Profits to Permanent Establishments, the PE is treated as a functionally separate enterprise for profit attribution purposes.</w:t>
      </w:r>
    </w:p>
    <w:p>
      <w:r>
        <w:rPr>
          <w:b/>
        </w:rPr>
        <w:t>Two-Step Process</w:t>
      </w:r>
      <w:r>
        <w:t>:</w:t>
      </w:r>
    </w:p>
    <w:p>
      <w:r>
        <w:rPr>
          <w:b/>
        </w:rPr>
        <w:t>Step 1 - Hypothesization</w:t>
      </w:r>
      <w:r>
        <w:t>: Determine functions performed, assets used, risks assumed by PE as if separate enterprise.</w:t>
      </w:r>
    </w:p>
    <w:p>
      <w:r>
        <w:rPr>
          <w:b/>
        </w:rPr>
        <w:t>Step 2 - Profit Determination</w:t>
      </w:r>
      <w:r>
        <w:t>: Calculate profits attributable to PE based on:</w:t>
      </w:r>
    </w:p>
    <w:p>
      <w:pPr>
        <w:pStyle w:val="ListBullet"/>
      </w:pPr>
      <w:r>
        <w:t>Functions performed at PE location</w:t>
      </w:r>
    </w:p>
    <w:p>
      <w:pPr>
        <w:pStyle w:val="ListBullet"/>
      </w:pPr>
      <w:r>
        <w:t>Assets employed by PE</w:t>
      </w:r>
    </w:p>
    <w:p>
      <w:pPr>
        <w:pStyle w:val="ListBullet"/>
      </w:pPr>
      <w:r>
        <w:t>Risks assumed by PE</w:t>
      </w:r>
    </w:p>
    <w:p>
      <w:pPr>
        <w:pStyle w:val="ListBullet"/>
      </w:pPr>
      <w:r>
        <w:t>Arm's length remuneration for functions</w:t>
      </w:r>
    </w:p>
    <w:p>
      <w:r>
        <w:rPr>
          <w:b/>
        </w:rPr>
        <w:t>Service PE Profit Attribution Methods</w:t>
      </w:r>
      <w:r>
        <w:t>:</w:t>
      </w:r>
    </w:p>
    <w:p>
      <w:r>
        <w:rPr>
          <w:b/>
        </w:rPr>
        <w:t>Direct Method</w:t>
      </w:r>
      <w:r>
        <w:t>: Calculate revenue and costs directly attributable to services performed in source country:</w:t>
      </w:r>
    </w:p>
    <w:p>
      <w:pPr>
        <w:pStyle w:val="ListBullet"/>
      </w:pPr>
      <w:r>
        <w:t>Service revenue from in-country projects</w:t>
      </w:r>
    </w:p>
    <w:p>
      <w:pPr>
        <w:pStyle w:val="ListBullet"/>
      </w:pPr>
      <w:r>
        <w:t>Direct costs: Personnel, equipment, consumables deployed in-country</w:t>
      </w:r>
    </w:p>
    <w:p>
      <w:pPr>
        <w:pStyle w:val="ListBullet"/>
      </w:pPr>
      <w:r>
        <w:t>Indirect costs: Allocated headquarters costs, management charges</w:t>
      </w:r>
    </w:p>
    <w:p>
      <w:pPr>
        <w:pStyle w:val="ListBullet"/>
      </w:pPr>
      <w:r>
        <w:t>Operating profit margin: Arm's length margin for comparable service activities</w:t>
      </w:r>
    </w:p>
    <w:p>
      <w:r>
        <w:rPr>
          <w:b/>
        </w:rPr>
        <w:t>Fractional Apportionment</w:t>
      </w:r>
      <w:r>
        <w:t>: Allocate total enterprise profit based on formula:</w:t>
      </w:r>
    </w:p>
    <w:p>
      <w:pPr>
        <w:pStyle w:val="ListBullet"/>
      </w:pPr>
      <w:r>
        <w:t>Revenue factor: In-country revenue / total revenue</w:t>
      </w:r>
    </w:p>
    <w:p>
      <w:pPr>
        <w:pStyle w:val="ListBullet"/>
      </w:pPr>
      <w:r>
        <w:t>Payroll factor: In-country payroll / total payroll</w:t>
      </w:r>
    </w:p>
    <w:p>
      <w:pPr>
        <w:pStyle w:val="ListBullet"/>
      </w:pPr>
      <w:r>
        <w:t>Asset factor: In-country assets / total assets</w:t>
      </w:r>
    </w:p>
    <w:p>
      <w:pPr>
        <w:pStyle w:val="ListBullet"/>
      </w:pPr>
      <w:r>
        <w:t>Common in jurisdictions without robust transfer pricing infrastructure</w:t>
      </w:r>
    </w:p>
    <w:p>
      <w:r>
        <w:rPr>
          <w:b/>
        </w:rPr>
        <w:t>Key Adjustments</w:t>
      </w:r>
      <w:r>
        <w:t>:</w:t>
      </w:r>
    </w:p>
    <w:p>
      <w:pPr>
        <w:pStyle w:val="ListBullet"/>
      </w:pPr>
      <w:r>
        <w:rPr>
          <w:b/>
        </w:rPr>
        <w:t>Mobilization/demobilization costs</w:t>
      </w:r>
      <w:r>
        <w:t>: Allocation between jurisdictions</w:t>
      </w:r>
    </w:p>
    <w:p>
      <w:pPr>
        <w:pStyle w:val="ListBullet"/>
      </w:pPr>
      <w:r>
        <w:rPr>
          <w:b/>
        </w:rPr>
        <w:t>Standby time</w:t>
      </w:r>
      <w:r>
        <w:t>: Whether revenue and costs attributed to PE or home jurisdiction</w:t>
      </w:r>
    </w:p>
    <w:p>
      <w:pPr>
        <w:pStyle w:val="ListBullet"/>
      </w:pPr>
      <w:r>
        <w:rPr>
          <w:b/>
        </w:rPr>
        <w:t>Equipment rental</w:t>
      </w:r>
      <w:r>
        <w:t>: Internal charging for equipment provided by head office</w:t>
      </w:r>
    </w:p>
    <w:p>
      <w:pPr>
        <w:pStyle w:val="ListBullet"/>
      </w:pPr>
      <w:r>
        <w:rPr>
          <w:b/>
        </w:rPr>
        <w:t>Technical support</w:t>
      </w:r>
      <w:r>
        <w:t>: Charges for home office engineering, supervision</w:t>
      </w:r>
    </w:p>
    <w:p>
      <w:pPr>
        <w:pStyle w:val="ListBullet"/>
      </w:pPr>
      <w:r>
        <w:rPr>
          <w:b/>
        </w:rPr>
        <w:t>Risk adjustment</w:t>
      </w:r>
      <w:r>
        <w:t>: PE profit margin adjusted for risk profile</w:t>
      </w:r>
    </w:p>
    <w:p>
      <w:pPr>
        <w:pStyle w:val="Heading2"/>
      </w:pPr>
      <w:r>
        <w:t>3. Analytical Depth - Key Service PE Scenarios</w:t>
      </w:r>
    </w:p>
    <w:p>
      <w:pPr>
        <w:pStyle w:val="Heading3"/>
      </w:pPr>
      <w:r>
        <w:t>3.1 Seismic Vessels and PE Exposure</w:t>
      </w:r>
    </w:p>
    <w:p>
      <w:r>
        <w:rPr>
          <w:b/>
        </w:rPr>
        <w:t>Seismic Survey Operations</w:t>
      </w:r>
      <w:r>
        <w:t>: Geophysical surveys conducted from vessels (marine seismic) or onshore crews.</w:t>
      </w:r>
    </w:p>
    <w:p>
      <w:r>
        <w:rPr>
          <w:b/>
        </w:rPr>
        <w:t>PE Risk Analysis</w:t>
      </w:r>
      <w:r>
        <w:t>:</w:t>
      </w:r>
    </w:p>
    <w:p>
      <w:pPr>
        <w:pStyle w:val="ListBullet"/>
      </w:pPr>
      <w:r>
        <w:rPr>
          <w:b/>
        </w:rPr>
        <w:t>Offshore seismic vessel operations</w:t>
      </w:r>
      <w:r>
        <w:t>:</w:t>
      </w:r>
    </w:p>
    <w:p>
      <w:pPr>
        <w:pStyle w:val="ListBullet"/>
        <w:ind w:left="360"/>
      </w:pPr>
      <w:r>
        <w:t>Fixed place PE: Vessel operating in territorial waters (12 nautical miles from baseline) may constitute fixed place of business if it remains beyond applicable time threshold</w:t>
      </w:r>
    </w:p>
    <w:p>
      <w:pPr>
        <w:pStyle w:val="ListBullet"/>
        <w:ind w:left="360"/>
      </w:pPr>
      <w:r>
        <w:t>Construction PE: Seismic survey operations may qualify as "installation" project under some treaty interpretations</w:t>
      </w:r>
    </w:p>
    <w:p>
      <w:pPr>
        <w:pStyle w:val="ListBullet"/>
        <w:ind w:left="360"/>
      </w:pPr>
      <w:r>
        <w:t>Service PE: If treaty includes UN Model service PE provision, time spent in territorial waters counts toward 183-day threshold</w:t>
      </w:r>
    </w:p>
    <w:p>
      <w:pPr>
        <w:pStyle w:val="ListBullet"/>
      </w:pPr>
      <w:r>
        <w:rPr>
          <w:b/>
        </w:rPr>
        <w:t>Onshore seismic operations</w:t>
      </w:r>
      <w:r>
        <w:t>:</w:t>
      </w:r>
    </w:p>
    <w:p>
      <w:pPr>
        <w:pStyle w:val="ListBullet"/>
        <w:ind w:left="360"/>
      </w:pPr>
      <w:r>
        <w:t>Higher PE risk due to physical presence on land</w:t>
      </w:r>
    </w:p>
    <w:p>
      <w:pPr>
        <w:pStyle w:val="ListBullet"/>
        <w:ind w:left="360"/>
      </w:pPr>
      <w:r>
        <w:t>Equipment camps and crew accommodations may constitute fixed place</w:t>
      </w:r>
    </w:p>
    <w:p>
      <w:pPr>
        <w:pStyle w:val="ListBullet"/>
        <w:ind w:left="360"/>
      </w:pPr>
      <w:r>
        <w:t>Time threshold calculation from commencement to completion</w:t>
      </w:r>
    </w:p>
    <w:p>
      <w:r>
        <w:rPr>
          <w:b/>
        </w:rPr>
        <w:t>Time Calculation Complexities</w:t>
      </w:r>
      <w:r>
        <w:t>:</w:t>
      </w:r>
    </w:p>
    <w:p>
      <w:pPr>
        <w:pStyle w:val="ListBullet"/>
      </w:pPr>
      <w:r>
        <w:rPr>
          <w:b/>
        </w:rPr>
        <w:t>Territorial waters</w:t>
      </w:r>
      <w:r>
        <w:t>: 12 nautical miles from baseline; time vessels spend operating in territorial waters counts toward PE thresholds</w:t>
      </w:r>
    </w:p>
    <w:p>
      <w:pPr>
        <w:pStyle w:val="ListBullet"/>
      </w:pPr>
      <w:r>
        <w:rPr>
          <w:b/>
        </w:rPr>
        <w:t>Continental shelf jurisdiction</w:t>
      </w:r>
      <w:r>
        <w:t xml:space="preserve">: Extended jurisdiction to </w:t>
      </w:r>
      <w:r>
        <w:rPr>
          <w:b/>
        </w:rPr>
        <w:t>Exclusive Economic Zone (EEZ)</w:t>
      </w:r>
      <w:r>
        <w:t xml:space="preserve"> (200 nautical miles) under some domestic laws and treaty provisions</w:t>
      </w:r>
    </w:p>
    <w:p>
      <w:pPr>
        <w:pStyle w:val="ListBullet"/>
      </w:pPr>
      <w:r>
        <w:rPr>
          <w:b/>
        </w:rPr>
        <w:t>Multiple surveys</w:t>
      </w:r>
      <w:r>
        <w:t>: May be aggregated as connected projects if conducted for same concession area or operator</w:t>
      </w:r>
    </w:p>
    <w:p>
      <w:pPr>
        <w:pStyle w:val="ListBullet"/>
      </w:pPr>
      <w:r>
        <w:rPr>
          <w:b/>
        </w:rPr>
        <w:t>Vessel repositioning</w:t>
      </w:r>
      <w:r>
        <w:t>: Transit time between survey locations generally excluded from PE time calculation</w:t>
      </w:r>
    </w:p>
    <w:p>
      <w:r>
        <w:rPr>
          <w:b/>
        </w:rPr>
        <w:t>Planning Strategies</w:t>
      </w:r>
      <w:r>
        <w:t>:</w:t>
      </w:r>
    </w:p>
    <w:p>
      <w:pPr>
        <w:pStyle w:val="ListBullet"/>
      </w:pPr>
      <w:r>
        <w:t>Structure contracts to stay below PE thresholds</w:t>
      </w:r>
    </w:p>
    <w:p>
      <w:pPr>
        <w:pStyle w:val="ListBullet"/>
      </w:pPr>
      <w:r>
        <w:t>Use multiple vessels or crews to segment projects</w:t>
      </w:r>
    </w:p>
    <w:p>
      <w:pPr>
        <w:pStyle w:val="ListBullet"/>
      </w:pPr>
      <w:r>
        <w:t>Treaty selection: Incorporate through jurisdiction with favorable treaty</w:t>
      </w:r>
    </w:p>
    <w:p>
      <w:pPr>
        <w:pStyle w:val="ListBullet"/>
      </w:pPr>
      <w:r>
        <w:t>Subcontracting: Prime contractor vs. subcontractor PE exposure differs</w:t>
      </w:r>
    </w:p>
    <w:p>
      <w:pPr>
        <w:pStyle w:val="Heading3"/>
      </w:pPr>
      <w:r>
        <w:t>3.2 Drilling Rig PE Determination</w:t>
      </w:r>
    </w:p>
    <w:p>
      <w:r>
        <w:rPr>
          <w:b/>
        </w:rPr>
        <w:t>Drilling Operations</w:t>
      </w:r>
      <w:r>
        <w:t>: Exploration drilling, development drilling, workover, and well intervention.</w:t>
      </w:r>
    </w:p>
    <w:p>
      <w:r>
        <w:rPr>
          <w:b/>
        </w:rPr>
        <w:t>Offshore Drilling Rigs</w:t>
      </w:r>
      <w:r>
        <w:t>:</w:t>
      </w:r>
    </w:p>
    <w:p>
      <w:pPr>
        <w:pStyle w:val="ListBullet"/>
      </w:pPr>
      <w:r>
        <w:rPr>
          <w:b/>
        </w:rPr>
        <w:t>Mobile drilling rigs</w:t>
      </w:r>
      <w:r>
        <w:t xml:space="preserve"> (jack-up, semi-submersible, drillship):</w:t>
      </w:r>
    </w:p>
    <w:p>
      <w:pPr>
        <w:pStyle w:val="ListBullet"/>
        <w:ind w:left="360"/>
      </w:pPr>
      <w:r>
        <w:t>Fixed place PE: Depends on degree of permanence and connection to seabed</w:t>
      </w:r>
    </w:p>
    <w:p>
      <w:pPr>
        <w:pStyle w:val="ListBullet"/>
        <w:ind w:left="360"/>
      </w:pPr>
      <w:r>
        <w:t>Construction PE: If drilling treated as "construction/installation" with time threshold</w:t>
      </w:r>
    </w:p>
    <w:p>
      <w:pPr>
        <w:pStyle w:val="ListBullet"/>
        <w:ind w:left="360"/>
      </w:pPr>
      <w:r>
        <w:t>Jurisdictional variations: Some treaties explicitly address drilling rigs</w:t>
      </w:r>
    </w:p>
    <w:p>
      <w:pPr>
        <w:pStyle w:val="ListBullet"/>
      </w:pPr>
      <w:r>
        <w:rPr>
          <w:b/>
        </w:rPr>
        <w:t>Time threshold application</w:t>
      </w:r>
      <w:r>
        <w:t>:</w:t>
      </w:r>
    </w:p>
    <w:p>
      <w:pPr>
        <w:pStyle w:val="ListBullet"/>
        <w:ind w:left="360"/>
      </w:pPr>
      <w:r>
        <w:t>Commencement: Arrival on location, spud-in, or contract start (varies)</w:t>
      </w:r>
    </w:p>
    <w:p>
      <w:pPr>
        <w:pStyle w:val="ListBullet"/>
        <w:ind w:left="360"/>
      </w:pPr>
      <w:r>
        <w:t>Completion: Well completion, rig departure, or contract end</w:t>
      </w:r>
    </w:p>
    <w:p>
      <w:pPr>
        <w:pStyle w:val="ListBullet"/>
        <w:ind w:left="360"/>
      </w:pPr>
      <w:r>
        <w:t>Multiple wells: Same concession wells may be aggregated as connected project</w:t>
      </w:r>
    </w:p>
    <w:p>
      <w:pPr>
        <w:pStyle w:val="ListBullet"/>
        <w:ind w:left="360"/>
      </w:pPr>
      <w:r>
        <w:t>Standby/weather downtime: Generally included in PE time calculation</w:t>
      </w:r>
    </w:p>
    <w:p>
      <w:r>
        <w:rPr>
          <w:b/>
        </w:rPr>
        <w:t>Onshore Drilling</w:t>
      </w:r>
      <w:r>
        <w:t>:</w:t>
      </w:r>
    </w:p>
    <w:p>
      <w:pPr>
        <w:pStyle w:val="ListBullet"/>
      </w:pPr>
      <w:r>
        <w:t>Stronger PE risk due to fixed location on land</w:t>
      </w:r>
    </w:p>
    <w:p>
      <w:pPr>
        <w:pStyle w:val="ListBullet"/>
      </w:pPr>
      <w:r>
        <w:t>Rig and support equipment create fixed place of business</w:t>
      </w:r>
    </w:p>
    <w:p>
      <w:pPr>
        <w:pStyle w:val="ListBullet"/>
      </w:pPr>
      <w:r>
        <w:t>Construction PE threshold typically shorter (6 months common)</w:t>
      </w:r>
    </w:p>
    <w:p>
      <w:r>
        <w:rPr>
          <w:b/>
        </w:rPr>
        <w:t>Workover and Well Servicing</w:t>
      </w:r>
      <w:r>
        <w:t>:</w:t>
      </w:r>
    </w:p>
    <w:p>
      <w:pPr>
        <w:pStyle w:val="ListBullet"/>
      </w:pPr>
      <w:r>
        <w:t>Shorter duration operations</w:t>
      </w:r>
    </w:p>
    <w:p>
      <w:pPr>
        <w:pStyle w:val="ListBullet"/>
      </w:pPr>
      <w:r>
        <w:t>May avoid PE threshold if each intervention brief</w:t>
      </w:r>
    </w:p>
    <w:p>
      <w:pPr>
        <w:pStyle w:val="ListBullet"/>
      </w:pPr>
      <w:r>
        <w:t>Aggregation risk if multiple workovers throughout year</w:t>
      </w:r>
    </w:p>
    <w:p>
      <w:pPr>
        <w:pStyle w:val="Heading3"/>
      </w:pPr>
      <w:r>
        <w:t>3.3 Onshore vs. Offshore Service PE</w:t>
      </w:r>
    </w:p>
    <w:p>
      <w:r>
        <w:rPr>
          <w:b/>
        </w:rPr>
        <w:t>Jurisdictional Reach</w:t>
      </w:r>
      <w:r>
        <w:t>:</w:t>
      </w:r>
    </w:p>
    <w:p>
      <w:pPr>
        <w:pStyle w:val="ListBullet"/>
      </w:pPr>
      <w:r>
        <w:rPr>
          <w:b/>
        </w:rPr>
        <w:t>Onshore</w:t>
      </w:r>
      <w:r>
        <w:t>: Full territorial jurisdiction; domestic tax law and treaties apply</w:t>
      </w:r>
    </w:p>
    <w:p>
      <w:pPr>
        <w:pStyle w:val="ListBullet"/>
      </w:pPr>
      <w:r>
        <w:rPr>
          <w:b/>
        </w:rPr>
        <w:t>Offshore</w:t>
      </w:r>
      <w:r>
        <w:t>:</w:t>
      </w:r>
    </w:p>
    <w:p>
      <w:pPr>
        <w:pStyle w:val="ListBullet"/>
        <w:ind w:left="360"/>
      </w:pPr>
      <w:r>
        <w:t>Territorial waters (12 nm): Full sovereignty; PE principles apply</w:t>
      </w:r>
    </w:p>
    <w:p>
      <w:pPr>
        <w:pStyle w:val="ListBullet"/>
        <w:ind w:left="360"/>
      </w:pPr>
      <w:r>
        <w:t>Continental shelf/EEZ: Sovereign rights for resource exploitation; PE taxation may extend under domestic law</w:t>
      </w:r>
    </w:p>
    <w:p>
      <w:pPr>
        <w:pStyle w:val="ListBullet"/>
        <w:ind w:left="360"/>
      </w:pPr>
      <w:r>
        <w:t>Treaty interpretation: Whether activities on continental shelf covered by Article 5</w:t>
      </w:r>
    </w:p>
    <w:p>
      <w:r>
        <w:rPr>
          <w:b/>
        </w:rPr>
        <w:t>PE Threshold Differences</w:t>
      </w:r>
      <w:r>
        <w:t>:</w:t>
      </w:r>
    </w:p>
    <w:p>
      <w:pPr>
        <w:pStyle w:val="ListBullet"/>
      </w:pPr>
      <w:r>
        <w:rPr>
          <w:b/>
        </w:rPr>
        <w:t>Onshore services</w:t>
      </w:r>
      <w:r>
        <w:t>: Lower thresholds common due to clear territorial presence</w:t>
      </w:r>
    </w:p>
    <w:p>
      <w:pPr>
        <w:pStyle w:val="ListBullet"/>
      </w:pPr>
      <w:r>
        <w:rPr>
          <w:b/>
        </w:rPr>
        <w:t>Offshore services</w:t>
      </w:r>
      <w:r>
        <w:t>: Higher thresholds or exemptions in some treaties</w:t>
      </w:r>
    </w:p>
    <w:p>
      <w:pPr>
        <w:pStyle w:val="ListBullet"/>
      </w:pPr>
      <w:r>
        <w:rPr>
          <w:b/>
        </w:rPr>
        <w:t>Treaty-specific provisions</w:t>
      </w:r>
      <w:r>
        <w:t>: Some treaties specifically address offshore activities</w:t>
      </w:r>
    </w:p>
    <w:p>
      <w:r>
        <w:rPr>
          <w:b/>
        </w:rPr>
        <w:t>Example - UK Continental Shelf</w:t>
      </w:r>
      <w:r>
        <w:t>:</w:t>
      </w:r>
    </w:p>
    <w:p>
      <w:pPr>
        <w:pStyle w:val="ListBullet"/>
      </w:pPr>
      <w:r>
        <w:t>UK extends tax jurisdiction to continental shelf activities</w:t>
      </w:r>
    </w:p>
    <w:p>
      <w:pPr>
        <w:pStyle w:val="ListBullet"/>
      </w:pPr>
      <w:r>
        <w:t>PE created if business carried on in UK or UK continental shelf</w:t>
      </w:r>
    </w:p>
    <w:p>
      <w:pPr>
        <w:pStyle w:val="ListBullet"/>
      </w:pPr>
      <w:r>
        <w:t>Treaty relief available where treaty includes continental shelf in territory definition</w:t>
      </w:r>
    </w:p>
    <w:p>
      <w:pPr>
        <w:pStyle w:val="Heading3"/>
      </w:pPr>
      <w:r>
        <w:t>3.4 Secondment vs. Independent Contractor Distinction</w:t>
      </w:r>
    </w:p>
    <w:p>
      <w:r>
        <w:rPr>
          <w:b/>
        </w:rPr>
        <w:t>Critical for PE Determination</w:t>
      </w:r>
      <w:r>
        <w:t>: Whether personnel are employees of service company or seconded to operator.</w:t>
      </w:r>
    </w:p>
    <w:p>
      <w:r>
        <w:rPr>
          <w:b/>
        </w:rPr>
        <w:t>Secondment</w:t>
      </w:r>
      <w:r>
        <w:t>:</w:t>
      </w:r>
    </w:p>
    <w:p>
      <w:pPr>
        <w:pStyle w:val="ListBullet"/>
      </w:pPr>
      <w:r>
        <w:rPr>
          <w:b/>
        </w:rPr>
        <w:t>Definition</w:t>
      </w:r>
      <w:r>
        <w:t>: Service company employees placed under direction and control of client operator</w:t>
      </w:r>
    </w:p>
    <w:p>
      <w:pPr>
        <w:pStyle w:val="ListBullet"/>
      </w:pPr>
      <w:r>
        <w:rPr>
          <w:b/>
        </w:rPr>
        <w:t>PE implications</w:t>
      </w:r>
      <w:r>
        <w:t>:</w:t>
      </w:r>
    </w:p>
    <w:p>
      <w:pPr>
        <w:pStyle w:val="ListBullet"/>
        <w:ind w:left="360"/>
      </w:pPr>
      <w:r>
        <w:t>Operator may have PE exposure (dependent agent PE if seconded personnel conclude contracts)</w:t>
      </w:r>
    </w:p>
    <w:p>
      <w:pPr>
        <w:pStyle w:val="ListBullet"/>
        <w:ind w:left="360"/>
      </w:pPr>
      <w:r>
        <w:t>Service company less likely to have PE (no fixed place controlled by service company)</w:t>
      </w:r>
    </w:p>
    <w:p>
      <w:pPr>
        <w:pStyle w:val="ListBullet"/>
        <w:ind w:left="360"/>
      </w:pPr>
      <w:r>
        <w:t>Transfer pricing: Arm's length charge for seconded personnel</w:t>
      </w:r>
    </w:p>
    <w:p>
      <w:r>
        <w:rPr>
          <w:b/>
        </w:rPr>
        <w:t>Independent Contractor</w:t>
      </w:r>
      <w:r>
        <w:t>:</w:t>
      </w:r>
    </w:p>
    <w:p>
      <w:pPr>
        <w:pStyle w:val="ListBullet"/>
      </w:pPr>
      <w:r>
        <w:rPr>
          <w:b/>
        </w:rPr>
        <w:t>Definition</w:t>
      </w:r>
      <w:r>
        <w:t>: Service company retains direction and control over its personnel</w:t>
      </w:r>
    </w:p>
    <w:p>
      <w:pPr>
        <w:pStyle w:val="ListBullet"/>
      </w:pPr>
      <w:r>
        <w:rPr>
          <w:b/>
        </w:rPr>
        <w:t>PE implications</w:t>
      </w:r>
      <w:r>
        <w:t>:</w:t>
      </w:r>
    </w:p>
    <w:p>
      <w:pPr>
        <w:pStyle w:val="ListBullet"/>
        <w:ind w:left="360"/>
      </w:pPr>
      <w:r>
        <w:t>Service company has PE exposure through its personnel and activities</w:t>
      </w:r>
    </w:p>
    <w:p>
      <w:pPr>
        <w:pStyle w:val="ListBullet"/>
        <w:ind w:left="360"/>
      </w:pPr>
      <w:r>
        <w:t>Fixed place PE or service PE likely if threshold exceeded</w:t>
      </w:r>
    </w:p>
    <w:p>
      <w:pPr>
        <w:pStyle w:val="ListBullet"/>
        <w:ind w:left="360"/>
      </w:pPr>
      <w:r>
        <w:t>Higher profit margin justified (bears risk, controls operations)</w:t>
      </w:r>
    </w:p>
    <w:p>
      <w:r>
        <w:rPr>
          <w:b/>
        </w:rPr>
        <w:t>Distinction Factors</w:t>
      </w:r>
      <w:r>
        <w:t>:</w:t>
      </w:r>
    </w:p>
    <w:p>
      <w:pPr>
        <w:pStyle w:val="ListBullet"/>
      </w:pPr>
      <w:r>
        <w:rPr>
          <w:b/>
        </w:rPr>
        <w:t>Supervision and control</w:t>
      </w:r>
      <w:r>
        <w:t>: Who directs day-to-day activities</w:t>
      </w:r>
    </w:p>
    <w:p>
      <w:pPr>
        <w:pStyle w:val="ListBullet"/>
      </w:pPr>
      <w:r>
        <w:rPr>
          <w:b/>
        </w:rPr>
        <w:t>Tools and equipment</w:t>
      </w:r>
      <w:r>
        <w:t>: Provided by service company or operator</w:t>
      </w:r>
    </w:p>
    <w:p>
      <w:pPr>
        <w:pStyle w:val="ListBullet"/>
      </w:pPr>
      <w:r>
        <w:rPr>
          <w:b/>
        </w:rPr>
        <w:t>Risk</w:t>
      </w:r>
      <w:r>
        <w:t>: Who bears operational and commercial risk</w:t>
      </w:r>
    </w:p>
    <w:p>
      <w:pPr>
        <w:pStyle w:val="ListBullet"/>
      </w:pPr>
      <w:r>
        <w:rPr>
          <w:b/>
        </w:rPr>
        <w:t>Contractual terms</w:t>
      </w:r>
      <w:r>
        <w:t>: Service contract vs. personnel supply agreement</w:t>
      </w:r>
    </w:p>
    <w:p>
      <w:pPr>
        <w:pStyle w:val="ListBullet"/>
      </w:pPr>
      <w:r>
        <w:rPr>
          <w:b/>
        </w:rPr>
        <w:t>Economic substance</w:t>
      </w:r>
      <w:r>
        <w:t>: Actual operational control vs. contractual formalities</w:t>
      </w:r>
    </w:p>
    <w:p>
      <w:r>
        <w:rPr>
          <w:b/>
        </w:rPr>
        <w:t>Tax Consequences</w:t>
      </w:r>
      <w:r>
        <w:t>:</w:t>
      </w:r>
    </w:p>
    <w:p>
      <w:pPr>
        <w:pStyle w:val="ListBullet"/>
      </w:pPr>
      <w:r>
        <w:rPr>
          <w:b/>
        </w:rPr>
        <w:t>Secondment</w:t>
      </w:r>
      <w:r>
        <w:t>: Operator PE risk; lower service margin (cost-plus)</w:t>
      </w:r>
    </w:p>
    <w:p>
      <w:pPr>
        <w:pStyle w:val="ListBullet"/>
      </w:pPr>
      <w:r>
        <w:rPr>
          <w:b/>
        </w:rPr>
        <w:t>Independent contractor</w:t>
      </w:r>
      <w:r>
        <w:t>: Service company PE risk; higher service margin (profit markup)</w:t>
      </w:r>
    </w:p>
    <w:p>
      <w:pPr>
        <w:pStyle w:val="Heading3"/>
      </w:pPr>
      <w:r>
        <w:t>3.5 Treaty Shopping by Service Companies</w:t>
      </w:r>
    </w:p>
    <w:p>
      <w:r>
        <w:rPr>
          <w:b/>
        </w:rPr>
        <w:t>Objective</w:t>
      </w:r>
      <w:r>
        <w:t>: Structure service company incorporation to access favorable treaty network and minimize PE exposure.</w:t>
      </w:r>
    </w:p>
    <w:p>
      <w:r>
        <w:rPr>
          <w:b/>
        </w:rPr>
        <w:t>Common Structures</w:t>
      </w:r>
      <w:r>
        <w:t>:</w:t>
      </w:r>
    </w:p>
    <w:p>
      <w:pPr>
        <w:pStyle w:val="ListBullet"/>
      </w:pPr>
      <w:r>
        <w:rPr>
          <w:b/>
        </w:rPr>
        <w:t>European service hubs</w:t>
      </w:r>
      <w:r>
        <w:t>: Netherlands, UK, Luxembourg incorporation</w:t>
      </w:r>
    </w:p>
    <w:p>
      <w:pPr>
        <w:pStyle w:val="ListBullet"/>
        <w:ind w:left="360"/>
      </w:pPr>
      <w:r>
        <w:t>Extensive treaty network with reduced PE thresholds</w:t>
      </w:r>
    </w:p>
    <w:p>
      <w:pPr>
        <w:pStyle w:val="ListBullet"/>
        <w:ind w:left="360"/>
      </w:pPr>
      <w:r>
        <w:t>Participation exemption for foreign profits</w:t>
      </w:r>
    </w:p>
    <w:p>
      <w:pPr>
        <w:pStyle w:val="ListBullet"/>
        <w:ind w:left="360"/>
      </w:pPr>
      <w:r>
        <w:t>Substance requirements: Real offices, management, employees</w:t>
      </w:r>
    </w:p>
    <w:p>
      <w:pPr>
        <w:pStyle w:val="ListBullet"/>
      </w:pPr>
      <w:r>
        <w:rPr>
          <w:b/>
        </w:rPr>
        <w:t>Regional hubs</w:t>
      </w:r>
      <w:r>
        <w:t>: Singapore, UAE, Cyprus for Asia/Middle East/Africa</w:t>
      </w:r>
    </w:p>
    <w:p>
      <w:pPr>
        <w:pStyle w:val="ListBullet"/>
        <w:ind w:left="360"/>
      </w:pPr>
      <w:r>
        <w:t>Favorable treaties with resource-rich countries</w:t>
      </w:r>
    </w:p>
    <w:p>
      <w:pPr>
        <w:pStyle w:val="ListBullet"/>
        <w:ind w:left="360"/>
      </w:pPr>
      <w:r>
        <w:t>Lower PE thresholds or higher service PE duration limits</w:t>
      </w:r>
    </w:p>
    <w:p>
      <w:pPr>
        <w:pStyle w:val="ListBullet"/>
        <w:ind w:left="360"/>
      </w:pPr>
      <w:r>
        <w:t>Tax incentives for service income</w:t>
      </w:r>
    </w:p>
    <w:p>
      <w:r>
        <w:rPr>
          <w:b/>
        </w:rPr>
        <w:t>BEPS Anti-Treaty Shopping Measures</w:t>
      </w:r>
      <w:r>
        <w:t>:</w:t>
      </w:r>
    </w:p>
    <w:p>
      <w:pPr>
        <w:pStyle w:val="ListBullet"/>
      </w:pPr>
      <w:r>
        <w:rPr>
          <w:b/>
        </w:rPr>
        <w:t>Principal Purpose Test (PPT)</w:t>
      </w:r>
      <w:r>
        <w:t>: Denies treaty benefits if obtaining treaty benefits was one of the principal purposes of the arrangement or transaction</w:t>
      </w:r>
    </w:p>
    <w:p>
      <w:pPr>
        <w:pStyle w:val="ListBullet"/>
      </w:pPr>
      <w:r>
        <w:rPr>
          <w:b/>
        </w:rPr>
        <w:t>Limitation on Benefits (LOB)</w:t>
      </w:r>
      <w:r>
        <w:t>: Requires taxpayer to satisfy objective tests demonstrating sufficient connection to treaty jurisdiction (primarily used in US treaties)</w:t>
      </w:r>
    </w:p>
    <w:p>
      <w:pPr>
        <w:pStyle w:val="ListBullet"/>
      </w:pPr>
      <w:r>
        <w:rPr>
          <w:b/>
        </w:rPr>
        <w:t>Substance requirements</w:t>
      </w:r>
      <w:r>
        <w:t>: OECD BEPS Action 6 minimum standards require genuine economic presence in treaty jurisdiction</w:t>
      </w:r>
    </w:p>
    <w:p>
      <w:r>
        <w:rPr>
          <w:b/>
        </w:rPr>
        <w:t>Legitimate Tax Planning</w:t>
      </w:r>
      <w:r>
        <w:t>:</w:t>
      </w:r>
    </w:p>
    <w:p>
      <w:pPr>
        <w:pStyle w:val="ListBullet"/>
      </w:pPr>
      <w:r>
        <w:t>Genuine commercial substance in hub jurisdiction</w:t>
      </w:r>
    </w:p>
    <w:p>
      <w:pPr>
        <w:pStyle w:val="ListBullet"/>
      </w:pPr>
      <w:r>
        <w:t>Real decision-making and risk management at hub</w:t>
      </w:r>
    </w:p>
    <w:p>
      <w:pPr>
        <w:pStyle w:val="ListBullet"/>
      </w:pPr>
      <w:r>
        <w:t>Business rationale beyond tax benefits (regional coordination, talent pool)</w:t>
      </w:r>
    </w:p>
    <w:p>
      <w:r>
        <w:rPr>
          <w:b/>
        </w:rPr>
        <w:t>Indicators of Substance</w:t>
      </w:r>
      <w:r>
        <w:t>:</w:t>
      </w:r>
    </w:p>
    <w:p>
      <w:pPr>
        <w:pStyle w:val="ListBullet"/>
      </w:pPr>
      <w:r>
        <w:t>Qualified employees and management</w:t>
      </w:r>
    </w:p>
    <w:p>
      <w:pPr>
        <w:pStyle w:val="ListBullet"/>
      </w:pPr>
      <w:r>
        <w:t>Office premises and facilities</w:t>
      </w:r>
    </w:p>
    <w:p>
      <w:pPr>
        <w:pStyle w:val="ListBullet"/>
      </w:pPr>
      <w:r>
        <w:t>Strategic decision-making in hub jurisdiction</w:t>
      </w:r>
    </w:p>
    <w:p>
      <w:pPr>
        <w:pStyle w:val="ListBullet"/>
      </w:pPr>
      <w:r>
        <w:t>Real economic activity (contract negotiation, client management)</w:t>
      </w:r>
    </w:p>
    <w:p>
      <w:pPr>
        <w:pStyle w:val="Heading3"/>
      </w:pPr>
      <w:r>
        <w:t>3.6 Withholding Tax vs. PE Taxation Trade-off</w:t>
      </w:r>
    </w:p>
    <w:p>
      <w:r>
        <w:rPr>
          <w:b/>
        </w:rPr>
        <w:t>Taxation Alternatives</w:t>
      </w:r>
      <w:r>
        <w:t xml:space="preserve"> for cross-border service income:</w:t>
      </w:r>
    </w:p>
    <w:p>
      <w:r>
        <w:rPr>
          <w:b/>
        </w:rPr>
        <w:t>Withholding Tax (WHT)</w:t>
      </w:r>
      <w:r>
        <w:t>:</w:t>
      </w:r>
    </w:p>
    <w:p>
      <w:pPr>
        <w:pStyle w:val="ListBullet"/>
      </w:pPr>
      <w:r>
        <w:rPr>
          <w:b/>
        </w:rPr>
        <w:t>Gross basis</w:t>
      </w:r>
      <w:r>
        <w:t>: Tax applied to gross service fees without deduction for costs</w:t>
      </w:r>
    </w:p>
    <w:p>
      <w:pPr>
        <w:pStyle w:val="ListBullet"/>
      </w:pPr>
      <w:r>
        <w:rPr>
          <w:b/>
        </w:rPr>
        <w:t>Rate</w:t>
      </w:r>
      <w:r>
        <w:t>: Typically 10-25% under domestic law; may be reduced by applicable tax treaty</w:t>
      </w:r>
    </w:p>
    <w:p>
      <w:pPr>
        <w:pStyle w:val="ListBullet"/>
      </w:pPr>
      <w:r>
        <w:rPr>
          <w:b/>
        </w:rPr>
        <w:t>Treaty provision</w:t>
      </w:r>
      <w:r>
        <w:t>: Article 7 (Business Profits) if no PE exists; Article 12 (Royalties) if technical services are classified as royalties or fees for technical services</w:t>
      </w:r>
    </w:p>
    <w:p>
      <w:pPr>
        <w:pStyle w:val="ListBullet"/>
      </w:pPr>
      <w:r>
        <w:rPr>
          <w:b/>
        </w:rPr>
        <w:t>Advantages</w:t>
      </w:r>
      <w:r>
        <w:t>: Simple compliance mechanism; no requirement to file corporate tax return; definite liability determined at payment</w:t>
      </w:r>
    </w:p>
    <w:p>
      <w:pPr>
        <w:pStyle w:val="ListBullet"/>
      </w:pPr>
      <w:r>
        <w:rPr>
          <w:b/>
        </w:rPr>
        <w:t>Disadvantages</w:t>
      </w:r>
      <w:r>
        <w:t>: Tax calculated on gross revenue basis with no expense deductions allowed</w:t>
      </w:r>
    </w:p>
    <w:p>
      <w:r>
        <w:rPr>
          <w:b/>
        </w:rPr>
        <w:t>PE Taxation</w:t>
      </w:r>
      <w:r>
        <w:t>:</w:t>
      </w:r>
    </w:p>
    <w:p>
      <w:pPr>
        <w:pStyle w:val="ListBullet"/>
      </w:pPr>
      <w:r>
        <w:rPr>
          <w:b/>
        </w:rPr>
        <w:t>Net basis</w:t>
      </w:r>
      <w:r>
        <w:t>: Tax applied to net profits attributable to PE (revenue minus allowable expenses)</w:t>
      </w:r>
    </w:p>
    <w:p>
      <w:pPr>
        <w:pStyle w:val="ListBullet"/>
      </w:pPr>
      <w:r>
        <w:rPr>
          <w:b/>
        </w:rPr>
        <w:t>Rate</w:t>
      </w:r>
      <w:r>
        <w:t xml:space="preserve">: Standard </w:t>
      </w:r>
      <w:r>
        <w:rPr>
          <w:b/>
        </w:rPr>
        <w:t>Corporate Income Tax (CIT)</w:t>
      </w:r>
      <w:r>
        <w:t xml:space="preserve"> rate (typically 20-35% depending on jurisdiction)</w:t>
      </w:r>
    </w:p>
    <w:p>
      <w:pPr>
        <w:pStyle w:val="ListBullet"/>
      </w:pPr>
      <w:r>
        <w:rPr>
          <w:b/>
        </w:rPr>
        <w:t>Compliance</w:t>
      </w:r>
      <w:r>
        <w:t>: File annual tax return, maintain local books and records, prepare transfer pricing documentation</w:t>
      </w:r>
    </w:p>
    <w:p>
      <w:pPr>
        <w:pStyle w:val="ListBullet"/>
      </w:pPr>
      <w:r>
        <w:rPr>
          <w:b/>
        </w:rPr>
        <w:t>Advantages</w:t>
      </w:r>
      <w:r>
        <w:t>: Expense deductions allowed; may result in significantly lower effective tax if profit margin is low</w:t>
      </w:r>
    </w:p>
    <w:p>
      <w:pPr>
        <w:pStyle w:val="ListBullet"/>
      </w:pPr>
      <w:r>
        <w:rPr>
          <w:b/>
        </w:rPr>
        <w:t>Disadvantages</w:t>
      </w:r>
      <w:r>
        <w:t>: Complex compliance requirements; transfer pricing scrutiny and documentation burden; higher audit risk</w:t>
      </w:r>
    </w:p>
    <w:p>
      <w:r>
        <w:rPr>
          <w:b/>
        </w:rPr>
        <w:t>Economic Comparison</w:t>
      </w:r>
      <w:r>
        <w:t>:</w:t>
      </w:r>
    </w:p>
    <w:p>
      <w:r>
        <w:t xml:space="preserve">If </w:t>
      </w:r>
      <w:r>
        <w:rPr>
          <w:b/>
        </w:rPr>
        <w:t>service margin &gt; (WHT rate / CIT rate)</w:t>
      </w:r>
      <w:r>
        <w:t>: PE taxation likely more favorable</w:t>
      </w:r>
    </w:p>
    <w:p>
      <w:r>
        <w:t>Example:</w:t>
      </w:r>
    </w:p>
    <w:p>
      <w:pPr>
        <w:pStyle w:val="ListBullet"/>
      </w:pPr>
      <w:r>
        <w:t>Service revenue: $10 million</w:t>
      </w:r>
    </w:p>
    <w:p>
      <w:pPr>
        <w:pStyle w:val="ListBullet"/>
      </w:pPr>
      <w:r>
        <w:t>Direct costs: $8 million</w:t>
      </w:r>
    </w:p>
    <w:p>
      <w:pPr>
        <w:pStyle w:val="ListBullet"/>
      </w:pPr>
      <w:r>
        <w:t>Profit margin: 20% ($2 million)</w:t>
      </w:r>
    </w:p>
    <w:p>
      <w:pPr>
        <w:pStyle w:val="ListBullet"/>
      </w:pPr>
      <w:r>
        <w:t>CIT rate: 30%</w:t>
      </w:r>
    </w:p>
    <w:p>
      <w:pPr>
        <w:pStyle w:val="ListBullet"/>
      </w:pPr>
      <w:r>
        <w:t>WHT rate: 10%</w:t>
      </w:r>
    </w:p>
    <w:p>
      <w:r>
        <w:rPr>
          <w:b/>
        </w:rPr>
        <w:t>Scenario 1 - Withholding Tax</w:t>
      </w:r>
      <w:r>
        <w:t>:</w:t>
      </w:r>
    </w:p>
    <w:p>
      <w:r>
        <w:t xml:space="preserve">Tax = $10 million × 10% = </w:t>
      </w:r>
      <w:r>
        <w:rPr>
          <w:b/>
        </w:rPr>
        <w:t>$1 million</w:t>
      </w:r>
    </w:p>
    <w:p>
      <w:r>
        <w:rPr>
          <w:b/>
        </w:rPr>
        <w:t>Scenario 2 - PE Taxation</w:t>
      </w:r>
      <w:r>
        <w:t>:</w:t>
      </w:r>
    </w:p>
    <w:p>
      <w:r>
        <w:t xml:space="preserve">Tax = $2 million × 30% = </w:t>
      </w:r>
      <w:r>
        <w:rPr>
          <w:b/>
        </w:rPr>
        <w:t>$600,000</w:t>
      </w:r>
    </w:p>
    <w:p>
      <w:r>
        <w:rPr>
          <w:b/>
        </w:rPr>
        <w:t>Result</w:t>
      </w:r>
      <w:r>
        <w:t>: PE taxation more favorable when margin is low relative to WHT rate.</w:t>
      </w:r>
    </w:p>
    <w:p>
      <w:r>
        <w:rPr>
          <w:b/>
        </w:rPr>
        <w:t>Strategic Considerations</w:t>
      </w:r>
      <w:r>
        <w:t>:</w:t>
      </w:r>
    </w:p>
    <w:p>
      <w:pPr>
        <w:pStyle w:val="ListBullet"/>
      </w:pPr>
      <w:r>
        <w:rPr>
          <w:b/>
        </w:rPr>
        <w:t>High-margin services</w:t>
      </w:r>
      <w:r>
        <w:t>: WHT may be preferable (avoid PE)</w:t>
      </w:r>
    </w:p>
    <w:p>
      <w:pPr>
        <w:pStyle w:val="ListBullet"/>
      </w:pPr>
      <w:r>
        <w:rPr>
          <w:b/>
        </w:rPr>
        <w:t>Low-margin services</w:t>
      </w:r>
      <w:r>
        <w:t>: PE taxation beneficial (claim expense deductions)</w:t>
      </w:r>
    </w:p>
    <w:p>
      <w:pPr>
        <w:pStyle w:val="ListBullet"/>
      </w:pPr>
      <w:r>
        <w:rPr>
          <w:b/>
        </w:rPr>
        <w:t>Loss positions</w:t>
      </w:r>
      <w:r>
        <w:t>: PE allows losses (potentially carried forward)</w:t>
      </w:r>
    </w:p>
    <w:p>
      <w:pPr>
        <w:pStyle w:val="ListBullet"/>
      </w:pPr>
      <w:r>
        <w:rPr>
          <w:b/>
        </w:rPr>
        <w:t>Compliance burden</w:t>
      </w:r>
      <w:r>
        <w:t>: WHT simpler for short-term engagements</w:t>
      </w:r>
    </w:p>
    <w:p>
      <w:pPr>
        <w:pStyle w:val="Heading2"/>
      </w:pPr>
      <w:r>
        <w:t>4. Application Methodology</w:t>
      </w:r>
    </w:p>
    <w:p>
      <w:pPr>
        <w:pStyle w:val="Heading3"/>
      </w:pPr>
      <w:r>
        <w:t>4.1 Service Company PE Analysis Framework</w:t>
      </w:r>
    </w:p>
    <w:p>
      <w:r>
        <w:rPr>
          <w:b/>
        </w:rPr>
        <w:t>Step-by-Step PE Risk Assessment</w:t>
      </w:r>
      <w:r>
        <w:t>:</w:t>
      </w:r>
    </w:p>
    <w:p>
      <w:r>
        <w:rPr>
          <w:b/>
        </w:rPr>
        <w:t>Step 1 - Identify Applicable Treaty</w:t>
      </w:r>
      <w:r>
        <w:t>:</w:t>
      </w:r>
    </w:p>
    <w:p>
      <w:pPr>
        <w:pStyle w:val="ListBullet"/>
      </w:pPr>
      <w:r>
        <w:t>Determine service company's tax residence jurisdiction</w:t>
      </w:r>
    </w:p>
    <w:p>
      <w:pPr>
        <w:pStyle w:val="ListBullet"/>
      </w:pPr>
      <w:r>
        <w:t>Identify treaty between residence and source country (if any)</w:t>
      </w:r>
    </w:p>
    <w:p>
      <w:pPr>
        <w:pStyle w:val="ListBullet"/>
      </w:pPr>
      <w:r>
        <w:t>Review treaty provisions: Article 5 (PE definition), Article 7 (Business Profits)</w:t>
      </w:r>
    </w:p>
    <w:p>
      <w:r>
        <w:rPr>
          <w:b/>
        </w:rPr>
        <w:t>Step 2 - Analyze Physical Presence</w:t>
      </w:r>
      <w:r>
        <w:t>:</w:t>
      </w:r>
    </w:p>
    <w:p>
      <w:pPr>
        <w:pStyle w:val="ListBullet"/>
      </w:pPr>
      <w:r>
        <w:t>Fixed place of business: Office, facility, project site</w:t>
      </w:r>
    </w:p>
    <w:p>
      <w:pPr>
        <w:pStyle w:val="ListBullet"/>
      </w:pPr>
      <w:r>
        <w:t>Equipment and assets deployed in source country</w:t>
      </w:r>
    </w:p>
    <w:p>
      <w:pPr>
        <w:pStyle w:val="ListBullet"/>
      </w:pPr>
      <w:r>
        <w:t>Duration and continuity of presence</w:t>
      </w:r>
    </w:p>
    <w:p>
      <w:r>
        <w:rPr>
          <w:b/>
        </w:rPr>
        <w:t>Step 3 - Apply PE Tests</w:t>
      </w:r>
      <w:r>
        <w:t>:</w:t>
      </w:r>
    </w:p>
    <w:p>
      <w:pPr>
        <w:pStyle w:val="ListBullet"/>
      </w:pPr>
      <w:r>
        <w:rPr>
          <w:b/>
        </w:rPr>
        <w:t>Fixed place PE</w:t>
      </w:r>
      <w:r>
        <w:t>: Premises at disposal, permanence, business activities conducted</w:t>
      </w:r>
    </w:p>
    <w:p>
      <w:pPr>
        <w:pStyle w:val="ListBullet"/>
      </w:pPr>
      <w:r>
        <w:rPr>
          <w:b/>
        </w:rPr>
        <w:t>Construction/installation PE</w:t>
      </w:r>
      <w:r>
        <w:t>: Time threshold, connected projects</w:t>
      </w:r>
    </w:p>
    <w:p>
      <w:pPr>
        <w:pStyle w:val="ListBullet"/>
      </w:pPr>
      <w:r>
        <w:rPr>
          <w:b/>
        </w:rPr>
        <w:t>Service PE</w:t>
      </w:r>
      <w:r>
        <w:t xml:space="preserve"> (if applicable): Personnel presence, time threshold, same/connected project</w:t>
      </w:r>
    </w:p>
    <w:p>
      <w:pPr>
        <w:pStyle w:val="ListBullet"/>
      </w:pPr>
      <w:r>
        <w:rPr>
          <w:b/>
        </w:rPr>
        <w:t>Dependent agent PE</w:t>
      </w:r>
      <w:r>
        <w:t>: Agent authority, habitual exercise, independence</w:t>
      </w:r>
    </w:p>
    <w:p>
      <w:r>
        <w:rPr>
          <w:b/>
        </w:rPr>
        <w:t>Step 4 - Consider Exceptions</w:t>
      </w:r>
      <w:r>
        <w:t>:</w:t>
      </w:r>
    </w:p>
    <w:p>
      <w:pPr>
        <w:pStyle w:val="ListBullet"/>
      </w:pPr>
      <w:r>
        <w:t>Preparatory/auxiliary activities (Article 5(4))</w:t>
      </w:r>
    </w:p>
    <w:p>
      <w:pPr>
        <w:pStyle w:val="ListBullet"/>
      </w:pPr>
      <w:r>
        <w:t>Independent agent (Article 5(6))</w:t>
      </w:r>
    </w:p>
    <w:p>
      <w:pPr>
        <w:pStyle w:val="ListBullet"/>
      </w:pPr>
      <w:r>
        <w:t>Specific exclusions in bilateral treaty</w:t>
      </w:r>
    </w:p>
    <w:p>
      <w:r>
        <w:rPr>
          <w:b/>
        </w:rPr>
        <w:t>Step 5 - Determine Profit Attribution</w:t>
      </w:r>
      <w:r>
        <w:t>:</w:t>
      </w:r>
    </w:p>
    <w:p>
      <w:pPr>
        <w:pStyle w:val="ListBullet"/>
      </w:pPr>
      <w:r>
        <w:t>If PE exists: Calculate profits attributable to PE under Authorized OECD Approach (AOA) or domestic law profit attribution rules</w:t>
      </w:r>
    </w:p>
    <w:p>
      <w:pPr>
        <w:pStyle w:val="ListBullet"/>
      </w:pPr>
      <w:r>
        <w:t>Transfer pricing analysis: Determine arm's length remuneration for functions performed, assets used, and risks assumed by PE</w:t>
      </w:r>
    </w:p>
    <w:p>
      <w:pPr>
        <w:pStyle w:val="ListBullet"/>
      </w:pPr>
      <w:r>
        <w:t>Documentation: Maintain contemporaneous records and transfer pricing documentation supporting profit allocation</w:t>
      </w:r>
    </w:p>
    <w:p>
      <w:pPr>
        <w:pStyle w:val="Heading3"/>
      </w:pPr>
      <w:r>
        <w:t>4.2 Service PE Time Tracking Framework</w:t>
      </w:r>
    </w:p>
    <w:p>
      <w:r>
        <w:rPr>
          <w:b/>
        </w:rPr>
        <w:t>Robust Time Tracking</w:t>
      </w:r>
      <w:r>
        <w:t xml:space="preserve"> essential for PE threshold management:</w:t>
      </w:r>
    </w:p>
    <w:p>
      <w:r>
        <w:rPr>
          <w:b/>
        </w:rPr>
        <w:t>Time Tracking System Components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Tracking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Documentation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Personnel</w:t>
            </w:r>
          </w:p>
        </w:tc>
        <w:tc>
          <w:tcPr>
            <w:tcW w:type="dxa" w:w="2880"/>
          </w:tcPr>
          <w:p>
            <w:r/>
            <w:r>
              <w:t>Name, role, nationality, arrival/departure dates</w:t>
            </w:r>
          </w:p>
        </w:tc>
        <w:tc>
          <w:tcPr>
            <w:tcW w:type="dxa" w:w="2880"/>
          </w:tcPr>
          <w:p>
            <w:r/>
            <w:r>
              <w:t>Immigration records, timesheets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Projects</w:t>
            </w:r>
          </w:p>
        </w:tc>
        <w:tc>
          <w:tcPr>
            <w:tcW w:type="dxa" w:w="2880"/>
          </w:tcPr>
          <w:p>
            <w:r/>
            <w:r>
              <w:t>Project code, client, location, contract dates</w:t>
            </w:r>
          </w:p>
        </w:tc>
        <w:tc>
          <w:tcPr>
            <w:tcW w:type="dxa" w:w="2880"/>
          </w:tcPr>
          <w:p>
            <w:r/>
            <w:r>
              <w:t>Service contracts, purchase 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Daily presence</w:t>
            </w:r>
          </w:p>
        </w:tc>
        <w:tc>
          <w:tcPr>
            <w:tcW w:type="dxa" w:w="2880"/>
          </w:tcPr>
          <w:p>
            <w:r/>
            <w:r>
              <w:t>Location (territorial waters, onshore, offshore), activity</w:t>
            </w:r>
          </w:p>
        </w:tc>
        <w:tc>
          <w:tcPr>
            <w:tcW w:type="dxa" w:w="2880"/>
          </w:tcPr>
          <w:p>
            <w:r/>
            <w:r>
              <w:t>Daily reports, GPS logs (vessels)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Aggregation</w:t>
            </w:r>
          </w:p>
        </w:tc>
        <w:tc>
          <w:tcPr>
            <w:tcW w:type="dxa" w:w="2880"/>
          </w:tcPr>
          <w:p>
            <w:r/>
            <w:r>
              <w:t>Same or connected projects, related party services</w:t>
            </w:r>
          </w:p>
        </w:tc>
        <w:tc>
          <w:tcPr>
            <w:tcW w:type="dxa" w:w="2880"/>
          </w:tcPr>
          <w:p>
            <w:r/>
            <w:r>
              <w:t>Contract analysis, organizational chart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Threshold monitoring</w:t>
            </w:r>
          </w:p>
        </w:tc>
        <w:tc>
          <w:tcPr>
            <w:tcW w:type="dxa" w:w="2880"/>
          </w:tcPr>
          <w:p>
            <w:r/>
            <w:r>
              <w:t>Running totals, 12-month rolling period</w:t>
            </w:r>
          </w:p>
        </w:tc>
        <w:tc>
          <w:tcPr>
            <w:tcW w:type="dxa" w:w="2880"/>
          </w:tcPr>
          <w:p>
            <w:r/>
            <w:r>
              <w:t>Dashboard, alerts at 75% threshold</w:t>
            </w:r>
          </w:p>
        </w:tc>
      </w:tr>
    </w:tbl>
    <w:p/>
    <w:p>
      <w:r>
        <w:rPr>
          <w:b/>
        </w:rPr>
        <w:t>Best Practices</w:t>
      </w:r>
      <w:r>
        <w:t>:</w:t>
      </w:r>
    </w:p>
    <w:p>
      <w:pPr>
        <w:pStyle w:val="ListBullet"/>
      </w:pPr>
      <w:r>
        <w:rPr>
          <w:b/>
        </w:rPr>
        <w:t>Real-time tracking</w:t>
      </w:r>
      <w:r>
        <w:t>: Daily or weekly updates, not retrospective</w:t>
      </w:r>
    </w:p>
    <w:p>
      <w:pPr>
        <w:pStyle w:val="ListBullet"/>
      </w:pPr>
      <w:r>
        <w:rPr>
          <w:b/>
        </w:rPr>
        <w:t>Multiple calendar views</w:t>
      </w:r>
      <w:r>
        <w:t>: Calendar year, rolling 12-month, fiscal year</w:t>
      </w:r>
    </w:p>
    <w:p>
      <w:pPr>
        <w:pStyle w:val="ListBullet"/>
      </w:pPr>
      <w:r>
        <w:rPr>
          <w:b/>
        </w:rPr>
        <w:t>Project aggregation rules</w:t>
      </w:r>
      <w:r>
        <w:t>: Define "same or connected project" criteria</w:t>
      </w:r>
    </w:p>
    <w:p>
      <w:pPr>
        <w:pStyle w:val="ListBullet"/>
      </w:pPr>
      <w:r>
        <w:rPr>
          <w:b/>
        </w:rPr>
        <w:t>Buffer management</w:t>
      </w:r>
      <w:r>
        <w:t>: Target 80% of threshold to allow margin for error</w:t>
      </w:r>
    </w:p>
    <w:p>
      <w:pPr>
        <w:pStyle w:val="ListBullet"/>
      </w:pPr>
      <w:r>
        <w:rPr>
          <w:b/>
        </w:rPr>
        <w:t>Related party coordination</w:t>
      </w:r>
      <w:r>
        <w:t>: Consolidate time for economically connected entities</w:t>
      </w:r>
    </w:p>
    <w:p>
      <w:r>
        <w:rPr>
          <w:b/>
        </w:rPr>
        <w:t>Common Errors</w:t>
      </w:r>
      <w:r>
        <w:t>:</w:t>
      </w:r>
    </w:p>
    <w:p>
      <w:pPr>
        <w:pStyle w:val="ListBullet"/>
      </w:pPr>
      <w:r>
        <w:t>Counting only billable time (vs. all presence time)</w:t>
      </w:r>
    </w:p>
    <w:p>
      <w:pPr>
        <w:pStyle w:val="ListBullet"/>
      </w:pPr>
      <w:r>
        <w:t>Ignoring mobilization/demobilization periods</w:t>
      </w:r>
    </w:p>
    <w:p>
      <w:pPr>
        <w:pStyle w:val="ListBullet"/>
      </w:pPr>
      <w:r>
        <w:t>Failing to aggregate connected projects</w:t>
      </w:r>
    </w:p>
    <w:p>
      <w:pPr>
        <w:pStyle w:val="ListBullet"/>
      </w:pPr>
      <w:r>
        <w:t>Using calendar year instead of rolling 12-month period</w:t>
      </w:r>
    </w:p>
    <w:p>
      <w:pPr>
        <w:pStyle w:val="Heading3"/>
      </w:pPr>
      <w:r>
        <w:t>4.3 Profit Attribution for Service PE</w:t>
      </w:r>
    </w:p>
    <w:p>
      <w:r>
        <w:rPr>
          <w:b/>
        </w:rPr>
        <w:t>Authorized OECD Approach (AOA) Application</w:t>
      </w:r>
      <w:r>
        <w:t>:</w:t>
      </w:r>
    </w:p>
    <w:p>
      <w:r>
        <w:rPr>
          <w:b/>
        </w:rPr>
        <w:t>Step 1 - Functional and Factual Analysis</w:t>
      </w:r>
      <w:r>
        <w:t>:</w:t>
      </w:r>
    </w:p>
    <w:p>
      <w:pPr>
        <w:pStyle w:val="ListBullet"/>
      </w:pPr>
      <w:r>
        <w:rPr>
          <w:b/>
        </w:rPr>
        <w:t>Functions</w:t>
      </w:r>
      <w:r>
        <w:t>: Technical services, equipment provision, supervision, project management</w:t>
      </w:r>
    </w:p>
    <w:p>
      <w:pPr>
        <w:pStyle w:val="ListBullet"/>
      </w:pPr>
      <w:r>
        <w:rPr>
          <w:b/>
        </w:rPr>
        <w:t>Assets</w:t>
      </w:r>
      <w:r>
        <w:t>: Rigs, vessels, specialized equipment, intellectual property (proprietary technology)</w:t>
      </w:r>
    </w:p>
    <w:p>
      <w:pPr>
        <w:pStyle w:val="ListBullet"/>
      </w:pPr>
      <w:r>
        <w:rPr>
          <w:b/>
        </w:rPr>
        <w:t>Risks</w:t>
      </w:r>
      <w:r>
        <w:t>: Operational risks, equipment damage, client credit risk, regulatory compliance</w:t>
      </w:r>
    </w:p>
    <w:p>
      <w:r>
        <w:rPr>
          <w:b/>
        </w:rPr>
        <w:t>Step 2 - Assign Functions, Assets, and Risks to PE</w:t>
      </w:r>
      <w:r>
        <w:t>:</w:t>
      </w:r>
    </w:p>
    <w:p>
      <w:pPr>
        <w:pStyle w:val="ListBullet"/>
      </w:pPr>
      <w:r>
        <w:rPr>
          <w:b/>
        </w:rPr>
        <w:t>Significant people functions</w:t>
      </w:r>
      <w:r>
        <w:t>: Key personnel performing significant functions allocated to PE</w:t>
      </w:r>
    </w:p>
    <w:p>
      <w:pPr>
        <w:pStyle w:val="ListBullet"/>
      </w:pPr>
      <w:r>
        <w:rPr>
          <w:b/>
        </w:rPr>
        <w:t>Assets</w:t>
      </w:r>
      <w:r>
        <w:t>: Equipment physically located in source country attributed to PE</w:t>
      </w:r>
    </w:p>
    <w:p>
      <w:pPr>
        <w:pStyle w:val="ListBullet"/>
      </w:pPr>
      <w:r>
        <w:rPr>
          <w:b/>
        </w:rPr>
        <w:t>Risks</w:t>
      </w:r>
      <w:r>
        <w:t>: Risk management and control functions determine risk allocation</w:t>
      </w:r>
    </w:p>
    <w:p>
      <w:r>
        <w:rPr>
          <w:b/>
        </w:rPr>
        <w:t>Step 3 - Determine Arm's Length Remuneration</w:t>
      </w:r>
      <w:r>
        <w:t>:</w:t>
      </w:r>
    </w:p>
    <w:p>
      <w:pPr>
        <w:pStyle w:val="ListBullet"/>
      </w:pPr>
      <w:r>
        <w:rPr>
          <w:b/>
        </w:rPr>
        <w:t>Revenue</w:t>
      </w:r>
      <w:r>
        <w:t>: Service fees from in-country projects (direct attribution)</w:t>
      </w:r>
    </w:p>
    <w:p>
      <w:pPr>
        <w:pStyle w:val="ListBullet"/>
      </w:pPr>
      <w:r>
        <w:rPr>
          <w:b/>
        </w:rPr>
        <w:t>Direct costs</w:t>
      </w:r>
      <w:r>
        <w:t>: Personnel deployed, equipment costs, consumables, subcontractors</w:t>
      </w:r>
    </w:p>
    <w:p>
      <w:pPr>
        <w:pStyle w:val="ListBullet"/>
      </w:pPr>
      <w:r>
        <w:rPr>
          <w:b/>
        </w:rPr>
        <w:t>Indirect costs</w:t>
      </w:r>
      <w:r>
        <w:t>: Allocated headquarters costs (management, technical support, HR, finance)</w:t>
      </w:r>
    </w:p>
    <w:p>
      <w:pPr>
        <w:pStyle w:val="ListBullet"/>
        <w:ind w:left="360"/>
      </w:pPr>
      <w:r>
        <w:t>Allocation keys: Revenue, headcount, time spent</w:t>
      </w:r>
    </w:p>
    <w:p>
      <w:pPr>
        <w:pStyle w:val="ListBullet"/>
      </w:pPr>
      <w:r>
        <w:rPr>
          <w:b/>
        </w:rPr>
        <w:t>Profit margin</w:t>
      </w:r>
      <w:r>
        <w:t>: Arm's length margin for comparable service activities</w:t>
      </w:r>
    </w:p>
    <w:p>
      <w:pPr>
        <w:pStyle w:val="ListBullet"/>
        <w:ind w:left="360"/>
      </w:pPr>
      <w:r>
        <w:t>Comparables: Independent service companies providing similar services</w:t>
      </w:r>
    </w:p>
    <w:p>
      <w:pPr>
        <w:pStyle w:val="ListBullet"/>
        <w:ind w:left="360"/>
      </w:pPr>
      <w:r>
        <w:t>Transfer pricing methods: TNMM (most common), Cost Plus, Profit Split</w:t>
      </w:r>
    </w:p>
    <w:p>
      <w:r>
        <w:rPr>
          <w:b/>
        </w:rPr>
        <w:t>Step 4 - Calculate Taxable Income</w:t>
      </w:r>
      <w:r>
        <w:t>:</w:t>
      </w:r>
    </w:p>
    <w:p>
      <w:pPr>
        <w:pStyle w:val="ListBullet"/>
      </w:pPr>
      <w:r>
        <w:t>Operating profit attributed to PE</w:t>
      </w:r>
    </w:p>
    <w:p>
      <w:pPr>
        <w:pStyle w:val="ListBullet"/>
      </w:pPr>
      <w:r>
        <w:t>Interest deductions (if applicable, subject to thin capitalization rules)</w:t>
      </w:r>
    </w:p>
    <w:p>
      <w:pPr>
        <w:pStyle w:val="ListBullet"/>
      </w:pPr>
      <w:r>
        <w:t>Tax depreciation for PE assets</w:t>
      </w:r>
    </w:p>
    <w:p>
      <w:pPr>
        <w:pStyle w:val="ListBullet"/>
      </w:pPr>
      <w:r>
        <w:rPr>
          <w:b/>
        </w:rPr>
        <w:t>Effective tax rate calculation</w:t>
      </w:r>
      <w:r>
        <w:t>: PE tax / PE profits</w:t>
      </w:r>
    </w:p>
    <w:p>
      <w:r>
        <w:rPr>
          <w:b/>
        </w:rPr>
        <w:t>Documentation Requirements</w:t>
      </w:r>
      <w:r>
        <w:t>:</w:t>
      </w:r>
    </w:p>
    <w:p>
      <w:pPr>
        <w:pStyle w:val="ListBullet"/>
      </w:pPr>
      <w:r>
        <w:t>Transfer pricing documentation (master file, local file)</w:t>
      </w:r>
    </w:p>
    <w:p>
      <w:pPr>
        <w:pStyle w:val="ListBullet"/>
      </w:pPr>
      <w:r>
        <w:t>Functional analysis supporting profit attribution</w:t>
      </w:r>
    </w:p>
    <w:p>
      <w:pPr>
        <w:pStyle w:val="ListBullet"/>
      </w:pPr>
      <w:r>
        <w:t>Comparability analysis and benchmarking study</w:t>
      </w:r>
    </w:p>
    <w:p>
      <w:pPr>
        <w:pStyle w:val="ListBullet"/>
      </w:pPr>
      <w:r>
        <w:t>Intercompany agreements (service agreements, cost sharing)</w:t>
      </w:r>
    </w:p>
    <w:p>
      <w:pPr>
        <w:pStyle w:val="Heading2"/>
      </w:pPr>
      <w:r>
        <w:t>5. Worked Examples</w:t>
      </w:r>
    </w:p>
    <w:p>
      <w:pPr>
        <w:pStyle w:val="Heading3"/>
      </w:pPr>
      <w:r>
        <w:t>5.1 Example 1: Drilling Services Company - Construction PE vs. Service PE Analysis</w:t>
      </w:r>
    </w:p>
    <w:p>
      <w:r>
        <w:rPr>
          <w:b/>
        </w:rPr>
        <w:t>Facts</w:t>
      </w:r>
      <w:r>
        <w:t>:</w:t>
      </w:r>
    </w:p>
    <w:p>
      <w:pPr>
        <w:pStyle w:val="ListBullet"/>
      </w:pPr>
      <w:r>
        <w:rPr>
          <w:b/>
        </w:rPr>
        <w:t>DrillCo</w:t>
      </w:r>
      <w:r>
        <w:t>: Offshore drilling contractor incorporated in Norway</w:t>
      </w:r>
    </w:p>
    <w:p>
      <w:pPr>
        <w:pStyle w:val="ListBullet"/>
      </w:pPr>
      <w:r>
        <w:rPr>
          <w:b/>
        </w:rPr>
        <w:t>Operations</w:t>
      </w:r>
      <w:r>
        <w:t>: Provides jack-up drilling rig for exploration drilling offshore Indonesia</w:t>
      </w:r>
    </w:p>
    <w:p>
      <w:pPr>
        <w:pStyle w:val="ListBullet"/>
      </w:pPr>
      <w:r>
        <w:rPr>
          <w:b/>
        </w:rPr>
        <w:t>Contract</w:t>
      </w:r>
      <w:r>
        <w:t>: 8-month contract with IndonesianCo (local operator)</w:t>
      </w:r>
    </w:p>
    <w:p>
      <w:pPr>
        <w:pStyle w:val="ListBullet"/>
        <w:ind w:left="360"/>
      </w:pPr>
      <w:r>
        <w:t>Well 1: 4 months (January - April 2024)</w:t>
      </w:r>
    </w:p>
    <w:p>
      <w:pPr>
        <w:pStyle w:val="ListBullet"/>
        <w:ind w:left="360"/>
      </w:pPr>
      <w:r>
        <w:t>Mobilization/standby: 1 month (May 2024)</w:t>
      </w:r>
    </w:p>
    <w:p>
      <w:pPr>
        <w:pStyle w:val="ListBullet"/>
        <w:ind w:left="360"/>
      </w:pPr>
      <w:r>
        <w:t>Well 2: 3 months (June - August 2024)</w:t>
      </w:r>
    </w:p>
    <w:p>
      <w:pPr>
        <w:pStyle w:val="ListBullet"/>
      </w:pPr>
      <w:r>
        <w:rPr>
          <w:b/>
        </w:rPr>
        <w:t>Treaty</w:t>
      </w:r>
      <w:r>
        <w:t>: Norway-Indonesia Tax Treaty includes:</w:t>
      </w:r>
    </w:p>
    <w:p>
      <w:pPr>
        <w:pStyle w:val="ListBullet"/>
        <w:ind w:left="360"/>
      </w:pPr>
      <w:r>
        <w:t>Article 5(3): Construction PE if project exceeds 120 days</w:t>
      </w:r>
    </w:p>
    <w:p>
      <w:pPr>
        <w:pStyle w:val="ListBullet"/>
        <w:ind w:left="360"/>
      </w:pPr>
      <w:r>
        <w:t>No specific service PE provision (follows OECD Model)</w:t>
      </w:r>
    </w:p>
    <w:p>
      <w:pPr>
        <w:pStyle w:val="ListBullet"/>
      </w:pPr>
      <w:r>
        <w:rPr>
          <w:b/>
        </w:rPr>
        <w:t>Revenue</w:t>
      </w:r>
      <w:r>
        <w:t>: $20 million total contract value</w:t>
      </w:r>
    </w:p>
    <w:p>
      <w:pPr>
        <w:pStyle w:val="ListBullet"/>
      </w:pPr>
      <w:r>
        <w:rPr>
          <w:b/>
        </w:rPr>
        <w:t>Costs</w:t>
      </w:r>
      <w:r>
        <w:t>: Rig operating costs $14 million; corporate overhead $2 million</w:t>
      </w:r>
    </w:p>
    <w:p>
      <w:r>
        <w:rPr>
          <w:b/>
        </w:rPr>
        <w:t>Issue 1: Does DrillCo have a PE in Indonesia?</w:t>
      </w:r>
    </w:p>
    <w:p>
      <w:r>
        <w:rPr>
          <w:b/>
        </w:rPr>
        <w:t>Analysis - Fixed Place of Business PE (Article 5(1))</w:t>
      </w:r>
      <w:r>
        <w:t>:</w:t>
      </w:r>
    </w:p>
    <w:p>
      <w:pPr>
        <w:pStyle w:val="ListBullet"/>
      </w:pPr>
      <w:r>
        <w:t>Jack-up rig stationed at fixed location on continental shelf</w:t>
      </w:r>
    </w:p>
    <w:p>
      <w:pPr>
        <w:pStyle w:val="ListBullet"/>
      </w:pPr>
      <w:r>
        <w:t>Connected to seabed during drilling operations</w:t>
      </w:r>
    </w:p>
    <w:p>
      <w:pPr>
        <w:pStyle w:val="ListBullet"/>
      </w:pPr>
      <w:r>
        <w:t>Degree of permanence: 8 months (significant duration)</w:t>
      </w:r>
    </w:p>
    <w:p>
      <w:pPr>
        <w:pStyle w:val="ListBullet"/>
      </w:pPr>
      <w:r>
        <w:t>Business conducted: Core drilling operations</w:t>
      </w:r>
    </w:p>
    <w:p>
      <w:r>
        <w:rPr>
          <w:b/>
        </w:rPr>
        <w:t>Conclusion</w:t>
      </w:r>
      <w:r>
        <w:t xml:space="preserve">: Likely creates </w:t>
      </w:r>
      <w:r>
        <w:rPr>
          <w:b/>
        </w:rPr>
        <w:t>fixed place PE</w:t>
      </w:r>
      <w:r>
        <w:t xml:space="preserve"> under Article 5(1) if treaty extends to continental shelf (common in energy treaties).</w:t>
      </w:r>
    </w:p>
    <w:p>
      <w:r>
        <w:rPr>
          <w:b/>
        </w:rPr>
        <w:t>Analysis - Construction PE (Article 5(3))</w:t>
      </w:r>
      <w:r>
        <w:t>:</w:t>
      </w:r>
    </w:p>
    <w:p>
      <w:pPr>
        <w:pStyle w:val="ListBullet"/>
      </w:pPr>
      <w:r>
        <w:rPr>
          <w:b/>
        </w:rPr>
        <w:t>Activity</w:t>
      </w:r>
      <w:r>
        <w:t>: Drilling operations may qualify as "installation" or "assembly" project</w:t>
      </w:r>
    </w:p>
    <w:p>
      <w:pPr>
        <w:pStyle w:val="ListBullet"/>
      </w:pPr>
      <w:r>
        <w:rPr>
          <w:b/>
        </w:rPr>
        <w:t>Duration calculation</w:t>
      </w:r>
      <w:r>
        <w:t>:</w:t>
      </w:r>
    </w:p>
    <w:p>
      <w:pPr>
        <w:pStyle w:val="ListBullet"/>
        <w:ind w:left="360"/>
      </w:pPr>
      <w:r>
        <w:t>Well 1: 120 days (January - April)</w:t>
      </w:r>
    </w:p>
    <w:p>
      <w:pPr>
        <w:pStyle w:val="ListBullet"/>
        <w:ind w:left="360"/>
      </w:pPr>
      <w:r>
        <w:t>Mobilization/standby: 30 days (May)</w:t>
      </w:r>
    </w:p>
    <w:p>
      <w:pPr>
        <w:pStyle w:val="ListBullet"/>
        <w:ind w:left="360"/>
      </w:pPr>
      <w:r>
        <w:t>Well 2: 90 days (June - August)</w:t>
      </w:r>
    </w:p>
    <w:p>
      <w:pPr>
        <w:pStyle w:val="ListBullet"/>
        <w:ind w:left="360"/>
      </w:pPr>
      <w:r>
        <w:rPr>
          <w:b/>
        </w:rPr>
        <w:t>Total: 240 days</w:t>
      </w:r>
    </w:p>
    <w:p>
      <w:pPr>
        <w:pStyle w:val="ListBullet"/>
      </w:pPr>
      <w:r>
        <w:rPr>
          <w:b/>
        </w:rPr>
        <w:t>Treaty threshold</w:t>
      </w:r>
      <w:r>
        <w:t>: 120 days</w:t>
      </w:r>
    </w:p>
    <w:p>
      <w:pPr>
        <w:pStyle w:val="ListBullet"/>
      </w:pPr>
      <w:r>
        <w:rPr>
          <w:b/>
        </w:rPr>
        <w:t>Connected project test</w:t>
      </w:r>
      <w:r>
        <w:t>: Both wells for same operator, same concession block</w:t>
      </w:r>
    </w:p>
    <w:p>
      <w:pPr>
        <w:pStyle w:val="ListBullet"/>
        <w:ind w:left="360"/>
      </w:pPr>
      <w:r>
        <w:t>Wells drilled consecutively as part of single exploration program</w:t>
      </w:r>
    </w:p>
    <w:p>
      <w:pPr>
        <w:pStyle w:val="ListBullet"/>
        <w:ind w:left="360"/>
      </w:pPr>
      <w:r>
        <w:t>Commercially and geographically coherent</w:t>
      </w:r>
    </w:p>
    <w:p>
      <w:pPr>
        <w:pStyle w:val="ListBullet"/>
        <w:ind w:left="360"/>
      </w:pPr>
      <w:r>
        <w:rPr>
          <w:b/>
        </w:rPr>
        <w:t>Conclusion</w:t>
      </w:r>
      <w:r>
        <w:t>: Connected project</w:t>
      </w:r>
    </w:p>
    <w:p>
      <w:r>
        <w:rPr>
          <w:b/>
        </w:rPr>
        <w:t>Conclusion</w:t>
      </w:r>
      <w:r>
        <w:t xml:space="preserve">: </w:t>
      </w:r>
      <w:r>
        <w:rPr>
          <w:b/>
        </w:rPr>
        <w:t>Construction PE exists</w:t>
      </w:r>
      <w:r>
        <w:t xml:space="preserve"> - duration (240 days) exceeds treaty threshold (120 days).</w:t>
      </w:r>
    </w:p>
    <w:p>
      <w:r>
        <w:rPr>
          <w:b/>
        </w:rPr>
        <w:t>Time Tracking Summary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Cumulative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 Status</w:t>
            </w:r>
          </w:p>
        </w:tc>
      </w:tr>
      <w:tr>
        <w:tc>
          <w:tcPr>
            <w:tcW w:type="dxa" w:w="1728"/>
          </w:tcPr>
          <w:p>
            <w:r/>
            <w:r>
              <w:t>Jan-Apr 2024</w:t>
            </w:r>
          </w:p>
        </w:tc>
        <w:tc>
          <w:tcPr>
            <w:tcW w:type="dxa" w:w="1728"/>
          </w:tcPr>
          <w:p>
            <w:r/>
            <w:r>
              <w:t>Well 1 drilling</w:t>
            </w:r>
          </w:p>
        </w:tc>
        <w:tc>
          <w:tcPr>
            <w:tcW w:type="dxa" w:w="1728"/>
          </w:tcPr>
          <w:p>
            <w:r/>
            <w:r>
              <w:t>120</w:t>
            </w:r>
          </w:p>
        </w:tc>
        <w:tc>
          <w:tcPr>
            <w:tcW w:type="dxa" w:w="1728"/>
          </w:tcPr>
          <w:p>
            <w:r/>
            <w:r>
              <w:t>120</w:t>
            </w:r>
          </w:p>
        </w:tc>
        <w:tc>
          <w:tcPr>
            <w:tcW w:type="dxa" w:w="1728"/>
          </w:tcPr>
          <w:p>
            <w:r/>
            <w:r>
              <w:t>At threshold</w:t>
            </w:r>
          </w:p>
        </w:tc>
      </w:tr>
      <w:tr>
        <w:tc>
          <w:tcPr>
            <w:tcW w:type="dxa" w:w="1728"/>
          </w:tcPr>
          <w:p>
            <w:r/>
            <w:r>
              <w:t>May 2024</w:t>
            </w:r>
          </w:p>
        </w:tc>
        <w:tc>
          <w:tcPr>
            <w:tcW w:type="dxa" w:w="1728"/>
          </w:tcPr>
          <w:p>
            <w:r/>
            <w:r>
              <w:t>Mobilization/standby</w:t>
            </w:r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150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 created</w:t>
            </w:r>
          </w:p>
        </w:tc>
      </w:tr>
      <w:tr>
        <w:tc>
          <w:tcPr>
            <w:tcW w:type="dxa" w:w="1728"/>
          </w:tcPr>
          <w:p>
            <w:r/>
            <w:r>
              <w:t>Jun-Aug 2024</w:t>
            </w:r>
          </w:p>
        </w:tc>
        <w:tc>
          <w:tcPr>
            <w:tcW w:type="dxa" w:w="1728"/>
          </w:tcPr>
          <w:p>
            <w:r/>
            <w:r>
              <w:t>Well 2 drilling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240</w:t>
            </w:r>
          </w:p>
        </w:tc>
        <w:tc>
          <w:tcPr>
            <w:tcW w:type="dxa" w:w="1728"/>
          </w:tcPr>
          <w:p>
            <w:r/>
            <w:r>
              <w:t>PE continues</w:t>
            </w:r>
          </w:p>
        </w:tc>
      </w:tr>
    </w:tbl>
    <w:p/>
    <w:p>
      <w:r>
        <w:rPr>
          <w:b/>
        </w:rPr>
        <w:t>Issue 2: Profit Attribution to Indonesian PE</w:t>
      </w:r>
    </w:p>
    <w:p>
      <w:r>
        <w:rPr>
          <w:b/>
        </w:rPr>
        <w:t>Step 1 - Functional Analysis</w:t>
      </w:r>
      <w:r>
        <w:t>:</w:t>
      </w:r>
    </w:p>
    <w:p>
      <w:pPr>
        <w:pStyle w:val="ListBullet"/>
      </w:pPr>
      <w:r>
        <w:rPr>
          <w:b/>
        </w:rPr>
        <w:t>Functions</w:t>
      </w:r>
      <w:r>
        <w:t>: Drilling operations, rig crew management, equipment maintenance, technical supervision</w:t>
      </w:r>
    </w:p>
    <w:p>
      <w:pPr>
        <w:pStyle w:val="ListBullet"/>
      </w:pPr>
      <w:r>
        <w:rPr>
          <w:b/>
        </w:rPr>
        <w:t>Assets</w:t>
      </w:r>
      <w:r>
        <w:t>: Jack-up rig (value $200 million), drilling equipment, spare parts inventory</w:t>
      </w:r>
    </w:p>
    <w:p>
      <w:pPr>
        <w:pStyle w:val="ListBullet"/>
      </w:pPr>
      <w:r>
        <w:rPr>
          <w:b/>
        </w:rPr>
        <w:t>Risks</w:t>
      </w:r>
      <w:r>
        <w:t>: Operational risks, equipment damage, well control, environmental compliance</w:t>
      </w:r>
    </w:p>
    <w:p>
      <w:r>
        <w:rPr>
          <w:b/>
        </w:rPr>
        <w:t>Step 2 - Revenue and Cost Attribution</w:t>
      </w:r>
      <w:r>
        <w:t>:</w:t>
      </w:r>
    </w:p>
    <w:p>
      <w:pPr>
        <w:pStyle w:val="ListBullet"/>
      </w:pPr>
      <w:r>
        <w:rPr>
          <w:b/>
        </w:rPr>
        <w:t>Revenue</w:t>
      </w:r>
      <w:r>
        <w:t>: $20 million (100% attributable to Indonesian operations)</w:t>
      </w:r>
    </w:p>
    <w:p>
      <w:pPr>
        <w:pStyle w:val="ListBullet"/>
      </w:pPr>
      <w:r>
        <w:rPr>
          <w:b/>
        </w:rPr>
        <w:t>Direct costs</w:t>
      </w:r>
      <w:r>
        <w:t>:</w:t>
      </w:r>
    </w:p>
    <w:p>
      <w:pPr>
        <w:pStyle w:val="ListBullet"/>
        <w:ind w:left="360"/>
      </w:pPr>
      <w:r>
        <w:t>Rig operating costs: $14 million (personnel, fuel, consumables, maintenance)</w:t>
      </w:r>
    </w:p>
    <w:p>
      <w:pPr>
        <w:pStyle w:val="ListBullet"/>
        <w:ind w:left="360"/>
      </w:pPr>
      <w:r>
        <w:t xml:space="preserve">All incurred for Indonesian drilling operations: </w:t>
      </w:r>
      <w:r>
        <w:rPr>
          <w:b/>
        </w:rPr>
        <w:t>$14 million</w:t>
      </w:r>
    </w:p>
    <w:p>
      <w:pPr>
        <w:pStyle w:val="ListBullet"/>
      </w:pPr>
      <w:r>
        <w:rPr>
          <w:b/>
        </w:rPr>
        <w:t>Indirect costs</w:t>
      </w:r>
      <w:r>
        <w:t xml:space="preserve"> (Norwegian headquarters):</w:t>
      </w:r>
    </w:p>
    <w:p>
      <w:pPr>
        <w:pStyle w:val="ListBullet"/>
        <w:ind w:left="360"/>
      </w:pPr>
      <w:r>
        <w:t>Corporate overhead: $2 million</w:t>
      </w:r>
    </w:p>
    <w:p>
      <w:pPr>
        <w:pStyle w:val="ListBullet"/>
        <w:ind w:left="360"/>
      </w:pPr>
      <w:r>
        <w:t>Functions: Contract management, technical support, finance, HR</w:t>
      </w:r>
    </w:p>
    <w:p>
      <w:pPr>
        <w:pStyle w:val="ListBullet"/>
        <w:ind w:left="360"/>
      </w:pPr>
      <w:r>
        <w:rPr>
          <w:b/>
        </w:rPr>
        <w:t>Allocation</w:t>
      </w:r>
      <w:r>
        <w:t>: Based on revenue ratio</w:t>
      </w:r>
    </w:p>
    <w:p>
      <w:pPr>
        <w:pStyle w:val="ListBullet"/>
        <w:ind w:left="720"/>
      </w:pPr>
      <w:r>
        <w:t>Assume DrillCo total annual revenue: $100 million</w:t>
      </w:r>
    </w:p>
    <w:p>
      <w:pPr>
        <w:pStyle w:val="ListBullet"/>
        <w:ind w:left="720"/>
      </w:pPr>
      <w:r>
        <w:t>Indonesian operations: $20 million = 20% of total revenue</w:t>
      </w:r>
    </w:p>
    <w:p>
      <w:pPr>
        <w:pStyle w:val="ListBullet"/>
        <w:ind w:left="720"/>
      </w:pPr>
      <w:r>
        <w:t xml:space="preserve">Allocated overhead: $2 million × 20% = </w:t>
      </w:r>
      <w:r>
        <w:rPr>
          <w:b/>
        </w:rPr>
        <w:t>$400,000</w:t>
      </w:r>
    </w:p>
    <w:p>
      <w:r>
        <w:rPr>
          <w:b/>
        </w:rPr>
        <w:t>Step 3 - Profit Calculation</w:t>
      </w:r>
      <w:r>
        <w:t>:</w:t>
      </w:r>
    </w:p>
    <w:p>
      <w:pPr>
        <w:pStyle w:val="ListBullet"/>
      </w:pPr>
      <w:r>
        <w:t>Revenue: $20,000,000</w:t>
      </w:r>
    </w:p>
    <w:p>
      <w:pPr>
        <w:pStyle w:val="ListBullet"/>
      </w:pPr>
      <w:r>
        <w:t>Direct costs: ($14,000,000)</w:t>
      </w:r>
    </w:p>
    <w:p>
      <w:pPr>
        <w:pStyle w:val="ListBullet"/>
      </w:pPr>
      <w:r>
        <w:t>Allocated overhead: ($400,000)</w:t>
      </w:r>
    </w:p>
    <w:p>
      <w:pPr>
        <w:pStyle w:val="ListBullet"/>
      </w:pPr>
      <w:r>
        <w:rPr>
          <w:b/>
        </w:rPr>
        <w:t>Operating profit: $5,600,000</w:t>
      </w:r>
    </w:p>
    <w:p>
      <w:pPr>
        <w:pStyle w:val="ListBullet"/>
      </w:pPr>
      <w:r>
        <w:rPr>
          <w:b/>
        </w:rPr>
        <w:t>Profit margin: 28%</w:t>
      </w:r>
      <w:r>
        <w:t xml:space="preserve"> (typical for offshore drilling contractors)</w:t>
      </w:r>
    </w:p>
    <w:p>
      <w:r>
        <w:rPr>
          <w:b/>
        </w:rPr>
        <w:t>Step 4 - Indonesian Tax Liability</w:t>
      </w:r>
      <w:r>
        <w:t>:</w:t>
      </w:r>
    </w:p>
    <w:p>
      <w:pPr>
        <w:pStyle w:val="ListBullet"/>
      </w:pPr>
      <w:r>
        <w:t>Taxable profit: $5,600,000</w:t>
      </w:r>
    </w:p>
    <w:p>
      <w:pPr>
        <w:pStyle w:val="ListBullet"/>
      </w:pPr>
      <w:r>
        <w:t>Indonesian corporate tax rate: 22%</w:t>
      </w:r>
    </w:p>
    <w:p>
      <w:pPr>
        <w:pStyle w:val="ListBullet"/>
      </w:pPr>
      <w:r>
        <w:rPr>
          <w:b/>
        </w:rPr>
        <w:t>Indonesian tax: $1,232,000</w:t>
      </w:r>
    </w:p>
    <w:p>
      <w:r>
        <w:rPr>
          <w:b/>
        </w:rPr>
        <w:t>Step 5 - Norway Tax Treatment</w:t>
      </w:r>
      <w:r>
        <w:t>:</w:t>
      </w:r>
    </w:p>
    <w:p>
      <w:pPr>
        <w:pStyle w:val="ListBullet"/>
      </w:pPr>
      <w:r>
        <w:t>DrillCo reports total income in Norway</w:t>
      </w:r>
    </w:p>
    <w:p>
      <w:pPr>
        <w:pStyle w:val="ListBullet"/>
      </w:pPr>
      <w:r>
        <w:t>Foreign tax credit for Indonesian tax paid: $1,232,000</w:t>
      </w:r>
    </w:p>
    <w:p>
      <w:pPr>
        <w:pStyle w:val="ListBullet"/>
      </w:pPr>
      <w:r>
        <w:t>Norwegian tax rate: 22% (corporate) + 56% (offshore petroleum tax) = 78% on petroleum income</w:t>
      </w:r>
    </w:p>
    <w:p>
      <w:pPr>
        <w:pStyle w:val="ListBullet"/>
        <w:ind w:left="360"/>
      </w:pPr>
      <w:r>
        <w:t>However, drilling contractor not subject to offshore petroleum tax (applies to production)</w:t>
      </w:r>
    </w:p>
    <w:p>
      <w:pPr>
        <w:pStyle w:val="ListBullet"/>
        <w:ind w:left="360"/>
      </w:pPr>
      <w:r>
        <w:t>Standard corporate rate applies: 22%</w:t>
      </w:r>
    </w:p>
    <w:p>
      <w:pPr>
        <w:pStyle w:val="ListBullet"/>
      </w:pPr>
      <w:r>
        <w:t>Norwegian tax on $5,600,000: $1,232,000</w:t>
      </w:r>
    </w:p>
    <w:p>
      <w:pPr>
        <w:pStyle w:val="ListBullet"/>
      </w:pPr>
      <w:r>
        <w:t>Foreign tax credit: ($1,232,000)</w:t>
      </w:r>
    </w:p>
    <w:p>
      <w:pPr>
        <w:pStyle w:val="ListBullet"/>
      </w:pPr>
      <w:r>
        <w:rPr>
          <w:b/>
        </w:rPr>
        <w:t>Net Norwegian tax: $0</w:t>
      </w:r>
      <w:r>
        <w:t xml:space="preserve"> (full credit available)</w:t>
      </w:r>
    </w:p>
    <w:p>
      <w:r>
        <w:rPr>
          <w:b/>
        </w:rPr>
        <w:t>Alternative - WHT Scenario</w:t>
      </w:r>
      <w:r>
        <w:t xml:space="preserve"> (if no PE):</w:t>
      </w:r>
    </w:p>
    <w:p>
      <w:pPr>
        <w:pStyle w:val="ListBullet"/>
      </w:pPr>
      <w:r>
        <w:t>If DrillCo structured to avoid PE (e.g., contract &lt; 120 days, separate entities for each well)</w:t>
      </w:r>
    </w:p>
    <w:p>
      <w:pPr>
        <w:pStyle w:val="ListBullet"/>
      </w:pPr>
      <w:r>
        <w:t>Indonesia may impose WHT on service fees (if domestic law and treaty allow)</w:t>
      </w:r>
    </w:p>
    <w:p>
      <w:pPr>
        <w:pStyle w:val="ListBullet"/>
      </w:pPr>
      <w:r>
        <w:t>Typical WHT rate: 10% under treaty (Article 7/12)</w:t>
      </w:r>
    </w:p>
    <w:p>
      <w:pPr>
        <w:pStyle w:val="ListBullet"/>
      </w:pPr>
      <w:r>
        <w:t xml:space="preserve">WHT tax: $20 million × 10% = </w:t>
      </w:r>
      <w:r>
        <w:rPr>
          <w:b/>
        </w:rPr>
        <w:t>$2,000,000</w:t>
      </w:r>
    </w:p>
    <w:p>
      <w:pPr>
        <w:pStyle w:val="ListBullet"/>
      </w:pPr>
      <w:r>
        <w:rPr>
          <w:b/>
        </w:rPr>
        <w:t>Higher tax burden</w:t>
      </w:r>
      <w:r>
        <w:t xml:space="preserve"> than PE taxation ($1,232,000)</w:t>
      </w:r>
    </w:p>
    <w:p>
      <w:r>
        <w:rPr>
          <w:b/>
        </w:rPr>
        <w:t>Conclusion</w:t>
      </w:r>
      <w:r>
        <w:t>: PE taxation more favorable due to cost deductions (28% margin vs. 10% WHT on gross).</w:t>
      </w:r>
    </w:p>
    <w:p>
      <w:pPr>
        <w:pStyle w:val="Heading3"/>
      </w:pPr>
      <w:r>
        <w:t>5.2 Example 2: Technical Services Company with Seconded Personnel - Dependent Agent PE Analysis</w:t>
      </w:r>
    </w:p>
    <w:p>
      <w:r>
        <w:rPr>
          <w:b/>
        </w:rPr>
        <w:t>Facts</w:t>
      </w:r>
      <w:r>
        <w:t>:</w:t>
      </w:r>
    </w:p>
    <w:p>
      <w:pPr>
        <w:pStyle w:val="ListBullet"/>
      </w:pPr>
      <w:r>
        <w:rPr>
          <w:b/>
        </w:rPr>
        <w:t>TechServices Inc.</w:t>
      </w:r>
      <w:r>
        <w:t>: US-incorporated engineering services company</w:t>
      </w:r>
    </w:p>
    <w:p>
      <w:pPr>
        <w:pStyle w:val="ListBullet"/>
      </w:pPr>
      <w:r>
        <w:rPr>
          <w:b/>
        </w:rPr>
        <w:t>Services</w:t>
      </w:r>
      <w:r>
        <w:t>: Reservoir engineering, production optimization, facilities design</w:t>
      </w:r>
    </w:p>
    <w:p>
      <w:pPr>
        <w:pStyle w:val="ListBullet"/>
      </w:pPr>
      <w:r>
        <w:rPr>
          <w:b/>
        </w:rPr>
        <w:t>Client</w:t>
      </w:r>
      <w:r>
        <w:t>: BrazilOil (Brazilian state oil company)</w:t>
      </w:r>
    </w:p>
    <w:p>
      <w:pPr>
        <w:pStyle w:val="ListBullet"/>
      </w:pPr>
      <w:r>
        <w:rPr>
          <w:b/>
        </w:rPr>
        <w:t>Structure</w:t>
      </w:r>
      <w:r>
        <w:t>:</w:t>
      </w:r>
    </w:p>
    <w:p>
      <w:pPr>
        <w:pStyle w:val="ListBullet"/>
        <w:ind w:left="360"/>
      </w:pPr>
      <w:r>
        <w:rPr>
          <w:b/>
        </w:rPr>
        <w:t>Service Agreement</w:t>
      </w:r>
      <w:r>
        <w:t>: TechServices provides technical advisory services</w:t>
      </w:r>
    </w:p>
    <w:p>
      <w:pPr>
        <w:pStyle w:val="ListBullet"/>
        <w:ind w:left="360"/>
      </w:pPr>
      <w:r>
        <w:rPr>
          <w:b/>
        </w:rPr>
        <w:t>Personnel</w:t>
      </w:r>
      <w:r>
        <w:t>: 6 engineers seconded to BrazilOil office in Rio de Janeiro</w:t>
      </w:r>
    </w:p>
    <w:p>
      <w:pPr>
        <w:pStyle w:val="ListBullet"/>
        <w:ind w:left="360"/>
      </w:pPr>
      <w:r>
        <w:rPr>
          <w:b/>
        </w:rPr>
        <w:t>Duration</w:t>
      </w:r>
      <w:r>
        <w:t>: 18 months (January 2024 - June 2025)</w:t>
      </w:r>
    </w:p>
    <w:p>
      <w:pPr>
        <w:pStyle w:val="ListBullet"/>
        <w:ind w:left="360"/>
      </w:pPr>
      <w:r>
        <w:rPr>
          <w:b/>
        </w:rPr>
        <w:t>Local Coordinator</w:t>
      </w:r>
      <w:r>
        <w:t>: BrazilRep (Brazilian company) acts as local representative</w:t>
      </w:r>
    </w:p>
    <w:p>
      <w:pPr>
        <w:pStyle w:val="ListBullet"/>
        <w:ind w:left="720"/>
      </w:pPr>
      <w:r>
        <w:t>Negotiates contract terms and amendments</w:t>
      </w:r>
    </w:p>
    <w:p>
      <w:pPr>
        <w:pStyle w:val="ListBullet"/>
        <w:ind w:left="720"/>
      </w:pPr>
      <w:r>
        <w:t>Coordinates personnel deployment</w:t>
      </w:r>
    </w:p>
    <w:p>
      <w:pPr>
        <w:pStyle w:val="ListBullet"/>
        <w:ind w:left="720"/>
      </w:pPr>
      <w:r>
        <w:t>Invoices BrazilOil on behalf of TechServices (10% commission)</w:t>
      </w:r>
    </w:p>
    <w:p>
      <w:pPr>
        <w:pStyle w:val="ListBullet"/>
      </w:pPr>
      <w:r>
        <w:rPr>
          <w:b/>
        </w:rPr>
        <w:t>Revenue</w:t>
      </w:r>
      <w:r>
        <w:t>: $3.6 million ($200k per month)</w:t>
      </w:r>
    </w:p>
    <w:p>
      <w:pPr>
        <w:pStyle w:val="ListBullet"/>
      </w:pPr>
      <w:r>
        <w:rPr>
          <w:b/>
        </w:rPr>
        <w:t>Costs</w:t>
      </w:r>
      <w:r>
        <w:t>:</w:t>
      </w:r>
    </w:p>
    <w:p>
      <w:pPr>
        <w:pStyle w:val="ListBullet"/>
        <w:ind w:left="360"/>
      </w:pPr>
      <w:r>
        <w:t>Engineer salaries and benefits: $2.4 million</w:t>
      </w:r>
    </w:p>
    <w:p>
      <w:pPr>
        <w:pStyle w:val="ListBullet"/>
        <w:ind w:left="360"/>
      </w:pPr>
      <w:r>
        <w:t>BrazilRep commission: $360,000</w:t>
      </w:r>
    </w:p>
    <w:p>
      <w:pPr>
        <w:pStyle w:val="ListBullet"/>
        <w:ind w:left="360"/>
      </w:pPr>
      <w:r>
        <w:t>US overhead allocation: $240,000</w:t>
      </w:r>
    </w:p>
    <w:p>
      <w:r>
        <w:rPr>
          <w:b/>
        </w:rPr>
        <w:t>Treaty</w:t>
      </w:r>
      <w:r>
        <w:t>: US-Brazil Tax Treaty (hypothetical provisions):</w:t>
      </w:r>
    </w:p>
    <w:p>
      <w:pPr>
        <w:pStyle w:val="ListBullet"/>
      </w:pPr>
      <w:r>
        <w:t>Article 5(1): Fixed place PE</w:t>
      </w:r>
    </w:p>
    <w:p>
      <w:pPr>
        <w:pStyle w:val="ListBullet"/>
      </w:pPr>
      <w:r>
        <w:t>Article 5(3): Construction PE at 6 months</w:t>
      </w:r>
    </w:p>
    <w:p>
      <w:pPr>
        <w:pStyle w:val="ListBullet"/>
      </w:pPr>
      <w:r>
        <w:t>Article 5(5): Dependent agent PE (person with authority to conclude contracts)</w:t>
      </w:r>
    </w:p>
    <w:p>
      <w:pPr>
        <w:pStyle w:val="ListBullet"/>
      </w:pPr>
      <w:r>
        <w:rPr>
          <w:b/>
        </w:rPr>
        <w:t>No service PE provision</w:t>
      </w:r>
      <w:r>
        <w:t xml:space="preserve"> (follows OECD Model)</w:t>
      </w:r>
    </w:p>
    <w:p>
      <w:r>
        <w:rPr>
          <w:b/>
        </w:rPr>
        <w:t>Issue 1: Does TechServices have a PE in Brazil?</w:t>
      </w:r>
    </w:p>
    <w:p>
      <w:r>
        <w:rPr>
          <w:b/>
        </w:rPr>
        <w:t>Analysis 1 - Fixed Place PE (Article 5(1))</w:t>
      </w:r>
      <w:r>
        <w:t>:</w:t>
      </w:r>
    </w:p>
    <w:p>
      <w:pPr>
        <w:pStyle w:val="ListBullet"/>
      </w:pPr>
      <w:r>
        <w:rPr>
          <w:b/>
        </w:rPr>
        <w:t>No office</w:t>
      </w:r>
      <w:r>
        <w:t>: TechServices has no office or facility in Brazil</w:t>
      </w:r>
    </w:p>
    <w:p>
      <w:pPr>
        <w:pStyle w:val="ListBullet"/>
      </w:pPr>
      <w:r>
        <w:rPr>
          <w:b/>
        </w:rPr>
        <w:t>Seconded personnel</w:t>
      </w:r>
      <w:r>
        <w:t>: Work at BrazilOil's office, not at TechServices' disposal</w:t>
      </w:r>
    </w:p>
    <w:p>
      <w:pPr>
        <w:pStyle w:val="ListBullet"/>
      </w:pPr>
      <w:r>
        <w:rPr>
          <w:b/>
        </w:rPr>
        <w:t>Conclusion</w:t>
      </w:r>
      <w:r>
        <w:t xml:space="preserve">: </w:t>
      </w:r>
      <w:r>
        <w:rPr>
          <w:b/>
        </w:rPr>
        <w:t>No fixed place PE</w:t>
      </w:r>
      <w:r>
        <w:t xml:space="preserve"> - no premises at TechServices' disposal</w:t>
      </w:r>
    </w:p>
    <w:p>
      <w:r>
        <w:rPr>
          <w:b/>
        </w:rPr>
        <w:t>Analysis 2 - Service PE</w:t>
      </w:r>
      <w:r>
        <w:t>:</w:t>
      </w:r>
    </w:p>
    <w:p>
      <w:pPr>
        <w:pStyle w:val="ListBullet"/>
      </w:pPr>
      <w:r>
        <w:rPr>
          <w:b/>
        </w:rPr>
        <w:t>Not applicable</w:t>
      </w:r>
      <w:r>
        <w:t>: US-Brazil treaty follows OECD Model (no service PE provision)</w:t>
      </w:r>
    </w:p>
    <w:p>
      <w:r>
        <w:rPr>
          <w:b/>
        </w:rPr>
        <w:t>Analysis 3 - Dependent Agent PE (Article 5(5))</w:t>
      </w:r>
      <w:r>
        <w:t>:</w:t>
      </w:r>
    </w:p>
    <w:p>
      <w:r>
        <w:rPr>
          <w:b/>
        </w:rPr>
        <w:t>Criteria</w:t>
      </w:r>
      <w:r>
        <w:t>:</w:t>
      </w:r>
    </w:p>
    <w:p>
      <w:pPr>
        <w:pStyle w:val="ListNumber"/>
      </w:pPr>
      <w:r>
        <w:rPr>
          <w:b/>
        </w:rPr>
        <w:t>Person acting on behalf of enterprise</w:t>
      </w:r>
      <w:r>
        <w:t>: BrazilRep acts on behalf of TechServices</w:t>
      </w:r>
    </w:p>
    <w:p>
      <w:pPr>
        <w:pStyle w:val="ListNumber"/>
      </w:pPr>
      <w:r>
        <w:rPr>
          <w:b/>
        </w:rPr>
        <w:t>Authority to conclude contracts</w:t>
      </w:r>
      <w:r>
        <w:t>:</w:t>
      </w:r>
    </w:p>
    <w:p>
      <w:pPr>
        <w:pStyle w:val="ListBullet"/>
        <w:ind w:left="360"/>
      </w:pPr>
      <w:r>
        <w:t>BrazilRep negotiates and amends contract terms</w:t>
      </w:r>
    </w:p>
    <w:p>
      <w:pPr>
        <w:pStyle w:val="ListBullet"/>
        <w:ind w:left="360"/>
      </w:pPr>
      <w:r>
        <w:t>Signs amendments and change orders binding TechServices</w:t>
      </w:r>
    </w:p>
    <w:p>
      <w:pPr>
        <w:pStyle w:val="ListBullet"/>
        <w:ind w:left="360"/>
      </w:pPr>
      <w:r>
        <w:rPr>
          <w:b/>
        </w:rPr>
        <w:t>Conclusion</w:t>
      </w:r>
      <w:r>
        <w:t>: Has authority to conclude contracts</w:t>
      </w:r>
    </w:p>
    <w:p>
      <w:pPr>
        <w:pStyle w:val="ListNumber"/>
      </w:pPr>
      <w:r>
        <w:rPr>
          <w:b/>
        </w:rPr>
        <w:t>Habitually exercises authority</w:t>
      </w:r>
      <w:r>
        <w:t>:</w:t>
      </w:r>
    </w:p>
    <w:p>
      <w:pPr>
        <w:pStyle w:val="ListBullet"/>
        <w:ind w:left="360"/>
      </w:pPr>
      <w:r>
        <w:t>Over 18-month period, BrazilRep negotiates multiple amendments (scope changes, rate adjustments)</w:t>
      </w:r>
    </w:p>
    <w:p>
      <w:pPr>
        <w:pStyle w:val="ListBullet"/>
        <w:ind w:left="360"/>
      </w:pPr>
      <w:r>
        <w:t>Regular exercise of contracting authority</w:t>
      </w:r>
    </w:p>
    <w:p>
      <w:pPr>
        <w:pStyle w:val="ListBullet"/>
        <w:ind w:left="360"/>
      </w:pPr>
      <w:r>
        <w:rPr>
          <w:b/>
        </w:rPr>
        <w:t>Conclusion</w:t>
      </w:r>
      <w:r>
        <w:t>: Habitual exercise</w:t>
      </w:r>
    </w:p>
    <w:p>
      <w:pPr>
        <w:pStyle w:val="ListNumber"/>
      </w:pPr>
      <w:r>
        <w:rPr>
          <w:b/>
        </w:rPr>
        <w:t>Independent agent exception (Article 5(6))</w:t>
      </w:r>
      <w:r>
        <w:t>:</w:t>
      </w:r>
    </w:p>
    <w:p>
      <w:pPr>
        <w:pStyle w:val="ListBullet"/>
        <w:ind w:left="360"/>
      </w:pPr>
      <w:r>
        <w:t>BrazilRep is economically dependent (10% commission = substantial portion of revenue)</w:t>
      </w:r>
    </w:p>
    <w:p>
      <w:pPr>
        <w:pStyle w:val="ListBullet"/>
        <w:ind w:left="360"/>
      </w:pPr>
      <w:r>
        <w:t>BrazilRep activities devoted substantially to TechServices (60% of BrazilRep revenue from TechServices)</w:t>
      </w:r>
    </w:p>
    <w:p>
      <w:pPr>
        <w:pStyle w:val="ListBullet"/>
        <w:ind w:left="360"/>
      </w:pPr>
      <w:r>
        <w:rPr>
          <w:b/>
        </w:rPr>
        <w:t>Conclusion</w:t>
      </w:r>
      <w:r>
        <w:t>: NOT independent agent (fails independence test)</w:t>
      </w:r>
    </w:p>
    <w:p>
      <w:r>
        <w:rPr>
          <w:b/>
        </w:rPr>
        <w:t>Conclusion</w:t>
      </w:r>
      <w:r>
        <w:t xml:space="preserve">: </w:t>
      </w:r>
      <w:r>
        <w:rPr>
          <w:b/>
        </w:rPr>
        <w:t>Dependent Agent PE exists</w:t>
      </w:r>
      <w:r>
        <w:t xml:space="preserve"> through BrazilRep.</w:t>
      </w:r>
    </w:p>
    <w:p>
      <w:r>
        <w:rPr>
          <w:b/>
        </w:rPr>
        <w:t>Issue 2: Profit Attribution to Brazilian PE</w:t>
      </w:r>
    </w:p>
    <w:p>
      <w:r>
        <w:rPr>
          <w:b/>
        </w:rPr>
        <w:t>Approach</w:t>
      </w:r>
      <w:r>
        <w:t>: Dependent agent PE attribution based on profits from Brazilian activities coordinated by agent.</w:t>
      </w:r>
    </w:p>
    <w:p>
      <w:r>
        <w:rPr>
          <w:b/>
        </w:rPr>
        <w:t>Step 1 - Determine PE Revenue</w:t>
      </w:r>
      <w:r>
        <w:t>:</w:t>
      </w:r>
    </w:p>
    <w:p>
      <w:pPr>
        <w:pStyle w:val="ListBullet"/>
      </w:pPr>
      <w:r>
        <w:t xml:space="preserve">All Brazilian service revenue: </w:t>
      </w:r>
      <w:r>
        <w:rPr>
          <w:b/>
        </w:rPr>
        <w:t>$3.6 million</w:t>
      </w:r>
      <w:r>
        <w:t xml:space="preserve"> (18 months × $200k)</w:t>
      </w:r>
    </w:p>
    <w:p>
      <w:r>
        <w:rPr>
          <w:b/>
        </w:rPr>
        <w:t>Step 2 - Direct Costs</w:t>
      </w:r>
      <w:r>
        <w:t>:</w:t>
      </w:r>
    </w:p>
    <w:p>
      <w:pPr>
        <w:pStyle w:val="ListBullet"/>
      </w:pPr>
      <w:r>
        <w:t>Engineer salaries/benefits (6 engineers in Brazil): $2.4 million</w:t>
      </w:r>
    </w:p>
    <w:p>
      <w:pPr>
        <w:pStyle w:val="ListBullet"/>
      </w:pPr>
      <w:r>
        <w:rPr>
          <w:b/>
        </w:rPr>
        <w:t>Note</w:t>
      </w:r>
      <w:r>
        <w:t>: Personnel physically in Brazil but legally seconded</w:t>
      </w:r>
    </w:p>
    <w:p>
      <w:pPr>
        <w:pStyle w:val="ListBullet"/>
        <w:ind w:left="360"/>
      </w:pPr>
      <w:r>
        <w:t>Transfer pricing: Secondment charge to BrazilOil should be at arm's length</w:t>
      </w:r>
    </w:p>
    <w:p>
      <w:pPr>
        <w:pStyle w:val="ListBullet"/>
        <w:ind w:left="360"/>
      </w:pPr>
      <w:r>
        <w:t>Arm's length markup on personnel costs: 5-15% for secondment</w:t>
      </w:r>
    </w:p>
    <w:p>
      <w:pPr>
        <w:pStyle w:val="ListBullet"/>
        <w:ind w:left="360"/>
      </w:pPr>
      <w:r>
        <w:t>Applied markup: 10%</w:t>
      </w:r>
    </w:p>
    <w:p>
      <w:pPr>
        <w:pStyle w:val="ListBullet"/>
        <w:ind w:left="360"/>
      </w:pPr>
      <w:r>
        <w:t xml:space="preserve">Arm's length secondment charge: $2.4 million × 1.10 = </w:t>
      </w:r>
      <w:r>
        <w:rPr>
          <w:b/>
        </w:rPr>
        <w:t>$2.64 million</w:t>
      </w:r>
    </w:p>
    <w:p>
      <w:pPr>
        <w:pStyle w:val="ListBullet"/>
        <w:ind w:left="360"/>
      </w:pPr>
      <w:r>
        <w:rPr>
          <w:b/>
        </w:rPr>
        <w:t>Issue</w:t>
      </w:r>
      <w:r>
        <w:t>: Actual charge is $3.6 million, implying 50% markup</w:t>
      </w:r>
    </w:p>
    <w:p>
      <w:pPr>
        <w:pStyle w:val="ListBullet"/>
        <w:ind w:left="360"/>
      </w:pPr>
      <w:r>
        <w:t>Transfer pricing adjustment potential</w:t>
      </w:r>
    </w:p>
    <w:p>
      <w:r>
        <w:rPr>
          <w:b/>
        </w:rPr>
        <w:t>Step 3 - BrazilRep Commission</w:t>
      </w:r>
      <w:r>
        <w:t>:</w:t>
      </w:r>
    </w:p>
    <w:p>
      <w:pPr>
        <w:pStyle w:val="ListBullet"/>
      </w:pPr>
      <w:r>
        <w:t>Commission paid to dependent agent: $360,000</w:t>
      </w:r>
    </w:p>
    <w:p>
      <w:pPr>
        <w:pStyle w:val="ListBullet"/>
      </w:pPr>
      <w:r>
        <w:rPr>
          <w:b/>
        </w:rPr>
        <w:t>Transfer pricing analysis</w:t>
      </w:r>
      <w:r>
        <w:t>:</w:t>
      </w:r>
    </w:p>
    <w:p>
      <w:pPr>
        <w:pStyle w:val="ListBullet"/>
        <w:ind w:left="360"/>
      </w:pPr>
      <w:r>
        <w:t>Arm's length commission for contract negotiation and coordination: 3-5% of contract value</w:t>
      </w:r>
    </w:p>
    <w:p>
      <w:pPr>
        <w:pStyle w:val="ListBullet"/>
        <w:ind w:left="360"/>
      </w:pPr>
      <w:r>
        <w:t>Actual commission: 10% ($360,000)</w:t>
      </w:r>
    </w:p>
    <w:p>
      <w:pPr>
        <w:pStyle w:val="ListBullet"/>
        <w:ind w:left="360"/>
      </w:pPr>
      <w:r>
        <w:rPr>
          <w:b/>
        </w:rPr>
        <w:t>Potential adjustment</w:t>
      </w:r>
      <w:r>
        <w:t>: Reduce to 5% = $180,000</w:t>
      </w:r>
    </w:p>
    <w:p>
      <w:pPr>
        <w:pStyle w:val="ListBullet"/>
        <w:ind w:left="360"/>
      </w:pPr>
      <w:r>
        <w:t>Excess commission: $180,000 (may be disallowed or attributed to PE profit)</w:t>
      </w:r>
    </w:p>
    <w:p>
      <w:r>
        <w:rPr>
          <w:b/>
        </w:rPr>
        <w:t>Step 4 - Allocated Overhead</w:t>
      </w:r>
      <w:r>
        <w:t>:</w:t>
      </w:r>
    </w:p>
    <w:p>
      <w:pPr>
        <w:pStyle w:val="ListBullet"/>
      </w:pPr>
      <w:r>
        <w:t>US headquarters costs: $240,000</w:t>
      </w:r>
    </w:p>
    <w:p>
      <w:pPr>
        <w:pStyle w:val="ListBullet"/>
      </w:pPr>
      <w:r>
        <w:t>Functions: Strategic management, technical supervision, quality control</w:t>
      </w:r>
    </w:p>
    <w:p>
      <w:pPr>
        <w:pStyle w:val="ListBullet"/>
      </w:pPr>
      <w:r>
        <w:t>Allocation reasonable: 6.7% of revenue</w:t>
      </w:r>
    </w:p>
    <w:p>
      <w:r>
        <w:rPr>
          <w:b/>
        </w:rPr>
        <w:t>Step 5 - Profit Calculation (Actual Amounts)</w:t>
      </w:r>
      <w:r>
        <w:t>:</w:t>
      </w:r>
    </w:p>
    <w:p>
      <w:pPr>
        <w:pStyle w:val="ListBullet"/>
      </w:pPr>
      <w:r>
        <w:t>Revenue: $3,600,000</w:t>
      </w:r>
    </w:p>
    <w:p>
      <w:pPr>
        <w:pStyle w:val="ListBullet"/>
      </w:pPr>
      <w:r>
        <w:t>Engineer costs: ($2,400,000)</w:t>
      </w:r>
    </w:p>
    <w:p>
      <w:pPr>
        <w:pStyle w:val="ListBullet"/>
      </w:pPr>
      <w:r>
        <w:t>BrazilRep commission: ($360,000)</w:t>
      </w:r>
    </w:p>
    <w:p>
      <w:pPr>
        <w:pStyle w:val="ListBullet"/>
      </w:pPr>
      <w:r>
        <w:t>US overhead: ($240,000)</w:t>
      </w:r>
    </w:p>
    <w:p>
      <w:pPr>
        <w:pStyle w:val="ListBullet"/>
      </w:pPr>
      <w:r>
        <w:rPr>
          <w:b/>
        </w:rPr>
        <w:t>Operating profit: $600,000</w:t>
      </w:r>
    </w:p>
    <w:p>
      <w:pPr>
        <w:pStyle w:val="ListBullet"/>
      </w:pPr>
      <w:r>
        <w:rPr>
          <w:b/>
        </w:rPr>
        <w:t>Profit margin: 16.7%</w:t>
      </w:r>
    </w:p>
    <w:p>
      <w:r>
        <w:rPr>
          <w:b/>
        </w:rPr>
        <w:t>Step 6 - Transfer Pricing Adjustment Scenario</w:t>
      </w:r>
      <w:r>
        <w:t>:</w:t>
      </w:r>
    </w:p>
    <w:p>
      <w:r>
        <w:t>If Brazilian tax authority adjusts BrazilRep commission to arm's length (5%):</w:t>
      </w:r>
    </w:p>
    <w:p>
      <w:pPr>
        <w:pStyle w:val="ListBullet"/>
      </w:pPr>
      <w:r>
        <w:t>Allowable commission: $3.6 million × 5% = $180,000</w:t>
      </w:r>
    </w:p>
    <w:p>
      <w:pPr>
        <w:pStyle w:val="ListBullet"/>
      </w:pPr>
      <w:r>
        <w:t>Disallowed commission: $180,000</w:t>
      </w:r>
    </w:p>
    <w:p>
      <w:pPr>
        <w:pStyle w:val="ListBullet"/>
      </w:pPr>
      <w:r>
        <w:t xml:space="preserve">Adjusted profit: $600,000 + $180,000 = </w:t>
      </w:r>
      <w:r>
        <w:rPr>
          <w:b/>
        </w:rPr>
        <w:t>$780,000</w:t>
      </w:r>
    </w:p>
    <w:p>
      <w:pPr>
        <w:pStyle w:val="ListBullet"/>
      </w:pPr>
      <w:r>
        <w:rPr>
          <w:b/>
        </w:rPr>
        <w:t>Adjusted margin: 21.7%</w:t>
      </w:r>
    </w:p>
    <w:p>
      <w:r>
        <w:rPr>
          <w:b/>
        </w:rPr>
        <w:t>Step 7 - Brazilian Tax Liability</w:t>
      </w:r>
      <w:r>
        <w:t>:</w:t>
      </w:r>
    </w:p>
    <w:p>
      <w:pPr>
        <w:pStyle w:val="ListBullet"/>
      </w:pPr>
      <w:r>
        <w:t>Taxable profit: $600,000 (or $780,000 if adjusted)</w:t>
      </w:r>
    </w:p>
    <w:p>
      <w:pPr>
        <w:pStyle w:val="ListBullet"/>
      </w:pPr>
      <w:r>
        <w:t>Brazilian corporate tax rate: 34% (25% IRPJ + 9% CSLL)</w:t>
      </w:r>
    </w:p>
    <w:p>
      <w:pPr>
        <w:pStyle w:val="ListBullet"/>
      </w:pPr>
      <w:r>
        <w:rPr>
          <w:b/>
        </w:rPr>
        <w:t>Brazilian tax: $204,000</w:t>
      </w:r>
      <w:r>
        <w:t xml:space="preserve"> (or $265,200 if adjusted)</w:t>
      </w:r>
    </w:p>
    <w:p>
      <w:r>
        <w:rPr>
          <w:b/>
        </w:rPr>
        <w:t>Step 8 - US Tax Treatment</w:t>
      </w:r>
      <w:r>
        <w:t>:</w:t>
      </w:r>
    </w:p>
    <w:p>
      <w:pPr>
        <w:pStyle w:val="ListBullet"/>
      </w:pPr>
      <w:r>
        <w:t>TechServices reports worldwide income in US</w:t>
      </w:r>
    </w:p>
    <w:p>
      <w:pPr>
        <w:pStyle w:val="ListBullet"/>
      </w:pPr>
      <w:r>
        <w:t>Foreign tax credit for Brazilian tax: $204,000</w:t>
      </w:r>
    </w:p>
    <w:p>
      <w:pPr>
        <w:pStyle w:val="ListBullet"/>
      </w:pPr>
      <w:r>
        <w:t>US tax rate: 21%</w:t>
      </w:r>
    </w:p>
    <w:p>
      <w:pPr>
        <w:pStyle w:val="ListBullet"/>
      </w:pPr>
      <w:r>
        <w:t>US tax on $600,000: $126,000</w:t>
      </w:r>
    </w:p>
    <w:p>
      <w:pPr>
        <w:pStyle w:val="ListBullet"/>
      </w:pPr>
      <w:r>
        <w:t>Foreign tax credit: ($126,000)</w:t>
      </w:r>
    </w:p>
    <w:p>
      <w:pPr>
        <w:pStyle w:val="ListBullet"/>
      </w:pPr>
      <w:r>
        <w:rPr>
          <w:b/>
        </w:rPr>
        <w:t>Excess foreign tax credit</w:t>
      </w:r>
      <w:r>
        <w:t>: $78,000 (Brazilian tax &gt; US tax)</w:t>
      </w:r>
    </w:p>
    <w:p>
      <w:pPr>
        <w:pStyle w:val="ListBullet"/>
        <w:ind w:left="360"/>
      </w:pPr>
      <w:r>
        <w:t>Can be carried back 1 year or forward 10 years against other foreign source income</w:t>
      </w:r>
    </w:p>
    <w:p>
      <w:r>
        <w:rPr>
          <w:b/>
        </w:rPr>
        <w:t>Alternative Structure - Avoid Dependent Agent PE</w:t>
      </w:r>
      <w:r>
        <w:t>:</w:t>
      </w:r>
    </w:p>
    <w:p>
      <w:r>
        <w:rPr>
          <w:b/>
        </w:rPr>
        <w:t>Option 1</w:t>
      </w:r>
      <w:r>
        <w:t>: Use independent agent (not economically dependent)</w:t>
      </w:r>
    </w:p>
    <w:p>
      <w:pPr>
        <w:pStyle w:val="ListBullet"/>
      </w:pPr>
      <w:r>
        <w:t>BrazilRep earns &lt;10% of revenue from TechServices</w:t>
      </w:r>
    </w:p>
    <w:p>
      <w:pPr>
        <w:pStyle w:val="ListBullet"/>
      </w:pPr>
      <w:r>
        <w:t>BrazilRep has multiple unrelated clients</w:t>
      </w:r>
    </w:p>
    <w:p>
      <w:pPr>
        <w:pStyle w:val="ListBullet"/>
      </w:pPr>
      <w:r>
        <w:t>Commission reduced to arm's length (3-5%)</w:t>
      </w:r>
    </w:p>
    <w:p>
      <w:r>
        <w:rPr>
          <w:b/>
        </w:rPr>
        <w:t>Option 2</w:t>
      </w:r>
      <w:r>
        <w:t>: Eliminate agent authority to conclude contracts</w:t>
      </w:r>
    </w:p>
    <w:p>
      <w:pPr>
        <w:pStyle w:val="ListBullet"/>
      </w:pPr>
      <w:r>
        <w:t>BrazilRep provides coordination only (no contracting authority)</w:t>
      </w:r>
    </w:p>
    <w:p>
      <w:pPr>
        <w:pStyle w:val="ListBullet"/>
      </w:pPr>
      <w:r>
        <w:t>All contracts signed by TechServices US personnel</w:t>
      </w:r>
    </w:p>
    <w:p>
      <w:pPr>
        <w:pStyle w:val="ListBullet"/>
      </w:pPr>
      <w:r>
        <w:t>BrazilRep acts as facilitator, not agent with binding authority</w:t>
      </w:r>
    </w:p>
    <w:p>
      <w:r>
        <w:rPr>
          <w:b/>
        </w:rPr>
        <w:t>Option 3</w:t>
      </w:r>
      <w:r>
        <w:t>: Establish Brazilian subsidiary</w:t>
      </w:r>
    </w:p>
    <w:p>
      <w:pPr>
        <w:pStyle w:val="ListBullet"/>
      </w:pPr>
      <w:r>
        <w:t>TechBrazil incorporated in Brazil (transparent PE structure)</w:t>
      </w:r>
    </w:p>
    <w:p>
      <w:pPr>
        <w:pStyle w:val="ListBullet"/>
      </w:pPr>
      <w:r>
        <w:t>Benefits:</w:t>
      </w:r>
    </w:p>
    <w:p>
      <w:pPr>
        <w:pStyle w:val="ListBullet"/>
        <w:ind w:left="360"/>
      </w:pPr>
      <w:r>
        <w:t>Clear PE structure and profit attribution</w:t>
      </w:r>
    </w:p>
    <w:p>
      <w:pPr>
        <w:pStyle w:val="ListBullet"/>
        <w:ind w:left="360"/>
      </w:pPr>
      <w:r>
        <w:t>May access Brazilian tax incentives for technical services</w:t>
      </w:r>
    </w:p>
    <w:p>
      <w:pPr>
        <w:pStyle w:val="ListBullet"/>
        <w:ind w:left="360"/>
      </w:pPr>
      <w:r>
        <w:t>Substance requirements satisfied</w:t>
      </w:r>
    </w:p>
    <w:p>
      <w:pPr>
        <w:pStyle w:val="ListBullet"/>
      </w:pPr>
      <w:r>
        <w:t>Drawbacks:</w:t>
      </w:r>
    </w:p>
    <w:p>
      <w:pPr>
        <w:pStyle w:val="ListBullet"/>
        <w:ind w:left="360"/>
      </w:pPr>
      <w:r>
        <w:t>Full Brazilian compliance (corporate registration, accounting, payroll)</w:t>
      </w:r>
    </w:p>
    <w:p>
      <w:pPr>
        <w:pStyle w:val="ListBullet"/>
        <w:ind w:left="360"/>
      </w:pPr>
      <w:r>
        <w:t>Transfer pricing documentation for US-Brazil transactions</w:t>
      </w:r>
    </w:p>
    <w:p>
      <w:r>
        <w:rPr>
          <w:b/>
        </w:rPr>
        <w:t>Profit Attribution Comparison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Brazilian Tax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 Tax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Total Tax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Effective 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No PE</w:t>
            </w:r>
            <w:r>
              <w:t xml:space="preserve"> (WHT 15%)</w:t>
            </w:r>
          </w:p>
        </w:tc>
        <w:tc>
          <w:tcPr>
            <w:tcW w:type="dxa" w:w="1728"/>
          </w:tcPr>
          <w:p>
            <w:r/>
            <w:r>
              <w:t>$540,000</w:t>
            </w:r>
          </w:p>
        </w:tc>
        <w:tc>
          <w:tcPr>
            <w:tcW w:type="dxa" w:w="1728"/>
          </w:tcPr>
          <w:p>
            <w:r/>
            <w:r>
              <w:t>$126,000</w:t>
            </w:r>
          </w:p>
        </w:tc>
        <w:tc>
          <w:tcPr>
            <w:tcW w:type="dxa" w:w="1728"/>
          </w:tcPr>
          <w:p>
            <w:r/>
            <w:r>
              <w:t>$666,000</w:t>
            </w:r>
          </w:p>
        </w:tc>
        <w:tc>
          <w:tcPr>
            <w:tcW w:type="dxa" w:w="1728"/>
          </w:tcPr>
          <w:p>
            <w:r/>
            <w:r>
              <w:t>18.5%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Dependent Agent PE</w:t>
            </w:r>
          </w:p>
        </w:tc>
        <w:tc>
          <w:tcPr>
            <w:tcW w:type="dxa" w:w="1728"/>
          </w:tcPr>
          <w:p>
            <w:r/>
            <w:r>
              <w:t>$204,000</w:t>
            </w:r>
          </w:p>
        </w:tc>
        <w:tc>
          <w:tcPr>
            <w:tcW w:type="dxa" w:w="1728"/>
          </w:tcPr>
          <w:p>
            <w:r/>
            <w:r>
              <w:t>$0 (excess credit)</w:t>
            </w:r>
          </w:p>
        </w:tc>
        <w:tc>
          <w:tcPr>
            <w:tcW w:type="dxa" w:w="1728"/>
          </w:tcPr>
          <w:p>
            <w:r/>
            <w:r>
              <w:t>$204,000</w:t>
            </w:r>
          </w:p>
        </w:tc>
        <w:tc>
          <w:tcPr>
            <w:tcW w:type="dxa" w:w="1728"/>
          </w:tcPr>
          <w:p>
            <w:r/>
            <w:r>
              <w:t>5.7%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Adjusted for TP</w:t>
            </w:r>
          </w:p>
        </w:tc>
        <w:tc>
          <w:tcPr>
            <w:tcW w:type="dxa" w:w="1728"/>
          </w:tcPr>
          <w:p>
            <w:r/>
            <w:r>
              <w:t>$265,200</w:t>
            </w:r>
          </w:p>
        </w:tc>
        <w:tc>
          <w:tcPr>
            <w:tcW w:type="dxa" w:w="1728"/>
          </w:tcPr>
          <w:p>
            <w:r/>
            <w:r>
              <w:t>$0 (excess credit)</w:t>
            </w:r>
          </w:p>
        </w:tc>
        <w:tc>
          <w:tcPr>
            <w:tcW w:type="dxa" w:w="1728"/>
          </w:tcPr>
          <w:p>
            <w:r/>
            <w:r>
              <w:t>$265,200</w:t>
            </w:r>
          </w:p>
        </w:tc>
        <w:tc>
          <w:tcPr>
            <w:tcW w:type="dxa" w:w="1728"/>
          </w:tcPr>
          <w:p>
            <w:r/>
            <w:r>
              <w:t>7.4%</w:t>
            </w:r>
          </w:p>
        </w:tc>
      </w:tr>
    </w:tbl>
    <w:p/>
    <w:p>
      <w:r>
        <w:rPr>
          <w:b/>
        </w:rPr>
        <w:t>Conclusion</w:t>
      </w:r>
      <w:r>
        <w:t xml:space="preserve">: Dependent Agent PE results in </w:t>
      </w:r>
      <w:r>
        <w:rPr>
          <w:b/>
        </w:rPr>
        <w:t>lower total tax</w:t>
      </w:r>
      <w:r>
        <w:t xml:space="preserve"> than WHT scenario, primarily because:</w:t>
      </w:r>
    </w:p>
    <w:p>
      <w:pPr>
        <w:pStyle w:val="ListNumber"/>
      </w:pPr>
      <w:r>
        <w:t>Brazilian tax on net profit (34% on $600k) &lt; WHT on gross (15% on $3.6m)</w:t>
      </w:r>
    </w:p>
    <w:p>
      <w:pPr>
        <w:pStyle w:val="ListNumber"/>
      </w:pPr>
      <w:r>
        <w:t>Low profit margin (16.7%) makes net basis taxation favorable</w:t>
      </w:r>
    </w:p>
    <w:p>
      <w:pPr>
        <w:pStyle w:val="ListNumber"/>
      </w:pPr>
      <w:r>
        <w:t>Excess foreign tax credit indicates Brazilian tax rate (34%) exceeds US rate (21%)</w:t>
      </w:r>
    </w:p>
    <w:p>
      <w:r>
        <w:rPr>
          <w:b/>
        </w:rPr>
        <w:t>Planning Considerations</w:t>
      </w:r>
      <w:r>
        <w:t>:</w:t>
      </w:r>
    </w:p>
    <w:p>
      <w:pPr>
        <w:pStyle w:val="ListBullet"/>
      </w:pPr>
      <w:r>
        <w:t>If profit margin were higher (&gt;44%), WHT might be preferable</w:t>
      </w:r>
    </w:p>
    <w:p>
      <w:pPr>
        <w:pStyle w:val="ListBullet"/>
      </w:pPr>
      <w:r>
        <w:t>Independent agent structure could avoid PE but increases agent cost</w:t>
      </w:r>
    </w:p>
    <w:p>
      <w:pPr>
        <w:pStyle w:val="ListBullet"/>
      </w:pPr>
      <w:r>
        <w:t>Brazilian subsidiary provides certainty but increases compliance burden</w:t>
      </w:r>
    </w:p>
    <w:p>
      <w:pPr>
        <w:pStyle w:val="ListBullet"/>
      </w:pPr>
      <w:r>
        <w:t>Transfer pricing documentation critical to defend profit allocation</w:t>
      </w:r>
    </w:p>
    <w:p>
      <w:pPr>
        <w:pStyle w:val="Heading2"/>
      </w:pPr>
      <w:r>
        <w:t>6. Recent Developments</w:t>
      </w:r>
    </w:p>
    <w:p>
      <w:pPr>
        <w:pStyle w:val="Heading3"/>
      </w:pPr>
      <w:r>
        <w:t>6.1 BEPS 2.0 Impact on Service Companies</w:t>
      </w:r>
    </w:p>
    <w:p>
      <w:r>
        <w:rPr>
          <w:b/>
        </w:rPr>
        <w:t>Pillar Two (Global Minimum Tax)</w:t>
      </w:r>
      <w:r>
        <w:t>: The OECD/G20 BEPS 2.0 Pillar Two framework (agreed October 2021, implementation from 2024) applies to service companies with consolidated group revenues exceeding EUR 750 million:</w:t>
      </w:r>
    </w:p>
    <w:p>
      <w:pPr>
        <w:pStyle w:val="ListBullet"/>
      </w:pPr>
      <w:r>
        <w:rPr>
          <w:b/>
        </w:rPr>
        <w:t>Top-up tax</w:t>
      </w:r>
      <w:r>
        <w:t>: Calculated on a jurisdictional basis to ensure minimum 15% effective tax rate</w:t>
      </w:r>
    </w:p>
    <w:p>
      <w:pPr>
        <w:pStyle w:val="ListBullet"/>
      </w:pPr>
      <w:r>
        <w:rPr>
          <w:b/>
        </w:rPr>
        <w:t>Impact on service hubs</w:t>
      </w:r>
      <w:r>
        <w:t>: Service companies operating through low-tax jurisdictions (United Arab Emirates, Singapore) may face top-up tax under the Income Inclusion Rule (IIR)</w:t>
      </w:r>
    </w:p>
    <w:p>
      <w:pPr>
        <w:pStyle w:val="ListBullet"/>
      </w:pPr>
      <w:r>
        <w:rPr>
          <w:b/>
        </w:rPr>
        <w:t>PE implications</w:t>
      </w:r>
      <w:r>
        <w:t>: Pillar Two utilizes PE profit allocation for determining jurisdictional effective tax rates</w:t>
      </w:r>
    </w:p>
    <w:p>
      <w:r>
        <w:rPr>
          <w:b/>
        </w:rPr>
        <w:t>Pillar One (Amount A)</w:t>
      </w:r>
      <w:r>
        <w:t xml:space="preserve">: Not directly applicable to most service companies, as Amount A focuses on large consumer-facing multinational enterprises (MNEs with revenues exceeding EUR 20 billion). However, </w:t>
      </w:r>
      <w:r>
        <w:rPr>
          <w:b/>
        </w:rPr>
        <w:t>Amount B</w:t>
      </w:r>
      <w:r>
        <w:t xml:space="preserve"> provides standardized baseline returns for marketing and distribution functions, potentially informing benchmarks for service PE profit attribution analyses.</w:t>
      </w:r>
    </w:p>
    <w:p>
      <w:pPr>
        <w:pStyle w:val="Heading3"/>
      </w:pPr>
      <w:r>
        <w:t>6.2 OECD BEPS Action 7 - Preventing PE Avoidance</w:t>
      </w:r>
    </w:p>
    <w:p>
      <w:r>
        <w:rPr>
          <w:b/>
        </w:rPr>
        <w:t>Specific Anti-Avoidance Rule (SAAR) for Contract Splitting</w:t>
      </w:r>
      <w:r>
        <w:t>:</w:t>
      </w:r>
    </w:p>
    <w:p>
      <w:pPr>
        <w:pStyle w:val="ListBullet"/>
      </w:pPr>
      <w:r>
        <w:rPr>
          <w:b/>
        </w:rPr>
        <w:t>Issue</w:t>
      </w:r>
      <w:r>
        <w:t>: Service companies artificially splitting contracts to remain below construction PE time thresholds</w:t>
      </w:r>
    </w:p>
    <w:p>
      <w:pPr>
        <w:pStyle w:val="ListBullet"/>
      </w:pPr>
      <w:r>
        <w:rPr>
          <w:b/>
        </w:rPr>
        <w:t>Solution</w:t>
      </w:r>
      <w:r>
        <w:t xml:space="preserve">: </w:t>
      </w:r>
      <w:r>
        <w:rPr>
          <w:b/>
        </w:rPr>
        <w:t>MLI Article 14</w:t>
      </w:r>
      <w:r>
        <w:t xml:space="preserve"> (not Article 13) addresses contract splitting between closely related enterprises - applies Principal Purpose Test (PPT) to deny PE threshold benefits if principal purpose of contract splitting was to avoid PE status under Article 5(3)</w:t>
      </w:r>
    </w:p>
    <w:p>
      <w:pPr>
        <w:pStyle w:val="ListBullet"/>
      </w:pPr>
      <w:r>
        <w:rPr>
          <w:b/>
        </w:rPr>
        <w:t>Impact</w:t>
      </w:r>
      <w:r>
        <w:t>: Multiple short-term contracts may be aggregated and treated as single PE-creating project if:</w:t>
      </w:r>
    </w:p>
    <w:p>
      <w:pPr>
        <w:pStyle w:val="ListBullet"/>
        <w:ind w:left="360"/>
      </w:pPr>
      <w:r>
        <w:t>Contracts between same enterprise (or closely related enterprises) and same client</w:t>
      </w:r>
    </w:p>
    <w:p>
      <w:pPr>
        <w:pStyle w:val="ListBullet"/>
        <w:ind w:left="360"/>
      </w:pPr>
      <w:r>
        <w:t>Commercially coherent project with close geographic and temporal connection</w:t>
      </w:r>
    </w:p>
    <w:p>
      <w:pPr>
        <w:pStyle w:val="ListBullet"/>
        <w:ind w:left="360"/>
      </w:pPr>
      <w:r>
        <w:t>Principal purpose was to avoid PE threshold</w:t>
      </w:r>
    </w:p>
    <w:p>
      <w:pPr>
        <w:pStyle w:val="ListBullet"/>
      </w:pPr>
      <w:r>
        <w:rPr>
          <w:b/>
        </w:rPr>
        <w:t>Implementation note</w:t>
      </w:r>
      <w:r>
        <w:t>: Article 14 is an optional (not minimum standard) provision under the MLI; many countries opted out or reserved positions</w:t>
      </w:r>
    </w:p>
    <w:p>
      <w:r>
        <w:rPr>
          <w:b/>
        </w:rPr>
        <w:t>Anti-Fragmentation Rule</w:t>
      </w:r>
      <w:r>
        <w:t xml:space="preserve"> (Article 5(4.1) of 2017 OECD Model):</w:t>
      </w:r>
    </w:p>
    <w:p>
      <w:pPr>
        <w:pStyle w:val="ListBullet"/>
      </w:pPr>
      <w:r>
        <w:rPr>
          <w:b/>
        </w:rPr>
        <w:t>Issue</w:t>
      </w:r>
      <w:r>
        <w:t>: Enterprises fragmenting complementary business activities across multiple closely related entities to artificially claim Article 5(4) preparatory/auxiliary exceptions</w:t>
      </w:r>
    </w:p>
    <w:p>
      <w:pPr>
        <w:pStyle w:val="ListBullet"/>
      </w:pPr>
      <w:r>
        <w:rPr>
          <w:b/>
        </w:rPr>
        <w:t>Solution</w:t>
      </w:r>
      <w:r>
        <w:t>: Introduced in 2017 OECD Model update - aggregates complementary functions of closely related enterprises to determine whether combined activities exceed preparatory/auxiliary threshold</w:t>
      </w:r>
    </w:p>
    <w:p>
      <w:pPr>
        <w:pStyle w:val="ListBullet"/>
      </w:pPr>
      <w:r>
        <w:rPr>
          <w:b/>
        </w:rPr>
        <w:t>Purpose</w:t>
      </w:r>
      <w:r>
        <w:t>: Prevents enterprises from splitting cohesive business operations into smaller components to argue each constitutes merely preparatory/auxiliary activity</w:t>
      </w:r>
    </w:p>
    <w:p>
      <w:pPr>
        <w:pStyle w:val="ListBullet"/>
      </w:pPr>
      <w:r>
        <w:rPr>
          <w:b/>
        </w:rPr>
        <w:t>Impact</w:t>
      </w:r>
      <w:r>
        <w:t>: Service company groups cannot fragment integrated operations (e.g., separating equipment supply, technical services, and logistics support across different entities) to avoid PE creation if combined activities constitute core business functions</w:t>
      </w:r>
    </w:p>
    <w:p>
      <w:pPr>
        <w:pStyle w:val="Heading3"/>
      </w:pPr>
      <w:r>
        <w:t>6.3 Digital Services and Remote Service Delivery</w:t>
      </w:r>
    </w:p>
    <w:p>
      <w:r>
        <w:rPr>
          <w:b/>
        </w:rPr>
        <w:t>Remote Technical Services</w:t>
      </w:r>
      <w:r>
        <w:t>: The COVID-19 pandemic significantly accelerated adoption of remote service delivery models including digital oilfield technologies and remote production monitoring systems.</w:t>
      </w:r>
    </w:p>
    <w:p>
      <w:r>
        <w:rPr>
          <w:b/>
        </w:rPr>
        <w:t>PE Implications of Remote Service Delivery</w:t>
      </w:r>
      <w:r>
        <w:t>:</w:t>
      </w:r>
    </w:p>
    <w:p>
      <w:pPr>
        <w:pStyle w:val="ListBullet"/>
      </w:pPr>
      <w:r>
        <w:rPr>
          <w:b/>
        </w:rPr>
        <w:t>No physical presence</w:t>
      </w:r>
      <w:r>
        <w:t>: Services delivered remotely from home jurisdiction generally do not create PE in source country absent physical presence</w:t>
      </w:r>
    </w:p>
    <w:p>
      <w:pPr>
        <w:pStyle w:val="ListBullet"/>
      </w:pPr>
      <w:r>
        <w:rPr>
          <w:b/>
        </w:rPr>
        <w:t>Equipment presence</w:t>
      </w:r>
      <w:r>
        <w:t>: Remote monitoring equipment, sensors, or automated systems physically located in source country may create fixed place of business PE</w:t>
      </w:r>
    </w:p>
    <w:p>
      <w:pPr>
        <w:pStyle w:val="ListBullet"/>
      </w:pPr>
      <w:r>
        <w:rPr>
          <w:b/>
        </w:rPr>
        <w:t>Withholding tax exposure</w:t>
      </w:r>
      <w:r>
        <w:t>: Source countries increasingly impose withholding tax (WHT) on payments for digital and technical services even in absence of PE</w:t>
      </w:r>
    </w:p>
    <w:p>
      <w:r>
        <w:rPr>
          <w:b/>
        </w:rPr>
        <w:t>Significant Economic Presence (SEP)</w:t>
      </w:r>
      <w:r>
        <w:t>: Some jurisdictions have introduced SEP concepts as alternative nexus tests:</w:t>
      </w:r>
    </w:p>
    <w:p>
      <w:pPr>
        <w:pStyle w:val="ListBullet"/>
      </w:pPr>
      <w:r>
        <w:rPr>
          <w:b/>
        </w:rPr>
        <w:t>India</w:t>
      </w:r>
      <w:r>
        <w:t>: SEP provisions effective from April 2021 with thresholds of INR 20 million (approximately USD 240,000-275,000) aggregate payments from Indian customers, or systematic and continuous interaction with 300,000 or more Indian users</w:t>
      </w:r>
    </w:p>
    <w:p>
      <w:pPr>
        <w:pStyle w:val="ListBullet"/>
      </w:pPr>
      <w:r>
        <w:rPr>
          <w:b/>
        </w:rPr>
        <w:t>Nigeria</w:t>
      </w:r>
      <w:r>
        <w:t>: SEP provisions introduced in Finance Act 2020, establishing nexus based on revenue thresholds and digital/online presence (implementation framework under development)</w:t>
      </w:r>
    </w:p>
    <w:p>
      <w:pPr>
        <w:pStyle w:val="ListBullet"/>
      </w:pPr>
      <w:r>
        <w:rPr>
          <w:b/>
        </w:rPr>
        <w:t>Concept</w:t>
      </w:r>
      <w:r>
        <w:t>: PE created by significant economic presence even without traditional physical presence</w:t>
      </w:r>
    </w:p>
    <w:p>
      <w:pPr>
        <w:pStyle w:val="ListBullet"/>
      </w:pPr>
      <w:r>
        <w:rPr>
          <w:b/>
        </w:rPr>
        <w:t>Factors</w:t>
      </w:r>
      <w:r>
        <w:t>: Revenue derived from source country, user base size, data collection and utilization</w:t>
      </w:r>
    </w:p>
    <w:p>
      <w:pPr>
        <w:pStyle w:val="ListBullet"/>
      </w:pPr>
      <w:r>
        <w:rPr>
          <w:b/>
        </w:rPr>
        <w:t>Energy sector impact</w:t>
      </w:r>
      <w:r>
        <w:t>: Limited direct application, as SEP provisions primarily target digital economy business models rather than traditional energy services</w:t>
      </w:r>
    </w:p>
    <w:p>
      <w:pPr>
        <w:pStyle w:val="Heading3"/>
      </w:pPr>
      <w:r>
        <w:t>6.4 Increased Scrutiny of Service Company Structures</w:t>
      </w:r>
    </w:p>
    <w:p>
      <w:r>
        <w:rPr>
          <w:b/>
        </w:rPr>
        <w:t>Tax Authority Focus Areas</w:t>
      </w:r>
      <w:r>
        <w:t>:</w:t>
      </w:r>
    </w:p>
    <w:p>
      <w:pPr>
        <w:pStyle w:val="ListBullet"/>
      </w:pPr>
      <w:r>
        <w:rPr>
          <w:b/>
        </w:rPr>
        <w:t>Profit attribution</w:t>
      </w:r>
      <w:r>
        <w:t>: Transfer pricing audits challenging service PE profit margins</w:t>
      </w:r>
    </w:p>
    <w:p>
      <w:pPr>
        <w:pStyle w:val="ListBullet"/>
      </w:pPr>
      <w:r>
        <w:rPr>
          <w:b/>
        </w:rPr>
        <w:t>Time tracking</w:t>
      </w:r>
      <w:r>
        <w:t>: Audits of PE threshold calculations (secondments, site visits, connected projects)</w:t>
      </w:r>
    </w:p>
    <w:p>
      <w:pPr>
        <w:pStyle w:val="ListBullet"/>
      </w:pPr>
      <w:r>
        <w:rPr>
          <w:b/>
        </w:rPr>
        <w:t>Related party services</w:t>
      </w:r>
      <w:r>
        <w:t>: Whether services provide genuine value or artificial profit shifting</w:t>
      </w:r>
    </w:p>
    <w:p>
      <w:pPr>
        <w:pStyle w:val="ListBullet"/>
      </w:pPr>
      <w:r>
        <w:rPr>
          <w:b/>
        </w:rPr>
        <w:t>Treaty shopping</w:t>
      </w:r>
      <w:r>
        <w:t>: Substance requirements for service hubs claiming treaty benefits</w:t>
      </w:r>
    </w:p>
    <w:p>
      <w:r>
        <w:rPr>
          <w:b/>
        </w:rPr>
        <w:t>Documentation Requirements</w:t>
      </w:r>
      <w:r>
        <w:t>:</w:t>
      </w:r>
    </w:p>
    <w:p>
      <w:pPr>
        <w:pStyle w:val="ListBullet"/>
      </w:pPr>
      <w:r>
        <w:t>Real-time time tracking and project monitoring</w:t>
      </w:r>
    </w:p>
    <w:p>
      <w:pPr>
        <w:pStyle w:val="ListBullet"/>
      </w:pPr>
      <w:r>
        <w:t>Contemporaneous transfer pricing documentation</w:t>
      </w:r>
    </w:p>
    <w:p>
      <w:pPr>
        <w:pStyle w:val="ListBullet"/>
      </w:pPr>
      <w:r>
        <w:t>Functional analysis supporting profit attribution</w:t>
      </w:r>
    </w:p>
    <w:p>
      <w:pPr>
        <w:pStyle w:val="ListBullet"/>
      </w:pPr>
      <w:r>
        <w:t>Substance evidence for treaty residence claims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End of Study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