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Definition and characteristics Proprietorial regime</w:t>
      </w:r>
    </w:p>
    <w:p>
      <w:pPr>
        <w:pStyle w:val="Heading1"/>
      </w:pPr>
      <w:r>
        <w:t>Definition and Characteristics: Proprietorial Regime</w:t>
      </w:r>
    </w:p>
    <w:p>
      <w:pPr>
        <w:spacing w:before="120" w:after="120"/>
        <w:pBdr>
          <w:bottom w:val="single" w:sz="6" w:space="1" w:color="auto"/>
        </w:pBdr>
      </w:pPr>
    </w:p>
    <w:p>
      <w:pPr>
        <w:pStyle w:val="Heading2"/>
      </w:pPr>
      <w:r>
        <w:t>1. Core Framework and Legal Foundation</w:t>
      </w:r>
    </w:p>
    <w:p>
      <w:pPr>
        <w:pStyle w:val="Heading3"/>
      </w:pPr>
      <w:r>
        <w:t>1.1 Definition of Proprietorial Regime</w:t>
      </w:r>
    </w:p>
    <w:p>
      <w:r>
        <w:t xml:space="preserve">A </w:t>
      </w:r>
      <w:r>
        <w:rPr>
          <w:b/>
        </w:rPr>
        <w:t>proprietorial regime</w:t>
      </w:r>
      <w:r>
        <w:t xml:space="preserve"> (also known as a </w:t>
      </w:r>
      <w:r>
        <w:rPr>
          <w:b/>
        </w:rPr>
        <w:t>concession regime</w:t>
      </w:r>
      <w:r>
        <w:t xml:space="preserve"> or </w:t>
      </w:r>
      <w:r>
        <w:rPr>
          <w:b/>
        </w:rPr>
        <w:t>tax-royalty system</w:t>
      </w:r>
      <w:r>
        <w:t xml:space="preserve">) is a legal and fiscal framework through which a sovereign state grants an investor the right to explore for and extract natural resources, with </w:t>
      </w:r>
      <w:r>
        <w:rPr>
          <w:b/>
        </w:rPr>
        <w:t>ownership of those resources transferring to the investor at the point of extraction</w:t>
      </w:r>
      <w:r>
        <w:t xml:space="preserve"> [IMF, 2012].</w:t>
      </w:r>
    </w:p>
    <w:p>
      <w:r>
        <w:t xml:space="preserve">The defining characteristic that distinguishes proprietorial regimes from non-proprietorial arrangements is the </w:t>
      </w:r>
      <w:r>
        <w:rPr>
          <w:b/>
        </w:rPr>
        <w:t>transfer of resource ownership</w:t>
      </w:r>
      <w:r>
        <w:t xml:space="preserve">. Under a proprietorial regime, title to petroleum or minerals passes from the state to the investor at the </w:t>
      </w:r>
      <w:r>
        <w:rPr>
          <w:b/>
        </w:rPr>
        <w:t>wellhead</w:t>
      </w:r>
      <w:r>
        <w:t xml:space="preserve"> (for petroleum) or </w:t>
      </w:r>
      <w:r>
        <w:rPr>
          <w:b/>
        </w:rPr>
        <w:t>pithead</w:t>
      </w:r>
      <w:r>
        <w:t xml:space="preserve"> (for minerals). Once extracted, the resources become the investor's property, subject to fiscal obligations to the state.</w:t>
      </w:r>
    </w:p>
    <w:p>
      <w:r>
        <w:rPr>
          <w:b/>
        </w:rPr>
        <w:t>Key Legal Principle:</w:t>
      </w:r>
      <w:r>
        <w:t xml:space="preserve"> The investor acquires </w:t>
      </w:r>
      <w:r>
        <w:rPr>
          <w:b/>
        </w:rPr>
        <w:t>legal ownership</w:t>
      </w:r>
      <w:r>
        <w:t xml:space="preserve"> of hydrocarbons or minerals upon extraction, converting the state's ownership of resources </w:t>
      </w:r>
      <w:r>
        <w:rPr>
          <w:i/>
        </w:rPr>
        <w:t>in situ</w:t>
      </w:r>
      <w:r>
        <w:t xml:space="preserve"> to the investor's ownership of extracted commodities [Bindemann, 1999].</w:t>
      </w:r>
    </w:p>
    <w:p>
      <w:pPr>
        <w:pStyle w:val="Heading3"/>
      </w:pPr>
      <w:r>
        <w:t>1.2 Statutory and Constitutional Basis</w:t>
      </w:r>
    </w:p>
    <w:p>
      <w:r>
        <w:t>Proprietorial regimes are typically founded on:</w:t>
      </w:r>
    </w:p>
    <w:p>
      <w:pPr>
        <w:pStyle w:val="ListBullet"/>
      </w:pPr>
      <w:r>
        <w:rPr>
          <w:b/>
        </w:rPr>
        <w:t>Constitutional provisions</w:t>
      </w:r>
      <w:r>
        <w:t xml:space="preserve"> asserting state ownership of natural resources </w:t>
      </w:r>
      <w:r>
        <w:rPr>
          <w:i/>
        </w:rPr>
        <w:t>in situ</w:t>
      </w:r>
      <w:r>
        <w:t xml:space="preserve"> (before extraction)</w:t>
      </w:r>
    </w:p>
    <w:p>
      <w:pPr>
        <w:pStyle w:val="ListBullet"/>
      </w:pPr>
      <w:r>
        <w:rPr>
          <w:b/>
        </w:rPr>
        <w:t>Petroleum Acts or Mining Acts</w:t>
      </w:r>
      <w:r>
        <w:t xml:space="preserve"> establishing the legal basis for granting extraction rights</w:t>
      </w:r>
    </w:p>
    <w:p>
      <w:pPr>
        <w:pStyle w:val="ListBullet"/>
      </w:pPr>
      <w:r>
        <w:rPr>
          <w:b/>
        </w:rPr>
        <w:t>Finance Acts</w:t>
      </w:r>
      <w:r>
        <w:t xml:space="preserve"> setting tax rates, royalties, and allowances</w:t>
      </w:r>
    </w:p>
    <w:p>
      <w:pPr>
        <w:pStyle w:val="ListBullet"/>
      </w:pPr>
      <w:r>
        <w:rPr>
          <w:b/>
        </w:rPr>
        <w:t>Concession Agreements</w:t>
      </w:r>
      <w:r>
        <w:t xml:space="preserve"> or </w:t>
      </w:r>
      <w:r>
        <w:rPr>
          <w:b/>
        </w:rPr>
        <w:t>Licenses</w:t>
      </w:r>
      <w:r>
        <w:t xml:space="preserve"> as contractual instruments between state and investor</w:t>
      </w:r>
    </w:p>
    <w:p>
      <w:r>
        <w:rPr>
          <w:b/>
        </w:rPr>
        <w:t>Example Jurisdictions:</w:t>
      </w:r>
    </w:p>
    <w:p>
      <w:pPr>
        <w:pStyle w:val="ListBullet"/>
      </w:pPr>
      <w:r>
        <w:rPr>
          <w:b/>
        </w:rPr>
        <w:t>United Kingdom</w:t>
      </w:r>
      <w:r>
        <w:t>: Petroleum Act 1998, Corporation Tax Act 2010 (Part 8 - Ring Fence)</w:t>
      </w:r>
    </w:p>
    <w:p>
      <w:pPr>
        <w:pStyle w:val="ListBullet"/>
      </w:pPr>
      <w:r>
        <w:rPr>
          <w:b/>
        </w:rPr>
        <w:t>Norway</w:t>
      </w:r>
      <w:r>
        <w:t>: Petroleum Tax Act, Petroleum Activities Act</w:t>
      </w:r>
    </w:p>
    <w:p>
      <w:pPr>
        <w:pStyle w:val="ListBullet"/>
      </w:pPr>
      <w:r>
        <w:rPr>
          <w:b/>
        </w:rPr>
        <w:t>United States</w:t>
      </w:r>
      <w:r>
        <w:t>: Federal and state mineral leasing acts</w:t>
      </w:r>
    </w:p>
    <w:p>
      <w:pPr>
        <w:pStyle w:val="ListBullet"/>
      </w:pPr>
      <w:r>
        <w:rPr>
          <w:b/>
        </w:rPr>
        <w:t>Canada</w:t>
      </w:r>
      <w:r>
        <w:t>: Provincial petroleum and natural gas acts (Alberta, Saskatchewan)</w:t>
      </w:r>
    </w:p>
    <w:p>
      <w:pPr>
        <w:pStyle w:val="ListBullet"/>
      </w:pPr>
      <w:r>
        <w:rPr>
          <w:b/>
        </w:rPr>
        <w:t>Australia</w:t>
      </w:r>
      <w:r>
        <w:t>: Offshore Petroleum and Greenhouse Gas Storage Act 2006</w:t>
      </w:r>
    </w:p>
    <w:p>
      <w:r>
        <w:t xml:space="preserve">The </w:t>
      </w:r>
      <w:r>
        <w:rPr>
          <w:b/>
        </w:rPr>
        <w:t>principle of permanent sovereignty over natural resources</w:t>
      </w:r>
      <w:r>
        <w:t xml:space="preserve"> (UN General Assembly Resolution 1803, 1962) provides states with the right to regulate extraction, but this sovereignty is exercised through granting proprietary rights to investors.</w:t>
      </w:r>
    </w:p>
    <w:p>
      <w:pPr>
        <w:spacing w:before="120" w:after="120"/>
        <w:pBdr>
          <w:bottom w:val="single" w:sz="6" w:space="1" w:color="auto"/>
        </w:pBdr>
      </w:pPr>
    </w:p>
    <w:p>
      <w:pPr>
        <w:pStyle w:val="Heading2"/>
      </w:pPr>
      <w:r>
        <w:t>2. Essential Characteristics of Proprietorial Regimes</w:t>
      </w:r>
    </w:p>
    <w:p>
      <w:pPr>
        <w:pStyle w:val="Heading3"/>
      </w:pPr>
      <w:r>
        <w:t>2.1 Ownership Transfer at Extraction Point</w:t>
      </w:r>
    </w:p>
    <w:p>
      <w:r>
        <w:rPr>
          <w:b/>
        </w:rPr>
        <w:t>Defining Feature:</w:t>
      </w:r>
      <w:r>
        <w:t xml:space="preserve"> Resource ownership transfers from the state to the investor </w:t>
      </w:r>
      <w:r>
        <w:rPr>
          <w:b/>
        </w:rPr>
        <w:t>at the moment of extraction</w:t>
      </w:r>
      <w:r>
        <w:t>, not at the point of sale or export.</w:t>
      </w:r>
    </w:p>
    <w:p>
      <w:r>
        <w:rPr>
          <w:b/>
        </w:rPr>
        <w:t>Legal Implications:</w:t>
      </w:r>
    </w:p>
    <w:p>
      <w:pPr>
        <w:pStyle w:val="ListBullet"/>
      </w:pPr>
      <w:r>
        <w:t xml:space="preserve">The investor has </w:t>
      </w:r>
      <w:r>
        <w:rPr>
          <w:b/>
        </w:rPr>
        <w:t>full legal title</w:t>
      </w:r>
      <w:r>
        <w:t xml:space="preserve"> to extracted resources</w:t>
      </w:r>
    </w:p>
    <w:p>
      <w:pPr>
        <w:pStyle w:val="ListBullet"/>
      </w:pPr>
      <w:r>
        <w:t xml:space="preserve">The investor bears </w:t>
      </w:r>
      <w:r>
        <w:rPr>
          <w:b/>
        </w:rPr>
        <w:t>commodity price risk</w:t>
      </w:r>
      <w:r>
        <w:t xml:space="preserve"> and market risk</w:t>
      </w:r>
    </w:p>
    <w:p>
      <w:pPr>
        <w:pStyle w:val="ListBullet"/>
      </w:pPr>
      <w:r>
        <w:t xml:space="preserve">The investor controls </w:t>
      </w:r>
      <w:r>
        <w:rPr>
          <w:b/>
        </w:rPr>
        <w:t>disposition</w:t>
      </w:r>
      <w:r>
        <w:t xml:space="preserve"> of extracted resources (subject to export controls)</w:t>
      </w:r>
    </w:p>
    <w:p>
      <w:pPr>
        <w:pStyle w:val="ListBullet"/>
      </w:pPr>
      <w:r>
        <w:t xml:space="preserve">The state's interest is purely </w:t>
      </w:r>
      <w:r>
        <w:rPr>
          <w:b/>
        </w:rPr>
        <w:t>fiscal</w:t>
      </w:r>
      <w:r>
        <w:t xml:space="preserve"> (through taxation), not proprietary</w:t>
      </w:r>
    </w:p>
    <w:p>
      <w:pPr>
        <w:pStyle w:val="Heading3"/>
      </w:pPr>
      <w:r>
        <w:t>2.2 Risk Allocation</w:t>
      </w:r>
    </w:p>
    <w:p>
      <w:r>
        <w:t xml:space="preserve">Under proprietorial regimes, the </w:t>
      </w:r>
      <w:r>
        <w:rPr>
          <w:b/>
        </w:rPr>
        <w:t>investor bears 100% of exploration and development risk</w:t>
      </w:r>
      <w:r>
        <w:t>. The state does not participate in costs and receives fiscal payments regardless of project profitability (subject to taxable income for corporate tax purposes).</w:t>
      </w:r>
    </w:p>
    <w:p>
      <w:r>
        <w:rPr>
          <w:b/>
        </w:rPr>
        <w:t>Risk Profile: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Risk Type</w:t>
            </w:r>
          </w:p>
        </w:tc>
        <w:tc>
          <w:tcPr>
            <w:tcW w:type="dxa" w:w="4320"/>
          </w:tcPr>
          <w:p>
            <w:r>
              <w:rPr>
                <w:b/>
              </w:rPr>
            </w:r>
            <w:r>
              <w:rPr>
                <w:b/>
              </w:rPr>
              <w:t>Borne By</w:t>
            </w:r>
          </w:p>
        </w:tc>
      </w:tr>
      <w:tr>
        <w:tc>
          <w:tcPr>
            <w:tcW w:type="dxa" w:w="4320"/>
          </w:tcPr>
          <w:p>
            <w:r/>
            <w:r>
              <w:rPr>
                <w:b/>
              </w:rPr>
              <w:t>Geological risk</w:t>
            </w:r>
            <w:r>
              <w:t xml:space="preserve"> (dry holes)</w:t>
            </w:r>
          </w:p>
        </w:tc>
        <w:tc>
          <w:tcPr>
            <w:tcW w:type="dxa" w:w="4320"/>
          </w:tcPr>
          <w:p>
            <w:r/>
            <w:r>
              <w:t>Investor 100%</w:t>
            </w:r>
          </w:p>
        </w:tc>
      </w:tr>
      <w:tr>
        <w:tc>
          <w:tcPr>
            <w:tcW w:type="dxa" w:w="4320"/>
          </w:tcPr>
          <w:p>
            <w:r/>
            <w:r>
              <w:rPr>
                <w:b/>
              </w:rPr>
              <w:t>Development cost overruns</w:t>
            </w:r>
          </w:p>
        </w:tc>
        <w:tc>
          <w:tcPr>
            <w:tcW w:type="dxa" w:w="4320"/>
          </w:tcPr>
          <w:p>
            <w:r/>
            <w:r>
              <w:t>Investor 100%</w:t>
            </w:r>
          </w:p>
        </w:tc>
      </w:tr>
      <w:tr>
        <w:tc>
          <w:tcPr>
            <w:tcW w:type="dxa" w:w="4320"/>
          </w:tcPr>
          <w:p>
            <w:r/>
            <w:r>
              <w:rPr>
                <w:b/>
              </w:rPr>
              <w:t>Commodity price risk</w:t>
            </w:r>
          </w:p>
        </w:tc>
        <w:tc>
          <w:tcPr>
            <w:tcW w:type="dxa" w:w="4320"/>
          </w:tcPr>
          <w:p>
            <w:r/>
            <w:r>
              <w:t>Investor 100%</w:t>
            </w:r>
          </w:p>
        </w:tc>
      </w:tr>
      <w:tr>
        <w:tc>
          <w:tcPr>
            <w:tcW w:type="dxa" w:w="4320"/>
          </w:tcPr>
          <w:p>
            <w:r/>
            <w:r>
              <w:rPr>
                <w:b/>
              </w:rPr>
              <w:t>Operational risk</w:t>
            </w:r>
          </w:p>
        </w:tc>
        <w:tc>
          <w:tcPr>
            <w:tcW w:type="dxa" w:w="4320"/>
          </w:tcPr>
          <w:p>
            <w:r/>
            <w:r>
              <w:t>Investor 100%</w:t>
            </w:r>
          </w:p>
        </w:tc>
      </w:tr>
      <w:tr>
        <w:tc>
          <w:tcPr>
            <w:tcW w:type="dxa" w:w="4320"/>
          </w:tcPr>
          <w:p>
            <w:r/>
            <w:r>
              <w:rPr>
                <w:b/>
              </w:rPr>
              <w:t>Political/regulatory risk</w:t>
            </w:r>
          </w:p>
        </w:tc>
        <w:tc>
          <w:tcPr>
            <w:tcW w:type="dxa" w:w="4320"/>
          </w:tcPr>
          <w:p>
            <w:r/>
            <w:r>
              <w:t>Shared (stabilization clauses may apply)</w:t>
            </w:r>
          </w:p>
        </w:tc>
      </w:tr>
    </w:tbl>
    <w:p/>
    <w:p>
      <w:pPr>
        <w:pStyle w:val="Heading3"/>
      </w:pPr>
      <w:r>
        <w:t>2.3 Government Revenue Mechanisms</w:t>
      </w:r>
    </w:p>
    <w:p>
      <w:r>
        <w:t xml:space="preserve">The state captures resource rents through </w:t>
      </w:r>
      <w:r>
        <w:rPr>
          <w:b/>
        </w:rPr>
        <w:t>taxation instruments</w:t>
      </w:r>
      <w:r>
        <w:t xml:space="preserve"> rather than through ownership participation:</w:t>
      </w:r>
    </w:p>
    <w:p>
      <w:r>
        <w:rPr>
          <w:b/>
        </w:rPr>
        <w:t>Primary Revenue Instruments:</w:t>
      </w:r>
    </w:p>
    <w:p>
      <w:pPr>
        <w:pStyle w:val="ListNumber"/>
      </w:pPr>
      <w:r>
        <w:rPr>
          <w:b/>
        </w:rPr>
        <w:t>Royalties</w:t>
      </w:r>
      <w:r>
        <w:t xml:space="preserve"> (10-20% of gross revenue typically)</w:t>
      </w:r>
    </w:p>
    <w:p>
      <w:pPr>
        <w:pStyle w:val="ListBullet"/>
        <w:ind w:left="360"/>
      </w:pPr>
      <w:r>
        <w:rPr>
          <w:b/>
        </w:rPr>
        <w:t>Ad valorem royalties</w:t>
      </w:r>
      <w:r>
        <w:t>: Percentage of gross revenue</w:t>
      </w:r>
    </w:p>
    <w:p>
      <w:pPr>
        <w:pStyle w:val="ListBullet"/>
        <w:ind w:left="360"/>
      </w:pPr>
      <w:r>
        <w:rPr>
          <w:b/>
        </w:rPr>
        <w:t>Specific royalties</w:t>
      </w:r>
      <w:r>
        <w:t>: Fixed amount per unit extracted</w:t>
      </w:r>
    </w:p>
    <w:p>
      <w:pPr>
        <w:pStyle w:val="ListBullet"/>
        <w:ind w:left="360"/>
      </w:pPr>
      <w:r>
        <w:rPr>
          <w:b/>
        </w:rPr>
        <w:t>Sliding scale royalties</w:t>
      </w:r>
      <w:r>
        <w:t>: Vary with production volume, price, or field profitability</w:t>
      </w:r>
    </w:p>
    <w:p>
      <w:pPr>
        <w:pStyle w:val="ListBullet"/>
        <w:ind w:left="360"/>
      </w:pPr>
      <w:r>
        <w:t xml:space="preserve">Typically </w:t>
      </w:r>
      <w:r>
        <w:rPr>
          <w:b/>
        </w:rPr>
        <w:t>deductible</w:t>
      </w:r>
      <w:r>
        <w:t xml:space="preserve"> for corporate income tax purposes</w:t>
      </w:r>
    </w:p>
    <w:p>
      <w:pPr>
        <w:pStyle w:val="ListNumber"/>
      </w:pPr>
      <w:r>
        <w:rPr>
          <w:b/>
        </w:rPr>
        <w:t>Corporate Income Tax (CIT)</w:t>
      </w:r>
    </w:p>
    <w:p>
      <w:pPr>
        <w:pStyle w:val="ListBullet"/>
        <w:ind w:left="360"/>
      </w:pPr>
      <w:r>
        <w:t>Standard rate or special petroleum tax rate</w:t>
      </w:r>
    </w:p>
    <w:p>
      <w:pPr>
        <w:pStyle w:val="ListBullet"/>
        <w:ind w:left="360"/>
      </w:pPr>
      <w:r>
        <w:t xml:space="preserve">Applied to </w:t>
      </w:r>
      <w:r>
        <w:rPr>
          <w:b/>
        </w:rPr>
        <w:t>net taxable income</w:t>
      </w:r>
      <w:r>
        <w:t xml:space="preserve"> (revenue minus deductible costs)</w:t>
      </w:r>
    </w:p>
    <w:p>
      <w:pPr>
        <w:pStyle w:val="ListBullet"/>
        <w:ind w:left="360"/>
      </w:pPr>
      <w:r>
        <w:t xml:space="preserve">Often subject to </w:t>
      </w:r>
      <w:r>
        <w:rPr>
          <w:b/>
        </w:rPr>
        <w:t>ring-fencing</w:t>
      </w:r>
      <w:r>
        <w:t xml:space="preserve"> provisions</w:t>
      </w:r>
    </w:p>
    <w:p>
      <w:pPr>
        <w:pStyle w:val="ListNumber"/>
      </w:pPr>
      <w:r>
        <w:rPr>
          <w:b/>
        </w:rPr>
        <w:t>Supplementary Taxes or Resource Rent Taxes</w:t>
      </w:r>
    </w:p>
    <w:p>
      <w:pPr>
        <w:pStyle w:val="ListBullet"/>
        <w:ind w:left="360"/>
      </w:pPr>
      <w:r>
        <w:rPr>
          <w:b/>
        </w:rPr>
        <w:t>UK Supplementary Charge (SC)</w:t>
      </w:r>
      <w:r>
        <w:t>: 10% additional tax applied to ring fence profits</w:t>
      </w:r>
    </w:p>
    <w:p>
      <w:pPr>
        <w:pStyle w:val="ListBullet"/>
        <w:ind w:left="360"/>
      </w:pPr>
      <w:r>
        <w:rPr>
          <w:b/>
        </w:rPr>
        <w:t>UK Energy Profits Levy (EPL)</w:t>
      </w:r>
      <w:r>
        <w:t>: 38% temporary windfall tax (introduced May 2022, rate increased to 38% from November 2024, scheduled to end March 2030). The EPL was introduced in response to exceptional profits from elevated oil and gas prices following geopolitical events, designed to capture extraordinary gains while funding household energy support measures.</w:t>
      </w:r>
    </w:p>
    <w:p>
      <w:pPr>
        <w:pStyle w:val="ListBullet"/>
        <w:ind w:left="360"/>
      </w:pPr>
      <w:r>
        <w:rPr>
          <w:b/>
        </w:rPr>
        <w:t>Norway Special Petroleum Tax (SPT)</w:t>
      </w:r>
      <w:r>
        <w:t>: 56% (combined with 22% CIT = 78% marginal rate)</w:t>
      </w:r>
    </w:p>
    <w:p>
      <w:pPr>
        <w:pStyle w:val="ListBullet"/>
        <w:ind w:left="360"/>
      </w:pPr>
      <w:r>
        <w:rPr>
          <w:b/>
        </w:rPr>
        <w:t>Australia Petroleum Resource Rent Tax (PRRT)</w:t>
      </w:r>
      <w:r>
        <w:t>: 40% on excess profits above threshold return</w:t>
      </w:r>
    </w:p>
    <w:p>
      <w:r>
        <w:rPr>
          <w:b/>
        </w:rPr>
        <w:t>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Jurisdiction</w:t>
            </w:r>
          </w:p>
        </w:tc>
        <w:tc>
          <w:tcPr>
            <w:tcW w:type="dxa" w:w="1728"/>
          </w:tcPr>
          <w:p>
            <w:r>
              <w:rPr>
                <w:b/>
              </w:rPr>
            </w:r>
            <w:r>
              <w:rPr>
                <w:b/>
              </w:rPr>
              <w:t>Royalty</w:t>
            </w:r>
          </w:p>
        </w:tc>
        <w:tc>
          <w:tcPr>
            <w:tcW w:type="dxa" w:w="1728"/>
          </w:tcPr>
          <w:p>
            <w:r>
              <w:rPr>
                <w:b/>
              </w:rPr>
            </w:r>
            <w:r>
              <w:rPr>
                <w:b/>
              </w:rPr>
              <w:t>CIT</w:t>
            </w:r>
          </w:p>
        </w:tc>
        <w:tc>
          <w:tcPr>
            <w:tcW w:type="dxa" w:w="1728"/>
          </w:tcPr>
          <w:p>
            <w:r>
              <w:rPr>
                <w:b/>
              </w:rPr>
            </w:r>
            <w:r>
              <w:rPr>
                <w:b/>
              </w:rPr>
              <w:t>Special Tax</w:t>
            </w:r>
          </w:p>
        </w:tc>
        <w:tc>
          <w:tcPr>
            <w:tcW w:type="dxa" w:w="1728"/>
          </w:tcPr>
          <w:p>
            <w:r>
              <w:rPr>
                <w:b/>
              </w:rPr>
            </w:r>
            <w:r>
              <w:rPr>
                <w:b/>
              </w:rPr>
              <w:t>Combined Marginal Rate</w:t>
            </w:r>
          </w:p>
        </w:tc>
      </w:tr>
      <w:tr>
        <w:tc>
          <w:tcPr>
            <w:tcW w:type="dxa" w:w="1728"/>
          </w:tcPr>
          <w:p>
            <w:r/>
            <w:r>
              <w:rPr>
                <w:b/>
              </w:rPr>
              <w:t>UK</w:t>
            </w:r>
          </w:p>
        </w:tc>
        <w:tc>
          <w:tcPr>
            <w:tcW w:type="dxa" w:w="1728"/>
          </w:tcPr>
          <w:p>
            <w:r/>
            <w:r>
              <w:t>0%</w:t>
            </w:r>
          </w:p>
        </w:tc>
        <w:tc>
          <w:tcPr>
            <w:tcW w:type="dxa" w:w="1728"/>
          </w:tcPr>
          <w:p>
            <w:r/>
            <w:r>
              <w:t>30%</w:t>
            </w:r>
          </w:p>
        </w:tc>
        <w:tc>
          <w:tcPr>
            <w:tcW w:type="dxa" w:w="1728"/>
          </w:tcPr>
          <w:p>
            <w:r/>
            <w:r>
              <w:t>10% SC + 38% EPL</w:t>
            </w:r>
          </w:p>
        </w:tc>
        <w:tc>
          <w:tcPr>
            <w:tcW w:type="dxa" w:w="1728"/>
          </w:tcPr>
          <w:p>
            <w:r/>
            <w:r>
              <w:t>78%</w:t>
            </w:r>
          </w:p>
        </w:tc>
      </w:tr>
      <w:tr>
        <w:tc>
          <w:tcPr>
            <w:tcW w:type="dxa" w:w="1728"/>
          </w:tcPr>
          <w:p>
            <w:r/>
            <w:r>
              <w:rPr>
                <w:b/>
              </w:rPr>
              <w:t>Norway</w:t>
            </w:r>
          </w:p>
        </w:tc>
        <w:tc>
          <w:tcPr>
            <w:tcW w:type="dxa" w:w="1728"/>
          </w:tcPr>
          <w:p>
            <w:r/>
            <w:r>
              <w:t>0%</w:t>
            </w:r>
          </w:p>
        </w:tc>
        <w:tc>
          <w:tcPr>
            <w:tcW w:type="dxa" w:w="1728"/>
          </w:tcPr>
          <w:p>
            <w:r/>
            <w:r>
              <w:t>22%</w:t>
            </w:r>
          </w:p>
        </w:tc>
        <w:tc>
          <w:tcPr>
            <w:tcW w:type="dxa" w:w="1728"/>
          </w:tcPr>
          <w:p>
            <w:r/>
            <w:r>
              <w:t>56% SPT</w:t>
            </w:r>
          </w:p>
        </w:tc>
        <w:tc>
          <w:tcPr>
            <w:tcW w:type="dxa" w:w="1728"/>
          </w:tcPr>
          <w:p>
            <w:r/>
            <w:r>
              <w:t>78%</w:t>
            </w:r>
          </w:p>
        </w:tc>
      </w:tr>
      <w:tr>
        <w:tc>
          <w:tcPr>
            <w:tcW w:type="dxa" w:w="1728"/>
          </w:tcPr>
          <w:p>
            <w:r/>
            <w:r>
              <w:rPr>
                <w:b/>
              </w:rPr>
              <w:t>Ghana</w:t>
            </w:r>
          </w:p>
        </w:tc>
        <w:tc>
          <w:tcPr>
            <w:tcW w:type="dxa" w:w="1728"/>
          </w:tcPr>
          <w:p>
            <w:r/>
            <w:r>
              <w:t>5%</w:t>
            </w:r>
          </w:p>
        </w:tc>
        <w:tc>
          <w:tcPr>
            <w:tcW w:type="dxa" w:w="1728"/>
          </w:tcPr>
          <w:p>
            <w:r/>
            <w:r>
              <w:t>35%</w:t>
            </w:r>
          </w:p>
        </w:tc>
        <w:tc>
          <w:tcPr>
            <w:tcW w:type="dxa" w:w="1728"/>
          </w:tcPr>
          <w:p>
            <w:r/>
            <w:r>
              <w:t>-</w:t>
            </w:r>
          </w:p>
        </w:tc>
        <w:tc>
          <w:tcPr>
            <w:tcW w:type="dxa" w:w="1728"/>
          </w:tcPr>
          <w:p>
            <w:r/>
            <w:r>
              <w:t>~38%</w:t>
            </w:r>
          </w:p>
        </w:tc>
      </w:tr>
      <w:tr>
        <w:tc>
          <w:tcPr>
            <w:tcW w:type="dxa" w:w="1728"/>
          </w:tcPr>
          <w:p>
            <w:r/>
            <w:r>
              <w:rPr>
                <w:b/>
              </w:rPr>
              <w:t>Canada (Alberta)</w:t>
            </w:r>
          </w:p>
        </w:tc>
        <w:tc>
          <w:tcPr>
            <w:tcW w:type="dxa" w:w="1728"/>
          </w:tcPr>
          <w:p>
            <w:r/>
            <w:r>
              <w:t>5-40% sliding</w:t>
            </w:r>
          </w:p>
        </w:tc>
        <w:tc>
          <w:tcPr>
            <w:tcW w:type="dxa" w:w="1728"/>
          </w:tcPr>
          <w:p>
            <w:r/>
            <w:r>
              <w:t>23% federal + 8% provincial</w:t>
            </w:r>
          </w:p>
        </w:tc>
        <w:tc>
          <w:tcPr>
            <w:tcW w:type="dxa" w:w="1728"/>
          </w:tcPr>
          <w:p>
            <w:r/>
            <w:r>
              <w:t>-</w:t>
            </w:r>
          </w:p>
        </w:tc>
        <w:tc>
          <w:tcPr>
            <w:tcW w:type="dxa" w:w="1728"/>
          </w:tcPr>
          <w:p>
            <w:r/>
            <w:r>
              <w:t>~31-50%</w:t>
            </w:r>
          </w:p>
        </w:tc>
      </w:tr>
    </w:tbl>
    <w:p/>
    <w:p>
      <w:pPr>
        <w:pStyle w:val="Heading3"/>
      </w:pPr>
      <w:r>
        <w:t>2.4 Cost Recovery Through Tax Deductions</w:t>
      </w:r>
    </w:p>
    <w:p>
      <w:r>
        <w:t xml:space="preserve">Unlike Production Sharing Contracts (PSCs) with explicit "cost oil" mechanisms, proprietorial regimes provide cost recovery through </w:t>
      </w:r>
      <w:r>
        <w:rPr>
          <w:b/>
        </w:rPr>
        <w:t>tax code provisions</w:t>
      </w:r>
      <w:r>
        <w:t>:</w:t>
      </w:r>
    </w:p>
    <w:p>
      <w:r>
        <w:rPr>
          <w:b/>
        </w:rPr>
        <w:t>Capital Allowances:</w:t>
      </w:r>
    </w:p>
    <w:p>
      <w:pPr>
        <w:pStyle w:val="ListBullet"/>
      </w:pPr>
      <w:r>
        <w:rPr>
          <w:b/>
        </w:rPr>
        <w:t>Immediate expensing</w:t>
      </w:r>
      <w:r>
        <w:t xml:space="preserve"> (UK historically: 100% First Year Allowances for most qualifying expenditure). Capital allowances serve to stimulate investment by reducing the effective tax burden on capital-intensive projects, offsetting the high nominal tax rates.</w:t>
      </w:r>
    </w:p>
    <w:p>
      <w:pPr>
        <w:pStyle w:val="ListBullet"/>
      </w:pPr>
      <w:r>
        <w:rPr>
          <w:b/>
        </w:rPr>
        <w:t>Accelerated depreciation</w:t>
      </w:r>
      <w:r>
        <w:t xml:space="preserve"> (Norway: 16.67% straight-line over 6 years for most production facilities)</w:t>
      </w:r>
    </w:p>
    <w:p>
      <w:pPr>
        <w:pStyle w:val="ListBullet"/>
      </w:pPr>
      <w:r>
        <w:rPr>
          <w:b/>
        </w:rPr>
        <w:t>Depletion allowances</w:t>
      </w:r>
      <w:r>
        <w:t xml:space="preserve"> (USA: percentage or cost depletion, recognizing resource exhaustion)</w:t>
      </w:r>
    </w:p>
    <w:p>
      <w:pPr>
        <w:pStyle w:val="ListBullet"/>
      </w:pPr>
      <w:r>
        <w:rPr>
          <w:b/>
        </w:rPr>
        <w:t>Decarbonisation Investment Allowance</w:t>
      </w:r>
      <w:r>
        <w:t xml:space="preserve"> (UK: 66% allowance for EPL purposes from November 2024, incentivizing investment in emissions reduction technologies and electrification of offshore installations)</w:t>
      </w:r>
    </w:p>
    <w:p>
      <w:r>
        <w:rPr>
          <w:b/>
        </w:rPr>
        <w:t>Operating Expenditure:</w:t>
      </w:r>
    </w:p>
    <w:p>
      <w:pPr>
        <w:pStyle w:val="ListBullet"/>
      </w:pPr>
      <w:r>
        <w:t>Fully deductible as incurred against taxable income</w:t>
      </w:r>
    </w:p>
    <w:p>
      <w:r>
        <w:rPr>
          <w:b/>
        </w:rPr>
        <w:t>Exploration Costs:</w:t>
      </w:r>
    </w:p>
    <w:p>
      <w:pPr>
        <w:pStyle w:val="ListBullet"/>
      </w:pPr>
      <w:r>
        <w:t>Typically immediately deductible, encouraging exploration activity and risk-taking in frontier areas</w:t>
      </w:r>
    </w:p>
    <w:p>
      <w:pPr>
        <w:pStyle w:val="Heading3"/>
      </w:pPr>
      <w:r>
        <w:t>2.5 Ring-Fencing Provisions</w:t>
      </w:r>
    </w:p>
    <w:p>
      <w:r>
        <w:rPr>
          <w:b/>
        </w:rPr>
        <w:t>Ring-fencing</w:t>
      </w:r>
      <w:r>
        <w:t xml:space="preserve"> prevents extractive industry profits and losses from being offset against other business activities, ensuring petroleum/mining operations are taxed separately.</w:t>
      </w:r>
    </w:p>
    <w:p>
      <w:r>
        <w:rPr>
          <w:b/>
        </w:rPr>
        <w:t>Ring-Fencing Levels:</w:t>
      </w:r>
    </w:p>
    <w:p>
      <w:pPr>
        <w:pStyle w:val="ListNumber"/>
      </w:pPr>
      <w:r>
        <w:rPr>
          <w:b/>
        </w:rPr>
        <w:t>Field-level</w:t>
      </w:r>
      <w:r>
        <w:t>: Each field is a separate tax unit (Norway for post-2005 fields)</w:t>
      </w:r>
    </w:p>
    <w:p>
      <w:pPr>
        <w:pStyle w:val="ListNumber"/>
      </w:pPr>
      <w:r>
        <w:rPr>
          <w:b/>
        </w:rPr>
        <w:t>License-level</w:t>
      </w:r>
      <w:r>
        <w:t>: Losses within license area can offset (UK Continental Shelf)</w:t>
      </w:r>
    </w:p>
    <w:p>
      <w:pPr>
        <w:pStyle w:val="ListNumber"/>
      </w:pPr>
      <w:r>
        <w:rPr>
          <w:b/>
        </w:rPr>
        <w:t>Activity-level</w:t>
      </w:r>
      <w:r>
        <w:t>: All E&amp;P activities pooled but separate from other business (UK, Australia PRRT)</w:t>
      </w:r>
    </w:p>
    <w:p>
      <w:r>
        <w:rPr>
          <w:b/>
        </w:rPr>
        <w:t>Tax Implication:</w:t>
      </w:r>
      <w:r>
        <w:t xml:space="preserve"> Ring-fencing increases effective tax rates by preventing loss relief against non-extractive income.</w:t>
      </w:r>
    </w:p>
    <w:p>
      <w:pPr>
        <w:spacing w:before="120" w:after="120"/>
        <w:pBdr>
          <w:bottom w:val="single" w:sz="6" w:space="1" w:color="auto"/>
        </w:pBdr>
      </w:pPr>
    </w:p>
    <w:p>
      <w:pPr>
        <w:pStyle w:val="Heading2"/>
      </w:pPr>
      <w:r>
        <w:t>3. Analytical Depth: Advantages and Challenges</w:t>
      </w:r>
    </w:p>
    <w:p>
      <w:pPr>
        <w:pStyle w:val="Heading3"/>
      </w:pPr>
      <w:r>
        <w:t>3.1 Advantages for Host Governments</w:t>
      </w:r>
    </w:p>
    <w:p>
      <w:pPr>
        <w:pStyle w:val="ListNumber"/>
      </w:pPr>
      <w:r>
        <w:rPr>
          <w:b/>
        </w:rPr>
        <w:t>Simplicity and Transparency:</w:t>
      </w:r>
      <w:r>
        <w:t xml:space="preserve"> Tax-royalty systems are administratively simpler than PSCs</w:t>
      </w:r>
    </w:p>
    <w:p>
      <w:pPr>
        <w:pStyle w:val="ListNumber"/>
      </w:pPr>
      <w:r>
        <w:rPr>
          <w:b/>
        </w:rPr>
        <w:t>Stable Revenue Stream:</w:t>
      </w:r>
      <w:r>
        <w:t xml:space="preserve"> Royalties provide revenue from day one of production</w:t>
      </w:r>
    </w:p>
    <w:p>
      <w:pPr>
        <w:pStyle w:val="ListNumber"/>
      </w:pPr>
      <w:r>
        <w:rPr>
          <w:b/>
        </w:rPr>
        <w:t>Fiscal Flexibility:</w:t>
      </w:r>
      <w:r>
        <w:t xml:space="preserve"> Tax rates can be adjusted through legislation (subject to stability agreements)</w:t>
      </w:r>
    </w:p>
    <w:p>
      <w:pPr>
        <w:pStyle w:val="ListNumber"/>
      </w:pPr>
      <w:r>
        <w:rPr>
          <w:b/>
        </w:rPr>
        <w:t>Alignment with International Tax Frameworks:</w:t>
      </w:r>
      <w:r>
        <w:t xml:space="preserve"> Compatible with OECD Model Tax Convention and transfer pricing rules</w:t>
      </w:r>
    </w:p>
    <w:p>
      <w:pPr>
        <w:pStyle w:val="Heading3"/>
      </w:pPr>
      <w:r>
        <w:t>3.2 Advantages for Investors</w:t>
      </w:r>
    </w:p>
    <w:p>
      <w:pPr>
        <w:pStyle w:val="ListNumber"/>
      </w:pPr>
      <w:r>
        <w:rPr>
          <w:b/>
        </w:rPr>
        <w:t>Full Resource Ownership:</w:t>
      </w:r>
      <w:r>
        <w:t xml:space="preserve"> Complete control over extracted resources</w:t>
      </w:r>
    </w:p>
    <w:p>
      <w:pPr>
        <w:pStyle w:val="ListNumber"/>
      </w:pPr>
      <w:r>
        <w:rPr>
          <w:b/>
        </w:rPr>
        <w:t>Accounting Clarity:</w:t>
      </w:r>
      <w:r>
        <w:t xml:space="preserve"> Resources booked as company assets under IFRS/GAAP</w:t>
      </w:r>
    </w:p>
    <w:p>
      <w:pPr>
        <w:pStyle w:val="ListNumber"/>
      </w:pPr>
      <w:r>
        <w:rPr>
          <w:b/>
        </w:rPr>
        <w:t>Operational Autonomy:</w:t>
      </w:r>
      <w:r>
        <w:t xml:space="preserve"> Greater control over development decisions</w:t>
      </w:r>
    </w:p>
    <w:p>
      <w:pPr>
        <w:pStyle w:val="ListNumber"/>
      </w:pPr>
      <w:r>
        <w:rPr>
          <w:b/>
        </w:rPr>
        <w:t>Market Flexibility:</w:t>
      </w:r>
      <w:r>
        <w:t xml:space="preserve"> Freedom to optimize sales, hedging, and trading strategies</w:t>
      </w:r>
    </w:p>
    <w:p>
      <w:pPr>
        <w:pStyle w:val="Heading3"/>
      </w:pPr>
      <w:r>
        <w:t>3.3 Challenges and Considerations</w:t>
      </w:r>
    </w:p>
    <w:p>
      <w:pPr>
        <w:pStyle w:val="ListNumber"/>
      </w:pPr>
      <w:r>
        <w:rPr>
          <w:b/>
        </w:rPr>
        <w:t>Fiscal Instability Risk:</w:t>
      </w:r>
      <w:r>
        <w:t xml:space="preserve"> Governments may increase taxes during high-price periods (UK's EPL example)</w:t>
      </w:r>
    </w:p>
    <w:p>
      <w:pPr>
        <w:pStyle w:val="ListNumber"/>
      </w:pPr>
      <w:r>
        <w:rPr>
          <w:b/>
        </w:rPr>
        <w:t>High Effective Tax Rates:</w:t>
      </w:r>
      <w:r>
        <w:t xml:space="preserve"> Combined rates can exceed 75% (UK, Norway)</w:t>
      </w:r>
    </w:p>
    <w:p>
      <w:pPr>
        <w:pStyle w:val="ListNumber"/>
      </w:pPr>
      <w:r>
        <w:rPr>
          <w:b/>
        </w:rPr>
        <w:t>Limited Risk-Sharing:</w:t>
      </w:r>
      <w:r>
        <w:t xml:space="preserve"> Investor bears full downside risk; government captures upside through higher taxes</w:t>
      </w:r>
    </w:p>
    <w:p>
      <w:pPr>
        <w:pStyle w:val="ListNumber"/>
      </w:pPr>
      <w:r>
        <w:rPr>
          <w:b/>
        </w:rPr>
        <w:t>Political Risk:</w:t>
      </w:r>
      <w:r>
        <w:t xml:space="preserve"> Unilateral changes to fiscal terms (requiring stabilization clauses for protection)</w:t>
      </w:r>
    </w:p>
    <w:p>
      <w:pPr>
        <w:spacing w:before="120" w:after="120"/>
        <w:pBdr>
          <w:bottom w:val="single" w:sz="6" w:space="1" w:color="auto"/>
        </w:pBdr>
      </w:pPr>
    </w:p>
    <w:p>
      <w:pPr>
        <w:pStyle w:val="Heading2"/>
      </w:pPr>
      <w:r>
        <w:t>4. Application Methodology: Assessing Proprietorial Regimes</w:t>
      </w:r>
    </w:p>
    <w:p>
      <w:r>
        <w:t>When analyzing a proprietorial regime, apply this framework:</w:t>
      </w:r>
    </w:p>
    <w:p>
      <w:r>
        <w:rPr>
          <w:b/>
        </w:rPr>
        <w:t>Step 1:</w:t>
      </w:r>
      <w:r>
        <w:t xml:space="preserve"> Identify the </w:t>
      </w:r>
      <w:r>
        <w:rPr>
          <w:b/>
        </w:rPr>
        <w:t>ownership transfer point</w:t>
      </w:r>
      <w:r>
        <w:t xml:space="preserve"> (wellhead/pithead)</w:t>
      </w:r>
    </w:p>
    <w:p>
      <w:r>
        <w:rPr>
          <w:b/>
        </w:rPr>
        <w:t>Step 2:</w:t>
      </w:r>
      <w:r>
        <w:t xml:space="preserve"> Map the </w:t>
      </w:r>
      <w:r>
        <w:rPr>
          <w:b/>
        </w:rPr>
        <w:t>fiscal instruments</w:t>
      </w:r>
      <w:r>
        <w:t xml:space="preserve"> (royalty + CIT + supplementary taxes)</w:t>
      </w:r>
    </w:p>
    <w:p>
      <w:r>
        <w:rPr>
          <w:b/>
        </w:rPr>
        <w:t>Step 3:</w:t>
      </w:r>
      <w:r>
        <w:t xml:space="preserve"> Determine </w:t>
      </w:r>
      <w:r>
        <w:rPr>
          <w:b/>
        </w:rPr>
        <w:t>ring-fencing level</w:t>
      </w:r>
      <w:r>
        <w:t xml:space="preserve"> and loss utilization rules</w:t>
      </w:r>
    </w:p>
    <w:p>
      <w:r>
        <w:rPr>
          <w:b/>
        </w:rPr>
        <w:t>Step 4:</w:t>
      </w:r>
      <w:r>
        <w:t xml:space="preserve"> Calculate </w:t>
      </w:r>
      <w:r>
        <w:rPr>
          <w:b/>
        </w:rPr>
        <w:t>combined marginal tax rate</w:t>
      </w:r>
    </w:p>
    <w:p>
      <w:r>
        <w:rPr>
          <w:b/>
        </w:rPr>
        <w:t>Step 5:</w:t>
      </w:r>
      <w:r>
        <w:t xml:space="preserve"> Assess </w:t>
      </w:r>
      <w:r>
        <w:rPr>
          <w:b/>
        </w:rPr>
        <w:t>capital allowance provisions</w:t>
      </w:r>
      <w:r>
        <w:t xml:space="preserve"> and their impact on effective tax rate</w:t>
      </w:r>
    </w:p>
    <w:p>
      <w:r>
        <w:rPr>
          <w:b/>
        </w:rPr>
        <w:t>Step 6:</w:t>
      </w:r>
      <w:r>
        <w:t xml:space="preserve"> Evaluate </w:t>
      </w:r>
      <w:r>
        <w:rPr>
          <w:b/>
        </w:rPr>
        <w:t>fiscal stability mechanisms</w:t>
      </w:r>
      <w:r>
        <w:t xml:space="preserve"> (if any)</w:t>
      </w:r>
    </w:p>
    <w:p>
      <w:pPr>
        <w:spacing w:before="120" w:after="120"/>
        <w:pBdr>
          <w:bottom w:val="single" w:sz="6" w:space="1" w:color="auto"/>
        </w:pBdr>
      </w:pPr>
    </w:p>
    <w:p>
      <w:pPr>
        <w:pStyle w:val="Heading2"/>
      </w:pPr>
      <w:r>
        <w:t>5. Worked Example: UK North Sea Proprietorial Regime</w:t>
      </w:r>
    </w:p>
    <w:p>
      <w:r>
        <w:t>═══════════════════════════════════════════</w:t>
      </w:r>
    </w:p>
    <w:p>
      <w:r>
        <w:rPr>
          <w:b/>
        </w:rPr>
        <w:t>WORKED EXAMPLE 1: UK Concession Tax Calculation</w:t>
      </w:r>
    </w:p>
    <w:p>
      <w:r>
        <w:t>═══════════════════════════════════════════</w:t>
      </w:r>
    </w:p>
    <w:p>
      <w:r>
        <w:rPr>
          <w:b/>
        </w:rPr>
        <w:t>Facts:</w:t>
      </w:r>
    </w:p>
    <w:p>
      <w:r>
        <w:t>NorthSea Energy Ltd operates a UK Continental Shelf field under a proprietorial license. Year 1 (2025) financials: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 Million</w:t>
            </w:r>
          </w:p>
        </w:tc>
      </w:tr>
      <w:tr>
        <w:tc>
          <w:tcPr>
            <w:tcW w:type="dxa" w:w="4320"/>
          </w:tcPr>
          <w:p>
            <w:r/>
            <w:r>
              <w:t>Gross production revenue</w:t>
            </w:r>
          </w:p>
        </w:tc>
        <w:tc>
          <w:tcPr>
            <w:tcW w:type="dxa" w:w="4320"/>
          </w:tcPr>
          <w:p>
            <w:r/>
            <w:r>
              <w:t>100</w:t>
            </w:r>
          </w:p>
        </w:tc>
      </w:tr>
      <w:tr>
        <w:tc>
          <w:tcPr>
            <w:tcW w:type="dxa" w:w="4320"/>
          </w:tcPr>
          <w:p>
            <w:r/>
            <w:r>
              <w:t>Operating expenditure</w:t>
            </w:r>
          </w:p>
        </w:tc>
        <w:tc>
          <w:tcPr>
            <w:tcW w:type="dxa" w:w="4320"/>
          </w:tcPr>
          <w:p>
            <w:r/>
            <w:r>
              <w:t>(30)</w:t>
            </w:r>
          </w:p>
        </w:tc>
      </w:tr>
      <w:tr>
        <w:tc>
          <w:tcPr>
            <w:tcW w:type="dxa" w:w="4320"/>
          </w:tcPr>
          <w:p>
            <w:r/>
            <w:r>
              <w:t>Capital expenditure (qualifying)</w:t>
            </w:r>
          </w:p>
        </w:tc>
        <w:tc>
          <w:tcPr>
            <w:tcW w:type="dxa" w:w="4320"/>
          </w:tcPr>
          <w:p>
            <w:r/>
            <w:r>
              <w:t>(40)</w:t>
            </w:r>
          </w:p>
        </w:tc>
      </w:tr>
      <w:tr>
        <w:tc>
          <w:tcPr>
            <w:tcW w:type="dxa" w:w="4320"/>
          </w:tcPr>
          <w:p>
            <w:r/>
            <w:r>
              <w:t>Accounting depreciation</w:t>
            </w:r>
          </w:p>
        </w:tc>
        <w:tc>
          <w:tcPr>
            <w:tcW w:type="dxa" w:w="4320"/>
          </w:tcPr>
          <w:p>
            <w:r/>
            <w:r>
              <w:t>(10)</w:t>
            </w:r>
          </w:p>
        </w:tc>
      </w:tr>
      <w:tr>
        <w:tc>
          <w:tcPr>
            <w:tcW w:type="dxa" w:w="4320"/>
          </w:tcPr>
          <w:p>
            <w:r/>
            <w:r>
              <w:t>Financing costs</w:t>
            </w:r>
          </w:p>
        </w:tc>
        <w:tc>
          <w:tcPr>
            <w:tcW w:type="dxa" w:w="4320"/>
          </w:tcPr>
          <w:p>
            <w:r/>
            <w:r>
              <w:t>(5)</w:t>
            </w:r>
          </w:p>
        </w:tc>
      </w:tr>
    </w:tbl>
    <w:p/>
    <w:p>
      <w:r>
        <w:rPr>
          <w:b/>
        </w:rPr>
        <w:t>Required:</w:t>
      </w:r>
    </w:p>
    <w:p>
      <w:r>
        <w:t>Calculate the total UK petroleum tax liability under the proprietorial regime.</w:t>
      </w:r>
    </w:p>
    <w:p>
      <w:r>
        <w:rPr>
          <w:b/>
        </w:rPr>
        <w:t>Analysis:</w:t>
      </w:r>
    </w:p>
    <w:p>
      <w:r>
        <w:t xml:space="preserve">The UK operates a </w:t>
      </w:r>
      <w:r>
        <w:rPr>
          <w:b/>
        </w:rPr>
        <w:t>three-tier proprietorial tax system</w:t>
      </w:r>
      <w:r>
        <w:t>: Ring Fence Corporation Tax (30%), Supplementary Charge (10%), and Energy Profits Levy (38% from November 2024).</w:t>
      </w:r>
    </w:p>
    <w:p>
      <w:r>
        <w:rPr>
          <w:b/>
        </w:rPr>
        <w:t>Calculation:</w:t>
      </w:r>
    </w:p>
    <w:p>
      <w:r>
        <w:rPr>
          <w:b/>
        </w:rPr>
        <w:t>Step 1: Ring Fence Corporation Tax (30%)</w:t>
      </w:r>
    </w:p>
    <w:p>
      <w:pPr>
        <w:shd w:fill="F0F0F0"/>
        <w:spacing w:after="0" w:line="240" w:lineRule="auto"/>
      </w:pPr>
      <w:r>
        <w:rPr>
          <w:rFonts w:ascii="Courier New" w:hAnsi="Courier New"/>
          <w:sz w:val="20"/>
        </w:rPr>
        <w:t>Accounting profit = Revenue - Opex - Depreciation - Financing costs</w:t>
      </w:r>
    </w:p>
    <w:p>
      <w:pPr>
        <w:shd w:fill="F0F0F0"/>
        <w:spacing w:after="0" w:line="240" w:lineRule="auto"/>
      </w:pPr>
      <w:r>
        <w:rPr>
          <w:rFonts w:ascii="Courier New" w:hAnsi="Courier New"/>
          <w:sz w:val="20"/>
        </w:rPr>
        <w:t>Accounting profit = 100 - 30 - 10 - 5 = £55M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Tax adjustments:</w:t>
      </w:r>
    </w:p>
    <w:p>
      <w:pPr>
        <w:shd w:fill="F0F0F0"/>
        <w:spacing w:after="0" w:line="240" w:lineRule="auto"/>
      </w:pPr>
      <w:r>
        <w:rPr>
          <w:rFonts w:ascii="Courier New" w:hAnsi="Courier New"/>
          <w:sz w:val="20"/>
        </w:rPr>
        <w:t>Add back: Depreciation                              £10M</w:t>
      </w:r>
    </w:p>
    <w:p>
      <w:pPr>
        <w:shd w:fill="F0F0F0"/>
        <w:spacing w:after="0" w:line="240" w:lineRule="auto"/>
      </w:pPr>
      <w:r>
        <w:rPr>
          <w:rFonts w:ascii="Courier New" w:hAnsi="Courier New"/>
          <w:sz w:val="20"/>
        </w:rPr>
        <w:t>Less: Capital allowance (100% FYA)                 (£40M)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RF CT taxable profit                                £25M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RF CT @ 30% = £25M × 30% = £7.5M</w:t>
      </w:r>
    </w:p>
    <w:p/>
    <w:p>
      <w:r>
        <w:rPr>
          <w:b/>
        </w:rPr>
        <w:t>Step 2: Supplementary Charge (10%)</w:t>
      </w:r>
    </w:p>
    <w:p>
      <w:pPr>
        <w:shd w:fill="F0F0F0"/>
        <w:spacing w:after="0" w:line="240" w:lineRule="auto"/>
      </w:pPr>
      <w:r>
        <w:rPr>
          <w:rFonts w:ascii="Courier New" w:hAnsi="Courier New"/>
          <w:sz w:val="20"/>
        </w:rPr>
        <w:t>RF CT taxable profit                                £25M</w:t>
      </w:r>
    </w:p>
    <w:p>
      <w:pPr>
        <w:shd w:fill="F0F0F0"/>
        <w:spacing w:after="0" w:line="240" w:lineRule="auto"/>
      </w:pPr>
      <w:r>
        <w:rPr>
          <w:rFonts w:ascii="Courier New" w:hAnsi="Courier New"/>
          <w:sz w:val="20"/>
        </w:rPr>
        <w:t>Add back: Financing costs (not deductible for SC)   £5M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Adjusted profit                                     £30M</w:t>
      </w:r>
    </w:p>
    <w:p>
      <w:pPr>
        <w:shd w:fill="F0F0F0"/>
        <w:spacing w:after="0" w:line="240" w:lineRule="auto"/>
      </w:pPr>
      <w:r>
        <w:rPr>
          <w:rFonts w:ascii="Courier New" w:hAnsi="Courier New"/>
          <w:sz w:val="20"/>
        </w:rPr>
        <w:t>Less: Investment allowance (80% × £40M)            (£32M)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SC taxable profit                                    £0M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SC @ 10% = £0M × 10% = £0M</w:t>
      </w:r>
    </w:p>
    <w:p/>
    <w:p>
      <w:r>
        <w:rPr>
          <w:i/>
        </w:rPr>
        <w:t>(Investment allowance exceeds adjusted profit, reducing SC to nil)</w:t>
      </w:r>
    </w:p>
    <w:p>
      <w:r>
        <w:rPr>
          <w:b/>
        </w:rPr>
        <w:t>Step 3: Energy Profits Levy (38%)</w:t>
      </w:r>
    </w:p>
    <w:p>
      <w:pPr>
        <w:shd w:fill="F0F0F0"/>
        <w:spacing w:after="0" w:line="240" w:lineRule="auto"/>
      </w:pPr>
      <w:r>
        <w:rPr>
          <w:rFonts w:ascii="Courier New" w:hAnsi="Courier New"/>
          <w:sz w:val="20"/>
        </w:rPr>
        <w:t>Adjusted profit                                     £30M</w:t>
      </w:r>
    </w:p>
    <w:p>
      <w:pPr>
        <w:shd w:fill="F0F0F0"/>
        <w:spacing w:after="0" w:line="240" w:lineRule="auto"/>
      </w:pPr>
      <w:r>
        <w:rPr>
          <w:rFonts w:ascii="Courier New" w:hAnsi="Courier New"/>
          <w:sz w:val="20"/>
        </w:rPr>
        <w:t>Less: Decarbonisation allowance (assumes nil for</w:t>
      </w:r>
    </w:p>
    <w:p>
      <w:pPr>
        <w:shd w:fill="F0F0F0"/>
        <w:spacing w:after="0" w:line="240" w:lineRule="auto"/>
      </w:pPr>
      <w:r>
        <w:rPr>
          <w:rFonts w:ascii="Courier New" w:hAnsi="Courier New"/>
          <w:sz w:val="20"/>
        </w:rPr>
        <w:t xml:space="preserve">      standard production capex)                     £0M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EPL taxable profit                                  £30M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EPL @ 38% = £30M × 38% = £11.4M</w:t>
      </w:r>
    </w:p>
    <w:p/>
    <w:p>
      <w:r>
        <w:rPr>
          <w:i/>
        </w:rPr>
        <w:t>Note: From November 2024, the general EPL investment allowance was removed. Only the Decarbonisation Investment Allowance (66%) remains, applicable specifically to qualifying emissions reduction expenditure.</w:t>
      </w:r>
    </w:p>
    <w:p>
      <w:r>
        <w:rPr>
          <w:b/>
        </w:rPr>
        <w:t>Total Tax Liability:</w:t>
      </w:r>
    </w:p>
    <w:p>
      <w:pPr>
        <w:shd w:fill="F0F0F0"/>
        <w:spacing w:after="0" w:line="240" w:lineRule="auto"/>
      </w:pPr>
      <w:r>
        <w:rPr>
          <w:rFonts w:ascii="Courier New" w:hAnsi="Courier New"/>
          <w:sz w:val="20"/>
        </w:rPr>
        <w:t>Ring Fence CT:          £7.5M</w:t>
      </w:r>
    </w:p>
    <w:p>
      <w:pPr>
        <w:shd w:fill="F0F0F0"/>
        <w:spacing w:after="0" w:line="240" w:lineRule="auto"/>
      </w:pPr>
      <w:r>
        <w:rPr>
          <w:rFonts w:ascii="Courier New" w:hAnsi="Courier New"/>
          <w:sz w:val="20"/>
        </w:rPr>
        <w:t>Supplementary Charge:   £0.0M</w:t>
      </w:r>
    </w:p>
    <w:p>
      <w:pPr>
        <w:shd w:fill="F0F0F0"/>
        <w:spacing w:after="0" w:line="240" w:lineRule="auto"/>
      </w:pPr>
      <w:r>
        <w:rPr>
          <w:rFonts w:ascii="Courier New" w:hAnsi="Courier New"/>
          <w:sz w:val="20"/>
        </w:rPr>
        <w:t>Energy Profits Levy:   £11.4M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Total tax:             £18.9M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Effective tax rate: £18.9M / £55M = 34.4%</w:t>
      </w:r>
    </w:p>
    <w:p/>
    <w:p>
      <w:r>
        <w:rPr>
          <w:b/>
        </w:rPr>
        <w:t>Conclusion:</w:t>
      </w:r>
    </w:p>
    <w:p>
      <w:r>
        <w:t xml:space="preserve">Despite the headline combined rate of </w:t>
      </w:r>
      <w:r>
        <w:rPr>
          <w:b/>
        </w:rPr>
        <w:t>78%</w:t>
      </w:r>
      <w:r>
        <w:t xml:space="preserve">, the effective rate is </w:t>
      </w:r>
      <w:r>
        <w:rPr>
          <w:b/>
        </w:rPr>
        <w:t>34.4%</w:t>
      </w:r>
      <w:r>
        <w:t xml:space="preserve"> in this example. The £40M capital expenditure generates:</w:t>
      </w:r>
    </w:p>
    <w:p>
      <w:pPr>
        <w:pStyle w:val="ListBullet"/>
      </w:pPr>
      <w:r>
        <w:t>£40M RF CT deduction (tax value: £12M)</w:t>
      </w:r>
    </w:p>
    <w:p>
      <w:pPr>
        <w:pStyle w:val="ListBullet"/>
      </w:pPr>
      <w:r>
        <w:t>£32M SC allowance (tax value: £3.2M)</w:t>
      </w:r>
    </w:p>
    <w:p>
      <w:pPr>
        <w:pStyle w:val="ListBullet"/>
      </w:pPr>
      <w:r>
        <w:t>£0M EPL allowance for standard capex (only decarbonisation expenditure qualifies)</w:t>
      </w:r>
    </w:p>
    <w:p>
      <w:pPr>
        <w:pStyle w:val="ListBullet"/>
      </w:pPr>
      <w:r>
        <w:rPr>
          <w:b/>
        </w:rPr>
        <w:t>Total tax relief: £15.2M (38% of capex)</w:t>
      </w:r>
    </w:p>
    <w:p>
      <w:r>
        <w:t>The November 2024 removal of the general EPL investment allowance significantly increased the effective tax rate on new investment. This demonstrates how proprietorial regimes balance high nominal tax rates with capital allowances, though recent UK policy changes have reduced investment incentives to capture more revenue from elevated commodity prices.</w:t>
      </w:r>
    </w:p>
    <w:p>
      <w:r>
        <w:t>═══════════════════════════════════════════</w:t>
      </w:r>
    </w:p>
    <w:p>
      <w:pPr>
        <w:spacing w:before="120" w:after="120"/>
        <w:pBdr>
          <w:bottom w:val="single" w:sz="6" w:space="1" w:color="auto"/>
        </w:pBdr>
      </w:pPr>
    </w:p>
    <w:p>
      <w:pPr>
        <w:pStyle w:val="Heading2"/>
      </w:pPr>
      <w:r>
        <w:t>6. Cross-Border and Treaty Considerations</w:t>
      </w:r>
    </w:p>
    <w:p>
      <w:pPr>
        <w:pStyle w:val="Heading3"/>
      </w:pPr>
      <w:r>
        <w:t>6.1 Permanent Establishment</w:t>
      </w:r>
    </w:p>
    <w:p>
      <w:r>
        <w:t xml:space="preserve">Under proprietorial regimes, the </w:t>
      </w:r>
      <w:r>
        <w:rPr>
          <w:b/>
        </w:rPr>
        <w:t>license area itself</w:t>
      </w:r>
      <w:r>
        <w:t xml:space="preserve"> typically creates a </w:t>
      </w:r>
      <w:r>
        <w:rPr>
          <w:b/>
        </w:rPr>
        <w:t>permanent establishment (PE)</w:t>
      </w:r>
      <w:r>
        <w:t xml:space="preserve"> under Article 5 OECD Model Tax Convention, subjecting profits to source country taxation.</w:t>
      </w:r>
    </w:p>
    <w:p>
      <w:pPr>
        <w:pStyle w:val="Heading3"/>
      </w:pPr>
      <w:r>
        <w:t>6.2 Withholding Taxes</w:t>
      </w:r>
    </w:p>
    <w:p>
      <w:r>
        <w:t>Proprietorial regimes typically apply domestic withholding taxes on cross-border payments:</w:t>
      </w:r>
    </w:p>
    <w:p>
      <w:pPr>
        <w:pStyle w:val="ListBullet"/>
      </w:pPr>
      <w:r>
        <w:rPr>
          <w:b/>
        </w:rPr>
        <w:t>Dividends</w:t>
      </w:r>
      <w:r>
        <w:t>: 25% (often reduced by treaty to 0-15%)</w:t>
      </w:r>
    </w:p>
    <w:p>
      <w:pPr>
        <w:pStyle w:val="ListBullet"/>
      </w:pPr>
      <w:r>
        <w:rPr>
          <w:b/>
        </w:rPr>
        <w:t>Interest</w:t>
      </w:r>
      <w:r>
        <w:t>: 0-20% (treaty relief commonly available)</w:t>
      </w:r>
    </w:p>
    <w:p>
      <w:pPr>
        <w:pStyle w:val="ListBullet"/>
      </w:pPr>
      <w:r>
        <w:rPr>
          <w:b/>
        </w:rPr>
        <w:t>Royalties</w:t>
      </w:r>
      <w:r>
        <w:t xml:space="preserve"> (for technology/IP): 20% (treaties reduce to 0-10%)</w:t>
      </w:r>
    </w:p>
    <w:p>
      <w:pPr>
        <w:pStyle w:val="Heading3"/>
      </w:pPr>
      <w:r>
        <w:t>6.3 Transfer Pricing</w:t>
      </w:r>
    </w:p>
    <w:p>
      <w:r>
        <w:t>Full OECD transfer pricing rules apply to proprietorial regimes, requiring arm's length pricing for:</w:t>
      </w:r>
    </w:p>
    <w:p>
      <w:pPr>
        <w:pStyle w:val="ListBullet"/>
      </w:pPr>
      <w:r>
        <w:t>Crude oil sales to related parties</w:t>
      </w:r>
    </w:p>
    <w:p>
      <w:pPr>
        <w:pStyle w:val="ListBullet"/>
      </w:pPr>
      <w:r>
        <w:t>Intercompany services</w:t>
      </w:r>
    </w:p>
    <w:p>
      <w:pPr>
        <w:pStyle w:val="ListBullet"/>
      </w:pPr>
      <w:r>
        <w:t>Use of intellectual property</w:t>
      </w:r>
    </w:p>
    <w:p>
      <w:pPr>
        <w:pStyle w:val="ListBullet"/>
      </w:pPr>
      <w:r>
        <w:t>Financing arrangements</w:t>
      </w:r>
    </w:p>
    <w:p>
      <w:pPr>
        <w:spacing w:before="120" w:after="120"/>
        <w:pBdr>
          <w:bottom w:val="single" w:sz="6" w:space="1" w:color="auto"/>
        </w:pBdr>
      </w:pPr>
    </w:p>
    <w:p>
      <w:pPr>
        <w:pStyle w:val="Heading2"/>
      </w:pPr>
      <w:r>
        <w:t>7. Integration with International Agreements</w:t>
      </w:r>
    </w:p>
    <w:p>
      <w:r>
        <w:t>Proprietorial regimes interact with:</w:t>
      </w:r>
    </w:p>
    <w:p>
      <w:r>
        <w:rPr>
          <w:b/>
        </w:rPr>
        <w:t>Bilateral Investment Treaties (BITs):</w:t>
      </w:r>
      <w:r>
        <w:t xml:space="preserve"> Protecting investor rights, providing stabilization and arbitration mechanisms (ICSID, ICC)</w:t>
      </w:r>
    </w:p>
    <w:p>
      <w:r>
        <w:rPr>
          <w:b/>
        </w:rPr>
        <w:t>Tax Treaties:</w:t>
      </w:r>
      <w:r>
        <w:t xml:space="preserve"> Allocating taxing rights, preventing double taxation, providing reduced withholding rates</w:t>
      </w:r>
    </w:p>
    <w:p>
      <w:r>
        <w:rPr>
          <w:b/>
        </w:rPr>
        <w:t>Stabilization Clauses:</w:t>
      </w:r>
      <w:r>
        <w:t xml:space="preserve"> Freezing fiscal terms at contract signature (common in developing countries; less common in OECD jurisdictions like UK/Norway where legislative changes prevail)</w:t>
      </w:r>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