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Definition and characteristics Non-proprietorial regime</w:t>
      </w:r>
    </w:p>
    <w:p>
      <w:pPr>
        <w:pStyle w:val="Heading1"/>
      </w:pPr>
      <w:r>
        <w:t>Definition and Characteristics: Non-Proprietorial Regime</w:t>
      </w:r>
    </w:p>
    <w:p>
      <w:pPr>
        <w:spacing w:before="120" w:after="120"/>
        <w:pBdr>
          <w:bottom w:val="single" w:sz="6" w:space="1" w:color="auto"/>
        </w:pBdr>
      </w:pPr>
    </w:p>
    <w:p>
      <w:pPr>
        <w:pStyle w:val="Heading2"/>
      </w:pPr>
      <w:r>
        <w:t>1. Core Framework and Legal Foundation</w:t>
      </w:r>
    </w:p>
    <w:p>
      <w:pPr>
        <w:pStyle w:val="Heading3"/>
      </w:pPr>
      <w:r>
        <w:t>1.1 Definition of Non-Proprietorial Regime</w:t>
      </w:r>
    </w:p>
    <w:p>
      <w:r>
        <w:t xml:space="preserve">A </w:t>
      </w:r>
      <w:r>
        <w:rPr>
          <w:b/>
        </w:rPr>
        <w:t>non-proprietorial regime</w:t>
      </w:r>
      <w:r>
        <w:t xml:space="preserve"> (commonly structured as a </w:t>
      </w:r>
      <w:r>
        <w:rPr>
          <w:b/>
        </w:rPr>
        <w:t>Production Sharing Contract (PSC)</w:t>
      </w:r>
      <w:r>
        <w:t xml:space="preserve"> or </w:t>
      </w:r>
      <w:r>
        <w:rPr>
          <w:b/>
        </w:rPr>
        <w:t>Production Sharing Agreement (PSA)</w:t>
      </w:r>
      <w:r>
        <w:t xml:space="preserve">) is a contractual framework through which a sovereign state grants an investor the right to explore for and extract natural resources while </w:t>
      </w:r>
      <w:r>
        <w:rPr>
          <w:b/>
        </w:rPr>
        <w:t>the state retains legal ownership of resources throughout the entire process</w:t>
      </w:r>
      <w:r>
        <w:t>, including after extraction [IMF, 2012].</w:t>
      </w:r>
    </w:p>
    <w:p>
      <w:r>
        <w:t xml:space="preserve">The fundamental characteristic distinguishing non-proprietorial regimes from proprietorial systems is </w:t>
      </w:r>
      <w:r>
        <w:rPr>
          <w:b/>
        </w:rPr>
        <w:t>continuous state ownership</w:t>
      </w:r>
      <w:r>
        <w:t>. Under a non-proprietorial regime, the investor never acquires legal ownership of petroleum or minerals. Instead, the contractor receives:</w:t>
      </w:r>
    </w:p>
    <w:p>
      <w:pPr>
        <w:pStyle w:val="ListNumber"/>
      </w:pPr>
      <w:r>
        <w:t xml:space="preserve">A </w:t>
      </w:r>
      <w:r>
        <w:rPr>
          <w:b/>
        </w:rPr>
        <w:t>contractual right</w:t>
      </w:r>
      <w:r>
        <w:t xml:space="preserve"> to recover costs from production ("cost oil/gas")</w:t>
      </w:r>
    </w:p>
    <w:p>
      <w:pPr>
        <w:pStyle w:val="ListNumber"/>
      </w:pPr>
      <w:r>
        <w:t xml:space="preserve">A </w:t>
      </w:r>
      <w:r>
        <w:rPr>
          <w:b/>
        </w:rPr>
        <w:t>contractual share</w:t>
      </w:r>
      <w:r>
        <w:t xml:space="preserve"> of remaining production ("profit oil/gas")</w:t>
      </w:r>
    </w:p>
    <w:p>
      <w:pPr>
        <w:pStyle w:val="ListNumber"/>
      </w:pPr>
      <w:r>
        <w:rPr>
          <w:b/>
        </w:rPr>
        <w:t>Title to its allocated share</w:t>
      </w:r>
      <w:r>
        <w:t xml:space="preserve"> only at the </w:t>
      </w:r>
      <w:r>
        <w:rPr>
          <w:b/>
        </w:rPr>
        <w:t>delivery point</w:t>
      </w:r>
      <w:r>
        <w:t xml:space="preserve"> (not at the wellhead)</w:t>
      </w:r>
    </w:p>
    <w:p>
      <w:r>
        <w:rPr>
          <w:b/>
        </w:rPr>
        <w:t>Key Legal Principle:</w:t>
      </w:r>
      <w:r>
        <w:t xml:space="preserve"> The state retains </w:t>
      </w:r>
      <w:r>
        <w:rPr>
          <w:b/>
        </w:rPr>
        <w:t>permanent legal ownership</w:t>
      </w:r>
      <w:r>
        <w:t xml:space="preserve"> of hydrocarbons </w:t>
      </w:r>
      <w:r>
        <w:rPr>
          <w:i/>
        </w:rPr>
        <w:t>in situ</w:t>
      </w:r>
      <w:r>
        <w:t xml:space="preserve"> and after extraction; the contractor receives </w:t>
      </w:r>
      <w:r>
        <w:rPr>
          <w:b/>
        </w:rPr>
        <w:t>economic entitlement</w:t>
      </w:r>
      <w:r>
        <w:t xml:space="preserve"> to a specified share of production, but ownership transfers only at the point of sale or export [Bindemann, 1999].</w:t>
      </w:r>
    </w:p>
    <w:p>
      <w:pPr>
        <w:pStyle w:val="Heading3"/>
      </w:pPr>
      <w:r>
        <w:t>1.2 Statutory and Constitutional Basis</w:t>
      </w:r>
    </w:p>
    <w:p>
      <w:r>
        <w:t>Non-proprietorial regimes are typically founded on:</w:t>
      </w:r>
    </w:p>
    <w:p>
      <w:pPr>
        <w:pStyle w:val="ListBullet"/>
      </w:pPr>
      <w:r>
        <w:rPr>
          <w:b/>
        </w:rPr>
        <w:t>Constitutional provisions</w:t>
      </w:r>
      <w:r>
        <w:t xml:space="preserve"> vesting subsurface resources permanently in the state (e.g., Article 27 Mexican Constitution, Article 111 Indonesian Constitution)</w:t>
      </w:r>
    </w:p>
    <w:p>
      <w:pPr>
        <w:pStyle w:val="ListBullet"/>
      </w:pPr>
      <w:r>
        <w:rPr>
          <w:b/>
        </w:rPr>
        <w:t>Petroleum Laws</w:t>
      </w:r>
      <w:r>
        <w:t xml:space="preserve"> asserting state ownership and authorizing PSC execution</w:t>
      </w:r>
    </w:p>
    <w:p>
      <w:pPr>
        <w:pStyle w:val="ListBullet"/>
      </w:pPr>
      <w:r>
        <w:rPr>
          <w:b/>
        </w:rPr>
        <w:t>Model PSC Templates</w:t>
      </w:r>
      <w:r>
        <w:t xml:space="preserve"> issued by governments defining standard fiscal terms</w:t>
      </w:r>
    </w:p>
    <w:p>
      <w:pPr>
        <w:pStyle w:val="ListBullet"/>
      </w:pPr>
      <w:r>
        <w:rPr>
          <w:b/>
        </w:rPr>
        <w:t>Bilateral Contracts</w:t>
      </w:r>
      <w:r>
        <w:t xml:space="preserve"> between state/national oil company (NOC) and international oil company (IOC)</w:t>
      </w:r>
    </w:p>
    <w:p>
      <w:r>
        <w:rPr>
          <w:b/>
        </w:rPr>
        <w:t>Example Jurisdictions:</w:t>
      </w:r>
    </w:p>
    <w:p>
      <w:pPr>
        <w:pStyle w:val="ListBullet"/>
      </w:pPr>
      <w:r>
        <w:rPr>
          <w:b/>
        </w:rPr>
        <w:t>Indonesia</w:t>
      </w:r>
      <w:r>
        <w:t>: Oil &amp; Gas Law No. 22/2001 (PSC framework)</w:t>
      </w:r>
    </w:p>
    <w:p>
      <w:pPr>
        <w:pStyle w:val="ListBullet"/>
      </w:pPr>
      <w:r>
        <w:rPr>
          <w:b/>
        </w:rPr>
        <w:t>Malaysia</w:t>
      </w:r>
      <w:r>
        <w:t>: Petroleum Development Act 1974 (Petronas as exclusive PSC counterparty)</w:t>
      </w:r>
    </w:p>
    <w:p>
      <w:pPr>
        <w:pStyle w:val="ListBullet"/>
      </w:pPr>
      <w:r>
        <w:rPr>
          <w:b/>
        </w:rPr>
        <w:t>Angola</w:t>
      </w:r>
      <w:r>
        <w:t>: Presidential Decree 52/19 (Revised PSC Model 2019)</w:t>
      </w:r>
    </w:p>
    <w:p>
      <w:pPr>
        <w:pStyle w:val="ListBullet"/>
      </w:pPr>
      <w:r>
        <w:rPr>
          <w:b/>
        </w:rPr>
        <w:t>Iraq</w:t>
      </w:r>
      <w:r>
        <w:t>: Model PSC 2018 (Development and Production Service Contracts)</w:t>
      </w:r>
    </w:p>
    <w:p>
      <w:pPr>
        <w:pStyle w:val="ListBullet"/>
      </w:pPr>
      <w:r>
        <w:rPr>
          <w:b/>
        </w:rPr>
        <w:t>Egypt</w:t>
      </w:r>
      <w:r>
        <w:t>: Petroleum Law and Model PSC</w:t>
      </w:r>
    </w:p>
    <w:p>
      <w:pPr>
        <w:pStyle w:val="ListBullet"/>
      </w:pPr>
      <w:r>
        <w:rPr>
          <w:b/>
        </w:rPr>
        <w:t>Trinidad &amp; Tobago</w:t>
      </w:r>
      <w:r>
        <w:t>: Petroleum Act with PSC terms</w:t>
      </w:r>
    </w:p>
    <w:p>
      <w:r>
        <w:t xml:space="preserve">The </w:t>
      </w:r>
      <w:r>
        <w:rPr>
          <w:b/>
        </w:rPr>
        <w:t>principle of permanent sovereignty over natural resources</w:t>
      </w:r>
      <w:r>
        <w:t xml:space="preserve"> is exercised through state </w:t>
      </w:r>
      <w:r>
        <w:rPr>
          <w:b/>
        </w:rPr>
        <w:t>ownership retention</w:t>
      </w:r>
      <w:r>
        <w:t xml:space="preserve"> rather than through granting proprietary rights to investors.</w:t>
      </w:r>
    </w:p>
    <w:p>
      <w:pPr>
        <w:spacing w:before="120" w:after="120"/>
        <w:pBdr>
          <w:bottom w:val="single" w:sz="6" w:space="1" w:color="auto"/>
        </w:pBdr>
      </w:pPr>
    </w:p>
    <w:p>
      <w:pPr>
        <w:pStyle w:val="Heading2"/>
      </w:pPr>
      <w:r>
        <w:t>2. Essential Characteristics of Non-Proprietorial Regimes</w:t>
      </w:r>
    </w:p>
    <w:p>
      <w:pPr>
        <w:pStyle w:val="Heading3"/>
      </w:pPr>
      <w:r>
        <w:t>2.1 Continuous State Ownership</w:t>
      </w:r>
    </w:p>
    <w:p>
      <w:r>
        <w:rPr>
          <w:b/>
        </w:rPr>
        <w:t>Defining Feature:</w:t>
      </w:r>
      <w:r>
        <w:t xml:space="preserve"> Resource ownership </w:t>
      </w:r>
      <w:r>
        <w:rPr>
          <w:b/>
        </w:rPr>
        <w:t>never transfers</w:t>
      </w:r>
      <w:r>
        <w:t xml:space="preserve"> to the investor. The state owns petroleum/minerals </w:t>
      </w:r>
      <w:r>
        <w:rPr>
          <w:i/>
        </w:rPr>
        <w:t>in situ</w:t>
      </w:r>
      <w:r>
        <w:t>, during extraction, and post-extraction until the investor's share is delivered.</w:t>
      </w:r>
    </w:p>
    <w:p>
      <w:r>
        <w:rPr>
          <w:b/>
        </w:rPr>
        <w:t>Legal Implications:</w:t>
      </w:r>
    </w:p>
    <w:p>
      <w:pPr>
        <w:pStyle w:val="ListBullet"/>
      </w:pPr>
      <w:r>
        <w:t xml:space="preserve">The contractor has </w:t>
      </w:r>
      <w:r>
        <w:rPr>
          <w:b/>
        </w:rPr>
        <w:t>no legal title</w:t>
      </w:r>
      <w:r>
        <w:t xml:space="preserve"> to extracted resources (only contractual entitlement)</w:t>
      </w:r>
    </w:p>
    <w:p>
      <w:pPr>
        <w:pStyle w:val="ListBullet"/>
      </w:pPr>
      <w:r>
        <w:t xml:space="preserve">The state (or NOC) retains </w:t>
      </w:r>
      <w:r>
        <w:rPr>
          <w:b/>
        </w:rPr>
        <w:t>ultimate control</w:t>
      </w:r>
      <w:r>
        <w:t xml:space="preserve"> over resource disposition</w:t>
      </w:r>
    </w:p>
    <w:p>
      <w:pPr>
        <w:pStyle w:val="ListBullet"/>
      </w:pPr>
      <w:r>
        <w:t xml:space="preserve">The contractor's share constitutes </w:t>
      </w:r>
      <w:r>
        <w:rPr>
          <w:b/>
        </w:rPr>
        <w:t>payment for services and risk</w:t>
      </w:r>
      <w:r>
        <w:t>, not ownership</w:t>
      </w:r>
    </w:p>
    <w:p>
      <w:pPr>
        <w:pStyle w:val="ListBullet"/>
      </w:pPr>
      <w:r>
        <w:t>Accounting treatment: Contractor may not book reserves as "proved reserves" under certain IFRS interpretations (depends on control assessment)</w:t>
      </w:r>
    </w:p>
    <w:p>
      <w:pPr>
        <w:pStyle w:val="Heading3"/>
      </w:pPr>
      <w:r>
        <w:t>2.2 Risk Allocation</w:t>
      </w:r>
    </w:p>
    <w:p>
      <w:r>
        <w:t xml:space="preserve">Under non-proprietorial PSC regimes, the </w:t>
      </w:r>
      <w:r>
        <w:rPr>
          <w:b/>
        </w:rPr>
        <w:t>contractor typically bears 100% of exploration and development risk</w:t>
      </w:r>
      <w:r>
        <w:t xml:space="preserve"> (except in Risk Service Contracts where the state bears cost risk). The state does not reimburse costs if no commercial discovery is made.</w:t>
      </w:r>
    </w:p>
    <w:p>
      <w:r>
        <w:rPr>
          <w:b/>
        </w:rPr>
        <w:t>Risk Profile: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Risk Type</w:t>
            </w:r>
          </w:p>
        </w:tc>
        <w:tc>
          <w:tcPr>
            <w:tcW w:type="dxa" w:w="4320"/>
          </w:tcPr>
          <w:p>
            <w:r>
              <w:rPr>
                <w:b/>
              </w:rPr>
            </w:r>
            <w:r>
              <w:rPr>
                <w:b/>
              </w:rPr>
              <w:t>Borne By</w:t>
            </w:r>
          </w:p>
        </w:tc>
      </w:tr>
      <w:tr>
        <w:tc>
          <w:tcPr>
            <w:tcW w:type="dxa" w:w="4320"/>
          </w:tcPr>
          <w:p>
            <w:r/>
            <w:r>
              <w:rPr>
                <w:b/>
              </w:rPr>
              <w:t>Geological risk</w:t>
            </w:r>
            <w:r>
              <w:t xml:space="preserve"> (dry holes)</w:t>
            </w:r>
          </w:p>
        </w:tc>
        <w:tc>
          <w:tcPr>
            <w:tcW w:type="dxa" w:w="4320"/>
          </w:tcPr>
          <w:p>
            <w:r/>
            <w:r>
              <w:t>Contractor 100%</w:t>
            </w:r>
          </w:p>
        </w:tc>
      </w:tr>
      <w:tr>
        <w:tc>
          <w:tcPr>
            <w:tcW w:type="dxa" w:w="4320"/>
          </w:tcPr>
          <w:p>
            <w:r/>
            <w:r>
              <w:rPr>
                <w:b/>
              </w:rPr>
              <w:t>Development cost overruns</w:t>
            </w:r>
          </w:p>
        </w:tc>
        <w:tc>
          <w:tcPr>
            <w:tcW w:type="dxa" w:w="4320"/>
          </w:tcPr>
          <w:p>
            <w:r/>
            <w:r>
              <w:t>Contractor 100% (recovered from future production subject to ceiling)</w:t>
            </w:r>
          </w:p>
        </w:tc>
      </w:tr>
      <w:tr>
        <w:tc>
          <w:tcPr>
            <w:tcW w:type="dxa" w:w="4320"/>
          </w:tcPr>
          <w:p>
            <w:r/>
            <w:r>
              <w:rPr>
                <w:b/>
              </w:rPr>
              <w:t>Commodity price risk</w:t>
            </w:r>
          </w:p>
        </w:tc>
        <w:tc>
          <w:tcPr>
            <w:tcW w:type="dxa" w:w="4320"/>
          </w:tcPr>
          <w:p>
            <w:r/>
            <w:r>
              <w:t>Shared (affects both cost recovery and profit oil split)</w:t>
            </w:r>
          </w:p>
        </w:tc>
      </w:tr>
      <w:tr>
        <w:tc>
          <w:tcPr>
            <w:tcW w:type="dxa" w:w="4320"/>
          </w:tcPr>
          <w:p>
            <w:r/>
            <w:r>
              <w:rPr>
                <w:b/>
              </w:rPr>
              <w:t>Operational risk</w:t>
            </w:r>
          </w:p>
        </w:tc>
        <w:tc>
          <w:tcPr>
            <w:tcW w:type="dxa" w:w="4320"/>
          </w:tcPr>
          <w:p>
            <w:r/>
            <w:r>
              <w:t>Contractor 100%</w:t>
            </w:r>
          </w:p>
        </w:tc>
      </w:tr>
      <w:tr>
        <w:tc>
          <w:tcPr>
            <w:tcW w:type="dxa" w:w="4320"/>
          </w:tcPr>
          <w:p>
            <w:r/>
            <w:r>
              <w:rPr>
                <w:b/>
              </w:rPr>
              <w:t>Political/regulatory risk</w:t>
            </w:r>
          </w:p>
        </w:tc>
        <w:tc>
          <w:tcPr>
            <w:tcW w:type="dxa" w:w="4320"/>
          </w:tcPr>
          <w:p>
            <w:r/>
            <w:r>
              <w:t>Partially mitigated by stabilization clauses</w:t>
            </w:r>
          </w:p>
        </w:tc>
      </w:tr>
    </w:tbl>
    <w:p/>
    <w:p>
      <w:pPr>
        <w:pStyle w:val="Heading3"/>
      </w:pPr>
      <w:r>
        <w:t>2.3 The Production Sharing Waterfall Mechanism</w:t>
      </w:r>
    </w:p>
    <w:p>
      <w:r>
        <w:t xml:space="preserve">Non-proprietorial regimes allocate production through a </w:t>
      </w:r>
      <w:r>
        <w:rPr>
          <w:b/>
        </w:rPr>
        <w:t>contractual waterfall</w:t>
      </w:r>
      <w:r>
        <w:t>:</w:t>
      </w:r>
    </w:p>
    <w:p>
      <w:pPr>
        <w:shd w:fill="F0F0F0"/>
        <w:spacing w:after="0" w:line="240" w:lineRule="auto"/>
      </w:pPr>
      <w:r>
        <w:rPr>
          <w:rFonts w:ascii="Courier New" w:hAnsi="Courier New"/>
          <w:sz w:val="20"/>
        </w:rPr>
        <w:t>GROSS PRODUCTION (100%)</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Less: Royalty (if applicable) → to Government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AVAILABLE PRODUCTION</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Split into:</w:t>
      </w:r>
    </w:p>
    <w:p>
      <w:pPr>
        <w:shd w:fill="F0F0F0"/>
        <w:spacing w:after="0" w:line="240" w:lineRule="auto"/>
      </w:pPr>
      <w:r>
        <w:rPr>
          <w:rFonts w:ascii="Courier New" w:hAnsi="Courier New"/>
          <w:sz w:val="20"/>
        </w:rPr>
        <w:t>├─ COST OIL/GAS (50-80% ceiling)</w:t>
      </w:r>
    </w:p>
    <w:p>
      <w:pPr>
        <w:shd w:fill="F0F0F0"/>
        <w:spacing w:after="0" w:line="240" w:lineRule="auto"/>
      </w:pPr>
      <w:r>
        <w:rPr>
          <w:rFonts w:ascii="Courier New" w:hAnsi="Courier New"/>
          <w:sz w:val="20"/>
        </w:rPr>
        <w:t>│   → Contractor recovers operating costs (opex)</w:t>
      </w:r>
    </w:p>
    <w:p>
      <w:pPr>
        <w:shd w:fill="F0F0F0"/>
        <w:spacing w:after="0" w:line="240" w:lineRule="auto"/>
      </w:pPr>
      <w:r>
        <w:rPr>
          <w:rFonts w:ascii="Courier New" w:hAnsi="Courier New"/>
          <w:sz w:val="20"/>
        </w:rPr>
        <w:t>│   → Contractor recovers capital costs (capex depreciated)</w:t>
      </w:r>
    </w:p>
    <w:p>
      <w:pPr>
        <w:shd w:fill="F0F0F0"/>
        <w:spacing w:after="0" w:line="240" w:lineRule="auto"/>
      </w:pPr>
      <w:r>
        <w:rPr>
          <w:rFonts w:ascii="Courier New" w:hAnsi="Courier New"/>
          <w:sz w:val="20"/>
        </w:rPr>
        <w:t>│   → Unrecovered costs carried forward with uplift</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PROFIT OIL/GAS (Remainder after cost recovery)</w:t>
      </w:r>
    </w:p>
    <w:p>
      <w:pPr>
        <w:shd w:fill="F0F0F0"/>
        <w:spacing w:after="0" w:line="240" w:lineRule="auto"/>
      </w:pPr>
      <w:r>
        <w:rPr>
          <w:rFonts w:ascii="Courier New" w:hAnsi="Courier New"/>
          <w:sz w:val="20"/>
        </w:rPr>
        <w:t xml:space="preserve">    → Split between:</w:t>
      </w:r>
    </w:p>
    <w:p>
      <w:pPr>
        <w:shd w:fill="F0F0F0"/>
        <w:spacing w:after="0" w:line="240" w:lineRule="auto"/>
      </w:pPr>
      <w:r>
        <w:rPr>
          <w:rFonts w:ascii="Courier New" w:hAnsi="Courier New"/>
          <w:sz w:val="20"/>
        </w:rPr>
        <w:t xml:space="preserve">       ├─ Government Share (typically 60-85%)</w:t>
      </w:r>
    </w:p>
    <w:p>
      <w:pPr>
        <w:shd w:fill="F0F0F0"/>
        <w:spacing w:after="0" w:line="240" w:lineRule="auto"/>
      </w:pPr>
      <w:r>
        <w:rPr>
          <w:rFonts w:ascii="Courier New" w:hAnsi="Courier New"/>
          <w:sz w:val="20"/>
        </w:rPr>
        <w:t xml:space="preserve">       └─ Contractor Share (typically 15-40%)</w:t>
      </w:r>
    </w:p>
    <w:p/>
    <w:p>
      <w:r>
        <w:rPr>
          <w:b/>
        </w:rPr>
        <w:t>Key Feature:</w:t>
      </w:r>
      <w:r>
        <w:t xml:space="preserve"> Cost recovery is </w:t>
      </w:r>
      <w:r>
        <w:rPr>
          <w:b/>
        </w:rPr>
        <w:t>explicit and contractual</w:t>
      </w:r>
      <w:r>
        <w:t>, not dependent on domestic tax code provisions. This provides certainty to contractors regarding cost reimbursement, protecting them from changes in tax legislation that could affect deduction availability. The contractual nature of cost recovery also allows governments to audit and control costs more directly than under a tax-based system.</w:t>
      </w:r>
    </w:p>
    <w:p>
      <w:pPr>
        <w:pStyle w:val="Heading3"/>
      </w:pPr>
      <w:r>
        <w:t>2.4 Government Revenue Mechanisms</w:t>
      </w:r>
    </w:p>
    <w:p>
      <w:r>
        <w:t xml:space="preserve">The state captures resource rents through </w:t>
      </w:r>
      <w:r>
        <w:rPr>
          <w:b/>
        </w:rPr>
        <w:t>production sharing</w:t>
      </w:r>
      <w:r>
        <w:t xml:space="preserve"> rather than primarily through taxation:</w:t>
      </w:r>
    </w:p>
    <w:p>
      <w:r>
        <w:rPr>
          <w:b/>
        </w:rPr>
        <w:t>Primary Revenue Instruments:</w:t>
      </w:r>
    </w:p>
    <w:p>
      <w:pPr>
        <w:pStyle w:val="ListNumber"/>
      </w:pPr>
      <w:r>
        <w:rPr>
          <w:b/>
        </w:rPr>
        <w:t>Royalty</w:t>
      </w:r>
      <w:r>
        <w:t xml:space="preserve"> (0-15%, if applicable)</w:t>
      </w:r>
    </w:p>
    <w:p>
      <w:pPr>
        <w:pStyle w:val="ListBullet"/>
        <w:ind w:left="360"/>
      </w:pPr>
      <w:r>
        <w:t>Taken "off the top" before cost recovery</w:t>
      </w:r>
    </w:p>
    <w:p>
      <w:pPr>
        <w:pStyle w:val="ListBullet"/>
        <w:ind w:left="360"/>
      </w:pPr>
      <w:r>
        <w:t>Provides immediate revenue from first production</w:t>
      </w:r>
    </w:p>
    <w:p>
      <w:pPr>
        <w:pStyle w:val="ListBullet"/>
        <w:ind w:left="360"/>
      </w:pPr>
      <w:r>
        <w:t>Examples: Indonesia 15%, Egypt 10%, some Malaysian PSCs 10%</w:t>
      </w:r>
    </w:p>
    <w:p>
      <w:pPr>
        <w:pStyle w:val="ListNumber"/>
      </w:pPr>
      <w:r>
        <w:rPr>
          <w:b/>
        </w:rPr>
        <w:t>Profit Oil Share</w:t>
      </w:r>
      <w:r>
        <w:t xml:space="preserve"> (60-85% to government)</w:t>
      </w:r>
    </w:p>
    <w:p>
      <w:pPr>
        <w:pStyle w:val="ListBullet"/>
        <w:ind w:left="360"/>
      </w:pPr>
      <w:r>
        <w:t>Government's share of production after cost recovery</w:t>
      </w:r>
    </w:p>
    <w:p>
      <w:pPr>
        <w:pStyle w:val="ListBullet"/>
        <w:ind w:left="360"/>
      </w:pPr>
      <w:r>
        <w:t xml:space="preserve">Represents the </w:t>
      </w:r>
      <w:r>
        <w:rPr>
          <w:b/>
        </w:rPr>
        <w:t>primary revenue mechanism</w:t>
      </w:r>
    </w:p>
    <w:p>
      <w:pPr>
        <w:pStyle w:val="ListBullet"/>
        <w:ind w:left="360"/>
      </w:pPr>
      <w:r>
        <w:t>May be progressive (increasing with profitability or production levels)</w:t>
      </w:r>
    </w:p>
    <w:p>
      <w:pPr>
        <w:pStyle w:val="ListNumber"/>
      </w:pPr>
      <w:r>
        <w:rPr>
          <w:b/>
        </w:rPr>
        <w:t>Corporate Income Tax</w:t>
      </w:r>
      <w:r>
        <w:t xml:space="preserve"> (varies by jurisdiction)</w:t>
      </w:r>
    </w:p>
    <w:p>
      <w:pPr>
        <w:pStyle w:val="ListBullet"/>
        <w:ind w:left="360"/>
      </w:pPr>
      <w:r>
        <w:rPr>
          <w:b/>
        </w:rPr>
        <w:t>Classic PSC</w:t>
      </w:r>
      <w:r>
        <w:t xml:space="preserve">: Government's profit oil share is </w:t>
      </w:r>
      <w:r>
        <w:rPr>
          <w:b/>
        </w:rPr>
        <w:t>in lieu of tax</w:t>
      </w:r>
      <w:r>
        <w:t xml:space="preserve"> (no separate CIT)</w:t>
      </w:r>
    </w:p>
    <w:p>
      <w:pPr>
        <w:pStyle w:val="ListBullet"/>
        <w:ind w:left="360"/>
      </w:pPr>
      <w:r>
        <w:rPr>
          <w:b/>
        </w:rPr>
        <w:t>Tax/Royalty PSC</w:t>
      </w:r>
      <w:r>
        <w:t xml:space="preserve">: Contractor pays CIT </w:t>
      </w:r>
      <w:r>
        <w:rPr>
          <w:b/>
        </w:rPr>
        <w:t>on its profit oil share</w:t>
      </w:r>
      <w:r>
        <w:t xml:space="preserve"> (hybrid model)</w:t>
      </w:r>
    </w:p>
    <w:p>
      <w:pPr>
        <w:pStyle w:val="ListBullet"/>
        <w:ind w:left="360"/>
      </w:pPr>
      <w:r>
        <w:t>Examples:</w:t>
      </w:r>
    </w:p>
    <w:p>
      <w:pPr>
        <w:pStyle w:val="ListBullet"/>
        <w:ind w:left="720"/>
      </w:pPr>
      <w:r>
        <w:t>Malaysia: No additional tax (profit oil is tax substitute)</w:t>
      </w:r>
    </w:p>
    <w:p>
      <w:pPr>
        <w:pStyle w:val="ListBullet"/>
        <w:ind w:left="720"/>
      </w:pPr>
      <w:r>
        <w:t>Indonesia (post-2017): Contractor pays standard 22% CIT on profit share</w:t>
      </w:r>
    </w:p>
    <w:p>
      <w:pPr>
        <w:pStyle w:val="ListBullet"/>
        <w:ind w:left="720"/>
      </w:pPr>
      <w:r>
        <w:t>Egypt: 40.55% CIT on contractor's profit oil</w:t>
      </w:r>
    </w:p>
    <w:p>
      <w:r>
        <w:rPr>
          <w:b/>
        </w:rPr>
        <w:t>Comparison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Jurisdiction</w:t>
            </w:r>
          </w:p>
        </w:tc>
        <w:tc>
          <w:tcPr>
            <w:tcW w:type="dxa" w:w="1728"/>
          </w:tcPr>
          <w:p>
            <w:r>
              <w:rPr>
                <w:b/>
              </w:rPr>
            </w:r>
            <w:r>
              <w:rPr>
                <w:b/>
              </w:rPr>
              <w:t>Royalty</w:t>
            </w:r>
          </w:p>
        </w:tc>
        <w:tc>
          <w:tcPr>
            <w:tcW w:type="dxa" w:w="1728"/>
          </w:tcPr>
          <w:p>
            <w:r>
              <w:rPr>
                <w:b/>
              </w:rPr>
            </w:r>
            <w:r>
              <w:rPr>
                <w:b/>
              </w:rPr>
              <w:t>Contractor Profit Oil</w:t>
            </w:r>
          </w:p>
        </w:tc>
        <w:tc>
          <w:tcPr>
            <w:tcW w:type="dxa" w:w="1728"/>
          </w:tcPr>
          <w:p>
            <w:r>
              <w:rPr>
                <w:b/>
              </w:rPr>
            </w:r>
            <w:r>
              <w:rPr>
                <w:b/>
              </w:rPr>
              <w:t>CIT on Contractor Share</w:t>
            </w:r>
          </w:p>
        </w:tc>
        <w:tc>
          <w:tcPr>
            <w:tcW w:type="dxa" w:w="1728"/>
          </w:tcPr>
          <w:p>
            <w:r>
              <w:rPr>
                <w:b/>
              </w:rPr>
            </w:r>
            <w:r>
              <w:rPr>
                <w:b/>
              </w:rPr>
              <w:t>Government Take</w:t>
            </w:r>
          </w:p>
        </w:tc>
      </w:tr>
      <w:tr>
        <w:tc>
          <w:tcPr>
            <w:tcW w:type="dxa" w:w="1728"/>
          </w:tcPr>
          <w:p>
            <w:r/>
            <w:r>
              <w:rPr>
                <w:b/>
              </w:rPr>
              <w:t>Malaysia</w:t>
            </w:r>
          </w:p>
        </w:tc>
        <w:tc>
          <w:tcPr>
            <w:tcW w:type="dxa" w:w="1728"/>
          </w:tcPr>
          <w:p>
            <w:r/>
            <w:r>
              <w:t>10%</w:t>
            </w:r>
          </w:p>
        </w:tc>
        <w:tc>
          <w:tcPr>
            <w:tcW w:type="dxa" w:w="1728"/>
          </w:tcPr>
          <w:p>
            <w:r/>
            <w:r>
              <w:t>20-30%</w:t>
            </w:r>
          </w:p>
        </w:tc>
        <w:tc>
          <w:tcPr>
            <w:tcW w:type="dxa" w:w="1728"/>
          </w:tcPr>
          <w:p>
            <w:r/>
            <w:r>
              <w:t>0% (in lieu)</w:t>
            </w:r>
          </w:p>
        </w:tc>
        <w:tc>
          <w:tcPr>
            <w:tcW w:type="dxa" w:w="1728"/>
          </w:tcPr>
          <w:p>
            <w:r/>
            <w:r>
              <w:t>~70-80%</w:t>
            </w:r>
          </w:p>
        </w:tc>
      </w:tr>
      <w:tr>
        <w:tc>
          <w:tcPr>
            <w:tcW w:type="dxa" w:w="1728"/>
          </w:tcPr>
          <w:p>
            <w:r/>
            <w:r>
              <w:rPr>
                <w:b/>
              </w:rPr>
              <w:t>Indonesia (Gross Split)</w:t>
            </w:r>
          </w:p>
        </w:tc>
        <w:tc>
          <w:tcPr>
            <w:tcW w:type="dxa" w:w="1728"/>
          </w:tcPr>
          <w:p>
            <w:r/>
            <w:r>
              <w:t>0%</w:t>
            </w:r>
          </w:p>
        </w:tc>
        <w:tc>
          <w:tcPr>
            <w:tcW w:type="dxa" w:w="1728"/>
          </w:tcPr>
          <w:p>
            <w:r/>
            <w:r>
              <w:t>43-57%</w:t>
            </w:r>
          </w:p>
        </w:tc>
        <w:tc>
          <w:tcPr>
            <w:tcW w:type="dxa" w:w="1728"/>
          </w:tcPr>
          <w:p>
            <w:r/>
            <w:r>
              <w:t>22% CIT</w:t>
            </w:r>
          </w:p>
        </w:tc>
        <w:tc>
          <w:tcPr>
            <w:tcW w:type="dxa" w:w="1728"/>
          </w:tcPr>
          <w:p>
            <w:r/>
            <w:r>
              <w:t>~52-66%</w:t>
            </w:r>
          </w:p>
        </w:tc>
      </w:tr>
      <w:tr>
        <w:tc>
          <w:tcPr>
            <w:tcW w:type="dxa" w:w="1728"/>
          </w:tcPr>
          <w:p>
            <w:r/>
            <w:r>
              <w:rPr>
                <w:b/>
              </w:rPr>
              <w:t>Angola</w:t>
            </w:r>
          </w:p>
        </w:tc>
        <w:tc>
          <w:tcPr>
            <w:tcW w:type="dxa" w:w="1728"/>
          </w:tcPr>
          <w:p>
            <w:r/>
            <w:r>
              <w:t>0%</w:t>
            </w:r>
          </w:p>
        </w:tc>
        <w:tc>
          <w:tcPr>
            <w:tcW w:type="dxa" w:w="1728"/>
          </w:tcPr>
          <w:p>
            <w:r/>
            <w:r>
              <w:t>15-30%</w:t>
            </w:r>
          </w:p>
        </w:tc>
        <w:tc>
          <w:tcPr>
            <w:tcW w:type="dxa" w:w="1728"/>
          </w:tcPr>
          <w:p>
            <w:r/>
            <w:r>
              <w:t>0% (profit oil substitute)</w:t>
            </w:r>
          </w:p>
        </w:tc>
        <w:tc>
          <w:tcPr>
            <w:tcW w:type="dxa" w:w="1728"/>
          </w:tcPr>
          <w:p>
            <w:r/>
            <w:r>
              <w:t>~70-85%</w:t>
            </w:r>
          </w:p>
        </w:tc>
      </w:tr>
      <w:tr>
        <w:tc>
          <w:tcPr>
            <w:tcW w:type="dxa" w:w="1728"/>
          </w:tcPr>
          <w:p>
            <w:r/>
            <w:r>
              <w:rPr>
                <w:b/>
              </w:rPr>
              <w:t>Iraq TSC</w:t>
            </w:r>
          </w:p>
        </w:tc>
        <w:tc>
          <w:tcPr>
            <w:tcW w:type="dxa" w:w="1728"/>
          </w:tcPr>
          <w:p>
            <w:r/>
            <w:r>
              <w:t>Variable</w:t>
            </w:r>
          </w:p>
        </w:tc>
        <w:tc>
          <w:tcPr>
            <w:tcW w:type="dxa" w:w="1728"/>
          </w:tcPr>
          <w:p>
            <w:r/>
            <w:r>
              <w:t>Fee-based</w:t>
            </w:r>
          </w:p>
        </w:tc>
        <w:tc>
          <w:tcPr>
            <w:tcW w:type="dxa" w:w="1728"/>
          </w:tcPr>
          <w:p>
            <w:r/>
            <w:r>
              <w:t>35% CIT on fee</w:t>
            </w:r>
          </w:p>
        </w:tc>
        <w:tc>
          <w:tcPr>
            <w:tcW w:type="dxa" w:w="1728"/>
          </w:tcPr>
          <w:p>
            <w:r/>
            <w:r>
              <w:t>~85-95%</w:t>
            </w:r>
          </w:p>
        </w:tc>
      </w:tr>
      <w:tr>
        <w:tc>
          <w:tcPr>
            <w:tcW w:type="dxa" w:w="1728"/>
          </w:tcPr>
          <w:p>
            <w:r/>
            <w:r>
              <w:rPr>
                <w:b/>
              </w:rPr>
              <w:t>Egypt</w:t>
            </w:r>
          </w:p>
        </w:tc>
        <w:tc>
          <w:tcPr>
            <w:tcW w:type="dxa" w:w="1728"/>
          </w:tcPr>
          <w:p>
            <w:r/>
            <w:r>
              <w:t>10%</w:t>
            </w:r>
          </w:p>
        </w:tc>
        <w:tc>
          <w:tcPr>
            <w:tcW w:type="dxa" w:w="1728"/>
          </w:tcPr>
          <w:p>
            <w:r/>
            <w:r>
              <w:t>20-25%</w:t>
            </w:r>
          </w:p>
        </w:tc>
        <w:tc>
          <w:tcPr>
            <w:tcW w:type="dxa" w:w="1728"/>
          </w:tcPr>
          <w:p>
            <w:r/>
            <w:r>
              <w:t>40.55% CIT</w:t>
            </w:r>
          </w:p>
        </w:tc>
        <w:tc>
          <w:tcPr>
            <w:tcW w:type="dxa" w:w="1728"/>
          </w:tcPr>
          <w:p>
            <w:r/>
            <w:r>
              <w:t>~85-90%</w:t>
            </w:r>
          </w:p>
        </w:tc>
      </w:tr>
    </w:tbl>
    <w:p/>
    <w:p>
      <w:pPr>
        <w:pStyle w:val="Heading3"/>
      </w:pPr>
      <w:r>
        <w:t>2.5 Cost Recovery Ceiling</w:t>
      </w:r>
    </w:p>
    <w:p>
      <w:r>
        <w:t xml:space="preserve">The </w:t>
      </w:r>
      <w:r>
        <w:rPr>
          <w:b/>
        </w:rPr>
        <w:t>cost recovery ceiling</w:t>
      </w:r>
      <w:r>
        <w:t xml:space="preserve"> (or </w:t>
      </w:r>
      <w:r>
        <w:rPr>
          <w:b/>
        </w:rPr>
        <w:t>cost stop</w:t>
      </w:r>
      <w:r>
        <w:t>) is a defining feature of non-proprietorial regimes, limiting the percentage of available production usable for cost recovery in any period.</w:t>
      </w:r>
    </w:p>
    <w:p>
      <w:r>
        <w:rPr>
          <w:b/>
        </w:rPr>
        <w:t>Typical Ceilings:</w:t>
      </w:r>
    </w:p>
    <w:p>
      <w:pPr>
        <w:pStyle w:val="ListBullet"/>
      </w:pPr>
      <w:r>
        <w:rPr>
          <w:b/>
        </w:rPr>
        <w:t>50%</w:t>
      </w:r>
      <w:r>
        <w:t>: Angola, conservative regimes</w:t>
      </w:r>
    </w:p>
    <w:p>
      <w:pPr>
        <w:pStyle w:val="ListBullet"/>
      </w:pPr>
      <w:r>
        <w:rPr>
          <w:b/>
        </w:rPr>
        <w:t>60-70%</w:t>
      </w:r>
      <w:r>
        <w:t>: Malaysia (varies by water depth), Ghana, Iraq</w:t>
      </w:r>
    </w:p>
    <w:p>
      <w:pPr>
        <w:pStyle w:val="ListBullet"/>
      </w:pPr>
      <w:r>
        <w:rPr>
          <w:b/>
        </w:rPr>
        <w:t>80%</w:t>
      </w:r>
      <w:r>
        <w:t>: Some Indonesian contracts (pre-2017)</w:t>
      </w:r>
    </w:p>
    <w:p>
      <w:pPr>
        <w:pStyle w:val="ListBullet"/>
      </w:pPr>
      <w:r>
        <w:rPr>
          <w:b/>
        </w:rPr>
        <w:t>100%</w:t>
      </w:r>
      <w:r>
        <w:t>: No ceiling (Indonesia "Gross Split" PSCs have eliminated cost recovery entirely)</w:t>
      </w:r>
    </w:p>
    <w:p>
      <w:r>
        <w:rPr>
          <w:b/>
        </w:rPr>
        <w:t>Impact:</w:t>
      </w:r>
    </w:p>
    <w:p>
      <w:pPr>
        <w:shd w:fill="F0F0F0"/>
        <w:spacing w:after="0" w:line="240" w:lineRule="auto"/>
      </w:pPr>
      <w:r>
        <w:rPr>
          <w:rFonts w:ascii="Courier New" w:hAnsi="Courier New"/>
          <w:sz w:val="20"/>
        </w:rPr>
        <w:t>If Available Production = 1,000,000 barrels</w:t>
      </w:r>
    </w:p>
    <w:p>
      <w:pPr>
        <w:shd w:fill="F0F0F0"/>
        <w:spacing w:after="0" w:line="240" w:lineRule="auto"/>
      </w:pPr>
      <w:r>
        <w:rPr>
          <w:rFonts w:ascii="Courier New" w:hAnsi="Courier New"/>
          <w:sz w:val="20"/>
        </w:rPr>
        <w:t>Cost Recovery Ceiling = 60%</w:t>
      </w:r>
    </w:p>
    <w:p>
      <w:pPr>
        <w:shd w:fill="F0F0F0"/>
        <w:spacing w:after="0" w:line="240" w:lineRule="auto"/>
      </w:pPr>
      <w:r>
        <w:rPr>
          <w:rFonts w:ascii="Courier New" w:hAnsi="Courier New"/>
          <w:sz w:val="20"/>
        </w:rPr>
        <w:t>Eligible Costs = $40 million</w:t>
      </w:r>
    </w:p>
    <w:p>
      <w:pPr>
        <w:shd w:fill="F0F0F0"/>
        <w:spacing w:after="0" w:line="240" w:lineRule="auto"/>
      </w:pPr>
      <w:r>
        <w:rPr>
          <w:rFonts w:ascii="Courier New" w:hAnsi="Courier New"/>
          <w:sz w:val="20"/>
        </w:rPr>
        <w:t>Oil price = $50/barrel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Maximum cost recovery value = 60% × 1,000,000 × $50 = $30 million</w:t>
      </w:r>
    </w:p>
    <w:p>
      <w:pPr>
        <w:shd w:fill="F0F0F0"/>
        <w:spacing w:after="0" w:line="240" w:lineRule="auto"/>
      </w:pPr>
      <w:r>
        <w:rPr>
          <w:rFonts w:ascii="Courier New" w:hAnsi="Courier New"/>
          <w:sz w:val="20"/>
        </w:rPr>
        <w:t>Actual eligible costs = $40 million</w:t>
      </w:r>
    </w:p>
    <w:p>
      <w:pPr>
        <w:shd w:fill="F0F0F0"/>
        <w:spacing w:after="0" w:line="240" w:lineRule="auto"/>
      </w:pPr>
      <w:r>
        <w:rPr>
          <w:rFonts w:ascii="Courier New" w:hAnsi="Courier New"/>
          <w:sz w:val="20"/>
        </w:rPr>
        <w:t>→ $10 million in costs must be carried forward to next period</w:t>
      </w:r>
    </w:p>
    <w:p/>
    <w:p>
      <w:r>
        <w:rPr>
          <w:b/>
        </w:rPr>
        <w:t>Unrecovered costs</w:t>
      </w:r>
      <w:r>
        <w:t xml:space="preserve"> are typically carried forward with </w:t>
      </w:r>
      <w:r>
        <w:rPr>
          <w:b/>
        </w:rPr>
        <w:t>uplift</w:t>
      </w:r>
      <w:r>
        <w:t xml:space="preserve"> (interest compensation) at 2-10% per annum.</w:t>
      </w:r>
    </w:p>
    <w:p>
      <w:pPr>
        <w:pStyle w:val="Heading3"/>
      </w:pPr>
      <w:r>
        <w:t>2.6 Contract-Level Ring-Fencing</w:t>
      </w:r>
    </w:p>
    <w:p>
      <w:r>
        <w:t xml:space="preserve">Non-proprietorial regimes impose </w:t>
      </w:r>
      <w:r>
        <w:rPr>
          <w:b/>
        </w:rPr>
        <w:t>strict contract-level ring-fencing</w:t>
      </w:r>
      <w:r>
        <w:t>:</w:t>
      </w:r>
    </w:p>
    <w:p>
      <w:r>
        <w:rPr>
          <w:b/>
        </w:rPr>
        <w:t>Characteristics:</w:t>
      </w:r>
    </w:p>
    <w:p>
      <w:pPr>
        <w:pStyle w:val="ListBullet"/>
      </w:pPr>
      <w:r>
        <w:t xml:space="preserve">Each PSC is a </w:t>
      </w:r>
      <w:r>
        <w:rPr>
          <w:b/>
        </w:rPr>
        <w:t>separate fiscal unit</w:t>
      </w:r>
    </w:p>
    <w:p>
      <w:pPr>
        <w:pStyle w:val="ListBullet"/>
      </w:pPr>
      <w:r>
        <w:t xml:space="preserve">Costs and revenues from one PSC </w:t>
      </w:r>
      <w:r>
        <w:rPr>
          <w:b/>
        </w:rPr>
        <w:t>cannot offset</w:t>
      </w:r>
      <w:r>
        <w:t xml:space="preserve"> another PSC</w:t>
      </w:r>
    </w:p>
    <w:p>
      <w:pPr>
        <w:pStyle w:val="ListBullet"/>
      </w:pPr>
      <w:r>
        <w:t>No group consolidation for tax purposes</w:t>
      </w:r>
    </w:p>
    <w:p>
      <w:pPr>
        <w:pStyle w:val="ListBullet"/>
      </w:pPr>
      <w:r>
        <w:t>More restrictive than field-level or activity-level ring-fencing in proprietorial regimes</w:t>
      </w:r>
    </w:p>
    <w:p>
      <w:r>
        <w:rPr>
          <w:b/>
        </w:rPr>
        <w:t>Tax Implication:</w:t>
      </w:r>
      <w:r>
        <w:t xml:space="preserve"> Contractors cannot optimize tax across multiple projects in the same country.</w:t>
      </w:r>
    </w:p>
    <w:p>
      <w:pPr>
        <w:spacing w:before="120" w:after="120"/>
        <w:pBdr>
          <w:bottom w:val="single" w:sz="6" w:space="1" w:color="auto"/>
        </w:pBdr>
      </w:pPr>
    </w:p>
    <w:p>
      <w:pPr>
        <w:pStyle w:val="Heading2"/>
      </w:pPr>
      <w:r>
        <w:t>3. Analytical Depth: Types of Non-Proprietorial Arrangements</w:t>
      </w:r>
    </w:p>
    <w:p>
      <w:pPr>
        <w:pStyle w:val="Heading3"/>
      </w:pPr>
      <w:r>
        <w:t>3.1 Classic PSC (Production Sharing Only)</w:t>
      </w:r>
    </w:p>
    <w:p>
      <w:r>
        <w:rPr>
          <w:b/>
        </w:rPr>
        <w:t>Structure:</w:t>
      </w:r>
    </w:p>
    <w:p>
      <w:pPr>
        <w:pStyle w:val="ListBullet"/>
      </w:pPr>
      <w:r>
        <w:t xml:space="preserve">Government profit oil share is </w:t>
      </w:r>
      <w:r>
        <w:rPr>
          <w:b/>
        </w:rPr>
        <w:t>in lieu of corporate income tax</w:t>
      </w:r>
    </w:p>
    <w:p>
      <w:pPr>
        <w:pStyle w:val="ListBullet"/>
      </w:pPr>
      <w:r>
        <w:t>Contractor exempt from CIT (or government pays CIT on contractor's behalf)</w:t>
      </w:r>
    </w:p>
    <w:p>
      <w:pPr>
        <w:pStyle w:val="ListBullet"/>
      </w:pPr>
      <w:r>
        <w:t>Single-tier fiscal system</w:t>
      </w:r>
    </w:p>
    <w:p>
      <w:r>
        <w:rPr>
          <w:b/>
        </w:rPr>
        <w:t>Advantages:</w:t>
      </w:r>
    </w:p>
    <w:p>
      <w:pPr>
        <w:pStyle w:val="ListBullet"/>
      </w:pPr>
      <w:r>
        <w:t>Simplified tax administration</w:t>
      </w:r>
    </w:p>
    <w:p>
      <w:pPr>
        <w:pStyle w:val="ListBullet"/>
      </w:pPr>
      <w:r>
        <w:t>No transfer pricing disputes on profit oil transactions</w:t>
      </w:r>
    </w:p>
    <w:p>
      <w:pPr>
        <w:pStyle w:val="ListBullet"/>
      </w:pPr>
      <w:r>
        <w:t>Predictable government take through fixed profit split</w:t>
      </w:r>
    </w:p>
    <w:p>
      <w:r>
        <w:rPr>
          <w:b/>
        </w:rPr>
        <w:t>Examples:</w:t>
      </w:r>
      <w:r>
        <w:t xml:space="preserve"> Malaysia, Angola, Qatar, UAE, Oman</w:t>
      </w:r>
    </w:p>
    <w:p>
      <w:pPr>
        <w:pStyle w:val="Heading3"/>
      </w:pPr>
      <w:r>
        <w:t>3.2 Tax/Royalty PSC (Hybrid System)</w:t>
      </w:r>
    </w:p>
    <w:p>
      <w:r>
        <w:rPr>
          <w:b/>
        </w:rPr>
        <w:t>Structure:</w:t>
      </w:r>
    </w:p>
    <w:p>
      <w:pPr>
        <w:pStyle w:val="ListBullet"/>
      </w:pPr>
      <w:r>
        <w:t xml:space="preserve">Contractor pays </w:t>
      </w:r>
      <w:r>
        <w:rPr>
          <w:b/>
        </w:rPr>
        <w:t>both</w:t>
      </w:r>
      <w:r>
        <w:t xml:space="preserve"> CIT </w:t>
      </w:r>
      <w:r>
        <w:rPr>
          <w:b/>
        </w:rPr>
        <w:t>and</w:t>
      </w:r>
      <w:r>
        <w:t xml:space="preserve"> shares profit oil</w:t>
      </w:r>
    </w:p>
    <w:p>
      <w:pPr>
        <w:pStyle w:val="ListBullet"/>
      </w:pPr>
      <w:r>
        <w:t>Dual revenue mechanism increases government flexibility</w:t>
      </w:r>
    </w:p>
    <w:p>
      <w:pPr>
        <w:pStyle w:val="ListBullet"/>
      </w:pPr>
      <w:r>
        <w:t>Requires tax treaty analysis (CIT is creditable in contractor's home country)</w:t>
      </w:r>
    </w:p>
    <w:p>
      <w:r>
        <w:rPr>
          <w:b/>
        </w:rPr>
        <w:t>Complexity:</w:t>
      </w:r>
      <w:r>
        <w:t xml:space="preserve"> Potential for </w:t>
      </w:r>
      <w:r>
        <w:rPr>
          <w:b/>
        </w:rPr>
        <w:t>double taxation</w:t>
      </w:r>
      <w:r>
        <w:t xml:space="preserve"> without proper treaty relief.</w:t>
      </w:r>
    </w:p>
    <w:p>
      <w:r>
        <w:rPr>
          <w:b/>
        </w:rPr>
        <w:t>Examples:</w:t>
      </w:r>
      <w:r>
        <w:t xml:space="preserve"> Egypt (40.55% CIT), Indonesia post-2017 (22% CIT), Vietnam, Libya</w:t>
      </w:r>
    </w:p>
    <w:p>
      <w:pPr>
        <w:pStyle w:val="Heading3"/>
      </w:pPr>
      <w:r>
        <w:t>3.3 Risk Service Contract (RSC)</w:t>
      </w:r>
    </w:p>
    <w:p>
      <w:r>
        <w:rPr>
          <w:b/>
        </w:rPr>
        <w:t>Structure:</w:t>
      </w:r>
    </w:p>
    <w:p>
      <w:pPr>
        <w:pStyle w:val="ListBullet"/>
      </w:pPr>
      <w:r>
        <w:t xml:space="preserve">Contractor provides services for a </w:t>
      </w:r>
      <w:r>
        <w:rPr>
          <w:b/>
        </w:rPr>
        <w:t>fixed fee or percentage</w:t>
      </w:r>
      <w:r>
        <w:t xml:space="preserve"> of production</w:t>
      </w:r>
    </w:p>
    <w:p>
      <w:pPr>
        <w:pStyle w:val="ListBullet"/>
      </w:pPr>
      <w:r>
        <w:rPr>
          <w:b/>
        </w:rPr>
        <w:t>No cost recovery</w:t>
      </w:r>
      <w:r>
        <w:t xml:space="preserve"> - government bears cost risk</w:t>
      </w:r>
    </w:p>
    <w:p>
      <w:pPr>
        <w:pStyle w:val="ListBullet"/>
      </w:pPr>
      <w:r>
        <w:t>Contractor has no equity stake in reserves</w:t>
      </w:r>
    </w:p>
    <w:p>
      <w:r>
        <w:rPr>
          <w:b/>
        </w:rPr>
        <w:t>Examples:</w:t>
      </w:r>
      <w:r>
        <w:t xml:space="preserve"> Iran buy-back contracts, historical Mexican contracts (pre-2014 reform)</w:t>
      </w:r>
    </w:p>
    <w:p>
      <w:r>
        <w:rPr>
          <w:b/>
        </w:rPr>
        <w:t>Distinguishing Features:</w:t>
      </w:r>
    </w:p>
    <w:p>
      <w:pPr>
        <w:pStyle w:val="ListBullet"/>
      </w:pPr>
      <w:r>
        <w:t>Minimal exploration risk for contractor</w:t>
      </w:r>
    </w:p>
    <w:p>
      <w:pPr>
        <w:pStyle w:val="ListBullet"/>
      </w:pPr>
      <w:r>
        <w:t>Lower returns but guaranteed fee</w:t>
      </w:r>
    </w:p>
    <w:p>
      <w:pPr>
        <w:pStyle w:val="ListBullet"/>
      </w:pPr>
      <w:r>
        <w:t>Used in jurisdictions with strong NOCs and political sensitivities about foreign ownership</w:t>
      </w:r>
    </w:p>
    <w:p>
      <w:pPr>
        <w:pStyle w:val="Heading3"/>
      </w:pPr>
      <w:r>
        <w:t>3.4 Progressive and Sliding Scale PSCs</w:t>
      </w:r>
    </w:p>
    <w:p>
      <w:r>
        <w:rPr>
          <w:b/>
        </w:rPr>
        <w:t>R-Factor Based:</w:t>
      </w:r>
    </w:p>
    <w:p>
      <w:pPr>
        <w:pStyle w:val="ListBullet"/>
      </w:pPr>
      <w:r>
        <w:t xml:space="preserve">Profit split adjusts based on </w:t>
      </w:r>
      <w:r>
        <w:rPr>
          <w:b/>
        </w:rPr>
        <w:t>cumulative revenue/cost ratio (R-Factor)</w:t>
      </w:r>
    </w:p>
    <w:p>
      <w:pPr>
        <w:pStyle w:val="ListBullet"/>
      </w:pPr>
      <w:r>
        <w:t>As R-Factor increases, government share increases</w:t>
      </w:r>
    </w:p>
    <w:p>
      <w:pPr>
        <w:pStyle w:val="ListBullet"/>
      </w:pPr>
      <w:r>
        <w:t>Examples: Azerbaijan, Trinidad &amp; Tobago, Ghana</w:t>
      </w:r>
    </w:p>
    <w:p>
      <w:pPr>
        <w:shd w:fill="F0F0F0"/>
        <w:spacing w:after="0" w:line="240" w:lineRule="auto"/>
      </w:pPr>
      <w:r>
        <w:rPr>
          <w:rFonts w:ascii="Courier New" w:hAnsi="Courier New"/>
          <w:sz w:val="20"/>
        </w:rPr>
        <w:t>R-Factor = Cumulative Revenue / Cumulative Costs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 &lt; 1.5:  Government 60% / Contractor 40%</w:t>
      </w:r>
    </w:p>
    <w:p>
      <w:pPr>
        <w:shd w:fill="F0F0F0"/>
        <w:spacing w:after="0" w:line="240" w:lineRule="auto"/>
      </w:pPr>
      <w:r>
        <w:rPr>
          <w:rFonts w:ascii="Courier New" w:hAnsi="Courier New"/>
          <w:sz w:val="20"/>
        </w:rPr>
        <w:t>R 1.5-2.0: Government 70% / Contractor 30%</w:t>
      </w:r>
    </w:p>
    <w:p>
      <w:pPr>
        <w:shd w:fill="F0F0F0"/>
        <w:spacing w:after="0" w:line="240" w:lineRule="auto"/>
      </w:pPr>
      <w:r>
        <w:rPr>
          <w:rFonts w:ascii="Courier New" w:hAnsi="Courier New"/>
          <w:sz w:val="20"/>
        </w:rPr>
        <w:t>R &gt; 2.0:  Government 80% / Contractor 20%</w:t>
      </w:r>
    </w:p>
    <w:p/>
    <w:p>
      <w:r>
        <w:rPr>
          <w:b/>
        </w:rPr>
        <w:t>Price/Production Sliding Scale:</w:t>
      </w:r>
    </w:p>
    <w:p>
      <w:pPr>
        <w:pStyle w:val="ListBullet"/>
      </w:pPr>
      <w:r>
        <w:t>Profit split varies with daily production levels or oil price</w:t>
      </w:r>
    </w:p>
    <w:p>
      <w:pPr>
        <w:pStyle w:val="ListBullet"/>
      </w:pPr>
      <w:r>
        <w:t>Examples: Timor-Leste, some Nigerian PSCs</w:t>
      </w:r>
    </w:p>
    <w:p>
      <w:pPr>
        <w:spacing w:before="120" w:after="120"/>
        <w:pBdr>
          <w:bottom w:val="single" w:sz="6" w:space="1" w:color="auto"/>
        </w:pBdr>
      </w:pPr>
    </w:p>
    <w:p>
      <w:pPr>
        <w:pStyle w:val="Heading2"/>
      </w:pPr>
      <w:r>
        <w:t>4. Advantages and Challenges</w:t>
      </w:r>
    </w:p>
    <w:p>
      <w:pPr>
        <w:pStyle w:val="Heading3"/>
      </w:pPr>
      <w:r>
        <w:t>4.1 Advantages for Host Governments</w:t>
      </w:r>
    </w:p>
    <w:p>
      <w:pPr>
        <w:pStyle w:val="ListNumber"/>
      </w:pPr>
      <w:r>
        <w:rPr>
          <w:b/>
        </w:rPr>
        <w:t>Retained Sovereignty:</w:t>
      </w:r>
      <w:r>
        <w:t xml:space="preserve"> State maintains legal ownership throughout. This is particularly important in jurisdictions where constitutional provisions mandate state ownership of subsurface resources, or where political considerations favor continued state control over strategic assets.</w:t>
      </w:r>
    </w:p>
    <w:p>
      <w:pPr>
        <w:pStyle w:val="ListNumber"/>
      </w:pPr>
      <w:r>
        <w:rPr>
          <w:b/>
        </w:rPr>
        <w:t>Higher Government Take:</w:t>
      </w:r>
      <w:r>
        <w:t xml:space="preserve"> Typically 70-90% vs. 40-75% in proprietorial regimes. The production sharing mechanism allows governments to capture a larger share of resource rents without relying solely on tax instruments, which can be subject to avoidance strategies.</w:t>
      </w:r>
    </w:p>
    <w:p>
      <w:pPr>
        <w:pStyle w:val="ListNumber"/>
      </w:pPr>
      <w:r>
        <w:rPr>
          <w:b/>
        </w:rPr>
        <w:t>Fiscal Stability:</w:t>
      </w:r>
      <w:r>
        <w:t xml:space="preserve"> Contractual terms resist legislative changes. Long-term PSCs (20-30 years) provide contractual protection that helps attract foreign investment by reducing sovereign risk.</w:t>
      </w:r>
    </w:p>
    <w:p>
      <w:pPr>
        <w:pStyle w:val="ListNumber"/>
      </w:pPr>
      <w:r>
        <w:rPr>
          <w:b/>
        </w:rPr>
        <w:t>Political Acceptability:</w:t>
      </w:r>
      <w:r>
        <w:t xml:space="preserve"> Aligns with resource nationalism policies prevalent in developing countries and major oil exporters, where public sentiment favors state ownership of natural resources.</w:t>
      </w:r>
    </w:p>
    <w:p>
      <w:pPr>
        <w:pStyle w:val="ListNumber"/>
      </w:pPr>
      <w:r>
        <w:rPr>
          <w:b/>
        </w:rPr>
        <w:t>Direct Control:</w:t>
      </w:r>
      <w:r>
        <w:t xml:space="preserve"> State (via NOC) participates in operations and decisions, enabling technology transfer, skills development, and operational oversight.</w:t>
      </w:r>
    </w:p>
    <w:p>
      <w:pPr>
        <w:pStyle w:val="Heading3"/>
      </w:pPr>
      <w:r>
        <w:t>4.2 Advantages for Contractors</w:t>
      </w:r>
    </w:p>
    <w:p>
      <w:pPr>
        <w:pStyle w:val="ListNumber"/>
      </w:pPr>
      <w:r>
        <w:rPr>
          <w:b/>
        </w:rPr>
        <w:t>Fiscal Stability:</w:t>
      </w:r>
      <w:r>
        <w:t xml:space="preserve"> Stabilization clauses protect against unilateral changes</w:t>
      </w:r>
    </w:p>
    <w:p>
      <w:pPr>
        <w:pStyle w:val="ListNumber"/>
      </w:pPr>
      <w:r>
        <w:rPr>
          <w:b/>
        </w:rPr>
        <w:t>Cost Recovery Certainty:</w:t>
      </w:r>
      <w:r>
        <w:t xml:space="preserve"> Contractually defined mechanism</w:t>
      </w:r>
    </w:p>
    <w:p>
      <w:pPr>
        <w:pStyle w:val="ListNumber"/>
      </w:pPr>
      <w:r>
        <w:rPr>
          <w:b/>
        </w:rPr>
        <w:t>Reduced Transfer Pricing Risk:</w:t>
      </w:r>
      <w:r>
        <w:t xml:space="preserve"> Limited to cost recovery audits, not full TP exposure</w:t>
      </w:r>
    </w:p>
    <w:p>
      <w:pPr>
        <w:pStyle w:val="ListNumber"/>
      </w:pPr>
      <w:r>
        <w:rPr>
          <w:b/>
        </w:rPr>
        <w:t>International Arbitration:</w:t>
      </w:r>
      <w:r>
        <w:t xml:space="preserve"> Disputes resolved outside domestic courts (ICSID, ICC)</w:t>
      </w:r>
    </w:p>
    <w:p>
      <w:pPr>
        <w:pStyle w:val="Heading3"/>
      </w:pPr>
      <w:r>
        <w:t>4.3 Challenges and Complexities</w:t>
      </w:r>
    </w:p>
    <w:p>
      <w:pPr>
        <w:pStyle w:val="ListNumber"/>
      </w:pPr>
      <w:r>
        <w:rPr>
          <w:b/>
        </w:rPr>
        <w:t>Complex Accounting:</w:t>
      </w:r>
      <w:r>
        <w:t xml:space="preserve"> PSC-specific accounting separate from IFRS/GAAP</w:t>
      </w:r>
    </w:p>
    <w:p>
      <w:pPr>
        <w:pStyle w:val="ListNumber"/>
      </w:pPr>
      <w:r>
        <w:rPr>
          <w:b/>
        </w:rPr>
        <w:t>Limited Loss Relief:</w:t>
      </w:r>
      <w:r>
        <w:t xml:space="preserve"> Contract-level ring-fencing prevents cross-project offset</w:t>
      </w:r>
    </w:p>
    <w:p>
      <w:pPr>
        <w:pStyle w:val="ListNumber"/>
      </w:pPr>
      <w:r>
        <w:rPr>
          <w:b/>
        </w:rPr>
        <w:t>Cost Recovery Timing:</w:t>
      </w:r>
      <w:r>
        <w:t xml:space="preserve"> Ceiling and depreciation create cash flow delays</w:t>
      </w:r>
    </w:p>
    <w:p>
      <w:pPr>
        <w:pStyle w:val="ListNumber"/>
      </w:pPr>
      <w:r>
        <w:rPr>
          <w:b/>
        </w:rPr>
        <w:t>Reserves Booking:</w:t>
      </w:r>
      <w:r>
        <w:t xml:space="preserve"> Challenges in booking proved reserves under SEC/IFRS rules</w:t>
      </w:r>
    </w:p>
    <w:p>
      <w:pPr>
        <w:pStyle w:val="ListNumber"/>
      </w:pPr>
      <w:r>
        <w:rPr>
          <w:b/>
        </w:rPr>
        <w:t>Contractor Share Variability:</w:t>
      </w:r>
      <w:r>
        <w:t xml:space="preserve"> Revenue uncertainty due to production sharing mechanics</w:t>
      </w:r>
    </w:p>
    <w:p>
      <w:pPr>
        <w:spacing w:before="120" w:after="120"/>
        <w:pBdr>
          <w:bottom w:val="single" w:sz="6" w:space="1" w:color="auto"/>
        </w:pBdr>
      </w:pPr>
    </w:p>
    <w:p>
      <w:pPr>
        <w:pStyle w:val="Heading2"/>
      </w:pPr>
      <w:r>
        <w:t>5. Worked Example: Indonesian PSC Calculation (Gross Split Model)</w:t>
      </w:r>
    </w:p>
    <w:p>
      <w:r>
        <w:t>═══════════════════════════════════════════</w:t>
      </w:r>
    </w:p>
    <w:p>
      <w:r>
        <w:rPr>
          <w:b/>
        </w:rPr>
        <w:t>WORKED EXAMPLE 1: Indonesia Gross Split PSC</w:t>
      </w:r>
    </w:p>
    <w:p>
      <w:r>
        <w:t>═══════════════════════════════════════════</w:t>
      </w:r>
    </w:p>
    <w:p>
      <w:r>
        <w:rPr>
          <w:b/>
        </w:rPr>
        <w:t>Facts:</w:t>
      </w:r>
    </w:p>
    <w:p>
      <w:r>
        <w:t>TropicOil Indonesia operates under a 2018 Gross Split PSC (no cost recovery mechanism). Year 2025 financials: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w:t>
            </w:r>
          </w:p>
        </w:tc>
      </w:tr>
      <w:tr>
        <w:tc>
          <w:tcPr>
            <w:tcW w:type="dxa" w:w="4320"/>
          </w:tcPr>
          <w:p>
            <w:r/>
            <w:r>
              <w:t>Gross production</w:t>
            </w:r>
          </w:p>
        </w:tc>
        <w:tc>
          <w:tcPr>
            <w:tcW w:type="dxa" w:w="4320"/>
          </w:tcPr>
          <w:p>
            <w:r/>
            <w:r>
              <w:t>2,000,000 barrels</w:t>
            </w:r>
          </w:p>
        </w:tc>
      </w:tr>
      <w:tr>
        <w:tc>
          <w:tcPr>
            <w:tcW w:type="dxa" w:w="4320"/>
          </w:tcPr>
          <w:p>
            <w:r/>
            <w:r>
              <w:t>Oil price (realized)</w:t>
            </w:r>
          </w:p>
        </w:tc>
        <w:tc>
          <w:tcPr>
            <w:tcW w:type="dxa" w:w="4320"/>
          </w:tcPr>
          <w:p>
            <w:r/>
            <w:r>
              <w:t>$60/barrel</w:t>
            </w:r>
          </w:p>
        </w:tc>
      </w:tr>
      <w:tr>
        <w:tc>
          <w:tcPr>
            <w:tcW w:type="dxa" w:w="4320"/>
          </w:tcPr>
          <w:p>
            <w:r/>
            <w:r>
              <w:t>Operating expenditure</w:t>
            </w:r>
          </w:p>
        </w:tc>
        <w:tc>
          <w:tcPr>
            <w:tcW w:type="dxa" w:w="4320"/>
          </w:tcPr>
          <w:p>
            <w:r/>
            <w:r>
              <w:t>$15,000,000</w:t>
            </w:r>
          </w:p>
        </w:tc>
      </w:tr>
      <w:tr>
        <w:tc>
          <w:tcPr>
            <w:tcW w:type="dxa" w:w="4320"/>
          </w:tcPr>
          <w:p>
            <w:r/>
            <w:r>
              <w:t>Capital expenditure (new drilling)</w:t>
            </w:r>
          </w:p>
        </w:tc>
        <w:tc>
          <w:tcPr>
            <w:tcW w:type="dxa" w:w="4320"/>
          </w:tcPr>
          <w:p>
            <w:r/>
            <w:r>
              <w:t>$20,000,000</w:t>
            </w:r>
          </w:p>
        </w:tc>
      </w:tr>
      <w:tr>
        <w:tc>
          <w:tcPr>
            <w:tcW w:type="dxa" w:w="4320"/>
          </w:tcPr>
          <w:p>
            <w:r/>
            <w:r>
              <w:t>Base split (contractor)</w:t>
            </w:r>
          </w:p>
        </w:tc>
        <w:tc>
          <w:tcPr>
            <w:tcW w:type="dxa" w:w="4320"/>
          </w:tcPr>
          <w:p>
            <w:r/>
            <w:r>
              <w:t>43%</w:t>
            </w:r>
          </w:p>
        </w:tc>
      </w:tr>
      <w:tr>
        <w:tc>
          <w:tcPr>
            <w:tcW w:type="dxa" w:w="4320"/>
          </w:tcPr>
          <w:p>
            <w:r/>
            <w:r>
              <w:t>Production bonus (&gt;100k bbl/day)</w:t>
            </w:r>
          </w:p>
        </w:tc>
        <w:tc>
          <w:tcPr>
            <w:tcW w:type="dxa" w:w="4320"/>
          </w:tcPr>
          <w:p>
            <w:r/>
            <w:r>
              <w:t>+2%</w:t>
            </w:r>
          </w:p>
        </w:tc>
      </w:tr>
      <w:tr>
        <w:tc>
          <w:tcPr>
            <w:tcW w:type="dxa" w:w="4320"/>
          </w:tcPr>
          <w:p>
            <w:r/>
            <w:r>
              <w:t>Onshore location adjustment</w:t>
            </w:r>
          </w:p>
        </w:tc>
        <w:tc>
          <w:tcPr>
            <w:tcW w:type="dxa" w:w="4320"/>
          </w:tcPr>
          <w:p>
            <w:r/>
            <w:r>
              <w:t>+3%</w:t>
            </w:r>
          </w:p>
        </w:tc>
      </w:tr>
    </w:tbl>
    <w:p/>
    <w:p>
      <w:r>
        <w:rPr>
          <w:b/>
        </w:rPr>
        <w:t>Required:</w:t>
      </w:r>
    </w:p>
    <w:p>
      <w:r>
        <w:t>Calculate contractor's net revenue and government share.</w:t>
      </w:r>
    </w:p>
    <w:p>
      <w:r>
        <w:rPr>
          <w:b/>
        </w:rPr>
        <w:t>Analysis:</w:t>
      </w:r>
    </w:p>
    <w:p>
      <w:r>
        <w:t xml:space="preserve">Indonesia's </w:t>
      </w:r>
      <w:r>
        <w:rPr>
          <w:b/>
        </w:rPr>
        <w:t>Gross Split PSC</w:t>
      </w:r>
      <w:r>
        <w:t xml:space="preserve"> (post-2017) eliminates cost recovery. Instead, the contractor receives an </w:t>
      </w:r>
      <w:r>
        <w:rPr>
          <w:b/>
        </w:rPr>
        <w:t>adjusted percentage</w:t>
      </w:r>
      <w:r>
        <w:t xml:space="preserve"> of gross production based on fiscal incentives.</w:t>
      </w:r>
    </w:p>
    <w:p>
      <w:r>
        <w:rPr>
          <w:b/>
        </w:rPr>
        <w:t>Calculation:</w:t>
      </w:r>
    </w:p>
    <w:p>
      <w:r>
        <w:rPr>
          <w:b/>
        </w:rPr>
        <w:t>Step 1: Determine Contractor Split</w:t>
      </w:r>
    </w:p>
    <w:p>
      <w:pPr>
        <w:shd w:fill="F0F0F0"/>
        <w:spacing w:after="0" w:line="240" w:lineRule="auto"/>
      </w:pPr>
      <w:r>
        <w:rPr>
          <w:rFonts w:ascii="Courier New" w:hAnsi="Courier New"/>
          <w:sz w:val="20"/>
        </w:rPr>
        <w:t>Base contractor split:                      43%</w:t>
      </w:r>
    </w:p>
    <w:p>
      <w:pPr>
        <w:shd w:fill="F0F0F0"/>
        <w:spacing w:after="0" w:line="240" w:lineRule="auto"/>
      </w:pPr>
      <w:r>
        <w:rPr>
          <w:rFonts w:ascii="Courier New" w:hAnsi="Courier New"/>
          <w:sz w:val="20"/>
        </w:rPr>
        <w:t>Progressive split adjustments:</w:t>
      </w:r>
    </w:p>
    <w:p>
      <w:pPr>
        <w:shd w:fill="F0F0F0"/>
        <w:spacing w:after="0" w:line="240" w:lineRule="auto"/>
      </w:pPr>
      <w:r>
        <w:rPr>
          <w:rFonts w:ascii="Courier New" w:hAnsi="Courier New"/>
          <w:sz w:val="20"/>
        </w:rPr>
        <w:t xml:space="preserve">  + Production bonus (&gt;100k bbl/day):       +2%</w:t>
      </w:r>
    </w:p>
    <w:p>
      <w:pPr>
        <w:shd w:fill="F0F0F0"/>
        <w:spacing w:after="0" w:line="240" w:lineRule="auto"/>
      </w:pPr>
      <w:r>
        <w:rPr>
          <w:rFonts w:ascii="Courier New" w:hAnsi="Courier New"/>
          <w:sz w:val="20"/>
        </w:rPr>
        <w:t xml:space="preserve">  + Onshore location:                       +3%</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Final contractor split:                     48%</w:t>
      </w:r>
    </w:p>
    <w:p>
      <w:pPr>
        <w:shd w:fill="F0F0F0"/>
        <w:spacing w:after="0" w:line="240" w:lineRule="auto"/>
      </w:pPr>
      <w:r>
        <w:rPr>
          <w:rFonts w:ascii="Courier New" w:hAnsi="Courier New"/>
          <w:sz w:val="20"/>
        </w:rPr>
        <w:t>Government split:                           52%</w:t>
      </w:r>
    </w:p>
    <w:p/>
    <w:p>
      <w:r>
        <w:rPr>
          <w:b/>
        </w:rPr>
        <w:t>Step 2: Calculate Revenue Allocation</w:t>
      </w:r>
    </w:p>
    <w:p>
      <w:pPr>
        <w:shd w:fill="F0F0F0"/>
        <w:spacing w:after="0" w:line="240" w:lineRule="auto"/>
      </w:pPr>
      <w:r>
        <w:rPr>
          <w:rFonts w:ascii="Courier New" w:hAnsi="Courier New"/>
          <w:sz w:val="20"/>
        </w:rPr>
        <w:t>Gross production value = 2,000,000 barrels × $60 = $120,000,000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Contractor entitlement:</w:t>
      </w:r>
    </w:p>
    <w:p>
      <w:pPr>
        <w:shd w:fill="F0F0F0"/>
        <w:spacing w:after="0" w:line="240" w:lineRule="auto"/>
      </w:pPr>
      <w:r>
        <w:rPr>
          <w:rFonts w:ascii="Courier New" w:hAnsi="Courier New"/>
          <w:sz w:val="20"/>
        </w:rPr>
        <w:t xml:space="preserve">  48% × $120,000,000 = $57,600,000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Government entitlement:</w:t>
      </w:r>
    </w:p>
    <w:p>
      <w:pPr>
        <w:shd w:fill="F0F0F0"/>
        <w:spacing w:after="0" w:line="240" w:lineRule="auto"/>
      </w:pPr>
      <w:r>
        <w:rPr>
          <w:rFonts w:ascii="Courier New" w:hAnsi="Courier New"/>
          <w:sz w:val="20"/>
        </w:rPr>
        <w:t xml:space="preserve">  52% × $120,000,000 = $62,400,000</w:t>
      </w:r>
    </w:p>
    <w:p/>
    <w:p>
      <w:r>
        <w:rPr>
          <w:b/>
        </w:rPr>
        <w:t>Step 3: Calculate Corporate Income Tax</w:t>
      </w:r>
    </w:p>
    <w:p>
      <w:pPr>
        <w:shd w:fill="F0F0F0"/>
        <w:spacing w:after="0" w:line="240" w:lineRule="auto"/>
      </w:pPr>
      <w:r>
        <w:rPr>
          <w:rFonts w:ascii="Courier New" w:hAnsi="Courier New"/>
          <w:sz w:val="20"/>
        </w:rPr>
        <w:t>Contractor gross revenue:           $57,600,000</w:t>
      </w:r>
    </w:p>
    <w:p>
      <w:pPr>
        <w:shd w:fill="F0F0F0"/>
        <w:spacing w:after="0" w:line="240" w:lineRule="auto"/>
      </w:pPr>
      <w:r>
        <w:rPr>
          <w:rFonts w:ascii="Courier New" w:hAnsi="Courier New"/>
          <w:sz w:val="20"/>
        </w:rPr>
        <w:t>Less: Operating expenditure:       ($15,000,000)</w:t>
      </w:r>
    </w:p>
    <w:p>
      <w:pPr>
        <w:shd w:fill="F0F0F0"/>
        <w:spacing w:after="0" w:line="240" w:lineRule="auto"/>
      </w:pPr>
      <w:r>
        <w:rPr>
          <w:rFonts w:ascii="Courier New" w:hAnsi="Courier New"/>
          <w:sz w:val="20"/>
        </w:rPr>
        <w:t>Less: Depreciation (20% × $20M):    ($4,000,000)</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Taxable income:                     $38,600,000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Corporate income tax @ 22%:          $8,492,000</w:t>
      </w:r>
    </w:p>
    <w:p/>
    <w:p>
      <w:r>
        <w:rPr>
          <w:b/>
        </w:rPr>
        <w:t>Step 4: Net Contractor Position</w:t>
      </w:r>
    </w:p>
    <w:p>
      <w:pPr>
        <w:shd w:fill="F0F0F0"/>
        <w:spacing w:after="0" w:line="240" w:lineRule="auto"/>
      </w:pPr>
      <w:r>
        <w:rPr>
          <w:rFonts w:ascii="Courier New" w:hAnsi="Courier New"/>
          <w:sz w:val="20"/>
        </w:rPr>
        <w:t>Contractor oil revenue:             $57,600,000</w:t>
      </w:r>
    </w:p>
    <w:p>
      <w:pPr>
        <w:shd w:fill="F0F0F0"/>
        <w:spacing w:after="0" w:line="240" w:lineRule="auto"/>
      </w:pPr>
      <w:r>
        <w:rPr>
          <w:rFonts w:ascii="Courier New" w:hAnsi="Courier New"/>
          <w:sz w:val="20"/>
        </w:rPr>
        <w:t>Less: Operating costs:             ($15,000,000)</w:t>
      </w:r>
    </w:p>
    <w:p>
      <w:pPr>
        <w:shd w:fill="F0F0F0"/>
        <w:spacing w:after="0" w:line="240" w:lineRule="auto"/>
      </w:pPr>
      <w:r>
        <w:rPr>
          <w:rFonts w:ascii="Courier New" w:hAnsi="Courier New"/>
          <w:sz w:val="20"/>
        </w:rPr>
        <w:t>Less: Capital costs (cash):        ($20,000,000)</w:t>
      </w:r>
    </w:p>
    <w:p>
      <w:pPr>
        <w:shd w:fill="F0F0F0"/>
        <w:spacing w:after="0" w:line="240" w:lineRule="auto"/>
      </w:pPr>
      <w:r>
        <w:rPr>
          <w:rFonts w:ascii="Courier New" w:hAnsi="Courier New"/>
          <w:sz w:val="20"/>
        </w:rPr>
        <w:t>Less: Corporate tax:                ($8,492,000)</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Net cash flow (Year 1):             $14,108,000</w:t>
      </w:r>
    </w:p>
    <w:p/>
    <w:p>
      <w:r>
        <w:rPr>
          <w:b/>
        </w:rPr>
        <w:t>Step 5: Total Government Take</w:t>
      </w:r>
    </w:p>
    <w:p>
      <w:pPr>
        <w:shd w:fill="F0F0F0"/>
        <w:spacing w:after="0" w:line="240" w:lineRule="auto"/>
      </w:pPr>
      <w:r>
        <w:rPr>
          <w:rFonts w:ascii="Courier New" w:hAnsi="Courier New"/>
          <w:sz w:val="20"/>
        </w:rPr>
        <w:t>Government production share:        $62,400,000</w:t>
      </w:r>
    </w:p>
    <w:p>
      <w:pPr>
        <w:shd w:fill="F0F0F0"/>
        <w:spacing w:after="0" w:line="240" w:lineRule="auto"/>
      </w:pPr>
      <w:r>
        <w:rPr>
          <w:rFonts w:ascii="Courier New" w:hAnsi="Courier New"/>
          <w:sz w:val="20"/>
        </w:rPr>
        <w:t>Corporate income tax collected:      $8,492,000</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Total government revenue:           $70,892,000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Government take % = $70,892,000 / $120,000,000 = 59.1%</w:t>
      </w:r>
    </w:p>
    <w:p/>
    <w:p>
      <w:r>
        <w:rPr>
          <w:b/>
        </w:rPr>
        <w:t>Conclusion:</w:t>
      </w:r>
    </w:p>
    <w:p>
      <w:r>
        <w:t xml:space="preserve">Under the </w:t>
      </w:r>
      <w:r>
        <w:rPr>
          <w:b/>
        </w:rPr>
        <w:t>Gross Split PSC</w:t>
      </w:r>
      <w:r>
        <w:t xml:space="preserve"> model:</w:t>
      </w:r>
    </w:p>
    <w:p>
      <w:pPr>
        <w:pStyle w:val="ListBullet"/>
      </w:pPr>
      <w:r>
        <w:t xml:space="preserve">Contractor receives </w:t>
      </w:r>
      <w:r>
        <w:rPr>
          <w:b/>
        </w:rPr>
        <w:t>48%</w:t>
      </w:r>
      <w:r>
        <w:t xml:space="preserve"> of gross production (before costs and tax)</w:t>
      </w:r>
    </w:p>
    <w:p>
      <w:pPr>
        <w:pStyle w:val="ListBullet"/>
      </w:pPr>
      <w:r>
        <w:t xml:space="preserve">Government receives </w:t>
      </w:r>
      <w:r>
        <w:rPr>
          <w:b/>
        </w:rPr>
        <w:t>52%</w:t>
      </w:r>
      <w:r>
        <w:t xml:space="preserve"> directly + </w:t>
      </w:r>
      <w:r>
        <w:rPr>
          <w:b/>
        </w:rPr>
        <w:t>$8.5M</w:t>
      </w:r>
      <w:r>
        <w:t xml:space="preserve"> in corporate tax = </w:t>
      </w:r>
      <w:r>
        <w:rPr>
          <w:b/>
        </w:rPr>
        <w:t>59.1% total take</w:t>
      </w:r>
    </w:p>
    <w:p>
      <w:pPr>
        <w:pStyle w:val="ListBullet"/>
      </w:pPr>
      <w:r>
        <w:rPr>
          <w:b/>
        </w:rPr>
        <w:t>No cost recovery mechanism</w:t>
      </w:r>
      <w:r>
        <w:t xml:space="preserve"> means contractor bears timing risk on capital expenditure</w:t>
      </w:r>
    </w:p>
    <w:p>
      <w:pPr>
        <w:pStyle w:val="ListBullet"/>
      </w:pPr>
      <w:r>
        <w:t xml:space="preserve">Contractor's after-tax, after-cost return = </w:t>
      </w:r>
      <w:r>
        <w:rPr>
          <w:b/>
        </w:rPr>
        <w:t>11.8%</w:t>
      </w:r>
      <w:r>
        <w:t xml:space="preserve"> of gross revenue ($14.1M / $120M)</w:t>
      </w:r>
    </w:p>
    <w:p>
      <w:r>
        <w:t xml:space="preserve">This model </w:t>
      </w:r>
      <w:r>
        <w:rPr>
          <w:b/>
        </w:rPr>
        <w:t>simplifies administration</w:t>
      </w:r>
      <w:r>
        <w:t xml:space="preserve"> (no cost recovery audits) but </w:t>
      </w:r>
      <w:r>
        <w:rPr>
          <w:b/>
        </w:rPr>
        <w:t>increases contractor risk</w:t>
      </w:r>
      <w:r>
        <w:t xml:space="preserve"> during high-capex development phases.</w:t>
      </w:r>
    </w:p>
    <w:p>
      <w:r>
        <w:t>═══════════════════════════════════════════</w:t>
      </w:r>
    </w:p>
    <w:p>
      <w:pPr>
        <w:spacing w:before="120" w:after="120"/>
        <w:pBdr>
          <w:bottom w:val="single" w:sz="6" w:space="1" w:color="auto"/>
        </w:pBdr>
      </w:pPr>
    </w:p>
    <w:p>
      <w:pPr>
        <w:pStyle w:val="Heading2"/>
      </w:pPr>
      <w:r>
        <w:t>6. Cross-Border and Treaty Considerations</w:t>
      </w:r>
    </w:p>
    <w:p>
      <w:pPr>
        <w:pStyle w:val="Heading3"/>
      </w:pPr>
      <w:r>
        <w:t>6.1 Permanent Establishment</w:t>
      </w:r>
    </w:p>
    <w:p>
      <w:r>
        <w:t xml:space="preserve">Under non-proprietorial PSCs, the </w:t>
      </w:r>
      <w:r>
        <w:rPr>
          <w:b/>
        </w:rPr>
        <w:t>contract area typically creates a PE</w:t>
      </w:r>
      <w:r>
        <w:t xml:space="preserve"> under Article 5 OECD Model Tax Convention. However, in classic PSCs where profit oil is in lieu of tax, </w:t>
      </w:r>
      <w:r>
        <w:rPr>
          <w:b/>
        </w:rPr>
        <w:t>no separate CIT liability</w:t>
      </w:r>
      <w:r>
        <w:t xml:space="preserve"> arises (government take through production sharing only).</w:t>
      </w:r>
    </w:p>
    <w:p>
      <w:pPr>
        <w:pStyle w:val="Heading3"/>
      </w:pPr>
      <w:r>
        <w:t>6.2 Tax Treaty Application (Tax/Royalty PSCs)</w:t>
      </w:r>
    </w:p>
    <w:p>
      <w:r>
        <w:t>For PSCs where contractors pay separate CIT:</w:t>
      </w:r>
    </w:p>
    <w:p>
      <w:r>
        <w:rPr>
          <w:b/>
        </w:rPr>
        <w:t>Withholding Taxes:</w:t>
      </w:r>
    </w:p>
    <w:p>
      <w:pPr>
        <w:pStyle w:val="ListBullet"/>
      </w:pPr>
      <w:r>
        <w:rPr>
          <w:b/>
        </w:rPr>
        <w:t>Dividends</w:t>
      </w:r>
      <w:r>
        <w:t>: Domestic rate (often 20-25%), treaty-reduced to 5-15%</w:t>
      </w:r>
    </w:p>
    <w:p>
      <w:pPr>
        <w:pStyle w:val="ListBullet"/>
      </w:pPr>
      <w:r>
        <w:rPr>
          <w:b/>
        </w:rPr>
        <w:t>Interest</w:t>
      </w:r>
      <w:r>
        <w:t>: 10-20% (treaties may reduce to 0-10%)</w:t>
      </w:r>
    </w:p>
    <w:p>
      <w:pPr>
        <w:pStyle w:val="ListBullet"/>
      </w:pPr>
      <w:r>
        <w:rPr>
          <w:b/>
        </w:rPr>
        <w:t>Royalties</w:t>
      </w:r>
      <w:r>
        <w:t xml:space="preserve"> (for technology/IP): 10-20% (treaties reduce to 0-10%)</w:t>
      </w:r>
    </w:p>
    <w:p>
      <w:r>
        <w:rPr>
          <w:b/>
        </w:rPr>
        <w:t>Tax Credit Relief:</w:t>
      </w:r>
    </w:p>
    <w:p>
      <w:pPr>
        <w:pStyle w:val="ListBullet"/>
      </w:pPr>
      <w:r>
        <w:t xml:space="preserve">Contractor's home country should provide </w:t>
      </w:r>
      <w:r>
        <w:rPr>
          <w:b/>
        </w:rPr>
        <w:t>foreign tax credit</w:t>
      </w:r>
      <w:r>
        <w:t xml:space="preserve"> for CIT paid on profit oil share</w:t>
      </w:r>
    </w:p>
    <w:p>
      <w:pPr>
        <w:pStyle w:val="ListBullet"/>
      </w:pPr>
      <w:r>
        <w:t>Critical for avoiding double taxation in hybrid PSC regimes</w:t>
      </w:r>
    </w:p>
    <w:p>
      <w:pPr>
        <w:pStyle w:val="Heading3"/>
      </w:pPr>
      <w:r>
        <w:t>6.3 Transfer Pricing in Non-Proprietorial Regimes</w:t>
      </w:r>
    </w:p>
    <w:p>
      <w:r>
        <w:t xml:space="preserve">Transfer pricing risk is </w:t>
      </w:r>
      <w:r>
        <w:rPr>
          <w:b/>
        </w:rPr>
        <w:t>limited</w:t>
      </w:r>
      <w:r>
        <w:t xml:space="preserve"> compared to proprietorial regimes:</w:t>
      </w:r>
    </w:p>
    <w:p>
      <w:r>
        <w:rPr>
          <w:b/>
        </w:rPr>
        <w:t>Areas Subject to TP Review:</w:t>
      </w:r>
    </w:p>
    <w:p>
      <w:pPr>
        <w:pStyle w:val="ListNumber"/>
      </w:pPr>
      <w:r>
        <w:rPr>
          <w:b/>
        </w:rPr>
        <w:t>Cost recovery claims</w:t>
      </w:r>
      <w:r>
        <w:t xml:space="preserve"> for affiliate charges (technical services, seconded staff, head office allocations)</w:t>
      </w:r>
    </w:p>
    <w:p>
      <w:pPr>
        <w:pStyle w:val="ListNumber"/>
      </w:pPr>
      <w:r>
        <w:rPr>
          <w:b/>
        </w:rPr>
        <w:t>Sale of contractor's oil share</w:t>
      </w:r>
      <w:r>
        <w:t xml:space="preserve"> to related parties (must be at arm's length)</w:t>
      </w:r>
    </w:p>
    <w:p>
      <w:pPr>
        <w:pStyle w:val="ListNumber"/>
      </w:pPr>
      <w:r>
        <w:rPr>
          <w:b/>
        </w:rPr>
        <w:t>Financing arrangements</w:t>
      </w:r>
      <w:r>
        <w:t xml:space="preserve"> (interest rates on affiliate loans)</w:t>
      </w:r>
    </w:p>
    <w:p>
      <w:r>
        <w:rPr>
          <w:b/>
        </w:rPr>
        <w:t>Areas Generally NOT Subject to TP:</w:t>
      </w:r>
    </w:p>
    <w:p>
      <w:pPr>
        <w:pStyle w:val="ListBullet"/>
      </w:pPr>
      <w:r>
        <w:t>Government's profit oil share (contractually determined, not transaction-based)</w:t>
      </w:r>
    </w:p>
    <w:p>
      <w:pPr>
        <w:spacing w:before="120" w:after="120"/>
        <w:pBdr>
          <w:bottom w:val="single" w:sz="6" w:space="1" w:color="auto"/>
        </w:pBdr>
      </w:pPr>
    </w:p>
    <w:p>
      <w:pPr>
        <w:pStyle w:val="Heading2"/>
      </w:pPr>
      <w:r>
        <w:t>7. Integration with International Agreements</w:t>
      </w:r>
    </w:p>
    <w:p>
      <w:r>
        <w:t>Non-proprietorial regimes interact with:</w:t>
      </w:r>
    </w:p>
    <w:p>
      <w:r>
        <w:rPr>
          <w:b/>
        </w:rPr>
        <w:t>Bilateral Investment Treaties (BITs):</w:t>
      </w:r>
    </w:p>
    <w:p>
      <w:pPr>
        <w:pStyle w:val="ListBullet"/>
      </w:pPr>
      <w:r>
        <w:t>Critical for protecting PSC stabilization clauses</w:t>
      </w:r>
    </w:p>
    <w:p>
      <w:pPr>
        <w:pStyle w:val="ListBullet"/>
      </w:pPr>
      <w:r>
        <w:t>Provide investor-state arbitration (ICSID, ICC, UNCITRAL)</w:t>
      </w:r>
    </w:p>
    <w:p>
      <w:pPr>
        <w:pStyle w:val="ListBullet"/>
      </w:pPr>
      <w:r>
        <w:t xml:space="preserve">Examples: </w:t>
      </w:r>
      <w:r>
        <w:rPr>
          <w:i/>
        </w:rPr>
        <w:t>Occidental v. Ecuador</w:t>
      </w:r>
      <w:r>
        <w:t xml:space="preserve">, </w:t>
      </w:r>
      <w:r>
        <w:rPr>
          <w:i/>
        </w:rPr>
        <w:t>Chevron v. Republic of Ecuador</w:t>
      </w:r>
    </w:p>
    <w:p>
      <w:r>
        <w:rPr>
          <w:b/>
        </w:rPr>
        <w:t>Tax Treaties:</w:t>
      </w:r>
    </w:p>
    <w:p>
      <w:pPr>
        <w:pStyle w:val="ListBullet"/>
      </w:pPr>
      <w:r>
        <w:t>Prevent double taxation on contractor's profit oil income</w:t>
      </w:r>
    </w:p>
    <w:p>
      <w:pPr>
        <w:pStyle w:val="ListBullet"/>
      </w:pPr>
      <w:r>
        <w:t>Provide reduced withholding rates on dividends, interest, royalties</w:t>
      </w:r>
    </w:p>
    <w:p>
      <w:pPr>
        <w:pStyle w:val="ListBullet"/>
      </w:pPr>
      <w:r>
        <w:t>Allocate taxing rights between source (host) and residence (contractor home) countries</w:t>
      </w:r>
    </w:p>
    <w:p>
      <w:r>
        <w:rPr>
          <w:b/>
        </w:rPr>
        <w:t>Stabilization Clauses:</w:t>
      </w:r>
    </w:p>
    <w:p>
      <w:pPr>
        <w:pStyle w:val="ListBullet"/>
      </w:pPr>
      <w:r>
        <w:rPr>
          <w:b/>
        </w:rPr>
        <w:t>Frozen law clauses</w:t>
      </w:r>
      <w:r>
        <w:t>: Fiscal terms frozen at contract signature (10-30 years)</w:t>
      </w:r>
    </w:p>
    <w:p>
      <w:pPr>
        <w:pStyle w:val="ListBullet"/>
      </w:pPr>
      <w:r>
        <w:rPr>
          <w:b/>
        </w:rPr>
        <w:t>Economic equilibrium clauses</w:t>
      </w:r>
      <w:r>
        <w:t>: Rebalancing mechanism if government take changes</w:t>
      </w:r>
    </w:p>
    <w:p>
      <w:pPr>
        <w:pStyle w:val="ListBullet"/>
      </w:pPr>
      <w:r>
        <w:rPr>
          <w:b/>
        </w:rPr>
        <w:t>Intangibility clauses</w:t>
      </w:r>
      <w:r>
        <w:t>: Contract cannot be amended without mutual consent</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