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spacing w:after="280" w:line="240" w:lineRule="auto"/>
        <w:ind w:left="720" w:hanging="36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JURISDICTION TO TAX</w:t>
      </w:r>
    </w:p>
    <w:p w:rsidR="00000000" w:rsidDel="00000000" w:rsidP="00000000" w:rsidRDefault="00000000" w:rsidRPr="00000000" w14:paraId="00000002">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Jurisdiction to tax refers to the legal authority of a state to impose taxes on individuals, entities, and transactions. This authority is derived from the state's sovereignty and is a fundamental aspect of its governance. In the realm of international taxation, the concept of jurisdiction is crucial as it determines which country has the right to tax certain income, assets, or activities.</w:t>
      </w:r>
    </w:p>
    <w:p w:rsidR="00000000" w:rsidDel="00000000" w:rsidP="00000000" w:rsidRDefault="00000000" w:rsidRPr="00000000" w14:paraId="00000003">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primary bases on which jurisdictions claim the right to tax:</w:t>
      </w:r>
    </w:p>
    <w:p w:rsidR="00000000" w:rsidDel="00000000" w:rsidP="00000000" w:rsidRDefault="00000000" w:rsidRPr="00000000" w14:paraId="00000004">
      <w:pPr>
        <w:numPr>
          <w:ilvl w:val="0"/>
          <w:numId w:val="1"/>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Residence-based Taxation</w:t>
      </w:r>
      <w:r w:rsidDel="00000000" w:rsidR="00000000" w:rsidRPr="00000000">
        <w:rPr>
          <w:rFonts w:ascii="Times New Roman" w:cs="Times New Roman" w:eastAsia="Times New Roman" w:hAnsi="Times New Roman"/>
          <w:rtl w:val="0"/>
        </w:rPr>
        <w:t xml:space="preserve">: A country taxes the global income of its residents, regardless of where the income is earned. This principle is based on the notion that residents benefit from the public goods and services provided by the state and should, therefore, contribute to its funding. For instance, if an individual is considered a resident of Country A, that country may tax all of the individual's income, even if some of it was earned in Country B. The determination of residency can vary by country and often includes factors like physical presence, domicile, and center of vital interests.</w:t>
      </w:r>
    </w:p>
    <w:p w:rsidR="00000000" w:rsidDel="00000000" w:rsidP="00000000" w:rsidRDefault="00000000" w:rsidRPr="00000000" w14:paraId="00000005">
      <w:pPr>
        <w:numPr>
          <w:ilvl w:val="0"/>
          <w:numId w:val="1"/>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Source-based Taxation</w:t>
      </w:r>
      <w:r w:rsidDel="00000000" w:rsidR="00000000" w:rsidRPr="00000000">
        <w:rPr>
          <w:rFonts w:ascii="Times New Roman" w:cs="Times New Roman" w:eastAsia="Times New Roman" w:hAnsi="Times New Roman"/>
          <w:rtl w:val="0"/>
        </w:rPr>
        <w:t xml:space="preserve">: A country taxes income that is sourced within its borders, irrespective of the taxpayer's residence. This principle focuses on the economic activity generating the income, asserting that the country providing the environment for income generation has the right to tax it. For example, if a corporation operates in Country C and generates profits there, Country C will assert the right to tax those profits. This approach emphasizes the location where the income-generating activities take place.</w:t>
      </w:r>
    </w:p>
    <w:p w:rsidR="00000000" w:rsidDel="00000000" w:rsidP="00000000" w:rsidRDefault="00000000" w:rsidRPr="00000000" w14:paraId="0000000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two bases can lead to overlapping claims, resulting in double taxation, where the same income is taxed by two jurisdictions. To mitigate this, countries enter into Double Taxation Avoidance Agreements (DTAAs), which delineate taxing rights and provide mechanisms for resolving disputes.</w:t>
      </w:r>
    </w:p>
    <w:p w:rsidR="00000000" w:rsidDel="00000000" w:rsidP="00000000" w:rsidRDefault="00000000" w:rsidRPr="00000000" w14:paraId="00000007">
      <w:pPr>
        <w:spacing w:after="280" w:before="28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Limits to Tax Jurisdiction Arising from Public International Law</w:t>
      </w:r>
    </w:p>
    <w:p w:rsidR="00000000" w:rsidDel="00000000" w:rsidP="00000000" w:rsidRDefault="00000000" w:rsidRPr="00000000" w14:paraId="00000008">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states have broad powers to tax, public international law imposes certain limits to prevent conflicts and ensure fair treatment. Key limitations include:</w:t>
      </w:r>
    </w:p>
    <w:p w:rsidR="00000000" w:rsidDel="00000000" w:rsidP="00000000" w:rsidRDefault="00000000" w:rsidRPr="00000000" w14:paraId="00000009">
      <w:pPr>
        <w:numPr>
          <w:ilvl w:val="0"/>
          <w:numId w:val="2"/>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Sovereignty and Non-Interference (The Revenue Rule)</w:t>
      </w:r>
      <w:r w:rsidDel="00000000" w:rsidR="00000000" w:rsidRPr="00000000">
        <w:rPr>
          <w:rFonts w:ascii="Times New Roman" w:cs="Times New Roman" w:eastAsia="Times New Roman" w:hAnsi="Times New Roman"/>
          <w:rtl w:val="0"/>
        </w:rPr>
        <w:t xml:space="preserve">: Under international law, no state can enforce its tax laws within the territory of another sovereign state. This principle of sovereignty and non-interference ensures that tax jurisdiction is exercised within a state's own borders, unless international agreements provide otherwise. For example, Country D cannot unilaterally impose its tax laws on income earned by its residents in Country E. However, international treaties can create exceptions by allowing mutual assistance in tax collection and enforcement.</w:t>
      </w:r>
    </w:p>
    <w:p w:rsidR="00000000" w:rsidDel="00000000" w:rsidP="00000000" w:rsidRDefault="00000000" w:rsidRPr="00000000" w14:paraId="0000000A">
      <w:pPr>
        <w:numPr>
          <w:ilvl w:val="0"/>
          <w:numId w:val="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Double Taxation Avoidance Agreements (DTAAs)</w:t>
      </w:r>
      <w:r w:rsidDel="00000000" w:rsidR="00000000" w:rsidRPr="00000000">
        <w:rPr>
          <w:rFonts w:ascii="Times New Roman" w:cs="Times New Roman" w:eastAsia="Times New Roman" w:hAnsi="Times New Roman"/>
          <w:rtl w:val="0"/>
        </w:rPr>
        <w:t xml:space="preserve">: These treaties between two or more countries aim to prevent the same income from being taxed twice. DTAAs delineate taxing rights, allocate income between residence and source countries, and often provide mechanisms for resolving disputes. They are based on model conventions, primarily those of the OECD (Organisation for Economic Co-operation and Development) and the UN (United Nations). For instance, a DTAA between Country F and Country G might stipulate that dividends paid from a company in Country F to a resident of Country G are only taxable in one of the countries, or taxed at a reduced rate in the source country.</w:t>
      </w:r>
    </w:p>
    <w:p w:rsidR="00000000" w:rsidDel="00000000" w:rsidP="00000000" w:rsidRDefault="00000000" w:rsidRPr="00000000" w14:paraId="0000000B">
      <w:pPr>
        <w:numPr>
          <w:ilvl w:val="0"/>
          <w:numId w:val="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Non-Discrimination Clauses</w:t>
      </w:r>
      <w:r w:rsidDel="00000000" w:rsidR="00000000" w:rsidRPr="00000000">
        <w:rPr>
          <w:rFonts w:ascii="Times New Roman" w:cs="Times New Roman" w:eastAsia="Times New Roman" w:hAnsi="Times New Roman"/>
          <w:rtl w:val="0"/>
        </w:rPr>
        <w:t xml:space="preserve">: Many international agreements include non-discrimination provisions, which ensure that foreign nationals and entities are not subjected to more burdensome taxation than local ones. This promotes fairness and economic integration. For example, if Country H has a tax treaty with Country I, the treaty may include a clause ensuring that residents of Country I are not taxed more heavily than residents of Country H on similar income.</w:t>
      </w:r>
    </w:p>
    <w:p w:rsidR="00000000" w:rsidDel="00000000" w:rsidP="00000000" w:rsidRDefault="00000000" w:rsidRPr="00000000" w14:paraId="0000000C">
      <w:pPr>
        <w:numPr>
          <w:ilvl w:val="0"/>
          <w:numId w:val="2"/>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Human Rights Considerations</w:t>
      </w:r>
      <w:r w:rsidDel="00000000" w:rsidR="00000000" w:rsidRPr="00000000">
        <w:rPr>
          <w:rFonts w:ascii="Times New Roman" w:cs="Times New Roman" w:eastAsia="Times New Roman" w:hAnsi="Times New Roman"/>
          <w:rtl w:val="0"/>
        </w:rPr>
        <w:t xml:space="preserve">: Tax policies must respect fundamental human rights, such as the right to property and the prohibition of arbitrary deprivation. Excessive or discriminatory taxation that violates these rights can be challenged under international human rights law. For example, if a tax regime disproportionately targets a particular ethnic or social group, it could be deemed discriminatory and contrary to international human rights norms.</w:t>
      </w:r>
    </w:p>
    <w:p w:rsidR="00000000" w:rsidDel="00000000" w:rsidP="00000000" w:rsidRDefault="00000000" w:rsidRPr="00000000" w14:paraId="0000000D">
      <w:pPr>
        <w:spacing w:after="280" w:before="28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Cross-Border Enforcement of Taxes</w:t>
      </w:r>
    </w:p>
    <w:p w:rsidR="00000000" w:rsidDel="00000000" w:rsidP="00000000" w:rsidRDefault="00000000" w:rsidRPr="00000000" w14:paraId="0000000E">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enforcement of tax obligations across borders poses significant challenges due to the principle of state sovereignty. However, international cooperation mechanisms exist to facilitate the collection and enforcement of taxes internationally:</w:t>
      </w:r>
    </w:p>
    <w:p w:rsidR="00000000" w:rsidDel="00000000" w:rsidP="00000000" w:rsidRDefault="00000000" w:rsidRPr="00000000" w14:paraId="0000000F">
      <w:pPr>
        <w:numPr>
          <w:ilvl w:val="0"/>
          <w:numId w:val="3"/>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Mutual Assistance Agreements</w:t>
      </w:r>
      <w:r w:rsidDel="00000000" w:rsidR="00000000" w:rsidRPr="00000000">
        <w:rPr>
          <w:rFonts w:ascii="Times New Roman" w:cs="Times New Roman" w:eastAsia="Times New Roman" w:hAnsi="Times New Roman"/>
          <w:rtl w:val="0"/>
        </w:rPr>
        <w:t xml:space="preserve">: Many countries enter into bilateral or multilateral agreements to assist each other in tax collection and enforcement. These agreements allow tax authorities to exchange information, collect taxes on behalf of each other, and recover tax claims. For instance, if a taxpayer owes taxes in Country J but has moved to Country K, a mutual assistance agreement might enable Country J to request Country K's assistance in collecting the taxes owed.</w:t>
      </w:r>
    </w:p>
    <w:p w:rsidR="00000000" w:rsidDel="00000000" w:rsidP="00000000" w:rsidRDefault="00000000" w:rsidRPr="00000000" w14:paraId="00000010">
      <w:pPr>
        <w:numPr>
          <w:ilvl w:val="0"/>
          <w:numId w:val="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Exchange of Information (EOI)</w:t>
      </w:r>
      <w:r w:rsidDel="00000000" w:rsidR="00000000" w:rsidRPr="00000000">
        <w:rPr>
          <w:rFonts w:ascii="Times New Roman" w:cs="Times New Roman" w:eastAsia="Times New Roman" w:hAnsi="Times New Roman"/>
          <w:rtl w:val="0"/>
        </w:rPr>
        <w:t xml:space="preserve">: Under various international frameworks, such as the OECD's Common Reporting Standard (CRS) and the US Foreign Account Tax Compliance Act (FATCA), countries exchange financial account information to combat tax evasion. This transparency helps ensure that taxpayers cannot hide income or assets in foreign jurisdictions. For example, financial institutions in Country L might report account information of residents of Country M to Country M's tax authorities, allowing them to verify whether those residents are properly reporting their foreign income.</w:t>
      </w:r>
    </w:p>
    <w:p w:rsidR="00000000" w:rsidDel="00000000" w:rsidP="00000000" w:rsidRDefault="00000000" w:rsidRPr="00000000" w14:paraId="00000011">
      <w:pPr>
        <w:numPr>
          <w:ilvl w:val="0"/>
          <w:numId w:val="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Judicial Cooperation</w:t>
      </w:r>
      <w:r w:rsidDel="00000000" w:rsidR="00000000" w:rsidRPr="00000000">
        <w:rPr>
          <w:rFonts w:ascii="Times New Roman" w:cs="Times New Roman" w:eastAsia="Times New Roman" w:hAnsi="Times New Roman"/>
          <w:rtl w:val="0"/>
        </w:rPr>
        <w:t xml:space="preserve">: Some jurisdictions recognize and enforce foreign tax judgments under specific conditions, facilitating cross-border tax enforcement. This can involve the seizure of assets located in one country to satisfy tax debts owed in another. For example, if a court in Country N issues a judgment for unpaid taxes, that judgment might be enforceable in Country O if certain legal criteria are met.</w:t>
      </w:r>
    </w:p>
    <w:p w:rsidR="00000000" w:rsidDel="00000000" w:rsidP="00000000" w:rsidRDefault="00000000" w:rsidRPr="00000000" w14:paraId="00000012">
      <w:pPr>
        <w:numPr>
          <w:ilvl w:val="0"/>
          <w:numId w:val="3"/>
        </w:numPr>
        <w:spacing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International Organizations</w:t>
      </w:r>
      <w:r w:rsidDel="00000000" w:rsidR="00000000" w:rsidRPr="00000000">
        <w:rPr>
          <w:rFonts w:ascii="Times New Roman" w:cs="Times New Roman" w:eastAsia="Times New Roman" w:hAnsi="Times New Roman"/>
          <w:rtl w:val="0"/>
        </w:rPr>
        <w:t xml:space="preserve">: Institutions like the OECD and the United Nations play an important role in harmonizing tax rules, promoting best practices, and providing platforms for dialogue and cooperation among tax authorities worldwide. These organizations develop model tax conventions, guidelines, and frameworks that countries can adopt to enhance international tax cooperation. For instance, the OECD's Base Erosion and Profit Shifting (BEPS) initiative addresses tax avoidance strategies that exploit gaps and mismatches in tax rules.</w:t>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23645D"/>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23645D"/>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23645D"/>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23645D"/>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23645D"/>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23645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23645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3645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3645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3645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3645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23645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23645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3645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3645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3645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3645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3645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23645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23645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23645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23645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3645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3645D"/>
    <w:rPr>
      <w:i w:val="1"/>
      <w:iCs w:val="1"/>
      <w:color w:val="404040" w:themeColor="text1" w:themeTint="0000BF"/>
    </w:rPr>
  </w:style>
  <w:style w:type="paragraph" w:styleId="ListParagraph">
    <w:name w:val="List Paragraph"/>
    <w:basedOn w:val="Normal"/>
    <w:uiPriority w:val="34"/>
    <w:qFormat w:val="1"/>
    <w:rsid w:val="0023645D"/>
    <w:pPr>
      <w:ind w:left="720"/>
      <w:contextualSpacing w:val="1"/>
    </w:pPr>
  </w:style>
  <w:style w:type="character" w:styleId="IntenseEmphasis">
    <w:name w:val="Intense Emphasis"/>
    <w:basedOn w:val="DefaultParagraphFont"/>
    <w:uiPriority w:val="21"/>
    <w:qFormat w:val="1"/>
    <w:rsid w:val="0023645D"/>
    <w:rPr>
      <w:i w:val="1"/>
      <w:iCs w:val="1"/>
      <w:color w:val="0f4761" w:themeColor="accent1" w:themeShade="0000BF"/>
    </w:rPr>
  </w:style>
  <w:style w:type="paragraph" w:styleId="IntenseQuote">
    <w:name w:val="Intense Quote"/>
    <w:basedOn w:val="Normal"/>
    <w:next w:val="Normal"/>
    <w:link w:val="IntenseQuoteChar"/>
    <w:uiPriority w:val="30"/>
    <w:qFormat w:val="1"/>
    <w:rsid w:val="0023645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3645D"/>
    <w:rPr>
      <w:i w:val="1"/>
      <w:iCs w:val="1"/>
      <w:color w:val="0f4761" w:themeColor="accent1" w:themeShade="0000BF"/>
    </w:rPr>
  </w:style>
  <w:style w:type="character" w:styleId="IntenseReference">
    <w:name w:val="Intense Reference"/>
    <w:basedOn w:val="DefaultParagraphFont"/>
    <w:uiPriority w:val="32"/>
    <w:qFormat w:val="1"/>
    <w:rsid w:val="0023645D"/>
    <w:rPr>
      <w:b w:val="1"/>
      <w:bCs w:val="1"/>
      <w:smallCaps w:val="1"/>
      <w:color w:val="0f4761" w:themeColor="accent1" w:themeShade="0000BF"/>
      <w:spacing w:val="5"/>
    </w:rPr>
  </w:style>
  <w:style w:type="paragraph" w:styleId="NormalWeb">
    <w:name w:val="Normal (Web)"/>
    <w:basedOn w:val="Normal"/>
    <w:uiPriority w:val="99"/>
    <w:semiHidden w:val="1"/>
    <w:unhideWhenUsed w:val="1"/>
    <w:rsid w:val="0023645D"/>
    <w:pPr>
      <w:spacing w:after="100" w:afterAutospacing="1" w:before="100" w:beforeAutospacing="1" w:line="240" w:lineRule="auto"/>
    </w:pPr>
    <w:rPr>
      <w:rFonts w:ascii="Times New Roman" w:cs="Times New Roman" w:eastAsia="Times New Roman" w:hAnsi="Times New Roman"/>
      <w:kern w:val="0"/>
      <w:lang w:eastAsia="en-GB"/>
    </w:rPr>
  </w:style>
  <w:style w:type="character" w:styleId="Strong">
    <w:name w:val="Strong"/>
    <w:basedOn w:val="DefaultParagraphFont"/>
    <w:uiPriority w:val="22"/>
    <w:qFormat w:val="1"/>
    <w:rsid w:val="0023645D"/>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ejpQtpgeF0p4R0wNDUJnDMLYSA==">CgMxLjA4AHIhMXVFaTFWZWJZUlN6aFJFamtUM2dJLURKVW5WYzZ3dVFW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2024-07-15T13:24:00Z</dcterms:created>
  <dc:creator>Munachiso Ogu-Jude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b92c693c-0272-4ea2-8846-60ec3221b590</vt:lpwstr>
  </property>
</Properties>
</file>