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Bdr>
          <w:top w:space="0" w:sz="0" w:val="nil"/>
          <w:left w:space="0" w:sz="0" w:val="nil"/>
          <w:bottom w:space="0" w:sz="0" w:val="nil"/>
          <w:right w:space="0" w:sz="0" w:val="nil"/>
          <w:between w:space="0" w:sz="0" w:val="nil"/>
        </w:pBdr>
        <w:spacing w:after="0" w:before="240" w:lineRule="auto"/>
        <w:rPr>
          <w:rFonts w:ascii="Times New Roman" w:cs="Times New Roman" w:eastAsia="Times New Roman" w:hAnsi="Times New Roman"/>
          <w:color w:val="2f5496"/>
          <w:sz w:val="32"/>
          <w:szCs w:val="32"/>
        </w:rPr>
      </w:pPr>
      <w:r w:rsidDel="00000000" w:rsidR="00000000" w:rsidRPr="00000000">
        <w:rPr>
          <w:rFonts w:ascii="Times New Roman" w:cs="Times New Roman" w:eastAsia="Times New Roman" w:hAnsi="Times New Roman"/>
          <w:color w:val="2f5496"/>
          <w:sz w:val="32"/>
          <w:szCs w:val="32"/>
          <w:rtl w:val="0"/>
        </w:rPr>
        <w:t xml:space="preserve">Contents</w:t>
      </w:r>
    </w:p>
    <w:sdt>
      <w:sdtPr>
        <w:id w:val="-1124376368"/>
        <w:docPartObj>
          <w:docPartGallery w:val="Table of Contents"/>
          <w:docPartUnique w:val="1"/>
        </w:docPartObj>
      </w:sdtPr>
      <w:sdtContent>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35nkun2">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I.1. THE EUROPEAN CONVENTION ON HUMAN RIGHTS</w:t>
              <w:tab/>
              <w:t xml:space="preserve">2</w:t>
            </w:r>
          </w:hyperlink>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59" w:lineRule="auto"/>
            <w:ind w:left="22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1ksv4uv">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w:t>
              <w:tab/>
              <w:t xml:space="preserve">Article 1, Protocol No. 1 – Protection of Property</w:t>
              <w:tab/>
              <w:t xml:space="preserve">2</w:t>
            </w:r>
          </w:hyperlink>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59" w:lineRule="auto"/>
            <w:ind w:left="22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44sinio">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2.</w:t>
              <w:tab/>
              <w:t xml:space="preserve">Article 6 - Right to a Fair Trial</w:t>
              <w:tab/>
              <w:t xml:space="preserve">2</w:t>
            </w:r>
          </w:hyperlink>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59" w:lineRule="auto"/>
            <w:ind w:left="22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2jxsxqh">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w:t>
              <w:tab/>
              <w:t xml:space="preserve">Article 14 - Prohibition of Discrimination</w:t>
              <w:tab/>
              <w:t xml:space="preserve">3</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59" w:lineRule="auto"/>
            <w:ind w:left="22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z337ya">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w:t>
              <w:tab/>
              <w:t xml:space="preserve">Procedural Safeguards and Legal Certainty</w:t>
              <w:tab/>
              <w:t xml:space="preserve">3</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59" w:lineRule="auto"/>
            <w:ind w:left="22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3j2qqm3">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5.</w:t>
              <w:tab/>
              <w:t xml:space="preserve">Extraterritorial Application and Cross-Border Taxation</w:t>
              <w:tab/>
              <w:t xml:space="preserve">3</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59" w:lineRule="auto"/>
            <w:ind w:left="22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1y810tw">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6.</w:t>
              <w:tab/>
              <w:t xml:space="preserve">Penalties and Enforcement Measures</w:t>
              <w:tab/>
              <w:t xml:space="preserve">4</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59" w:lineRule="auto"/>
            <w:ind w:left="22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4i7ojhp">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7.</w:t>
              <w:tab/>
              <w:t xml:space="preserve">Protection Against Self-Incrimination</w:t>
              <w:tab/>
              <w:t xml:space="preserve">4</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59" w:lineRule="auto"/>
            <w:ind w:left="22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2xcytpi">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8.</w:t>
              <w:tab/>
              <w:t xml:space="preserve">Tax Transparency and Data Protection</w:t>
              <w:tab/>
              <w:t xml:space="preserve">4</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heading=h.1ci93xb">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I.2. THE INTERNATIONAL COVENANT ON CIVIL AND POLITICAL RIGHTS</w:t>
              <w:tab/>
              <w:t xml:space="preserve">5</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59" w:lineRule="auto"/>
            <w:ind w:left="22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3whwml4">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w:t>
              <w:tab/>
              <w:t xml:space="preserve">ICCPR as a Framework for Taxation and Human Rights</w:t>
              <w:tab/>
              <w:t xml:space="preserve">5</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59" w:lineRule="auto"/>
            <w:ind w:left="22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2bn6wsx">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2.</w:t>
              <w:tab/>
              <w:t xml:space="preserve">Equality and Non-Discrimination in Tax Systems</w:t>
              <w:tab/>
              <w:t xml:space="preserve">5</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59" w:lineRule="auto"/>
            <w:ind w:left="22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qsh70q">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w:t>
              <w:tab/>
              <w:t xml:space="preserve">Privacy and Procedural Safeguards in Tax Enforcement</w:t>
              <w:tab/>
              <w:t xml:space="preserve">5</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59" w:lineRule="auto"/>
            <w:ind w:left="22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3as4poj">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w:t>
              <w:tab/>
              <w:t xml:space="preserve">Freedom of Expression and Transparency in Tax Policy</w:t>
              <w:tab/>
              <w:t xml:space="preserve">6</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59" w:lineRule="auto"/>
            <w:ind w:left="22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1pxezwc">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5.</w:t>
              <w:tab/>
              <w:t xml:space="preserve">Due Process Rights in Tax Disputes</w:t>
              <w:tab/>
              <w:t xml:space="preserve">6</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59" w:lineRule="auto"/>
            <w:ind w:left="22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49x2ik5">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6.</w:t>
              <w:tab/>
              <w:t xml:space="preserve">ICCPR and Cross-Border Taxation</w:t>
              <w:tab/>
              <w:t xml:space="preserve">6</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59" w:lineRule="auto"/>
            <w:ind w:left="22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2p2csry">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7.</w:t>
              <w:tab/>
              <w:t xml:space="preserve">Remedies and Accountability for Human Rights Violations in Taxation</w:t>
              <w:tab/>
              <w:t xml:space="preserve">7</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59" w:lineRule="auto"/>
            <w:ind w:left="22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147n2z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8.</w:t>
              <w:tab/>
              <w:t xml:space="preserve">ICCPR and Economic, Social, and Cultural Rights</w:t>
              <w:tab/>
              <w:t xml:space="preserve">7</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59" w:lineRule="auto"/>
            <w:ind w:left="22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3o7alnk">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9.</w:t>
              <w:tab/>
              <w:t xml:space="preserve">Balancing National Security and Individual Rights</w:t>
              <w:tab/>
              <w:t xml:space="preserve">7</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6"/>
            </w:tabs>
            <w:spacing w:after="100" w:before="0" w:line="259" w:lineRule="auto"/>
            <w:ind w:left="22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23ckvvd">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10.</w:t>
              <w:tab/>
              <w:t xml:space="preserve">ICCPR and Corporate Accountability in Tax Practices</w:t>
              <w:tab/>
              <w:t xml:space="preserve">7</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6"/>
            </w:tabs>
            <w:spacing w:after="100" w:before="0" w:line="259" w:lineRule="auto"/>
            <w:ind w:left="22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ihv636">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11.</w:t>
              <w:tab/>
              <w:t xml:space="preserve">Future Implications for Tax Policy</w:t>
              <w:tab/>
              <w:t xml:space="preserve">8</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rPr>
              <w:rFonts w:ascii="Times New Roman" w:cs="Times New Roman" w:eastAsia="Times New Roman" w:hAnsi="Times New Roman"/>
              <w:b w:val="1"/>
              <w:color w:val="00000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8">
      <w:pPr>
        <w:rPr>
          <w:rFonts w:ascii="Times New Roman" w:cs="Times New Roman" w:eastAsia="Times New Roman" w:hAnsi="Times New Roman"/>
          <w:b w:val="1"/>
          <w:sz w:val="30"/>
          <w:szCs w:val="30"/>
          <w:u w:val="single"/>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b w:val="1"/>
          <w:sz w:val="30"/>
          <w:szCs w:val="30"/>
          <w:u w:val="single"/>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Title"/>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 TAX AND INTERNATIONAL HUMAN RIGHTS INSTRUMENTS</w:t>
      </w:r>
    </w:p>
    <w:p w:rsidR="00000000" w:rsidDel="00000000" w:rsidP="00000000" w:rsidRDefault="00000000" w:rsidRPr="00000000" w14:paraId="0000001B">
      <w:pPr>
        <w:rPr>
          <w:rFonts w:ascii="Times New Roman" w:cs="Times New Roman" w:eastAsia="Times New Roman" w:hAnsi="Times New Roman"/>
          <w:b w:val="1"/>
          <w:sz w:val="30"/>
          <w:szCs w:val="30"/>
          <w:u w:val="single"/>
        </w:rPr>
      </w:pPr>
      <w:r w:rsidDel="00000000" w:rsidR="00000000" w:rsidRPr="00000000">
        <w:rPr>
          <w:rtl w:val="0"/>
        </w:rPr>
      </w:r>
    </w:p>
    <w:p w:rsidR="00000000" w:rsidDel="00000000" w:rsidP="00000000" w:rsidRDefault="00000000" w:rsidRPr="00000000" w14:paraId="0000001C">
      <w:pPr>
        <w:pStyle w:val="Heading1"/>
        <w:rPr/>
      </w:pPr>
      <w:bookmarkStart w:colFirst="0" w:colLast="0" w:name="_heading=h.35nkun2" w:id="0"/>
      <w:bookmarkEnd w:id="0"/>
      <w:r w:rsidDel="00000000" w:rsidR="00000000" w:rsidRPr="00000000">
        <w:rPr>
          <w:rtl w:val="0"/>
        </w:rPr>
        <w:t xml:space="preserve">I.1. THE EUROPEAN CONVENTION ON HUMAN RIGHTS</w:t>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European Convention on Human Rights (ECHR), as implemented in the United Kingdom through the Human Rights Act 1998, plays an integral role in shaping the interaction between taxation and international human rights. The provisions of the ECHR are particularly relevant in the areas of property rights, the right to a fair trial, and the prohibition of discrimination. These principles impose substantive and procedural limits on the powers of tax authorities within member states. The jurisprudence of the European Court of Human Rights (ECtHR) has established critical precedents for balancing state fiscal interests with individual rights.</w:t>
      </w:r>
    </w:p>
    <w:p w:rsidR="00000000" w:rsidDel="00000000" w:rsidP="00000000" w:rsidRDefault="00000000" w:rsidRPr="00000000" w14:paraId="0000001E">
      <w:pPr>
        <w:pStyle w:val="Heading2"/>
        <w:numPr>
          <w:ilvl w:val="0"/>
          <w:numId w:val="1"/>
        </w:numPr>
        <w:ind w:left="360" w:hanging="360"/>
        <w:rPr>
          <w:rFonts w:ascii="Times New Roman" w:cs="Times New Roman" w:eastAsia="Times New Roman" w:hAnsi="Times New Roman"/>
          <w:sz w:val="27"/>
          <w:szCs w:val="27"/>
        </w:rPr>
      </w:pPr>
      <w:bookmarkStart w:colFirst="0" w:colLast="0" w:name="_heading=h.1ksv4uv" w:id="1"/>
      <w:bookmarkEnd w:id="1"/>
      <w:r w:rsidDel="00000000" w:rsidR="00000000" w:rsidRPr="00000000">
        <w:rPr>
          <w:rFonts w:ascii="Times New Roman" w:cs="Times New Roman" w:eastAsia="Times New Roman" w:hAnsi="Times New Roman"/>
          <w:sz w:val="27"/>
          <w:szCs w:val="27"/>
          <w:rtl w:val="0"/>
        </w:rPr>
        <w:t xml:space="preserve">Article 1, Protocol No. 1 – Protection of Property</w:t>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Article 1 of Protocol No. 1 (A1P1) of the ECHR provides that “every natural or legal person is entitled to the peaceful enjoyment of his possessions.” This article is often invoked in taxation disputes, as tax assessments, penalties, and asset seizures directly affect property rights. While the article acknowledges the state’s authority to control property through taxation, it also mandates that such measures be lawful, serve a legitimate aim, and maintain proportionality.</w:t>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case of </w:t>
      </w:r>
      <w:r w:rsidDel="00000000" w:rsidR="00000000" w:rsidRPr="00000000">
        <w:rPr>
          <w:rFonts w:ascii="Times New Roman" w:cs="Times New Roman" w:eastAsia="Times New Roman" w:hAnsi="Times New Roman"/>
          <w:b w:val="1"/>
          <w:color w:val="000000"/>
          <w:sz w:val="24"/>
          <w:szCs w:val="24"/>
          <w:rtl w:val="0"/>
        </w:rPr>
        <w:t xml:space="preserve">Gasus Dosier- und Fördertechnik GmbH v. Netherlands (1995) 20 EHRR 403</w:t>
      </w:r>
      <w:r w:rsidDel="00000000" w:rsidR="00000000" w:rsidRPr="00000000">
        <w:rPr>
          <w:rFonts w:ascii="Times New Roman" w:cs="Times New Roman" w:eastAsia="Times New Roman" w:hAnsi="Times New Roman"/>
          <w:color w:val="000000"/>
          <w:sz w:val="24"/>
          <w:szCs w:val="24"/>
          <w:rtl w:val="0"/>
        </w:rPr>
        <w:t xml:space="preserve"> underscores the principle of proportionality. The ECtHR held that while the Dutch authorities were justified in seizing property to enforce a tax debt, the action had to balance public interest and individual rights. The Court emphasized that excessive or arbitrary interference with property rights would breach A1P1.</w:t>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Similarly, in </w:t>
      </w:r>
      <w:r w:rsidDel="00000000" w:rsidR="00000000" w:rsidRPr="00000000">
        <w:rPr>
          <w:rFonts w:ascii="Times New Roman" w:cs="Times New Roman" w:eastAsia="Times New Roman" w:hAnsi="Times New Roman"/>
          <w:b w:val="1"/>
          <w:color w:val="000000"/>
          <w:sz w:val="24"/>
          <w:szCs w:val="24"/>
          <w:rtl w:val="0"/>
        </w:rPr>
        <w:t xml:space="preserve">J.A. Pye (Oxford) Ltd v. United Kingdom [2008] ECHR 700</w:t>
      </w:r>
      <w:r w:rsidDel="00000000" w:rsidR="00000000" w:rsidRPr="00000000">
        <w:rPr>
          <w:rFonts w:ascii="Times New Roman" w:cs="Times New Roman" w:eastAsia="Times New Roman" w:hAnsi="Times New Roman"/>
          <w:color w:val="000000"/>
          <w:sz w:val="24"/>
          <w:szCs w:val="24"/>
          <w:rtl w:val="0"/>
        </w:rPr>
        <w:t xml:space="preserve">, the Court examined whether taxation measures leading to the expropriation of property aligned with proportionality standards. The judgment reiterated that taxation systems must strike a fair balance between the interests of the community and property owners.</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 the context of inheritance taxes, </w:t>
      </w:r>
      <w:r w:rsidDel="00000000" w:rsidR="00000000" w:rsidRPr="00000000">
        <w:rPr>
          <w:rFonts w:ascii="Times New Roman" w:cs="Times New Roman" w:eastAsia="Times New Roman" w:hAnsi="Times New Roman"/>
          <w:b w:val="1"/>
          <w:color w:val="000000"/>
          <w:sz w:val="24"/>
          <w:szCs w:val="24"/>
          <w:rtl w:val="0"/>
        </w:rPr>
        <w:t xml:space="preserve">Spiers v. Netherlands (2002) ECHR 265</w:t>
      </w:r>
      <w:r w:rsidDel="00000000" w:rsidR="00000000" w:rsidRPr="00000000">
        <w:rPr>
          <w:rFonts w:ascii="Times New Roman" w:cs="Times New Roman" w:eastAsia="Times New Roman" w:hAnsi="Times New Roman"/>
          <w:color w:val="000000"/>
          <w:sz w:val="24"/>
          <w:szCs w:val="24"/>
          <w:rtl w:val="0"/>
        </w:rPr>
        <w:t xml:space="preserve"> illustrated how disproportionate estate taxes might violate A1P1. The applicant argued that the state’s assessment rendered the inheritance economically unviable, thereby failing the proportionality test. This case highlights how tax burdens must be justified, necessary, and non-excessive.</w:t>
      </w:r>
    </w:p>
    <w:p w:rsidR="00000000" w:rsidDel="00000000" w:rsidP="00000000" w:rsidRDefault="00000000" w:rsidRPr="00000000" w14:paraId="00000023">
      <w:pPr>
        <w:pStyle w:val="Heading2"/>
        <w:numPr>
          <w:ilvl w:val="0"/>
          <w:numId w:val="1"/>
        </w:numPr>
        <w:ind w:left="360" w:hanging="360"/>
        <w:rPr>
          <w:rFonts w:ascii="Times New Roman" w:cs="Times New Roman" w:eastAsia="Times New Roman" w:hAnsi="Times New Roman"/>
          <w:sz w:val="27"/>
          <w:szCs w:val="27"/>
        </w:rPr>
      </w:pPr>
      <w:bookmarkStart w:colFirst="0" w:colLast="0" w:name="_heading=h.44sinio" w:id="2"/>
      <w:bookmarkEnd w:id="2"/>
      <w:r w:rsidDel="00000000" w:rsidR="00000000" w:rsidRPr="00000000">
        <w:rPr>
          <w:rFonts w:ascii="Times New Roman" w:cs="Times New Roman" w:eastAsia="Times New Roman" w:hAnsi="Times New Roman"/>
          <w:sz w:val="27"/>
          <w:szCs w:val="27"/>
          <w:rtl w:val="0"/>
        </w:rPr>
        <w:t xml:space="preserve">Article 6 - Right to a Fair Trial</w:t>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Tax disputes frequently raise issues under Article 6 of the ECHR, which guarantees the right to a fair trial within a reasonable time by an impartial tribunal. While Article 6 primarily applies to criminal proceedings, its application to civil tax matters hinges on whether the tax dispute involves a “criminal charge” under the ECHR framework.</w:t>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ECtHR, in </w:t>
      </w:r>
      <w:r w:rsidDel="00000000" w:rsidR="00000000" w:rsidRPr="00000000">
        <w:rPr>
          <w:rFonts w:ascii="Times New Roman" w:cs="Times New Roman" w:eastAsia="Times New Roman" w:hAnsi="Times New Roman"/>
          <w:b w:val="1"/>
          <w:color w:val="000000"/>
          <w:sz w:val="24"/>
          <w:szCs w:val="24"/>
          <w:rtl w:val="0"/>
        </w:rPr>
        <w:t xml:space="preserve">Ferrazzini v. Italy [2001] ECHR 464</w:t>
      </w:r>
      <w:r w:rsidDel="00000000" w:rsidR="00000000" w:rsidRPr="00000000">
        <w:rPr>
          <w:rFonts w:ascii="Times New Roman" w:cs="Times New Roman" w:eastAsia="Times New Roman" w:hAnsi="Times New Roman"/>
          <w:color w:val="000000"/>
          <w:sz w:val="24"/>
          <w:szCs w:val="24"/>
          <w:rtl w:val="0"/>
        </w:rPr>
        <w:t xml:space="preserve">, clarified that ordinary tax disputes are not considered criminal in nature. However, penalties imposed for tax violations may fall within the “criminal charge” definition, triggering Article 6 protections. This precedent ensures that taxpayers facing punitive measures enjoy procedural safeguards, including presumption of innocence, the right to legal representation, and cross-examination of witnesses.</w:t>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Further, in </w:t>
      </w:r>
      <w:r w:rsidDel="00000000" w:rsidR="00000000" w:rsidRPr="00000000">
        <w:rPr>
          <w:rFonts w:ascii="Times New Roman" w:cs="Times New Roman" w:eastAsia="Times New Roman" w:hAnsi="Times New Roman"/>
          <w:b w:val="1"/>
          <w:color w:val="000000"/>
          <w:sz w:val="24"/>
          <w:szCs w:val="24"/>
          <w:rtl w:val="0"/>
        </w:rPr>
        <w:t xml:space="preserve">Jussila v. Finland (2006) ECHR 996</w:t>
      </w:r>
      <w:r w:rsidDel="00000000" w:rsidR="00000000" w:rsidRPr="00000000">
        <w:rPr>
          <w:rFonts w:ascii="Times New Roman" w:cs="Times New Roman" w:eastAsia="Times New Roman" w:hAnsi="Times New Roman"/>
          <w:color w:val="000000"/>
          <w:sz w:val="24"/>
          <w:szCs w:val="24"/>
          <w:rtl w:val="0"/>
        </w:rPr>
        <w:t xml:space="preserve">, the Court extended Article 6 to cover tax surcharge cases, treating them as criminal in substance despite their administrative classification. This expansion has significant implications for tax enforcement regimes, requiring transparency, impartiality, and opportunities for judicial review.</w:t>
      </w:r>
    </w:p>
    <w:p w:rsidR="00000000" w:rsidDel="00000000" w:rsidP="00000000" w:rsidRDefault="00000000" w:rsidRPr="00000000" w14:paraId="00000027">
      <w:pPr>
        <w:pStyle w:val="Heading2"/>
        <w:numPr>
          <w:ilvl w:val="0"/>
          <w:numId w:val="1"/>
        </w:numPr>
        <w:ind w:left="360" w:hanging="360"/>
        <w:rPr>
          <w:rFonts w:ascii="Times New Roman" w:cs="Times New Roman" w:eastAsia="Times New Roman" w:hAnsi="Times New Roman"/>
          <w:sz w:val="27"/>
          <w:szCs w:val="27"/>
        </w:rPr>
      </w:pPr>
      <w:bookmarkStart w:colFirst="0" w:colLast="0" w:name="_heading=h.2jxsxqh" w:id="3"/>
      <w:bookmarkEnd w:id="3"/>
      <w:r w:rsidDel="00000000" w:rsidR="00000000" w:rsidRPr="00000000">
        <w:rPr>
          <w:rFonts w:ascii="Times New Roman" w:cs="Times New Roman" w:eastAsia="Times New Roman" w:hAnsi="Times New Roman"/>
          <w:sz w:val="27"/>
          <w:szCs w:val="27"/>
          <w:rtl w:val="0"/>
        </w:rPr>
        <w:t xml:space="preserve">Article 14 - Prohibition of Discrimination</w:t>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Article 14 of the ECHR prohibits discrimination in the enjoyment of rights protected under the Convention. In taxation, this principle applies to differences in treatment based on nationality, gender, or other protected characteristics.</w:t>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case of </w:t>
      </w:r>
      <w:r w:rsidDel="00000000" w:rsidR="00000000" w:rsidRPr="00000000">
        <w:rPr>
          <w:rFonts w:ascii="Times New Roman" w:cs="Times New Roman" w:eastAsia="Times New Roman" w:hAnsi="Times New Roman"/>
          <w:b w:val="1"/>
          <w:color w:val="000000"/>
          <w:sz w:val="24"/>
          <w:szCs w:val="24"/>
          <w:rtl w:val="0"/>
        </w:rPr>
        <w:t xml:space="preserve">Darby v. Sweden (1990) 13 EHRR 774</w:t>
      </w:r>
      <w:r w:rsidDel="00000000" w:rsidR="00000000" w:rsidRPr="00000000">
        <w:rPr>
          <w:rFonts w:ascii="Times New Roman" w:cs="Times New Roman" w:eastAsia="Times New Roman" w:hAnsi="Times New Roman"/>
          <w:color w:val="000000"/>
          <w:sz w:val="24"/>
          <w:szCs w:val="24"/>
          <w:rtl w:val="0"/>
        </w:rPr>
        <w:t xml:space="preserve"> dealt with discriminatory tax rules that imposed additional burdens on non-residents. The ECtHR found that Sweden’s differential treatment lacked objective justification, violating Article 14 in conjunction with A1P1. The judgment reinforced the principle that tax laws must operate without unjustified distinctions among taxpayers.</w:t>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Similarly, in </w:t>
      </w:r>
      <w:r w:rsidDel="00000000" w:rsidR="00000000" w:rsidRPr="00000000">
        <w:rPr>
          <w:rFonts w:ascii="Times New Roman" w:cs="Times New Roman" w:eastAsia="Times New Roman" w:hAnsi="Times New Roman"/>
          <w:b w:val="1"/>
          <w:color w:val="000000"/>
          <w:sz w:val="24"/>
          <w:szCs w:val="24"/>
          <w:rtl w:val="0"/>
        </w:rPr>
        <w:t xml:space="preserve">Burden v. United Kingdom [2008] ECHR 357</w:t>
      </w:r>
      <w:r w:rsidDel="00000000" w:rsidR="00000000" w:rsidRPr="00000000">
        <w:rPr>
          <w:rFonts w:ascii="Times New Roman" w:cs="Times New Roman" w:eastAsia="Times New Roman" w:hAnsi="Times New Roman"/>
          <w:color w:val="000000"/>
          <w:sz w:val="24"/>
          <w:szCs w:val="24"/>
          <w:rtl w:val="0"/>
        </w:rPr>
        <w:t xml:space="preserve">, the applicants challenged inheritance tax rules that differentiated between married couples and siblings. The Court acknowledged the financial impact of such distinctions but ultimately upheld the legislation based on its social policy objectives. This case illustrates the nuanced evaluation required when assessing discrimination claims in taxation.</w:t>
      </w:r>
    </w:p>
    <w:p w:rsidR="00000000" w:rsidDel="00000000" w:rsidP="00000000" w:rsidRDefault="00000000" w:rsidRPr="00000000" w14:paraId="0000002B">
      <w:pPr>
        <w:pStyle w:val="Heading2"/>
        <w:numPr>
          <w:ilvl w:val="0"/>
          <w:numId w:val="1"/>
        </w:numPr>
        <w:ind w:left="360" w:hanging="360"/>
        <w:rPr>
          <w:rFonts w:ascii="Times New Roman" w:cs="Times New Roman" w:eastAsia="Times New Roman" w:hAnsi="Times New Roman"/>
          <w:sz w:val="27"/>
          <w:szCs w:val="27"/>
        </w:rPr>
      </w:pPr>
      <w:bookmarkStart w:colFirst="0" w:colLast="0" w:name="_heading=h.z337ya" w:id="4"/>
      <w:bookmarkEnd w:id="4"/>
      <w:r w:rsidDel="00000000" w:rsidR="00000000" w:rsidRPr="00000000">
        <w:rPr>
          <w:rFonts w:ascii="Times New Roman" w:cs="Times New Roman" w:eastAsia="Times New Roman" w:hAnsi="Times New Roman"/>
          <w:sz w:val="27"/>
          <w:szCs w:val="27"/>
          <w:rtl w:val="0"/>
        </w:rPr>
        <w:t xml:space="preserve">Procedural Safeguards and Legal Certainty</w:t>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Procedural safeguards under the ECHR emphasize the importance of legal certainty in tax law. Ambiguities in tax regulations may violate fundamental principles of fairness, as highlighted in </w:t>
      </w:r>
      <w:r w:rsidDel="00000000" w:rsidR="00000000" w:rsidRPr="00000000">
        <w:rPr>
          <w:rFonts w:ascii="Times New Roman" w:cs="Times New Roman" w:eastAsia="Times New Roman" w:hAnsi="Times New Roman"/>
          <w:b w:val="1"/>
          <w:color w:val="000000"/>
          <w:sz w:val="24"/>
          <w:szCs w:val="24"/>
          <w:rtl w:val="0"/>
        </w:rPr>
        <w:t xml:space="preserve">Shchokin v. Ukraine (2010) ECHR 1047</w:t>
      </w:r>
      <w:r w:rsidDel="00000000" w:rsidR="00000000" w:rsidRPr="00000000">
        <w:rPr>
          <w:rFonts w:ascii="Times New Roman" w:cs="Times New Roman" w:eastAsia="Times New Roman" w:hAnsi="Times New Roman"/>
          <w:color w:val="000000"/>
          <w:sz w:val="24"/>
          <w:szCs w:val="24"/>
          <w:rtl w:val="0"/>
        </w:rPr>
        <w:t xml:space="preserve">. The Court held that unclear tax legislation undermines taxpayers’ ability to predict obligations and defenses, thereby breaching Article 6.</w:t>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principle extends to retrospective tax laws, which are subject to stricter scrutiny. In </w:t>
      </w:r>
      <w:r w:rsidDel="00000000" w:rsidR="00000000" w:rsidRPr="00000000">
        <w:rPr>
          <w:rFonts w:ascii="Times New Roman" w:cs="Times New Roman" w:eastAsia="Times New Roman" w:hAnsi="Times New Roman"/>
          <w:b w:val="1"/>
          <w:color w:val="000000"/>
          <w:sz w:val="24"/>
          <w:szCs w:val="24"/>
          <w:rtl w:val="0"/>
        </w:rPr>
        <w:t xml:space="preserve">M.A. and Others v. Finland (2010) ECHR 70</w:t>
      </w:r>
      <w:r w:rsidDel="00000000" w:rsidR="00000000" w:rsidRPr="00000000">
        <w:rPr>
          <w:rFonts w:ascii="Times New Roman" w:cs="Times New Roman" w:eastAsia="Times New Roman" w:hAnsi="Times New Roman"/>
          <w:color w:val="000000"/>
          <w:sz w:val="24"/>
          <w:szCs w:val="24"/>
          <w:rtl w:val="0"/>
        </w:rPr>
        <w:t xml:space="preserve">, the Court invalidated retroactive tax measures lacking sufficient justification. The judgment underscored the need for predictability and protection against arbitrary state action.</w:t>
      </w:r>
    </w:p>
    <w:p w:rsidR="00000000" w:rsidDel="00000000" w:rsidP="00000000" w:rsidRDefault="00000000" w:rsidRPr="00000000" w14:paraId="0000002E">
      <w:pPr>
        <w:pStyle w:val="Heading2"/>
        <w:numPr>
          <w:ilvl w:val="0"/>
          <w:numId w:val="1"/>
        </w:numPr>
        <w:ind w:left="360" w:hanging="360"/>
        <w:rPr>
          <w:rFonts w:ascii="Times New Roman" w:cs="Times New Roman" w:eastAsia="Times New Roman" w:hAnsi="Times New Roman"/>
          <w:sz w:val="27"/>
          <w:szCs w:val="27"/>
        </w:rPr>
      </w:pPr>
      <w:bookmarkStart w:colFirst="0" w:colLast="0" w:name="_heading=h.3j2qqm3" w:id="5"/>
      <w:bookmarkEnd w:id="5"/>
      <w:r w:rsidDel="00000000" w:rsidR="00000000" w:rsidRPr="00000000">
        <w:rPr>
          <w:rFonts w:ascii="Times New Roman" w:cs="Times New Roman" w:eastAsia="Times New Roman" w:hAnsi="Times New Roman"/>
          <w:sz w:val="27"/>
          <w:szCs w:val="27"/>
          <w:rtl w:val="0"/>
        </w:rPr>
        <w:t xml:space="preserve">Extraterritorial Application and Cross-Border Taxation</w:t>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ECHR’s extraterritorial application has emerged as a critical issue in cross-border taxation, particularly under double taxation treaties. In </w:t>
      </w:r>
      <w:r w:rsidDel="00000000" w:rsidR="00000000" w:rsidRPr="00000000">
        <w:rPr>
          <w:rFonts w:ascii="Times New Roman" w:cs="Times New Roman" w:eastAsia="Times New Roman" w:hAnsi="Times New Roman"/>
          <w:b w:val="1"/>
          <w:color w:val="000000"/>
          <w:sz w:val="24"/>
          <w:szCs w:val="24"/>
          <w:rtl w:val="0"/>
        </w:rPr>
        <w:t xml:space="preserve">García Ruiz v. Spain [1999] ECHR 61</w:t>
      </w:r>
      <w:r w:rsidDel="00000000" w:rsidR="00000000" w:rsidRPr="00000000">
        <w:rPr>
          <w:rFonts w:ascii="Times New Roman" w:cs="Times New Roman" w:eastAsia="Times New Roman" w:hAnsi="Times New Roman"/>
          <w:color w:val="000000"/>
          <w:sz w:val="24"/>
          <w:szCs w:val="24"/>
          <w:rtl w:val="0"/>
        </w:rPr>
        <w:t xml:space="preserve">, the Court affirmed that tax authorities must respect Convention rights even when enforcing international agreements. This position reinforces accountability in cross-border tax enforcement.</w:t>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Moreover, cases like </w:t>
      </w:r>
      <w:r w:rsidDel="00000000" w:rsidR="00000000" w:rsidRPr="00000000">
        <w:rPr>
          <w:rFonts w:ascii="Times New Roman" w:cs="Times New Roman" w:eastAsia="Times New Roman" w:hAnsi="Times New Roman"/>
          <w:b w:val="1"/>
          <w:color w:val="000000"/>
          <w:sz w:val="24"/>
          <w:szCs w:val="24"/>
          <w:rtl w:val="0"/>
        </w:rPr>
        <w:t xml:space="preserve">Boake Allen Ltd v. Revenue and Customs Commissioners [2007] UKHL 25</w:t>
      </w:r>
      <w:r w:rsidDel="00000000" w:rsidR="00000000" w:rsidRPr="00000000">
        <w:rPr>
          <w:rFonts w:ascii="Times New Roman" w:cs="Times New Roman" w:eastAsia="Times New Roman" w:hAnsi="Times New Roman"/>
          <w:color w:val="000000"/>
          <w:sz w:val="24"/>
          <w:szCs w:val="24"/>
          <w:rtl w:val="0"/>
        </w:rPr>
        <w:t xml:space="preserve"> demonstrate how domestic courts integrate ECHR principles into international tax disputes. In this case, the House of Lords examined whether the UK’s group relief rules discriminated against foreign companies, ultimately affirming compliance with Article 14.</w:t>
      </w:r>
    </w:p>
    <w:p w:rsidR="00000000" w:rsidDel="00000000" w:rsidP="00000000" w:rsidRDefault="00000000" w:rsidRPr="00000000" w14:paraId="00000031">
      <w:pPr>
        <w:pStyle w:val="Heading2"/>
        <w:numPr>
          <w:ilvl w:val="0"/>
          <w:numId w:val="1"/>
        </w:numPr>
        <w:ind w:left="360" w:hanging="360"/>
        <w:rPr>
          <w:rFonts w:ascii="Times New Roman" w:cs="Times New Roman" w:eastAsia="Times New Roman" w:hAnsi="Times New Roman"/>
          <w:sz w:val="27"/>
          <w:szCs w:val="27"/>
        </w:rPr>
      </w:pPr>
      <w:bookmarkStart w:colFirst="0" w:colLast="0" w:name="_heading=h.1y810tw" w:id="6"/>
      <w:bookmarkEnd w:id="6"/>
      <w:r w:rsidDel="00000000" w:rsidR="00000000" w:rsidRPr="00000000">
        <w:rPr>
          <w:rFonts w:ascii="Times New Roman" w:cs="Times New Roman" w:eastAsia="Times New Roman" w:hAnsi="Times New Roman"/>
          <w:sz w:val="27"/>
          <w:szCs w:val="27"/>
          <w:rtl w:val="0"/>
        </w:rPr>
        <w:t xml:space="preserve">Penalties and Enforcement Measures</w:t>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Tax enforcement mechanisms, including penalties and asset seizures, must comply with proportionality and procedural fairness. In </w:t>
      </w:r>
      <w:r w:rsidDel="00000000" w:rsidR="00000000" w:rsidRPr="00000000">
        <w:rPr>
          <w:rFonts w:ascii="Times New Roman" w:cs="Times New Roman" w:eastAsia="Times New Roman" w:hAnsi="Times New Roman"/>
          <w:b w:val="1"/>
          <w:color w:val="000000"/>
          <w:sz w:val="24"/>
          <w:szCs w:val="24"/>
          <w:rtl w:val="0"/>
        </w:rPr>
        <w:t xml:space="preserve">Hentrich v. France (1994) 18 EHRR 440</w:t>
      </w:r>
      <w:r w:rsidDel="00000000" w:rsidR="00000000" w:rsidRPr="00000000">
        <w:rPr>
          <w:rFonts w:ascii="Times New Roman" w:cs="Times New Roman" w:eastAsia="Times New Roman" w:hAnsi="Times New Roman"/>
          <w:color w:val="000000"/>
          <w:sz w:val="24"/>
          <w:szCs w:val="24"/>
          <w:rtl w:val="0"/>
        </w:rPr>
        <w:t xml:space="preserve">, the ECtHR found that France’s tax authorities had violated A1P1 by seizing property without providing adequate procedural safeguards. The case highlighted the need for transparency and judicial oversight in enforcement actions.</w:t>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Similarly, in </w:t>
      </w:r>
      <w:r w:rsidDel="00000000" w:rsidR="00000000" w:rsidRPr="00000000">
        <w:rPr>
          <w:rFonts w:ascii="Times New Roman" w:cs="Times New Roman" w:eastAsia="Times New Roman" w:hAnsi="Times New Roman"/>
          <w:b w:val="1"/>
          <w:color w:val="000000"/>
          <w:sz w:val="24"/>
          <w:szCs w:val="24"/>
          <w:rtl w:val="0"/>
        </w:rPr>
        <w:t xml:space="preserve">Bendenoun v. France (1994) 18 EHRR 54</w:t>
      </w:r>
      <w:r w:rsidDel="00000000" w:rsidR="00000000" w:rsidRPr="00000000">
        <w:rPr>
          <w:rFonts w:ascii="Times New Roman" w:cs="Times New Roman" w:eastAsia="Times New Roman" w:hAnsi="Times New Roman"/>
          <w:color w:val="000000"/>
          <w:sz w:val="24"/>
          <w:szCs w:val="24"/>
          <w:rtl w:val="0"/>
        </w:rPr>
        <w:t xml:space="preserve">, the Court scrutinized excessive penalties, ruling that disproportionate sanctions breached Article 6. This precedent serves as a check against punitive tax regimes that undermine fairness and due process.</w:t>
      </w:r>
    </w:p>
    <w:p w:rsidR="00000000" w:rsidDel="00000000" w:rsidP="00000000" w:rsidRDefault="00000000" w:rsidRPr="00000000" w14:paraId="00000034">
      <w:pPr>
        <w:pStyle w:val="Heading2"/>
        <w:numPr>
          <w:ilvl w:val="0"/>
          <w:numId w:val="1"/>
        </w:numPr>
        <w:ind w:left="360" w:hanging="360"/>
        <w:rPr>
          <w:rFonts w:ascii="Times New Roman" w:cs="Times New Roman" w:eastAsia="Times New Roman" w:hAnsi="Times New Roman"/>
          <w:sz w:val="27"/>
          <w:szCs w:val="27"/>
        </w:rPr>
      </w:pPr>
      <w:bookmarkStart w:colFirst="0" w:colLast="0" w:name="_heading=h.4i7ojhp" w:id="7"/>
      <w:bookmarkEnd w:id="7"/>
      <w:r w:rsidDel="00000000" w:rsidR="00000000" w:rsidRPr="00000000">
        <w:rPr>
          <w:rFonts w:ascii="Times New Roman" w:cs="Times New Roman" w:eastAsia="Times New Roman" w:hAnsi="Times New Roman"/>
          <w:sz w:val="27"/>
          <w:szCs w:val="27"/>
          <w:rtl w:val="0"/>
        </w:rPr>
        <w:t xml:space="preserve">Protection Against Self-Incrimination</w:t>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Article 6 also safeguards against self-incrimination in tax investigations. In </w:t>
      </w:r>
      <w:r w:rsidDel="00000000" w:rsidR="00000000" w:rsidRPr="00000000">
        <w:rPr>
          <w:rFonts w:ascii="Times New Roman" w:cs="Times New Roman" w:eastAsia="Times New Roman" w:hAnsi="Times New Roman"/>
          <w:b w:val="1"/>
          <w:color w:val="000000"/>
          <w:sz w:val="24"/>
          <w:szCs w:val="24"/>
          <w:rtl w:val="0"/>
        </w:rPr>
        <w:t xml:space="preserve">Funke v. France (1993) 16 EHRR 297</w:t>
      </w:r>
      <w:r w:rsidDel="00000000" w:rsidR="00000000" w:rsidRPr="00000000">
        <w:rPr>
          <w:rFonts w:ascii="Times New Roman" w:cs="Times New Roman" w:eastAsia="Times New Roman" w:hAnsi="Times New Roman"/>
          <w:color w:val="000000"/>
          <w:sz w:val="24"/>
          <w:szCs w:val="24"/>
          <w:rtl w:val="0"/>
        </w:rPr>
        <w:t xml:space="preserve">, the ECtHR ruled that compelling the disclosure of incriminating documents violated the right to a fair trial. This principle has influenced practices in tax audits and compliance programs, ensuring safeguards against coercion.</w:t>
      </w:r>
    </w:p>
    <w:p w:rsidR="00000000" w:rsidDel="00000000" w:rsidP="00000000" w:rsidRDefault="00000000" w:rsidRPr="00000000" w14:paraId="00000036">
      <w:pPr>
        <w:pStyle w:val="Heading2"/>
        <w:numPr>
          <w:ilvl w:val="0"/>
          <w:numId w:val="1"/>
        </w:numPr>
        <w:ind w:left="360" w:hanging="360"/>
        <w:rPr>
          <w:rFonts w:ascii="Times New Roman" w:cs="Times New Roman" w:eastAsia="Times New Roman" w:hAnsi="Times New Roman"/>
          <w:sz w:val="27"/>
          <w:szCs w:val="27"/>
        </w:rPr>
      </w:pPr>
      <w:bookmarkStart w:colFirst="0" w:colLast="0" w:name="_heading=h.2xcytpi" w:id="8"/>
      <w:bookmarkEnd w:id="8"/>
      <w:r w:rsidDel="00000000" w:rsidR="00000000" w:rsidRPr="00000000">
        <w:rPr>
          <w:rFonts w:ascii="Times New Roman" w:cs="Times New Roman" w:eastAsia="Times New Roman" w:hAnsi="Times New Roman"/>
          <w:sz w:val="27"/>
          <w:szCs w:val="27"/>
          <w:rtl w:val="0"/>
        </w:rPr>
        <w:t xml:space="preserve">Tax Transparency and Data Protection</w:t>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intersection of taxation and data protection has gained prominence with the advent of automatic information exchange systems like the Common Reporting Standard (CRS). In </w:t>
      </w:r>
      <w:r w:rsidDel="00000000" w:rsidR="00000000" w:rsidRPr="00000000">
        <w:rPr>
          <w:rFonts w:ascii="Times New Roman" w:cs="Times New Roman" w:eastAsia="Times New Roman" w:hAnsi="Times New Roman"/>
          <w:b w:val="1"/>
          <w:color w:val="000000"/>
          <w:sz w:val="24"/>
          <w:szCs w:val="24"/>
          <w:rtl w:val="0"/>
        </w:rPr>
        <w:t xml:space="preserve">S. and Marper v. United Kingdom [2008] ECHR 1581</w:t>
      </w:r>
      <w:r w:rsidDel="00000000" w:rsidR="00000000" w:rsidRPr="00000000">
        <w:rPr>
          <w:rFonts w:ascii="Times New Roman" w:cs="Times New Roman" w:eastAsia="Times New Roman" w:hAnsi="Times New Roman"/>
          <w:color w:val="000000"/>
          <w:sz w:val="24"/>
          <w:szCs w:val="24"/>
          <w:rtl w:val="0"/>
        </w:rPr>
        <w:t xml:space="preserve">, the Court addressed data privacy concerns, emphasizing the need for proportionality in data collection and retention.</w:t>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While tax transparency initiatives aim to combat evasion, they must align with ECHR standards to avoid infringing privacy rights. The ECtHR’s evolving jurisprudence continues to shape this balance.</w:t>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E">
      <w:pPr>
        <w:pStyle w:val="Heading1"/>
        <w:rPr/>
      </w:pPr>
      <w:bookmarkStart w:colFirst="0" w:colLast="0" w:name="_heading=h.1ci93xb" w:id="9"/>
      <w:bookmarkEnd w:id="9"/>
      <w:r w:rsidDel="00000000" w:rsidR="00000000" w:rsidRPr="00000000">
        <w:rPr>
          <w:rtl w:val="0"/>
        </w:rPr>
        <w:t xml:space="preserve">I.2. THE INTERNATIONAL COVENANT ON CIVIL AND POLITICAL RIGHTS</w:t>
      </w:r>
    </w:p>
    <w:p w:rsidR="00000000" w:rsidDel="00000000" w:rsidP="00000000" w:rsidRDefault="00000000" w:rsidRPr="00000000" w14:paraId="0000003F">
      <w:pPr>
        <w:pStyle w:val="Heading2"/>
        <w:numPr>
          <w:ilvl w:val="0"/>
          <w:numId w:val="2"/>
        </w:numPr>
        <w:ind w:left="360" w:hanging="360"/>
        <w:rPr>
          <w:rFonts w:ascii="Times New Roman" w:cs="Times New Roman" w:eastAsia="Times New Roman" w:hAnsi="Times New Roman"/>
          <w:sz w:val="27"/>
          <w:szCs w:val="27"/>
        </w:rPr>
      </w:pPr>
      <w:bookmarkStart w:colFirst="0" w:colLast="0" w:name="_heading=h.3whwml4" w:id="10"/>
      <w:bookmarkEnd w:id="10"/>
      <w:r w:rsidDel="00000000" w:rsidR="00000000" w:rsidRPr="00000000">
        <w:rPr>
          <w:rFonts w:ascii="Times New Roman" w:cs="Times New Roman" w:eastAsia="Times New Roman" w:hAnsi="Times New Roman"/>
          <w:sz w:val="27"/>
          <w:szCs w:val="27"/>
          <w:rtl w:val="0"/>
        </w:rPr>
        <w:t xml:space="preserve">ICCPR as a Framework for Taxation and Human Rights</w:t>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International Covenant on Civil and Political Rights (ICCPR) establishes fundamental protections against the infringement of individual liberties, forming the cornerstone of international human rights law. While the ICCPR does not explicitly address taxation, its principles permeate tax systems by safeguarding rights that are inherently affected by fiscal policies and tax enforcement measures. Article 26 of the ICCPR enshrines equality before the law and prohibits discrimination, ensuring that tax regimes operate in a non-discriminatory manner. Similarly, Article 17 guarantees privacy and protection against arbitrary interference, which imposes constraints on tax authorities during investigations and enforcement.</w:t>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Academic commentary has emphasized the need to integrate human rights considerations into taxation frameworks. Avery Jones (2009) argued that taxation systems must balance revenue collection objectives with individual freedoms, echoing the ICCPR’s emphasis on proportionality. This balancing act requires scrutiny of compliance measures, especially in cases where intrusive investigative powers are justified on the grounds of combating tax evasion.</w:t>
      </w:r>
    </w:p>
    <w:p w:rsidR="00000000" w:rsidDel="00000000" w:rsidP="00000000" w:rsidRDefault="00000000" w:rsidRPr="00000000" w14:paraId="00000042">
      <w:pPr>
        <w:pStyle w:val="Heading2"/>
        <w:numPr>
          <w:ilvl w:val="0"/>
          <w:numId w:val="2"/>
        </w:numPr>
        <w:ind w:left="360" w:hanging="360"/>
        <w:rPr>
          <w:rFonts w:ascii="Times New Roman" w:cs="Times New Roman" w:eastAsia="Times New Roman" w:hAnsi="Times New Roman"/>
          <w:sz w:val="27"/>
          <w:szCs w:val="27"/>
        </w:rPr>
      </w:pPr>
      <w:bookmarkStart w:colFirst="0" w:colLast="0" w:name="_heading=h.2bn6wsx" w:id="11"/>
      <w:bookmarkEnd w:id="11"/>
      <w:r w:rsidDel="00000000" w:rsidR="00000000" w:rsidRPr="00000000">
        <w:rPr>
          <w:rFonts w:ascii="Times New Roman" w:cs="Times New Roman" w:eastAsia="Times New Roman" w:hAnsi="Times New Roman"/>
          <w:sz w:val="27"/>
          <w:szCs w:val="27"/>
          <w:rtl w:val="0"/>
        </w:rPr>
        <w:t xml:space="preserve">Equality and Non-Discrimination in Tax Systems</w:t>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Article 26 of the ICCPR mandates that all persons are equal before the law, a principle that underpins the foundation of fair and just tax regimes. Tax laws and their implementation must not create systemic disparities or target specific groups based on race, nationality, gender, or socioeconomic status. This principle was highlighted in the European Court of Human Rights decision in </w:t>
      </w:r>
      <w:r w:rsidDel="00000000" w:rsidR="00000000" w:rsidRPr="00000000">
        <w:rPr>
          <w:rFonts w:ascii="Times New Roman" w:cs="Times New Roman" w:eastAsia="Times New Roman" w:hAnsi="Times New Roman"/>
          <w:b w:val="1"/>
          <w:color w:val="000000"/>
          <w:sz w:val="24"/>
          <w:szCs w:val="24"/>
          <w:rtl w:val="0"/>
        </w:rPr>
        <w:t xml:space="preserve">Burden v. United Kingdom (2008)</w:t>
      </w:r>
      <w:r w:rsidDel="00000000" w:rsidR="00000000" w:rsidRPr="00000000">
        <w:rPr>
          <w:rFonts w:ascii="Times New Roman" w:cs="Times New Roman" w:eastAsia="Times New Roman" w:hAnsi="Times New Roman"/>
          <w:color w:val="000000"/>
          <w:sz w:val="24"/>
          <w:szCs w:val="24"/>
          <w:rtl w:val="0"/>
        </w:rPr>
        <w:t xml:space="preserve">, where the court emphasized that differential tax treatment must have objective and reasonable justification to avoid breaching equality norms.</w:t>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 fiscal contexts, cases involving differential treatment in inheritance tax rates or deductions illustrate how tax policies can inadvertently reinforce inequality. Academic reviews by Oxfam (2019) have argued that wealth-based exemptions, such as capital gains tax reliefs, often benefit the wealthy, thereby perpetuating inequality and potentially breaching Article 26 obligations.</w:t>
      </w:r>
    </w:p>
    <w:p w:rsidR="00000000" w:rsidDel="00000000" w:rsidP="00000000" w:rsidRDefault="00000000" w:rsidRPr="00000000" w14:paraId="00000045">
      <w:pPr>
        <w:pStyle w:val="Heading2"/>
        <w:numPr>
          <w:ilvl w:val="0"/>
          <w:numId w:val="2"/>
        </w:numPr>
        <w:ind w:left="360" w:hanging="360"/>
        <w:rPr>
          <w:rFonts w:ascii="Times New Roman" w:cs="Times New Roman" w:eastAsia="Times New Roman" w:hAnsi="Times New Roman"/>
          <w:sz w:val="27"/>
          <w:szCs w:val="27"/>
        </w:rPr>
      </w:pPr>
      <w:bookmarkStart w:colFirst="0" w:colLast="0" w:name="_heading=h.qsh70q" w:id="12"/>
      <w:bookmarkEnd w:id="12"/>
      <w:r w:rsidDel="00000000" w:rsidR="00000000" w:rsidRPr="00000000">
        <w:rPr>
          <w:rFonts w:ascii="Times New Roman" w:cs="Times New Roman" w:eastAsia="Times New Roman" w:hAnsi="Times New Roman"/>
          <w:sz w:val="27"/>
          <w:szCs w:val="27"/>
          <w:rtl w:val="0"/>
        </w:rPr>
        <w:t xml:space="preserve">Privacy and Procedural Safeguards in Tax Enforcement</w:t>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Article 17 of the ICCPR protects individuals from arbitrary or unlawful interference with privacy, family, or correspondence. This provision has significant implications for tax enforcement mechanisms, particularly in jurisdictions where tax authorities are empowered to demand detailed financial disclosures. In </w:t>
      </w:r>
      <w:r w:rsidDel="00000000" w:rsidR="00000000" w:rsidRPr="00000000">
        <w:rPr>
          <w:rFonts w:ascii="Times New Roman" w:cs="Times New Roman" w:eastAsia="Times New Roman" w:hAnsi="Times New Roman"/>
          <w:b w:val="1"/>
          <w:color w:val="000000"/>
          <w:sz w:val="24"/>
          <w:szCs w:val="24"/>
          <w:rtl w:val="0"/>
        </w:rPr>
        <w:t xml:space="preserve">Funke v. France (1993)</w:t>
      </w:r>
      <w:r w:rsidDel="00000000" w:rsidR="00000000" w:rsidRPr="00000000">
        <w:rPr>
          <w:rFonts w:ascii="Times New Roman" w:cs="Times New Roman" w:eastAsia="Times New Roman" w:hAnsi="Times New Roman"/>
          <w:color w:val="000000"/>
          <w:sz w:val="24"/>
          <w:szCs w:val="24"/>
          <w:rtl w:val="0"/>
        </w:rPr>
        <w:t xml:space="preserve">, the European Court of Human Rights assessed whether excessive demands for financial records violated privacy rights, ultimately holding that such actions must align with principles of necessity and proportionality.</w:t>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Modern trends in tax transparency, such as the OECD’s Common Reporting Standard (CRS), have prompted debates regarding the compatibility of automatic information exchange with privacy protections. Scholars like Alston (2017) highlight the tension between these measures and ICCPR obligations, emphasizing the need for robust legal safeguards to prevent abuse. They argue that privacy intrusions must be justified by compelling state interests and be accompanied by oversight mechanisms.</w:t>
      </w:r>
    </w:p>
    <w:p w:rsidR="00000000" w:rsidDel="00000000" w:rsidP="00000000" w:rsidRDefault="00000000" w:rsidRPr="00000000" w14:paraId="00000048">
      <w:pPr>
        <w:pStyle w:val="Heading2"/>
        <w:numPr>
          <w:ilvl w:val="0"/>
          <w:numId w:val="2"/>
        </w:numPr>
        <w:ind w:left="360" w:hanging="360"/>
        <w:rPr>
          <w:rFonts w:ascii="Times New Roman" w:cs="Times New Roman" w:eastAsia="Times New Roman" w:hAnsi="Times New Roman"/>
          <w:sz w:val="27"/>
          <w:szCs w:val="27"/>
        </w:rPr>
      </w:pPr>
      <w:bookmarkStart w:colFirst="0" w:colLast="0" w:name="_heading=h.3as4poj" w:id="13"/>
      <w:bookmarkEnd w:id="13"/>
      <w:r w:rsidDel="00000000" w:rsidR="00000000" w:rsidRPr="00000000">
        <w:rPr>
          <w:rFonts w:ascii="Times New Roman" w:cs="Times New Roman" w:eastAsia="Times New Roman" w:hAnsi="Times New Roman"/>
          <w:sz w:val="27"/>
          <w:szCs w:val="27"/>
          <w:rtl w:val="0"/>
        </w:rPr>
        <w:t xml:space="preserve">Freedom of Expression and Transparency in Tax Policy</w:t>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Article 19 of the ICCPR guarantees freedom of expression, which encompasses the right to seek and impart information. This principle extends to transparency in tax policy formulation, enabling citizens to scrutinize government spending and revenue collection practices. Transparency is essential for combating corruption, as highlighted in </w:t>
      </w:r>
      <w:r w:rsidDel="00000000" w:rsidR="00000000" w:rsidRPr="00000000">
        <w:rPr>
          <w:rFonts w:ascii="Times New Roman" w:cs="Times New Roman" w:eastAsia="Times New Roman" w:hAnsi="Times New Roman"/>
          <w:b w:val="1"/>
          <w:color w:val="000000"/>
          <w:sz w:val="24"/>
          <w:szCs w:val="24"/>
          <w:rtl w:val="0"/>
        </w:rPr>
        <w:t xml:space="preserve">Open Society Justice Initiative v. Indonesia (2015)</w:t>
      </w:r>
      <w:r w:rsidDel="00000000" w:rsidR="00000000" w:rsidRPr="00000000">
        <w:rPr>
          <w:rFonts w:ascii="Times New Roman" w:cs="Times New Roman" w:eastAsia="Times New Roman" w:hAnsi="Times New Roman"/>
          <w:color w:val="000000"/>
          <w:sz w:val="24"/>
          <w:szCs w:val="24"/>
          <w:rtl w:val="0"/>
        </w:rPr>
        <w:t xml:space="preserve">, where courts upheld the right to access information regarding fiscal policies and public expenditures.</w:t>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Academics such as Rixen (2011) have linked fiscal transparency to democratic accountability, arguing that opacity in tax policies erodes public trust and undermines compliance. They further contend that withholding information about tax incentives or exemptions infringes upon ICCPR-guaranteed freedoms, as it limits the ability of civil society to hold governments accountable.</w:t>
      </w:r>
    </w:p>
    <w:p w:rsidR="00000000" w:rsidDel="00000000" w:rsidP="00000000" w:rsidRDefault="00000000" w:rsidRPr="00000000" w14:paraId="0000004B">
      <w:pPr>
        <w:pStyle w:val="Heading2"/>
        <w:numPr>
          <w:ilvl w:val="0"/>
          <w:numId w:val="2"/>
        </w:numPr>
        <w:ind w:left="360" w:hanging="360"/>
        <w:rPr>
          <w:rFonts w:ascii="Times New Roman" w:cs="Times New Roman" w:eastAsia="Times New Roman" w:hAnsi="Times New Roman"/>
          <w:sz w:val="27"/>
          <w:szCs w:val="27"/>
        </w:rPr>
      </w:pPr>
      <w:bookmarkStart w:colFirst="0" w:colLast="0" w:name="_heading=h.1pxezwc" w:id="14"/>
      <w:bookmarkEnd w:id="14"/>
      <w:r w:rsidDel="00000000" w:rsidR="00000000" w:rsidRPr="00000000">
        <w:rPr>
          <w:rFonts w:ascii="Times New Roman" w:cs="Times New Roman" w:eastAsia="Times New Roman" w:hAnsi="Times New Roman"/>
          <w:sz w:val="27"/>
          <w:szCs w:val="27"/>
          <w:rtl w:val="0"/>
        </w:rPr>
        <w:t xml:space="preserve">Due Process Rights in Tax Disputes</w:t>
      </w:r>
    </w:p>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ICCPR’s provisions under Articles 14 and 15 emphasize fair trial rights and protection against retrospective criminal liability. These rights apply to tax disputes, particularly in cases where penalties and sanctions resemble criminal charges. The United Nations Human Rights Committee in </w:t>
      </w:r>
      <w:r w:rsidDel="00000000" w:rsidR="00000000" w:rsidRPr="00000000">
        <w:rPr>
          <w:rFonts w:ascii="Times New Roman" w:cs="Times New Roman" w:eastAsia="Times New Roman" w:hAnsi="Times New Roman"/>
          <w:b w:val="1"/>
          <w:color w:val="000000"/>
          <w:sz w:val="24"/>
          <w:szCs w:val="24"/>
          <w:rtl w:val="0"/>
        </w:rPr>
        <w:t xml:space="preserve">General Comment No. 32 (2007)</w:t>
      </w:r>
      <w:r w:rsidDel="00000000" w:rsidR="00000000" w:rsidRPr="00000000">
        <w:rPr>
          <w:rFonts w:ascii="Times New Roman" w:cs="Times New Roman" w:eastAsia="Times New Roman" w:hAnsi="Times New Roman"/>
          <w:color w:val="000000"/>
          <w:sz w:val="24"/>
          <w:szCs w:val="24"/>
          <w:rtl w:val="0"/>
        </w:rPr>
        <w:t xml:space="preserve"> clarified that administrative penalties with punitive effects warrant the same safeguards as criminal proceedings.</w:t>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case of </w:t>
      </w:r>
      <w:r w:rsidDel="00000000" w:rsidR="00000000" w:rsidRPr="00000000">
        <w:rPr>
          <w:rFonts w:ascii="Times New Roman" w:cs="Times New Roman" w:eastAsia="Times New Roman" w:hAnsi="Times New Roman"/>
          <w:b w:val="1"/>
          <w:color w:val="000000"/>
          <w:sz w:val="24"/>
          <w:szCs w:val="24"/>
          <w:rtl w:val="0"/>
        </w:rPr>
        <w:t xml:space="preserve">Jussila v. Finland (2006)</w:t>
      </w:r>
      <w:r w:rsidDel="00000000" w:rsidR="00000000" w:rsidRPr="00000000">
        <w:rPr>
          <w:rFonts w:ascii="Times New Roman" w:cs="Times New Roman" w:eastAsia="Times New Roman" w:hAnsi="Times New Roman"/>
          <w:color w:val="000000"/>
          <w:sz w:val="24"/>
          <w:szCs w:val="24"/>
          <w:rtl w:val="0"/>
        </w:rPr>
        <w:t xml:space="preserve"> in the European Court of Human Rights affirmed this principle by requiring tax authorities to adhere to procedural fairness when imposing penalties. Legal scholars like Duff (2018) argue that such protections serve as deterrents against arbitrary enforcement actions, reinforcing the rule of law.</w:t>
      </w:r>
    </w:p>
    <w:p w:rsidR="00000000" w:rsidDel="00000000" w:rsidP="00000000" w:rsidRDefault="00000000" w:rsidRPr="00000000" w14:paraId="0000004E">
      <w:pPr>
        <w:pStyle w:val="Heading2"/>
        <w:numPr>
          <w:ilvl w:val="0"/>
          <w:numId w:val="2"/>
        </w:numPr>
        <w:ind w:left="360" w:hanging="360"/>
        <w:rPr>
          <w:rFonts w:ascii="Times New Roman" w:cs="Times New Roman" w:eastAsia="Times New Roman" w:hAnsi="Times New Roman"/>
          <w:sz w:val="27"/>
          <w:szCs w:val="27"/>
        </w:rPr>
      </w:pPr>
      <w:bookmarkStart w:colFirst="0" w:colLast="0" w:name="_heading=h.49x2ik5" w:id="15"/>
      <w:bookmarkEnd w:id="15"/>
      <w:r w:rsidDel="00000000" w:rsidR="00000000" w:rsidRPr="00000000">
        <w:rPr>
          <w:rFonts w:ascii="Times New Roman" w:cs="Times New Roman" w:eastAsia="Times New Roman" w:hAnsi="Times New Roman"/>
          <w:sz w:val="27"/>
          <w:szCs w:val="27"/>
          <w:rtl w:val="0"/>
        </w:rPr>
        <w:t xml:space="preserve">ICCPR and Cross-Border Taxation</w:t>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Globalization has magnified the relevance of the ICCPR in cross-border taxation. With multinational enterprises leveraging tax havens and aggressive avoidance schemes, governments have responded with stringent anti-avoidance measures, including unilateral rules and information-sharing agreements. These measures often challenge the ICCPR’s principles by enabling extraterritorial enforcement actions that infringe upon individual rights.</w:t>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OECD’s Base Erosion and Profit Shifting (BEPS) project has highlighted the need for balanced enforcement mechanisms that respect human rights. Alvaro Sanchez (2020) critiques extraterritorial information requests under FATCA and CRS, arguing that they lack adequate procedural safeguards. These criticisms align with ICCPR standards, which mandate judicial oversight and proportionality in cross-border enforcement.</w:t>
      </w:r>
    </w:p>
    <w:p w:rsidR="00000000" w:rsidDel="00000000" w:rsidP="00000000" w:rsidRDefault="00000000" w:rsidRPr="00000000" w14:paraId="00000051">
      <w:pPr>
        <w:pStyle w:val="Heading2"/>
        <w:numPr>
          <w:ilvl w:val="0"/>
          <w:numId w:val="2"/>
        </w:numPr>
        <w:ind w:left="360" w:hanging="360"/>
        <w:rPr>
          <w:rFonts w:ascii="Times New Roman" w:cs="Times New Roman" w:eastAsia="Times New Roman" w:hAnsi="Times New Roman"/>
          <w:sz w:val="27"/>
          <w:szCs w:val="27"/>
        </w:rPr>
      </w:pPr>
      <w:bookmarkStart w:colFirst="0" w:colLast="0" w:name="_heading=h.2p2csry" w:id="16"/>
      <w:bookmarkEnd w:id="16"/>
      <w:r w:rsidDel="00000000" w:rsidR="00000000" w:rsidRPr="00000000">
        <w:rPr>
          <w:rFonts w:ascii="Times New Roman" w:cs="Times New Roman" w:eastAsia="Times New Roman" w:hAnsi="Times New Roman"/>
          <w:sz w:val="27"/>
          <w:szCs w:val="27"/>
          <w:rtl w:val="0"/>
        </w:rPr>
        <w:t xml:space="preserve">Remedies and Accountability for Human Rights Violations in Taxation</w:t>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ICCPR provides avenues for redress through its Optional Protocol, enabling individuals to lodge complaints with the Human Rights Committee. This framework has been invoked in cases of excessive tax penalties and discriminatory policies, compelling states to align domestic laws with international obligations.</w:t>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 </w:t>
      </w:r>
      <w:r w:rsidDel="00000000" w:rsidR="00000000" w:rsidRPr="00000000">
        <w:rPr>
          <w:rFonts w:ascii="Times New Roman" w:cs="Times New Roman" w:eastAsia="Times New Roman" w:hAnsi="Times New Roman"/>
          <w:b w:val="1"/>
          <w:color w:val="000000"/>
          <w:sz w:val="24"/>
          <w:szCs w:val="24"/>
          <w:rtl w:val="0"/>
        </w:rPr>
        <w:t xml:space="preserve">Toonen v. Australia (1994)</w:t>
      </w:r>
      <w:r w:rsidDel="00000000" w:rsidR="00000000" w:rsidRPr="00000000">
        <w:rPr>
          <w:rFonts w:ascii="Times New Roman" w:cs="Times New Roman" w:eastAsia="Times New Roman" w:hAnsi="Times New Roman"/>
          <w:color w:val="000000"/>
          <w:sz w:val="24"/>
          <w:szCs w:val="24"/>
          <w:rtl w:val="0"/>
        </w:rPr>
        <w:t xml:space="preserve">, the Human Rights Committee underscored the importance of judicial review in safeguarding rights, a principle that applies equally to tax disputes. Subsequent academic analyses by Foster (2019) emphasize the need for national tax tribunals to adopt ICCPR-compatible procedures, including access to legal representation and appeals.</w:t>
      </w:r>
    </w:p>
    <w:p w:rsidR="00000000" w:rsidDel="00000000" w:rsidP="00000000" w:rsidRDefault="00000000" w:rsidRPr="00000000" w14:paraId="00000054">
      <w:pPr>
        <w:pStyle w:val="Heading2"/>
        <w:numPr>
          <w:ilvl w:val="0"/>
          <w:numId w:val="2"/>
        </w:numPr>
        <w:ind w:left="360" w:hanging="360"/>
        <w:rPr>
          <w:rFonts w:ascii="Times New Roman" w:cs="Times New Roman" w:eastAsia="Times New Roman" w:hAnsi="Times New Roman"/>
          <w:sz w:val="27"/>
          <w:szCs w:val="27"/>
        </w:rPr>
      </w:pPr>
      <w:bookmarkStart w:colFirst="0" w:colLast="0" w:name="_heading=h.147n2zr" w:id="17"/>
      <w:bookmarkEnd w:id="17"/>
      <w:r w:rsidDel="00000000" w:rsidR="00000000" w:rsidRPr="00000000">
        <w:rPr>
          <w:rFonts w:ascii="Times New Roman" w:cs="Times New Roman" w:eastAsia="Times New Roman" w:hAnsi="Times New Roman"/>
          <w:sz w:val="27"/>
          <w:szCs w:val="27"/>
          <w:rtl w:val="0"/>
        </w:rPr>
        <w:t xml:space="preserve">ICCPR and Economic, Social, and Cultural Rights</w:t>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While the ICCPR primarily addresses civil and political rights, its interaction with economic rights under the International Covenant on Economic, Social and Cultural Rights (ICESCR) is crucial in taxation debates. Progressive taxation is often framed as a tool for fulfilling ICESCR obligations, but it must also comply with ICCPR standards to ensure fairness and transparency.</w:t>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For example, regressive tax regimes that disproportionately burden low-income groups may violate ICCPR protections against discrimination. The African Commission on Human and Peoples’ Rights in </w:t>
      </w:r>
      <w:r w:rsidDel="00000000" w:rsidR="00000000" w:rsidRPr="00000000">
        <w:rPr>
          <w:rFonts w:ascii="Times New Roman" w:cs="Times New Roman" w:eastAsia="Times New Roman" w:hAnsi="Times New Roman"/>
          <w:b w:val="1"/>
          <w:color w:val="000000"/>
          <w:sz w:val="24"/>
          <w:szCs w:val="24"/>
          <w:rtl w:val="0"/>
        </w:rPr>
        <w:t xml:space="preserve">SERAC v. Nigeria (2001)</w:t>
      </w:r>
      <w:r w:rsidDel="00000000" w:rsidR="00000000" w:rsidRPr="00000000">
        <w:rPr>
          <w:rFonts w:ascii="Times New Roman" w:cs="Times New Roman" w:eastAsia="Times New Roman" w:hAnsi="Times New Roman"/>
          <w:color w:val="000000"/>
          <w:sz w:val="24"/>
          <w:szCs w:val="24"/>
          <w:rtl w:val="0"/>
        </w:rPr>
        <w:t xml:space="preserve"> highlighted the link between taxation, resource allocation, and human rights, urging states to adopt inclusive fiscal policies.</w:t>
      </w:r>
    </w:p>
    <w:p w:rsidR="00000000" w:rsidDel="00000000" w:rsidP="00000000" w:rsidRDefault="00000000" w:rsidRPr="00000000" w14:paraId="00000057">
      <w:pPr>
        <w:pStyle w:val="Heading2"/>
        <w:numPr>
          <w:ilvl w:val="0"/>
          <w:numId w:val="2"/>
        </w:numPr>
        <w:ind w:left="360" w:hanging="360"/>
        <w:rPr>
          <w:rFonts w:ascii="Times New Roman" w:cs="Times New Roman" w:eastAsia="Times New Roman" w:hAnsi="Times New Roman"/>
          <w:sz w:val="27"/>
          <w:szCs w:val="27"/>
        </w:rPr>
      </w:pPr>
      <w:bookmarkStart w:colFirst="0" w:colLast="0" w:name="_heading=h.3o7alnk" w:id="18"/>
      <w:bookmarkEnd w:id="18"/>
      <w:r w:rsidDel="00000000" w:rsidR="00000000" w:rsidRPr="00000000">
        <w:rPr>
          <w:rFonts w:ascii="Times New Roman" w:cs="Times New Roman" w:eastAsia="Times New Roman" w:hAnsi="Times New Roman"/>
          <w:sz w:val="27"/>
          <w:szCs w:val="27"/>
          <w:rtl w:val="0"/>
        </w:rPr>
        <w:t xml:space="preserve">Balancing National Security and Individual Rights</w:t>
      </w:r>
    </w:p>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National security concerns, including financing counterterrorism efforts, have led to expanded tax surveillance measures. However, these initiatives often test the limits of ICCPR protections. The United Nations Special Rapporteur on Counterterrorism and Human Rights (2015) emphasized that tax-related surveillance must respect privacy rights and avoid arbitrary interference.</w:t>
      </w:r>
    </w:p>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 </w:t>
      </w:r>
      <w:r w:rsidDel="00000000" w:rsidR="00000000" w:rsidRPr="00000000">
        <w:rPr>
          <w:rFonts w:ascii="Times New Roman" w:cs="Times New Roman" w:eastAsia="Times New Roman" w:hAnsi="Times New Roman"/>
          <w:b w:val="1"/>
          <w:color w:val="000000"/>
          <w:sz w:val="24"/>
          <w:szCs w:val="24"/>
          <w:rtl w:val="0"/>
        </w:rPr>
        <w:t xml:space="preserve">Weber and Saravia v. Germany (2006)</w:t>
      </w:r>
      <w:r w:rsidDel="00000000" w:rsidR="00000000" w:rsidRPr="00000000">
        <w:rPr>
          <w:rFonts w:ascii="Times New Roman" w:cs="Times New Roman" w:eastAsia="Times New Roman" w:hAnsi="Times New Roman"/>
          <w:color w:val="000000"/>
          <w:sz w:val="24"/>
          <w:szCs w:val="24"/>
          <w:rtl w:val="0"/>
        </w:rPr>
        <w:t xml:space="preserve">, the European Court of Human Rights ruled that state surveillance programs require strict safeguards to prevent abuse. Similar principles apply to tax monitoring, necessitating clear legal frameworks and independent oversight.</w:t>
      </w:r>
    </w:p>
    <w:p w:rsidR="00000000" w:rsidDel="00000000" w:rsidP="00000000" w:rsidRDefault="00000000" w:rsidRPr="00000000" w14:paraId="0000005A">
      <w:pPr>
        <w:pStyle w:val="Heading2"/>
        <w:numPr>
          <w:ilvl w:val="0"/>
          <w:numId w:val="2"/>
        </w:numPr>
        <w:ind w:left="360" w:hanging="360"/>
        <w:rPr>
          <w:rFonts w:ascii="Times New Roman" w:cs="Times New Roman" w:eastAsia="Times New Roman" w:hAnsi="Times New Roman"/>
          <w:sz w:val="27"/>
          <w:szCs w:val="27"/>
        </w:rPr>
      </w:pPr>
      <w:bookmarkStart w:colFirst="0" w:colLast="0" w:name="_heading=h.23ckvvd" w:id="19"/>
      <w:bookmarkEnd w:id="19"/>
      <w:r w:rsidDel="00000000" w:rsidR="00000000" w:rsidRPr="00000000">
        <w:rPr>
          <w:rFonts w:ascii="Times New Roman" w:cs="Times New Roman" w:eastAsia="Times New Roman" w:hAnsi="Times New Roman"/>
          <w:sz w:val="27"/>
          <w:szCs w:val="27"/>
          <w:rtl w:val="0"/>
        </w:rPr>
        <w:t xml:space="preserve">ICCPR and Corporate Accountability in Tax Practices</w:t>
      </w:r>
    </w:p>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ICCPR’s principles extend to corporate accountability, particularly in cases of tax avoidance and profit shifting that undermine revenue mobilization for social programs. Corporate social responsibility frameworks, as endorsed by the UN Guiding Principles on Business and Human Rights, urge businesses to align tax practices with human rights obligations.</w:t>
      </w:r>
    </w:p>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Authors like Cobham and Janský (2020) argue that corporate tax transparency is integral to fulfilling ICCPR commitments, especially in addressing disparities caused by base erosion and profit shifting strategies. Judicial decisions, including </w:t>
      </w:r>
      <w:r w:rsidDel="00000000" w:rsidR="00000000" w:rsidRPr="00000000">
        <w:rPr>
          <w:rFonts w:ascii="Times New Roman" w:cs="Times New Roman" w:eastAsia="Times New Roman" w:hAnsi="Times New Roman"/>
          <w:b w:val="1"/>
          <w:color w:val="000000"/>
          <w:sz w:val="24"/>
          <w:szCs w:val="24"/>
          <w:rtl w:val="0"/>
        </w:rPr>
        <w:t xml:space="preserve">Daimler AG v. Bauman (2014)</w:t>
      </w:r>
      <w:r w:rsidDel="00000000" w:rsidR="00000000" w:rsidRPr="00000000">
        <w:rPr>
          <w:rFonts w:ascii="Times New Roman" w:cs="Times New Roman" w:eastAsia="Times New Roman" w:hAnsi="Times New Roman"/>
          <w:color w:val="000000"/>
          <w:sz w:val="24"/>
          <w:szCs w:val="24"/>
          <w:rtl w:val="0"/>
        </w:rPr>
        <w:t xml:space="preserve"> in the U.S. Supreme Court, reflect the growing emphasis on corporate accountability within the global tax regime.</w:t>
      </w:r>
    </w:p>
    <w:p w:rsidR="00000000" w:rsidDel="00000000" w:rsidP="00000000" w:rsidRDefault="00000000" w:rsidRPr="00000000" w14:paraId="0000005D">
      <w:pPr>
        <w:pStyle w:val="Heading2"/>
        <w:numPr>
          <w:ilvl w:val="0"/>
          <w:numId w:val="2"/>
        </w:numPr>
        <w:ind w:left="360" w:hanging="360"/>
        <w:rPr>
          <w:rFonts w:ascii="Times New Roman" w:cs="Times New Roman" w:eastAsia="Times New Roman" w:hAnsi="Times New Roman"/>
          <w:sz w:val="27"/>
          <w:szCs w:val="27"/>
        </w:rPr>
      </w:pPr>
      <w:bookmarkStart w:colFirst="0" w:colLast="0" w:name="_heading=h.ihv636" w:id="20"/>
      <w:bookmarkEnd w:id="20"/>
      <w:r w:rsidDel="00000000" w:rsidR="00000000" w:rsidRPr="00000000">
        <w:rPr>
          <w:rFonts w:ascii="Times New Roman" w:cs="Times New Roman" w:eastAsia="Times New Roman" w:hAnsi="Times New Roman"/>
          <w:sz w:val="27"/>
          <w:szCs w:val="27"/>
          <w:rtl w:val="0"/>
        </w:rPr>
        <w:t xml:space="preserve">Future Implications for Tax Policy</w:t>
      </w:r>
    </w:p>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intersection of taxation and ICCPR standards underscores the evolving role of human rights in fiscal governance. As international frameworks such as the OECD’s Inclusive Framework on BEPS evolve, integrating ICCPR principles will remain pivotal in balancing revenue collection with individual freedoms.</w:t>
      </w:r>
    </w:p>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Scholarly critiques, such as those by Avi-Yonah (2021), advocate for enhanced judicial oversight, transparency, and proportionality in tax enforcement, ensuring compliance with international human rights obligations. These debates highlight the ICCPR’s enduring relevance in shaping equitable and rights-based tax systems.</w:t>
      </w:r>
    </w:p>
    <w:sectPr>
      <w:headerReference r:id="rId7" w:type="default"/>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pBdr>
        <w:top w:color="d9d9d9" w:space="1" w:sz="4" w:val="single"/>
        <w:left w:space="0" w:sz="0" w:val="nil"/>
        <w:bottom w:space="0" w:sz="0" w:val="nil"/>
        <w:right w:space="0" w:sz="0" w:val="nil"/>
        <w:between w:space="0" w:sz="0" w:val="nil"/>
      </w:pBdr>
      <w:tabs>
        <w:tab w:val="center" w:leader="none" w:pos="4513"/>
        <w:tab w:val="right" w:leader="none" w:pos="9026"/>
      </w:tabs>
      <w:spacing w:after="0" w:line="240" w:lineRule="auto"/>
      <w:ind w:left="3407" w:firstLine="4513"/>
      <w:rPr>
        <w:b w:val="1"/>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b w:val="1"/>
        <w:color w:val="000000"/>
        <w:rtl w:val="0"/>
      </w:rPr>
      <w:t xml:space="preserve"> | </w:t>
    </w:r>
    <w:r w:rsidDel="00000000" w:rsidR="00000000" w:rsidRPr="00000000">
      <w:rPr>
        <w:color w:val="7f7f7f"/>
        <w:rtl w:val="0"/>
      </w:rPr>
      <w:t xml:space="preserve">Page</w:t>
    </w: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Times New Roman" w:cs="Times New Roman" w:eastAsia="Times New Roman" w:hAnsi="Times New Roman"/>
      <w:b w:val="1"/>
      <w:color w:val="000000"/>
      <w:sz w:val="28"/>
      <w:szCs w:val="2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link w:val="Heading1Char"/>
    <w:uiPriority w:val="9"/>
    <w:qFormat w:val="1"/>
    <w:rsid w:val="00386A7F"/>
    <w:pPr>
      <w:keepNext w:val="1"/>
      <w:keepLines w:val="1"/>
      <w:spacing w:after="0" w:before="240"/>
      <w:outlineLvl w:val="0"/>
    </w:pPr>
    <w:rPr>
      <w:rFonts w:ascii="Times New Roman" w:hAnsi="Times New Roman" w:cstheme="majorBidi" w:eastAsiaTheme="majorEastAsia"/>
      <w:b w:val="1"/>
      <w:color w:val="000000" w:themeColor="text1"/>
      <w:sz w:val="28"/>
      <w:szCs w:val="32"/>
      <w:lang w:val="en-GB"/>
    </w:rPr>
  </w:style>
  <w:style w:type="paragraph" w:styleId="Heading2">
    <w:name w:val="heading 2"/>
    <w:basedOn w:val="Normal"/>
    <w:next w:val="Normal"/>
    <w:uiPriority w:val="9"/>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character" w:styleId="Heading1Char" w:customStyle="1">
    <w:name w:val="Heading 1 Char"/>
    <w:basedOn w:val="DefaultParagraphFont"/>
    <w:link w:val="Heading1"/>
    <w:uiPriority w:val="9"/>
    <w:rsid w:val="00386A7F"/>
    <w:rPr>
      <w:rFonts w:ascii="Times New Roman" w:hAnsi="Times New Roman" w:cstheme="majorBidi" w:eastAsiaTheme="majorEastAsia"/>
      <w:b w:val="1"/>
      <w:color w:val="000000" w:themeColor="text1"/>
      <w:sz w:val="28"/>
      <w:szCs w:val="32"/>
      <w:lang w:val="en-GB"/>
    </w:rPr>
  </w:style>
  <w:style w:type="paragraph" w:styleId="ListParagraph">
    <w:name w:val="List Paragraph"/>
    <w:basedOn w:val="Normal"/>
    <w:uiPriority w:val="34"/>
    <w:qFormat w:val="1"/>
    <w:rsid w:val="00386A7F"/>
    <w:pPr>
      <w:ind w:left="720"/>
      <w:contextualSpacing w:val="1"/>
    </w:pPr>
  </w:style>
  <w:style w:type="paragraph" w:styleId="NormalWeb">
    <w:name w:val="Normal (Web)"/>
    <w:basedOn w:val="Normal"/>
    <w:uiPriority w:val="99"/>
    <w:semiHidden w:val="1"/>
    <w:unhideWhenUsed w:val="1"/>
    <w:rsid w:val="00386A7F"/>
    <w:pPr>
      <w:spacing w:after="100" w:afterAutospacing="1" w:before="100" w:beforeAutospacing="1" w:line="240" w:lineRule="auto"/>
    </w:pPr>
    <w:rPr>
      <w:rFonts w:ascii="Times New Roman" w:cs="Times New Roman" w:eastAsia="Times New Roman" w:hAnsi="Times New Roman"/>
      <w:sz w:val="24"/>
      <w:szCs w:val="24"/>
      <w:lang/>
    </w:rPr>
  </w:style>
  <w:style w:type="paragraph" w:styleId="TOCHeading">
    <w:name w:val="TOC Heading"/>
    <w:basedOn w:val="Heading1"/>
    <w:next w:val="Normal"/>
    <w:uiPriority w:val="39"/>
    <w:unhideWhenUsed w:val="1"/>
    <w:qFormat w:val="1"/>
    <w:rsid w:val="00234817"/>
    <w:pPr>
      <w:outlineLvl w:val="9"/>
    </w:pPr>
    <w:rPr>
      <w:rFonts w:asciiTheme="majorHAnsi" w:hAnsiTheme="majorHAnsi"/>
      <w:b w:val="0"/>
      <w:color w:val="2f5496" w:themeColor="accent1" w:themeShade="0000BF"/>
      <w:sz w:val="32"/>
      <w:lang/>
    </w:rPr>
  </w:style>
  <w:style w:type="paragraph" w:styleId="TOC1">
    <w:name w:val="toc 1"/>
    <w:basedOn w:val="Normal"/>
    <w:next w:val="Normal"/>
    <w:autoRedefine w:val="1"/>
    <w:uiPriority w:val="39"/>
    <w:unhideWhenUsed w:val="1"/>
    <w:rsid w:val="00234817"/>
    <w:pPr>
      <w:spacing w:after="100"/>
    </w:pPr>
  </w:style>
  <w:style w:type="character" w:styleId="Hyperlink">
    <w:name w:val="Hyperlink"/>
    <w:basedOn w:val="DefaultParagraphFont"/>
    <w:uiPriority w:val="99"/>
    <w:unhideWhenUsed w:val="1"/>
    <w:rsid w:val="00234817"/>
    <w:rPr>
      <w:color w:val="0563c1" w:themeColor="hyperlink"/>
      <w:u w:val="single"/>
    </w:rPr>
  </w:style>
  <w:style w:type="paragraph" w:styleId="Header">
    <w:name w:val="header"/>
    <w:basedOn w:val="Normal"/>
    <w:link w:val="HeaderChar"/>
    <w:uiPriority w:val="99"/>
    <w:unhideWhenUsed w:val="1"/>
    <w:rsid w:val="00234817"/>
    <w:pPr>
      <w:tabs>
        <w:tab w:val="center" w:pos="4513"/>
        <w:tab w:val="right" w:pos="9026"/>
      </w:tabs>
      <w:spacing w:after="0" w:line="240" w:lineRule="auto"/>
    </w:pPr>
  </w:style>
  <w:style w:type="character" w:styleId="HeaderChar" w:customStyle="1">
    <w:name w:val="Header Char"/>
    <w:basedOn w:val="DefaultParagraphFont"/>
    <w:link w:val="Header"/>
    <w:uiPriority w:val="99"/>
    <w:rsid w:val="00234817"/>
  </w:style>
  <w:style w:type="paragraph" w:styleId="Footer">
    <w:name w:val="footer"/>
    <w:basedOn w:val="Normal"/>
    <w:link w:val="FooterChar"/>
    <w:uiPriority w:val="99"/>
    <w:unhideWhenUsed w:val="1"/>
    <w:rsid w:val="00234817"/>
    <w:pPr>
      <w:tabs>
        <w:tab w:val="center" w:pos="4513"/>
        <w:tab w:val="right" w:pos="9026"/>
      </w:tabs>
      <w:spacing w:after="0" w:line="240" w:lineRule="auto"/>
    </w:pPr>
  </w:style>
  <w:style w:type="character" w:styleId="FooterChar" w:customStyle="1">
    <w:name w:val="Footer Char"/>
    <w:basedOn w:val="DefaultParagraphFont"/>
    <w:link w:val="Footer"/>
    <w:uiPriority w:val="99"/>
    <w:rsid w:val="00234817"/>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TOC2">
    <w:name w:val="toc 2"/>
    <w:basedOn w:val="Normal"/>
    <w:next w:val="Normal"/>
    <w:autoRedefine w:val="1"/>
    <w:uiPriority w:val="39"/>
    <w:unhideWhenUsed w:val="1"/>
    <w:rsid w:val="00607355"/>
    <w:pPr>
      <w:spacing w:after="100"/>
      <w:ind w:left="220"/>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YX4knw9v4p11NyLRbYarxaKWVg==">CgMxLjAyCWguMzVua3VuMjIJaC4xa3N2NHV2MgloLjQ0c2luaW8yCWguMmp4c3hxaDIIaC56MzM3eWEyCWguM2oycXFtMzIJaC4xeTgxMHR3MgloLjRpN29qaHAyCWguMnhjeXRwaTIJaC4xY2k5M3hiMgloLjN3aHdtbDQyCWguMmJuNndzeDIIaC5xc2g3MHEyCWguM2FzNHBvajIJaC4xcHhlendjMgloLjQ5eDJpazUyCWguMnAyY3NyeTIJaC4xNDduMnpyMgloLjNvN2FsbmsyCWguMjNja3Z2ZDIIaC5paHY2MzY4AHIhMUtLUVI4YXlWazlDVVdnNklPbGlaLXNWdjc4VDhodTg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2024-09-06T13:39:00Z</dcterms:created>
  <dc:creator>victory otamiri</dc:creator>
</cp:coreProperties>
</file>