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EU LAW AND DOUBLE TAXATION CONVENTIONS</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between European Union (EU) law and Double Tax Conventions (DTCs) is a critical area of international tax law, particularly for EU Member States. Double Tax Conventions, typically based on the OECD Model Tax Convention, are bilateral agreements designed to prevent the double taxation of income and to provide mechanisms for resolving disputes over taxing rights. However, when EU Member States are parties to these conventions, the application of DTCs must be consistent with EU law, which can lead to complex legal and practical issues. This note examines the key areas where EU law interacts with DTCs, emphasizing the primacy of EU law, the principle of non-discrimination, the impact of EU directives on the application of DTCs, and the role of the European Court of Justice (ECJ) in interpreting these interactions.</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The primacy of EU Law</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of primacy, a cornerstone of EU law, asserts that EU law takes precedence over national law, including international agreements such as DTCs. This principle is rooted in the foundational treaties of the EU and has been consistently upheld by the ECJ. The primacy of EU law means that any conflict between a DTC and EU law must be resolved in favor of EU law.</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principle has significant implications for Member States' sovereignty in tax matters. While Member States retain the right to enter into DTCs, they must ensure that these agreements do not contravene EU law. For example, if a DTC provision were to grant tax advantages to residents of a non-EU country that are not available to residents of EU Member States, this could be deemed incompatible with EU law. The ECJ has ruled in several cases that Member States cannot rely on DTC provisions to justify measures that would otherwise violate EU law. This ensures a harmonized approach to tax policy within the EU, preventing Member States from undermining EU objectives through their bilateral treaties.</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Non-Discrimination Principle</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non-discrimination principle is enshrined in Article 18 of the TFEU, which prohibits discrimination on the grounds of nationality within the scope of the EU Treaties. This principle is particularly relevant in the context of DTCs, which often differentiate between residents and non-residents, potentially leading to discriminatory outcomes.</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ECJ has addressed this issue in numerous cases, emphasizing that DTCs must be applied in a manner that does not result in discrimination against nationals of other EU Member States. For instance, a DTC that provides tax relief only to residents of the contracting states, but not to residents of other EU Member States, could be challenged under EU law. The principle of non-discrimination requires that tax benefits, such as tax credits or exemptions provided under a DTC, should be available to all EU nationals in a non-discriminatory manner, irrespective of their residence. This principle also extends to the treatment of companies, ensuring that legal entities established in one Member State are not disadvantaged compared to those in another Member State.</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ECJ’s rulings in this area have had profound implications for the application of DTCs. In cases like </w:t>
      </w:r>
      <w:r w:rsidDel="00000000" w:rsidR="00000000" w:rsidRPr="00000000">
        <w:rPr>
          <w:rFonts w:ascii="Times New Roman" w:cs="Times New Roman" w:eastAsia="Times New Roman" w:hAnsi="Times New Roman"/>
          <w:i w:val="1"/>
          <w:rtl w:val="0"/>
        </w:rPr>
        <w:t xml:space="preserve">Saint-Gobain</w:t>
      </w:r>
      <w:r w:rsidDel="00000000" w:rsidR="00000000" w:rsidRPr="00000000">
        <w:rPr>
          <w:rFonts w:ascii="Times New Roman" w:cs="Times New Roman" w:eastAsia="Times New Roman" w:hAnsi="Times New Roman"/>
          <w:rtl w:val="0"/>
        </w:rPr>
        <w:t xml:space="preserve"> (C-307/97), the court ruled that the denial of certain tax benefits to non-resident EU companies was incompatible with the freedom of establishment, thereby enforcing the principle that DTCs must not violate the EU’s fundamental freedoms.</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Impact on the Application of DTCs</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influence of EU law on the application of DTCs extends beyond the principle of non-discrimination. EU directives and regulations, particularly in the field of taxation, impose additional requirements on how Member States apply their DTCs. The most notable examples are the EU’s Anti-Tax Avoidance Directive (ATAD), the Parent-Subsidiary Directive, and the Interest and Royalties Directive, all of which contain provisions that affect the implementation of DTCs.</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ATAD, for instance, introduces anti-abuse rules that Member States must incorporate into their national laws. These rules often override DTC provisions that might otherwise allow tax avoidance strategies, such as the use of low-tax jurisdictions. The directive requires that DTCs be applied in a way that prevents double non-taxation or other forms of tax avoidance, ensuring that cross-border transactions do not result in unintended tax advantages. Similarly, the Parent-Subsidiary Directive, which eliminates withholding taxes on dividends paid between associated companies in different Member States, takes precedence over DTC provisions that might otherwise impose such taxes. This directive effectively harmonizes the treatment of intra-group dividends across the EU, reducing the scope for DTCs to introduce disparities.</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principle of effective taxation, endorsed by the ECJ, requires that the benefits of DTCs be granted only in cases where genuine economic activity is taking place, thus preventing the abuse of treaty benefits through artificial arrangements. This principle aligns with the EU’s broader objective of ensuring that tax policies within the Union do not undermine the internal market.</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Jurisprudence and Case Law</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ECJ plays a crucial role in interpreting the interaction between EU law and DTCs. Through its jurisprudence, the court has established that while DTCs are important tools for avoiding double taxation, their provisions cannot be applied in a way that violates EU law. The ECJ’s decisions often involve balancing the rights of Member States to enter into DTCs with the need to uphold the principles of the EU, particularly the fundamental freedoms.</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landmark case in this context is </w:t>
      </w:r>
      <w:r w:rsidDel="00000000" w:rsidR="00000000" w:rsidRPr="00000000">
        <w:rPr>
          <w:rFonts w:ascii="Times New Roman" w:cs="Times New Roman" w:eastAsia="Times New Roman" w:hAnsi="Times New Roman"/>
          <w:i w:val="1"/>
          <w:rtl w:val="0"/>
        </w:rPr>
        <w:t xml:space="preserve">Saint-Gobain</w:t>
      </w:r>
      <w:r w:rsidDel="00000000" w:rsidR="00000000" w:rsidRPr="00000000">
        <w:rPr>
          <w:rFonts w:ascii="Times New Roman" w:cs="Times New Roman" w:eastAsia="Times New Roman" w:hAnsi="Times New Roman"/>
          <w:rtl w:val="0"/>
        </w:rPr>
        <w:t xml:space="preserve"> (C-307/97), where the ECJ held that a French subsidiary of a German parent company was entitled to the same tax credits under Germany’s DTCs as a German company. The court ruled that denying these benefits to a non-resident company was discriminatory and violated the freedom of establishment. This decision set a precedent for how DTCs must be interpreted in light of EU law, ensuring that they do not result in unequal treatment of EU nationals.</w:t>
      </w:r>
    </w:p>
    <w:p w:rsidR="00000000" w:rsidDel="00000000" w:rsidP="00000000" w:rsidRDefault="00000000" w:rsidRPr="00000000" w14:paraId="00000011">
      <w:pPr>
        <w:spacing w:after="280" w:before="280" w:line="240" w:lineRule="auto"/>
        <w:jc w:val="both"/>
        <w:rPr/>
      </w:pPr>
      <w:r w:rsidDel="00000000" w:rsidR="00000000" w:rsidRPr="00000000">
        <w:rPr>
          <w:rFonts w:ascii="Times New Roman" w:cs="Times New Roman" w:eastAsia="Times New Roman" w:hAnsi="Times New Roman"/>
          <w:rtl w:val="0"/>
        </w:rPr>
        <w:t xml:space="preserve">Another significant case is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(C-376/03), where the ECJ addressed the issue of the allocation of taxing rights between Member States and non-EU countries. The court ruled that while DTCs could allocate taxing rights, they must do so in a way that respects the fundamental freedoms guaranteed by the EU Treaties. This decision underscored the need for DTCs to be applied in a manner consistent with EU law, even when they involve non-EU countries.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866E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D866E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D866E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D866E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866E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866E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866E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866E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866E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66E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866E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866E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D866E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866E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866E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66E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66E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66E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866E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866E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866E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866E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66E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866EE"/>
    <w:rPr>
      <w:i w:val="1"/>
      <w:iCs w:val="1"/>
      <w:color w:val="404040" w:themeColor="text1" w:themeTint="0000BF"/>
    </w:rPr>
  </w:style>
  <w:style w:type="paragraph" w:styleId="ListParagraph">
    <w:name w:val="List Paragraph"/>
    <w:basedOn w:val="Normal"/>
    <w:uiPriority w:val="34"/>
    <w:qFormat w:val="1"/>
    <w:rsid w:val="00D866EE"/>
    <w:pPr>
      <w:ind w:left="720"/>
      <w:contextualSpacing w:val="1"/>
    </w:pPr>
  </w:style>
  <w:style w:type="character" w:styleId="IntenseEmphasis">
    <w:name w:val="Intense Emphasis"/>
    <w:basedOn w:val="DefaultParagraphFont"/>
    <w:uiPriority w:val="21"/>
    <w:qFormat w:val="1"/>
    <w:rsid w:val="00D866EE"/>
    <w:rPr>
      <w:i w:val="1"/>
      <w:iCs w:val="1"/>
      <w:color w:val="0f4761" w:themeColor="accent1" w:themeShade="0000BF"/>
    </w:rPr>
  </w:style>
  <w:style w:type="paragraph" w:styleId="IntenseQuote">
    <w:name w:val="Intense Quote"/>
    <w:basedOn w:val="Normal"/>
    <w:next w:val="Normal"/>
    <w:link w:val="IntenseQuoteChar"/>
    <w:uiPriority w:val="30"/>
    <w:qFormat w:val="1"/>
    <w:rsid w:val="00D866E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866EE"/>
    <w:rPr>
      <w:i w:val="1"/>
      <w:iCs w:val="1"/>
      <w:color w:val="0f4761" w:themeColor="accent1" w:themeShade="0000BF"/>
    </w:rPr>
  </w:style>
  <w:style w:type="character" w:styleId="IntenseReference">
    <w:name w:val="Intense Reference"/>
    <w:basedOn w:val="DefaultParagraphFont"/>
    <w:uiPriority w:val="32"/>
    <w:qFormat w:val="1"/>
    <w:rsid w:val="00D866EE"/>
    <w:rPr>
      <w:b w:val="1"/>
      <w:bCs w:val="1"/>
      <w:smallCaps w:val="1"/>
      <w:color w:val="0f4761" w:themeColor="accent1" w:themeShade="0000BF"/>
      <w:spacing w:val="5"/>
    </w:rPr>
  </w:style>
  <w:style w:type="paragraph" w:styleId="NormalWeb">
    <w:name w:val="Normal (Web)"/>
    <w:basedOn w:val="Normal"/>
    <w:uiPriority w:val="99"/>
    <w:semiHidden w:val="1"/>
    <w:unhideWhenUsed w:val="1"/>
    <w:rsid w:val="00D866EE"/>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D866EE"/>
    <w:rPr>
      <w:b w:val="1"/>
      <w:bCs w:val="1"/>
    </w:rPr>
  </w:style>
  <w:style w:type="character" w:styleId="Emphasis">
    <w:name w:val="Emphasis"/>
    <w:basedOn w:val="DefaultParagraphFont"/>
    <w:uiPriority w:val="20"/>
    <w:qFormat w:val="1"/>
    <w:rsid w:val="00D866EE"/>
    <w:rPr>
      <w:i w:val="1"/>
      <w:iCs w:val="1"/>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MC40ukXWiOubPGbmgip7bCeQA==">CgMxLjA4AHIhMUk1SXA4SW9ncElxckRJdW9ZeXl3RWlSeHk3REEwajVj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2024-07-20T20:31:00Z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f53ca6fb-b960-4965-8e9b-4f694cfee2ce</vt:lpwstr>
  </property>
</Properties>
</file>