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0" w:before="240" w:lineRule="auto"/>
        <w:rPr>
          <w:rFonts w:ascii="Times New Roman" w:cs="Times New Roman" w:eastAsia="Times New Roman" w:hAnsi="Times New Roman"/>
          <w:b w:val="1"/>
          <w:color w:val="2f5496"/>
          <w:sz w:val="24"/>
          <w:szCs w:val="24"/>
        </w:rPr>
      </w:pPr>
      <w:r w:rsidDel="00000000" w:rsidR="00000000" w:rsidRPr="00000000">
        <w:rPr>
          <w:rFonts w:ascii="Times New Roman" w:cs="Times New Roman" w:eastAsia="Times New Roman" w:hAnsi="Times New Roman"/>
          <w:b w:val="1"/>
          <w:color w:val="2f5496"/>
          <w:sz w:val="24"/>
          <w:szCs w:val="24"/>
          <w:rtl w:val="0"/>
        </w:rPr>
        <w:t xml:space="preserve">Contents</w:t>
      </w:r>
    </w:p>
    <w:sdt>
      <w:sdtPr>
        <w:id w:val="-1946578372"/>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F.1. RECOGNITION OF FOREIGN LEGAL ENTITIES</w:t>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Legal Foundations of Recognition under Private International Law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Recognition in International Taxation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Recognition of Foreign Legal Entities under International Treaties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Practical Challenges in Recognition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F.2. CHARACTERISATION OF ENTITIES AS TRANSPARENT OR OPAQUE – STATE PRACTICE</w:t>
              <w:tab/>
              <w:t xml:space="preserve">6</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Definition of Key Terms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 'Check-the-Box' Regulations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UK Entity Classification – Case Law Approach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Germany – Real Seat Theory and Tax Transparency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Hybrid Mismatches – OECD and EU Reforms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Tax Treaties and Transparency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Challenges in Emerging Structures - Decentralized Autonomous Organizations (DAOs)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F.3. THE ISSUE OF QUALIFICATION AND INTERNATIONAL TAX</w:t>
              <w:tab/>
              <w:t xml:space="preserve">11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Role of Qualification in International Tax Disputes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Jurisdictional Conflicts and the Lex Fori Principle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Substance Over Form and Functional Equivalence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hyperlink>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OECD Model Tax Convention and Autonomous Interpretation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hyperlink>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Dual Residency and Conflicts of Classification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tabs>
          <w:tab w:val="right" w:leader="none" w:pos="9026"/>
        </w:tabs>
        <w:jc w:val="right"/>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8">
      <w:pPr>
        <w:tabs>
          <w:tab w:val="right" w:leader="none" w:pos="9026"/>
        </w:tabs>
        <w:rPr>
          <w:rFonts w:ascii="Times New Roman" w:cs="Times New Roman" w:eastAsia="Times New Roman" w:hAnsi="Times New Roman"/>
          <w:b w:val="1"/>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Title"/>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 PRIVATE INTERNATIONAL LAW AND TAX</w:t>
      </w:r>
    </w:p>
    <w:p w:rsidR="00000000" w:rsidDel="00000000" w:rsidP="00000000" w:rsidRDefault="00000000" w:rsidRPr="00000000" w14:paraId="0000001A">
      <w:pPr>
        <w:rPr>
          <w:rFonts w:ascii="Times New Roman" w:cs="Times New Roman" w:eastAsia="Times New Roman" w:hAnsi="Times New Roman"/>
          <w:b w:val="1"/>
          <w:color w:val="000000"/>
          <w:sz w:val="30"/>
          <w:szCs w:val="30"/>
          <w:u w:val="single"/>
        </w:rPr>
      </w:pPr>
      <w:r w:rsidDel="00000000" w:rsidR="00000000" w:rsidRPr="00000000">
        <w:rPr>
          <w:rtl w:val="0"/>
        </w:rPr>
      </w:r>
    </w:p>
    <w:p w:rsidR="00000000" w:rsidDel="00000000" w:rsidP="00000000" w:rsidRDefault="00000000" w:rsidRPr="00000000" w14:paraId="0000001B">
      <w:pPr>
        <w:pStyle w:val="Heading1"/>
        <w:rPr/>
      </w:pPr>
      <w:bookmarkStart w:colFirst="0" w:colLast="0" w:name="_heading=h.gjdgxs" w:id="0"/>
      <w:bookmarkEnd w:id="0"/>
      <w:r w:rsidDel="00000000" w:rsidR="00000000" w:rsidRPr="00000000">
        <w:rPr>
          <w:rtl w:val="0"/>
        </w:rPr>
        <w:t xml:space="preserve">F.1. RECOGNITION OF FOREIGN LEGAL ENTITIES</w:t>
      </w:r>
    </w:p>
    <w:p w:rsidR="00000000" w:rsidDel="00000000" w:rsidP="00000000" w:rsidRDefault="00000000" w:rsidRPr="00000000" w14:paraId="0000001C">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recognition of foreign legal entities under private international law and tax law addresses the status and legal personality of entities incorporated or established outside a jurisdiction. The recognition process determines whether such entities are treated as separate legal persons and whether their corporate attributes, including limited liability, governance structures, and capacity to contract, are upheld within the recognizing jurisdiction. This topic is significant in the context of international taxation, where legal entities operate across multiple jurisdictions, giving rise to questions about their classification and tax treatment.</w:t>
      </w:r>
    </w:p>
    <w:p w:rsidR="00000000" w:rsidDel="00000000" w:rsidP="00000000" w:rsidRDefault="00000000" w:rsidRPr="00000000" w14:paraId="0000001D">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Recognition under private international law primarily considers the laws of the jurisdiction of incorporation, while tax recognition focuses on whether the entity qualifies as a taxpayer, its tax residence, and its liability for taxes on domestic and foreign income.</w:t>
      </w:r>
    </w:p>
    <w:p w:rsidR="00000000" w:rsidDel="00000000" w:rsidP="00000000" w:rsidRDefault="00000000" w:rsidRPr="00000000" w14:paraId="0000001E">
      <w:pPr>
        <w:pStyle w:val="Heading2"/>
        <w:numPr>
          <w:ilvl w:val="0"/>
          <w:numId w:val="3"/>
        </w:numPr>
        <w:ind w:left="360" w:hanging="360"/>
        <w:rPr>
          <w:rFonts w:ascii="Times New Roman" w:cs="Times New Roman" w:eastAsia="Times New Roman" w:hAnsi="Times New Roman"/>
          <w:sz w:val="27"/>
          <w:szCs w:val="27"/>
        </w:rPr>
      </w:pPr>
      <w:bookmarkStart w:colFirst="0" w:colLast="0" w:name="_heading=h.30j0zll" w:id="1"/>
      <w:bookmarkEnd w:id="1"/>
      <w:r w:rsidDel="00000000" w:rsidR="00000000" w:rsidRPr="00000000">
        <w:rPr>
          <w:rFonts w:ascii="Times New Roman" w:cs="Times New Roman" w:eastAsia="Times New Roman" w:hAnsi="Times New Roman"/>
          <w:sz w:val="27"/>
          <w:szCs w:val="27"/>
          <w:rtl w:val="0"/>
        </w:rPr>
        <w:t xml:space="preserve">Legal Foundations of Recognition under Private International Law</w:t>
      </w:r>
    </w:p>
    <w:p w:rsidR="00000000" w:rsidDel="00000000" w:rsidP="00000000" w:rsidRDefault="00000000" w:rsidRPr="00000000" w14:paraId="0000001F">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 private international law, the recognition of foreign legal entities is often based on two principal doctrines: the 'Incorporation Theory' and the 'Real Seat Theory.'</w:t>
      </w:r>
    </w:p>
    <w:p w:rsidR="00000000" w:rsidDel="00000000" w:rsidP="00000000" w:rsidRDefault="00000000" w:rsidRPr="00000000" w14:paraId="0000002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Incorporation Theory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incorporation theory asserts that the legal personality of an entity is governed by the laws of the jurisdiction in which it is incorporated. This theory is prevalent in common law jurisdictions, such as the United States and the United Kingdom, where entities formed in foreign jurisdictions are recognized based on their compliance with incorporation laws in their home country. The incorporation theory emphasizes formal registration and assumes continuity of legal personality across borders.</w:t>
      </w:r>
    </w:p>
    <w:p w:rsidR="00000000" w:rsidDel="00000000" w:rsidP="00000000" w:rsidRDefault="00000000" w:rsidRPr="00000000" w14:paraId="0000002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Real Seat Theory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spacing w:after="280" w:before="280" w:line="24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real seat theory, common in civil law jurisdictions such as Germany and France, bases recognition on the location of the entity's central administration or principal place of business. This approach emphasizes substantive economic and managerial ties rather than formal incorporation. The real seat theory may result in entities being re-characterized under domestic law if their effective management occurs within the recognizing jurisdiction.</w:t>
      </w:r>
    </w:p>
    <w:p w:rsidR="00000000" w:rsidDel="00000000" w:rsidP="00000000" w:rsidRDefault="00000000" w:rsidRPr="00000000" w14:paraId="000000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Hybrid Approaches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Several jurisdictions adopt hybrid approaches, combining elements of incorporation and real seat theories. For example, the European Union’s Freedom of Establishment under Articles 49 and 54 of the Treaty on the Functioning of the European Union (TFEU) allows entities to move and operate within member states, promoting flexibility in recognition rules.</w:t>
      </w:r>
    </w:p>
    <w:p w:rsidR="00000000" w:rsidDel="00000000" w:rsidP="00000000" w:rsidRDefault="00000000" w:rsidRPr="00000000" w14:paraId="00000026">
      <w:pPr>
        <w:pStyle w:val="Heading2"/>
        <w:numPr>
          <w:ilvl w:val="0"/>
          <w:numId w:val="3"/>
        </w:numPr>
        <w:ind w:left="360" w:hanging="360"/>
        <w:rPr>
          <w:rFonts w:ascii="Times New Roman" w:cs="Times New Roman" w:eastAsia="Times New Roman" w:hAnsi="Times New Roman"/>
          <w:sz w:val="27"/>
          <w:szCs w:val="27"/>
        </w:rPr>
      </w:pPr>
      <w:bookmarkStart w:colFirst="0" w:colLast="0" w:name="_heading=h.1fob9te" w:id="2"/>
      <w:bookmarkEnd w:id="2"/>
      <w:r w:rsidDel="00000000" w:rsidR="00000000" w:rsidRPr="00000000">
        <w:rPr>
          <w:rFonts w:ascii="Times New Roman" w:cs="Times New Roman" w:eastAsia="Times New Roman" w:hAnsi="Times New Roman"/>
          <w:sz w:val="27"/>
          <w:szCs w:val="27"/>
          <w:rtl w:val="0"/>
        </w:rPr>
        <w:t xml:space="preserve">Recognition in International Taxation</w:t>
      </w:r>
    </w:p>
    <w:p w:rsidR="00000000" w:rsidDel="00000000" w:rsidP="00000000" w:rsidRDefault="00000000" w:rsidRPr="00000000" w14:paraId="00000027">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Recognition of foreign legal entities in tax law determines whether such entities are subject to tax obligations and rights within the jurisdiction. This evaluation focuses on the characterization of the entity, tax residence, and transparency for tax purposes.</w:t>
      </w:r>
    </w:p>
    <w:p w:rsidR="00000000" w:rsidDel="00000000" w:rsidP="00000000" w:rsidRDefault="00000000" w:rsidRPr="00000000" w14:paraId="000000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Legal Characterization for Tax Purposes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Tax authorities assess whether a foreign entity qualifies as a corporation, partnership, or fiscally transparent entity. Characterization often hinges on the domestic law of the recognizing jurisdiction, which may differ from the legal form in the country of incorporation. For instance, hybrid entities, such as US LLCs, may be treated as corporations in some jurisdictions and partnerships in others, leading to mismatches in tax treatment.</w:t>
      </w:r>
    </w:p>
    <w:p w:rsidR="00000000" w:rsidDel="00000000" w:rsidP="00000000" w:rsidRDefault="00000000" w:rsidRPr="00000000" w14:paraId="000000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Tax Residence and Permanent Establishments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recognition of foreign entities frequently involves determining tax residence based on place-of-management rules. In jurisdictions applying the real seat theory, tax residence is linked to the principal place of business, whereas incorporation theory jurisdictions emphasize the entity’s registered office.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the recognition process evaluates whether the entity has a permanent establishment (PE) under domestic law or tax treaties. A PE triggers tax obligations on business profits attributable to the local presence, even if the entity is not tax-resident in the jurisdiction.</w:t>
      </w:r>
    </w:p>
    <w:p w:rsidR="00000000" w:rsidDel="00000000" w:rsidP="00000000" w:rsidRDefault="00000000" w:rsidRPr="00000000" w14:paraId="000000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Controlled Foreign Corporation (CFC) Rules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jurisdictions apply CFC rules to recognize and tax undistributed profits of foreign subsidiaries controlled by resident entities. Recognition under CFC regimes seeks to prevent tax avoidance through offshore structures by attributing profits to parent entities in the recognizing jurisdiction.</w:t>
      </w:r>
    </w:p>
    <w:p w:rsidR="00000000" w:rsidDel="00000000" w:rsidP="00000000" w:rsidRDefault="00000000" w:rsidRPr="00000000" w14:paraId="000000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Transparency and Hybrid Entities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Tax recognition may involve treating entities as transparent for tax purposes, where income and gains are attributed to members rather than the entity itself. Conversely, hybrid mismatches arise when entities are treated as opaque in one jurisdiction and transparent in another, creating opportunities for double non-taxation or tax deferral.</w:t>
      </w:r>
    </w:p>
    <w:p w:rsidR="00000000" w:rsidDel="00000000" w:rsidP="00000000" w:rsidRDefault="00000000" w:rsidRPr="00000000" w14:paraId="0000002F">
      <w:pPr>
        <w:pStyle w:val="Heading2"/>
        <w:numPr>
          <w:ilvl w:val="0"/>
          <w:numId w:val="3"/>
        </w:numPr>
        <w:ind w:left="360" w:hanging="360"/>
        <w:rPr>
          <w:rFonts w:ascii="Times New Roman" w:cs="Times New Roman" w:eastAsia="Times New Roman" w:hAnsi="Times New Roman"/>
          <w:sz w:val="27"/>
          <w:szCs w:val="27"/>
        </w:rPr>
      </w:pPr>
      <w:bookmarkStart w:colFirst="0" w:colLast="0" w:name="_heading=h.3znysh7" w:id="3"/>
      <w:bookmarkEnd w:id="3"/>
      <w:r w:rsidDel="00000000" w:rsidR="00000000" w:rsidRPr="00000000">
        <w:rPr>
          <w:rFonts w:ascii="Times New Roman" w:cs="Times New Roman" w:eastAsia="Times New Roman" w:hAnsi="Times New Roman"/>
          <w:sz w:val="27"/>
          <w:szCs w:val="27"/>
          <w:rtl w:val="0"/>
        </w:rPr>
        <w:t xml:space="preserve">Recognition of Foreign Legal Entities under International Treaties</w:t>
      </w:r>
    </w:p>
    <w:p w:rsidR="00000000" w:rsidDel="00000000" w:rsidP="00000000" w:rsidRDefault="00000000" w:rsidRPr="00000000" w14:paraId="00000030">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International tax treaties, particularly those modeled after the OECD Model Tax Convention, provide frameworks for recognizing foreign entities. Treaty provisions define 'persons' eligible for treaty benefits, typically including corporations, partnerships, and associations. Entities must qualify as residents under Article 4 of the OECD Model to access treaty protections.</w:t>
      </w:r>
    </w:p>
    <w:p w:rsidR="00000000" w:rsidDel="00000000" w:rsidP="00000000" w:rsidRDefault="00000000" w:rsidRPr="00000000" w14:paraId="00000031">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Tax treaties also address dual-residence conflicts through tie-breaker rules, prioritizing effective management or mutual agreement between competent authorities. Provisions on PEs further delineate recognition criteria for taxing business profits.</w:t>
      </w:r>
    </w:p>
    <w:p w:rsidR="00000000" w:rsidDel="00000000" w:rsidP="00000000" w:rsidRDefault="00000000" w:rsidRPr="00000000" w14:paraId="00000032">
      <w:pPr>
        <w:pStyle w:val="Heading2"/>
        <w:numPr>
          <w:ilvl w:val="0"/>
          <w:numId w:val="3"/>
        </w:numPr>
        <w:ind w:left="360" w:hanging="360"/>
        <w:rPr>
          <w:rFonts w:ascii="Times New Roman" w:cs="Times New Roman" w:eastAsia="Times New Roman" w:hAnsi="Times New Roman"/>
          <w:sz w:val="27"/>
          <w:szCs w:val="27"/>
        </w:rPr>
      </w:pPr>
      <w:bookmarkStart w:colFirst="0" w:colLast="0" w:name="_heading=h.2et92p0" w:id="4"/>
      <w:bookmarkEnd w:id="4"/>
      <w:r w:rsidDel="00000000" w:rsidR="00000000" w:rsidRPr="00000000">
        <w:rPr>
          <w:rFonts w:ascii="Times New Roman" w:cs="Times New Roman" w:eastAsia="Times New Roman" w:hAnsi="Times New Roman"/>
          <w:sz w:val="27"/>
          <w:szCs w:val="27"/>
          <w:rtl w:val="0"/>
        </w:rPr>
        <w:t xml:space="preserve">Practical Challenges in Recognition</w:t>
      </w:r>
    </w:p>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Entity Classification Conflicts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Recognition often involves classification conflicts between jurisdictions. For example, US LLCs may face inconsistent treatment, leading to double taxation or non-taxation outcomes. Resolution mechanisms, including treaty mutual agreement procedures, are essential in addressing such conflicts.</w:t>
      </w:r>
    </w:p>
    <w:p w:rsidR="00000000" w:rsidDel="00000000" w:rsidP="00000000" w:rsidRDefault="00000000" w:rsidRPr="00000000" w14:paraId="000000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Beneficial Ownership Requirements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Recognition for tax purposes may require demonstrating beneficial ownership of income. This requirement addresses treaty shopping and tax avoidance strategies, imposing substance-over-form tests to ensure entities have economic substance and control over income.</w:t>
      </w:r>
    </w:p>
    <w:p w:rsidR="00000000" w:rsidDel="00000000" w:rsidP="00000000" w:rsidRDefault="00000000" w:rsidRPr="00000000" w14:paraId="0000003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Treaty Shopping and Anti-Avoidance Rules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Modern tax treaties incorporate anti-abuse provisions, such as Principal Purpose Tests (PPTs) and Limitation on Benefits (LOB) clauses, affecting recognition criteria. Entities lacking genuine business purposes or economic substance may be denied treaty benefits despite formal recognition.</w:t>
      </w:r>
    </w:p>
    <w:p w:rsidR="00000000" w:rsidDel="00000000" w:rsidP="00000000" w:rsidRDefault="00000000" w:rsidRPr="00000000" w14:paraId="0000003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Digital Business Models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rise of digital economies poses challenges to traditional recognition frameworks. Jurisdictions increasingly adopt virtual PE rules to tax profits derived from digital activities without physical presence, redefining recognition criteria in the process.</w:t>
      </w:r>
    </w:p>
    <w:p w:rsidR="00000000" w:rsidDel="00000000" w:rsidP="00000000" w:rsidRDefault="00000000" w:rsidRPr="00000000" w14:paraId="0000003B">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6. Recognition under Domestic Anti-Avoidance Rules</w:t>
      </w:r>
      <w:r w:rsidDel="00000000" w:rsidR="00000000" w:rsidRPr="00000000">
        <w:rPr>
          <w:rtl w:val="0"/>
        </w:rPr>
      </w:r>
    </w:p>
    <w:p w:rsidR="00000000" w:rsidDel="00000000" w:rsidP="00000000" w:rsidRDefault="00000000" w:rsidRPr="00000000" w14:paraId="0000003C">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Domestic laws supplement recognition principles with anti-avoidance measures, targeting tax planning strategies that exploit recognition gaps. Key rules include:</w:t>
      </w:r>
    </w:p>
    <w:p w:rsidR="00000000" w:rsidDel="00000000" w:rsidP="00000000" w:rsidRDefault="00000000" w:rsidRPr="00000000" w14:paraId="0000003D">
      <w:pPr>
        <w:numPr>
          <w:ilvl w:val="0"/>
          <w:numId w:val="1"/>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Substance-Over-Form Tests</w:t>
      </w:r>
      <w:r w:rsidDel="00000000" w:rsidR="00000000" w:rsidRPr="00000000">
        <w:rPr>
          <w:rFonts w:ascii="Times New Roman" w:cs="Times New Roman" w:eastAsia="Times New Roman" w:hAnsi="Times New Roman"/>
          <w:color w:val="000000"/>
          <w:sz w:val="24"/>
          <w:szCs w:val="24"/>
          <w:rtl w:val="0"/>
        </w:rPr>
        <w:t xml:space="preserve">: Evaluating economic substance over legal formalities to deny recognition to artificial arrangements.</w:t>
      </w:r>
    </w:p>
    <w:p w:rsidR="00000000" w:rsidDel="00000000" w:rsidP="00000000" w:rsidRDefault="00000000" w:rsidRPr="00000000" w14:paraId="0000003E">
      <w:pPr>
        <w:numPr>
          <w:ilvl w:val="0"/>
          <w:numId w:val="1"/>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General Anti-Avoidance Rules (GAARs)</w:t>
      </w:r>
      <w:r w:rsidDel="00000000" w:rsidR="00000000" w:rsidRPr="00000000">
        <w:rPr>
          <w:rFonts w:ascii="Times New Roman" w:cs="Times New Roman" w:eastAsia="Times New Roman" w:hAnsi="Times New Roman"/>
          <w:color w:val="000000"/>
          <w:sz w:val="24"/>
          <w:szCs w:val="24"/>
          <w:rtl w:val="0"/>
        </w:rPr>
        <w:t xml:space="preserve">: Enabling tax authorities to disregard recognition where transactions lack commercial purpose.</w:t>
      </w:r>
    </w:p>
    <w:p w:rsidR="00000000" w:rsidDel="00000000" w:rsidP="00000000" w:rsidRDefault="00000000" w:rsidRPr="00000000" w14:paraId="0000003F">
      <w:pPr>
        <w:numPr>
          <w:ilvl w:val="0"/>
          <w:numId w:val="1"/>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Disclosure Obligations</w:t>
      </w:r>
      <w:r w:rsidDel="00000000" w:rsidR="00000000" w:rsidRPr="00000000">
        <w:rPr>
          <w:rFonts w:ascii="Times New Roman" w:cs="Times New Roman" w:eastAsia="Times New Roman" w:hAnsi="Times New Roman"/>
          <w:color w:val="000000"/>
          <w:sz w:val="24"/>
          <w:szCs w:val="24"/>
          <w:rtl w:val="0"/>
        </w:rPr>
        <w:t xml:space="preserve">: Requiring taxpayers to report cross-border structures, aiding recognition assessments.</w:t>
      </w:r>
    </w:p>
    <w:p w:rsidR="00000000" w:rsidDel="00000000" w:rsidP="00000000" w:rsidRDefault="00000000" w:rsidRPr="00000000" w14:paraId="00000040">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 Recognition of Trusts and Foundations</w:t>
      </w:r>
      <w:r w:rsidDel="00000000" w:rsidR="00000000" w:rsidRPr="00000000">
        <w:rPr>
          <w:rtl w:val="0"/>
        </w:rPr>
      </w:r>
    </w:p>
    <w:p w:rsidR="00000000" w:rsidDel="00000000" w:rsidP="00000000" w:rsidRDefault="00000000" w:rsidRPr="00000000" w14:paraId="00000041">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Trusts and foundations, commonly used in estate planning and asset protection, pose unique recognition challenges due to their flexible structures. Recognition depends on whether the entity is treated as separate from its beneficiaries, influencing tax transparency and residence.</w:t>
      </w:r>
    </w:p>
    <w:p w:rsidR="00000000" w:rsidDel="00000000" w:rsidP="00000000" w:rsidRDefault="00000000" w:rsidRPr="00000000" w14:paraId="00000042">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 jurisdictions, such as the UK, recognize trusts as separate legal persons, while others treat them as contractual relationships. Foundations, often seen as hybrid entities, require careful evaluation under both corporate and trust law principles.</w:t>
      </w:r>
    </w:p>
    <w:p w:rsidR="00000000" w:rsidDel="00000000" w:rsidP="00000000" w:rsidRDefault="00000000" w:rsidRPr="00000000" w14:paraId="00000043">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8. Impact of EU Law and Global Standards</w:t>
      </w:r>
      <w:r w:rsidDel="00000000" w:rsidR="00000000" w:rsidRPr="00000000">
        <w:rPr>
          <w:rtl w:val="0"/>
        </w:rPr>
      </w:r>
    </w:p>
    <w:p w:rsidR="00000000" w:rsidDel="00000000" w:rsidP="00000000" w:rsidRDefault="00000000" w:rsidRPr="00000000" w14:paraId="00000044">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Recognition rules within the EU are influenced by directives and case law, promoting harmonization and preventing discrimination against foreign entities. </w:t>
      </w:r>
    </w:p>
    <w:p w:rsidR="00000000" w:rsidDel="00000000" w:rsidP="00000000" w:rsidRDefault="00000000" w:rsidRPr="00000000" w14:paraId="00000045">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directives include:</w:t>
      </w:r>
    </w:p>
    <w:p w:rsidR="00000000" w:rsidDel="00000000" w:rsidP="00000000" w:rsidRDefault="00000000" w:rsidRPr="00000000" w14:paraId="00000046">
      <w:pPr>
        <w:numPr>
          <w:ilvl w:val="0"/>
          <w:numId w:val="2"/>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Parent-Subsidiary Directive</w:t>
      </w:r>
      <w:r w:rsidDel="00000000" w:rsidR="00000000" w:rsidRPr="00000000">
        <w:rPr>
          <w:rFonts w:ascii="Times New Roman" w:cs="Times New Roman" w:eastAsia="Times New Roman" w:hAnsi="Times New Roman"/>
          <w:color w:val="000000"/>
          <w:sz w:val="24"/>
          <w:szCs w:val="24"/>
          <w:rtl w:val="0"/>
        </w:rPr>
        <w:t xml:space="preserve">: Ensuring tax neutrality for cross-border dividends.</w:t>
      </w:r>
    </w:p>
    <w:p w:rsidR="00000000" w:rsidDel="00000000" w:rsidP="00000000" w:rsidRDefault="00000000" w:rsidRPr="00000000" w14:paraId="00000047">
      <w:pPr>
        <w:numPr>
          <w:ilvl w:val="0"/>
          <w:numId w:val="2"/>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Anti-Tax Avoidance Directive (ATAD)</w:t>
      </w:r>
      <w:r w:rsidDel="00000000" w:rsidR="00000000" w:rsidRPr="00000000">
        <w:rPr>
          <w:rFonts w:ascii="Times New Roman" w:cs="Times New Roman" w:eastAsia="Times New Roman" w:hAnsi="Times New Roman"/>
          <w:color w:val="000000"/>
          <w:sz w:val="24"/>
          <w:szCs w:val="24"/>
          <w:rtl w:val="0"/>
        </w:rPr>
        <w:t xml:space="preserve">: Addressing hybrid mismatches and interest deduction rules.</w:t>
      </w:r>
    </w:p>
    <w:p w:rsidR="00000000" w:rsidDel="00000000" w:rsidP="00000000" w:rsidRDefault="00000000" w:rsidRPr="00000000" w14:paraId="00000048">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Global standards, such as OECD’s Base Erosion and Profit Shifting (BEPS) project, emphasize economic substance and transparency, shaping recognition practices worldwide.</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1"/>
        <w:rPr/>
      </w:pPr>
      <w:bookmarkStart w:colFirst="0" w:colLast="0" w:name="_heading=h.tyjcwt" w:id="5"/>
      <w:bookmarkEnd w:id="5"/>
      <w:r w:rsidDel="00000000" w:rsidR="00000000" w:rsidRPr="00000000">
        <w:rPr>
          <w:rtl w:val="0"/>
        </w:rPr>
        <w:t xml:space="preserve">F.2. CHARACTERISATION OF ENTITIES AS TRANSPARENT OR OPAQUE – STATE PRACTICE</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characterization of entities as transparent or opaque is fundamental to private international tax law, influencing tax treatment, reporting requirements, and eligibility for treaty benefits. This characterization affects whether the income of an entity is taxed at the entity level (opaque) or passed through to the owners and taxed at their level (transparent). Different jurisdictions have varying practices and criteria for determining whether an entity is treated as transparent or opaque, which can lead to significant tax planning opportunities or challenges, particularly in the context of cross-border transactions.</w:t>
      </w:r>
    </w:p>
    <w:p w:rsidR="00000000" w:rsidDel="00000000" w:rsidP="00000000" w:rsidRDefault="00000000" w:rsidRPr="00000000" w14:paraId="00000065">
      <w:pPr>
        <w:pStyle w:val="Heading2"/>
        <w:numPr>
          <w:ilvl w:val="0"/>
          <w:numId w:val="4"/>
        </w:numPr>
        <w:ind w:left="360" w:hanging="360"/>
        <w:rPr>
          <w:rFonts w:ascii="Times New Roman" w:cs="Times New Roman" w:eastAsia="Times New Roman" w:hAnsi="Times New Roman"/>
          <w:sz w:val="27"/>
          <w:szCs w:val="27"/>
        </w:rPr>
      </w:pPr>
      <w:bookmarkStart w:colFirst="0" w:colLast="0" w:name="_heading=h.3dy6vkm" w:id="6"/>
      <w:bookmarkEnd w:id="6"/>
      <w:r w:rsidDel="00000000" w:rsidR="00000000" w:rsidRPr="00000000">
        <w:rPr>
          <w:rFonts w:ascii="Times New Roman" w:cs="Times New Roman" w:eastAsia="Times New Roman" w:hAnsi="Times New Roman"/>
          <w:sz w:val="27"/>
          <w:szCs w:val="27"/>
          <w:rtl w:val="0"/>
        </w:rPr>
        <w:t xml:space="preserve">Definition of Key Terms</w:t>
      </w:r>
    </w:p>
    <w:p w:rsidR="00000000" w:rsidDel="00000000" w:rsidP="00000000" w:rsidRDefault="00000000" w:rsidRPr="00000000" w14:paraId="0000006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Transparent Entity</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transparent entity, often referred to as a "pass-through" entity, is one where the entity itself is not subject to tax. Instead, the income, losses, deductions, and credits of the entity are passed through to the owners or members, who report them on their personal or corporate tax returns.</w:t>
      </w:r>
    </w:p>
    <w:p w:rsidR="00000000" w:rsidDel="00000000" w:rsidP="00000000" w:rsidRDefault="00000000" w:rsidRPr="00000000" w14:paraId="0000006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Opaque Entity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opaque entity is taxed as a separate legal entity, meaning it pays taxes on its income independently of its owners. The owners are typically taxed only on distributions, dividends, or other payments received from the entity.</w:t>
      </w:r>
      <w:r w:rsidDel="00000000" w:rsidR="00000000" w:rsidRPr="00000000">
        <w:rPr>
          <w:rtl w:val="0"/>
        </w:rPr>
      </w:r>
    </w:p>
    <w:p w:rsidR="00000000" w:rsidDel="00000000" w:rsidP="00000000" w:rsidRDefault="00000000" w:rsidRPr="00000000" w14:paraId="0000006A">
      <w:pPr>
        <w:pStyle w:val="Heading2"/>
        <w:numPr>
          <w:ilvl w:val="0"/>
          <w:numId w:val="4"/>
        </w:numPr>
        <w:ind w:left="360" w:hanging="360"/>
        <w:rPr>
          <w:rFonts w:ascii="Times New Roman" w:cs="Times New Roman" w:eastAsia="Times New Roman" w:hAnsi="Times New Roman"/>
          <w:sz w:val="27"/>
          <w:szCs w:val="27"/>
        </w:rPr>
      </w:pPr>
      <w:bookmarkStart w:colFirst="0" w:colLast="0" w:name="_heading=h.1t3h5sf" w:id="7"/>
      <w:bookmarkEnd w:id="7"/>
      <w:r w:rsidDel="00000000" w:rsidR="00000000" w:rsidRPr="00000000">
        <w:rPr>
          <w:rFonts w:ascii="Times New Roman" w:cs="Times New Roman" w:eastAsia="Times New Roman" w:hAnsi="Times New Roman"/>
          <w:sz w:val="27"/>
          <w:szCs w:val="27"/>
          <w:rtl w:val="0"/>
        </w:rPr>
        <w:t xml:space="preserve">U.S. 'Check-the-Box' Regulations</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United States employs an elective classification system under Treasury Regulations (26 CFR §301.7701-2 and 3), allowing entities to choose their tax treatment. Entities can opt to be treated as corporations (opaque) or partnerships/disregarded entities (transparent). This system offers flexibility but also creates hybrid mismatches exploited in cross-border tax planning. For instance, U.S. LLCs can be treated as transparent domestically while being opaque under foreign tax laws. Such mismatches have prompted reforms under the OECD’s BEPS Action 2, which seeks to eliminate hybrid mismatches by harmonizing treatment across jurisdictions.</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specific example involves partnerships electing transparency in the U.S. but facing opaque classification in countries like Germany, causing double taxation or unintended non-taxation. This conflict highlights the role of domestic elections in shaping international tax obligations.</w:t>
      </w:r>
    </w:p>
    <w:p w:rsidR="00000000" w:rsidDel="00000000" w:rsidP="00000000" w:rsidRDefault="00000000" w:rsidRPr="00000000" w14:paraId="0000006D">
      <w:pPr>
        <w:pStyle w:val="Heading2"/>
        <w:numPr>
          <w:ilvl w:val="0"/>
          <w:numId w:val="4"/>
        </w:numPr>
        <w:ind w:left="360" w:hanging="360"/>
        <w:rPr>
          <w:rFonts w:ascii="Times New Roman" w:cs="Times New Roman" w:eastAsia="Times New Roman" w:hAnsi="Times New Roman"/>
          <w:sz w:val="27"/>
          <w:szCs w:val="27"/>
        </w:rPr>
      </w:pPr>
      <w:bookmarkStart w:colFirst="0" w:colLast="0" w:name="_heading=h.4d34og8" w:id="8"/>
      <w:bookmarkEnd w:id="8"/>
      <w:r w:rsidDel="00000000" w:rsidR="00000000" w:rsidRPr="00000000">
        <w:rPr>
          <w:rFonts w:ascii="Times New Roman" w:cs="Times New Roman" w:eastAsia="Times New Roman" w:hAnsi="Times New Roman"/>
          <w:sz w:val="27"/>
          <w:szCs w:val="27"/>
          <w:rtl w:val="0"/>
        </w:rPr>
        <w:t xml:space="preserve">UK Entity Classification – Case Law Approach</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United Kingdom evaluates entity characterisation based on legal and economic substance. In </w:t>
      </w:r>
      <w:r w:rsidDel="00000000" w:rsidR="00000000" w:rsidRPr="00000000">
        <w:rPr>
          <w:rFonts w:ascii="Times New Roman" w:cs="Times New Roman" w:eastAsia="Times New Roman" w:hAnsi="Times New Roman"/>
          <w:i w:val="1"/>
          <w:color w:val="000000"/>
          <w:sz w:val="24"/>
          <w:szCs w:val="24"/>
          <w:rtl w:val="0"/>
        </w:rPr>
        <w:t xml:space="preserve">Memec plc v Inland Revenue Commissioners</w:t>
      </w:r>
      <w:r w:rsidDel="00000000" w:rsidR="00000000" w:rsidRPr="00000000">
        <w:rPr>
          <w:rFonts w:ascii="Times New Roman" w:cs="Times New Roman" w:eastAsia="Times New Roman" w:hAnsi="Times New Roman"/>
          <w:color w:val="000000"/>
          <w:sz w:val="24"/>
          <w:szCs w:val="24"/>
          <w:rtl w:val="0"/>
        </w:rPr>
        <w:t xml:space="preserve"> [1998] STC 754, the court ruled that an entity’s profit-sharing arrangement determines its classification. UK tax authorities rely on this case to distinguish partnerships (transparent) from companies (opaque). The decision emphasized that partnerships lack legal autonomy and distribute profits directly to members, reinforcing their transparency.</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w:t>
      </w:r>
      <w:r w:rsidDel="00000000" w:rsidR="00000000" w:rsidRPr="00000000">
        <w:rPr>
          <w:rFonts w:ascii="Times New Roman" w:cs="Times New Roman" w:eastAsia="Times New Roman" w:hAnsi="Times New Roman"/>
          <w:i w:val="1"/>
          <w:color w:val="000000"/>
          <w:sz w:val="24"/>
          <w:szCs w:val="24"/>
          <w:rtl w:val="0"/>
        </w:rPr>
        <w:t xml:space="preserve">Anson v HMRC</w:t>
      </w:r>
      <w:r w:rsidDel="00000000" w:rsidR="00000000" w:rsidRPr="00000000">
        <w:rPr>
          <w:rFonts w:ascii="Times New Roman" w:cs="Times New Roman" w:eastAsia="Times New Roman" w:hAnsi="Times New Roman"/>
          <w:color w:val="000000"/>
          <w:sz w:val="24"/>
          <w:szCs w:val="24"/>
          <w:rtl w:val="0"/>
        </w:rPr>
        <w:t xml:space="preserve"> [2015] UKSC 44, the Supreme Court addressed U.S. LLCs, ruling that income passed directly to members could qualify for tax credits. The case highlighted the interplay between domestic and foreign laws in characterisation disputes and set a precedent for recognizing foreign transparency. It also demonstrated the importance of identifying beneficial ownership in cross-border settings to claim treaty reliefs and prevent double taxation.</w:t>
      </w:r>
    </w:p>
    <w:p w:rsidR="00000000" w:rsidDel="00000000" w:rsidP="00000000" w:rsidRDefault="00000000" w:rsidRPr="00000000" w14:paraId="00000070">
      <w:pPr>
        <w:pStyle w:val="Heading2"/>
        <w:numPr>
          <w:ilvl w:val="0"/>
          <w:numId w:val="4"/>
        </w:numPr>
        <w:ind w:left="360" w:hanging="360"/>
        <w:rPr>
          <w:rFonts w:ascii="Times New Roman" w:cs="Times New Roman" w:eastAsia="Times New Roman" w:hAnsi="Times New Roman"/>
          <w:sz w:val="27"/>
          <w:szCs w:val="27"/>
        </w:rPr>
      </w:pPr>
      <w:bookmarkStart w:colFirst="0" w:colLast="0" w:name="_heading=h.2s8eyo1" w:id="9"/>
      <w:bookmarkEnd w:id="9"/>
      <w:r w:rsidDel="00000000" w:rsidR="00000000" w:rsidRPr="00000000">
        <w:rPr>
          <w:rFonts w:ascii="Times New Roman" w:cs="Times New Roman" w:eastAsia="Times New Roman" w:hAnsi="Times New Roman"/>
          <w:sz w:val="27"/>
          <w:szCs w:val="27"/>
          <w:rtl w:val="0"/>
        </w:rPr>
        <w:t xml:space="preserve">Germany – Real Seat Theory and Tax Transparency</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Germany applies the real seat theory, focusing on the location of central administration for determining tax residence. Under §15 of the German Income Tax Act, partnerships are classified as transparent, whereas corporations are opaque. The Bundesfinanzhof (BFH) decision (I R 75/11) confirmed that operational control and economic substance determine classification.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this case, the BFH ruled that partnerships operating outside Germany but centrally managed within its borders remained transparent for German tax purposes. This decision highlights Germany’s focus on substance over form and its approach to taxing partnerships as conduits for their members, ensuring consistency in domestic and international taxation.</w:t>
      </w:r>
    </w:p>
    <w:p w:rsidR="00000000" w:rsidDel="00000000" w:rsidP="00000000" w:rsidRDefault="00000000" w:rsidRPr="00000000" w14:paraId="00000073">
      <w:pPr>
        <w:pStyle w:val="Heading2"/>
        <w:numPr>
          <w:ilvl w:val="0"/>
          <w:numId w:val="4"/>
        </w:numPr>
        <w:ind w:left="360" w:hanging="360"/>
        <w:rPr>
          <w:rFonts w:ascii="Times New Roman" w:cs="Times New Roman" w:eastAsia="Times New Roman" w:hAnsi="Times New Roman"/>
          <w:sz w:val="27"/>
          <w:szCs w:val="27"/>
        </w:rPr>
      </w:pPr>
      <w:bookmarkStart w:colFirst="0" w:colLast="0" w:name="_heading=h.1y810tw" w:id="10"/>
      <w:bookmarkEnd w:id="10"/>
      <w:r w:rsidDel="00000000" w:rsidR="00000000" w:rsidRPr="00000000">
        <w:rPr>
          <w:rFonts w:ascii="Times New Roman" w:cs="Times New Roman" w:eastAsia="Times New Roman" w:hAnsi="Times New Roman"/>
          <w:sz w:val="27"/>
          <w:szCs w:val="27"/>
          <w:rtl w:val="0"/>
        </w:rPr>
        <w:t xml:space="preserve">Hybrid Mismatches – OECD and EU Reforms</w:t>
      </w:r>
    </w:p>
    <w:p w:rsidR="00000000" w:rsidDel="00000000" w:rsidP="00000000" w:rsidRDefault="00000000" w:rsidRPr="00000000" w14:paraId="0000007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OECD BEPS Action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OECD’s Base Erosion and Profit Shifting (BEPS) Action 2 targets hybrid mismatches caused by inconsistent entity classifications. It recommends aligning transparency rules across jurisdictions to prevent double non-taxation. Hybrid entities, such as U.S. LLCs, illustrate mismatches where differing classifications enable tax arbitrage.</w:t>
      </w:r>
    </w:p>
    <w:p w:rsidR="00000000" w:rsidDel="00000000" w:rsidP="00000000" w:rsidRDefault="00000000" w:rsidRPr="00000000" w14:paraId="0000007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EU Anti-Tax Avoidance Directive (ATAD)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EU’s ATAD (2016/1164) mandates uniform treatment of hybrid mismatches within member states. Article 9 prohibits deductions or exemptions arising from mismatches, ensuring coordinated enforcement. The directive complements OECD recommendations and reinforces consistent transparency rules across Europe.</w:t>
      </w:r>
    </w:p>
    <w:p w:rsidR="00000000" w:rsidDel="00000000" w:rsidP="00000000" w:rsidRDefault="00000000" w:rsidRPr="00000000" w14:paraId="0000007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8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Case Study: Double Irish with a Dutch Sandwich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tax structure exploited hybrid mismatches to shift profits between Ireland, the Netherlands, and Bermuda, enabling multinational corporations to reduce their global tax liabilities significantly. It leveraged differences in entity classification and tax residency rules across jurisdictions to create double non-taxation outcomes. Companies would incorporate entities in Ireland, routing profits through the Netherlands and ultimately to Bermuda, where no corporate tax applied.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structure highlighted gaps in international tax frameworks, particularly the treatment of hybrid entities that are transparent in one jurisdiction but opaque in another. These gaps allowed for profit shifting without taxation, raising concerns about fairness and erosion of the global tax base.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Amendments to Irish law, effective 2020, eliminated mismatches by requiring Irish-incorporated entities to be treated as tax residents, regardless of management location. This reform aligned incorporation and tax residence rules, reducing opportunities for hybrid mismatches. It reflected broader efforts under the OECD BEPS Action Plan to tackle tax avoidance through consistency and transparency.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case study is relevant as it demonstrates the vulnerabilities in tax systems arising from inconsistent classification rules and highlights the need for international cooperation in addressing hybrid mismatches. It also underscores the role of reforms, such as the OECD’s Multilateral Instrument (MLI) and the EU’s Anti-Tax Avoidance Directive (ATAD), in closing loopholes that exploit transparency and opacity distinctions in cross-border taxation.</w:t>
      </w:r>
    </w:p>
    <w:p w:rsidR="00000000" w:rsidDel="00000000" w:rsidP="00000000" w:rsidRDefault="00000000" w:rsidRPr="00000000" w14:paraId="0000007D">
      <w:pPr>
        <w:pStyle w:val="Heading2"/>
        <w:numPr>
          <w:ilvl w:val="0"/>
          <w:numId w:val="4"/>
        </w:numPr>
        <w:ind w:left="360" w:hanging="360"/>
        <w:rPr>
          <w:rFonts w:ascii="Times New Roman" w:cs="Times New Roman" w:eastAsia="Times New Roman" w:hAnsi="Times New Roman"/>
          <w:sz w:val="27"/>
          <w:szCs w:val="27"/>
        </w:rPr>
      </w:pPr>
      <w:bookmarkStart w:colFirst="0" w:colLast="0" w:name="_heading=h.4i7ojhp" w:id="11"/>
      <w:bookmarkEnd w:id="11"/>
      <w:r w:rsidDel="00000000" w:rsidR="00000000" w:rsidRPr="00000000">
        <w:rPr>
          <w:rFonts w:ascii="Times New Roman" w:cs="Times New Roman" w:eastAsia="Times New Roman" w:hAnsi="Times New Roman"/>
          <w:sz w:val="27"/>
          <w:szCs w:val="27"/>
          <w:rtl w:val="0"/>
        </w:rPr>
        <w:t xml:space="preserve">Tax Treaties and Transparency</w:t>
      </w:r>
    </w:p>
    <w:p w:rsidR="00000000" w:rsidDel="00000000" w:rsidP="00000000" w:rsidRDefault="00000000" w:rsidRPr="00000000" w14:paraId="0000007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OECD Model Tax Convention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OECD Model Tax Convention plays an essential role in addressing transparency in the classification of entities under international tax treaties. Article 1 provides the framework for determining whether entities are eligible for treaty benefits based on their characterization as transparent or opaque. The 1999 OECD Partnership Report further elaborates on this issue, establishing that partnerships are generally treated as transparent if their income is taxed directly at the member level rather than the entity level.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principle is particularly relevant for partnerships operating across borders, as their classification can impact the availability of treaty benefits, such as exemptions or reduced withholding tax rates. Under Article 4 of the OECD Model, members of transparent entities must qualify as tax residents to access treaty benefits, emphasizing the importance of individual residency tests. For example, a U.S. LLC treated as transparent domestically may face challenges claiming treaty relief in jurisdictions treating it as opaque, highlighting the potential for hybrid mismatches.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Moreover, the Commentary to the Model Convention underscores the need for consistency in determining the status of entities, encouraging states to adopt mutual agreement procedures (MAPs) under Article 25 to resolve disputes arising from conflicting classifications. This approach reinforces international cooperation and minimizes double taxation risks.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Recent updates to the Model Convention, including the OECD’s Multilateral Instrument (MLI), further strengthen transparency requirements by incorporating provisions like the Principal Purpose Test (PPT) to prevent treaty abuse. These measures ensure that only entities meeting substantive transparency and residence criteria benefit from treaty protections, aligning tax treaty practices with modern anti-avoidance standards..</w:t>
      </w:r>
    </w:p>
    <w:p w:rsidR="00000000" w:rsidDel="00000000" w:rsidP="00000000" w:rsidRDefault="00000000" w:rsidRPr="00000000" w14:paraId="0000008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Treaty Case Law – Dell Products v Commissioner (2007)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U.S. Tax Court ruled that income attributed to members of a transparent entity could qualify for treaty benefits, provided members met residence criteria. This case illustrates how treaties accommodate transparency in cross-border taxation by focusing on substance over form. It highlights the importance of residency and beneficial ownership in determining eligibility for tax treaty benefits.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Dell Products v Commissioner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court examined whether income earned by members of a transparent entity, such as a partnership, could be taxed based on their residence rather than the entity’s legal form. The ruling clarified that transparency does not automatically disqualify entities from treaty benefits, provided their members meet residency requirements and are the ultimate beneficial owners of the income.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case also underlines the role of the OECD Model Tax Convention in guiding the treatment of transparent entities under treaties. It reinforced the principle that partnerships and other transparent structures should be analyzed at the member level, ensuring income taxation aligns with the economic realities of ownership and control.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case remains relevant in resolving disputes involving hybrid mismatches, where entities are treated differently across jurisdictions. It supports the need for consistent application of transparency principles to prevent double taxation or tax avoidance strategies. Furthermore, it illustrates the importance of mutual agreement procedures (MAPs) under Article 25 of the OECD Model Tax Convention, which enable authorities to resolve classification conflicts efficiently.</w:t>
      </w:r>
    </w:p>
    <w:p w:rsidR="00000000" w:rsidDel="00000000" w:rsidP="00000000" w:rsidRDefault="00000000" w:rsidRPr="00000000" w14:paraId="00000088">
      <w:pPr>
        <w:pStyle w:val="Heading2"/>
        <w:numPr>
          <w:ilvl w:val="0"/>
          <w:numId w:val="4"/>
        </w:numPr>
        <w:pBdr>
          <w:top w:space="0" w:sz="0" w:val="nil"/>
          <w:left w:space="0" w:sz="0" w:val="nil"/>
          <w:bottom w:space="0" w:sz="0" w:val="nil"/>
          <w:right w:space="0" w:sz="0" w:val="nil"/>
          <w:between w:space="0" w:sz="0" w:val="nil"/>
        </w:pBdr>
        <w:spacing w:after="280" w:before="280" w:line="240" w:lineRule="auto"/>
        <w:ind w:left="360" w:hanging="360"/>
        <w:jc w:val="both"/>
        <w:rPr>
          <w:rFonts w:ascii="Times New Roman" w:cs="Times New Roman" w:eastAsia="Times New Roman" w:hAnsi="Times New Roman"/>
          <w:sz w:val="27"/>
          <w:szCs w:val="27"/>
        </w:rPr>
      </w:pPr>
      <w:bookmarkStart w:colFirst="0" w:colLast="0" w:name="_heading=h.2xcytpi" w:id="12"/>
      <w:bookmarkEnd w:id="12"/>
      <w:r w:rsidDel="00000000" w:rsidR="00000000" w:rsidRPr="00000000">
        <w:rPr>
          <w:rFonts w:ascii="Times New Roman" w:cs="Times New Roman" w:eastAsia="Times New Roman" w:hAnsi="Times New Roman"/>
          <w:sz w:val="27"/>
          <w:szCs w:val="27"/>
          <w:rtl w:val="0"/>
        </w:rPr>
        <w:t xml:space="preserve">Challenges in Emerging Structures - Decentralized Autonomous Organizations (DAOs)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Decentralized Autonomous Organizations (DAOs) represent a groundbreaking form of entity governed through smart contracts on blockchain networks. Unlike traditional organizations, DAOs operate without centralized management, relying instead on pre-coded rules and collective decision-making by token holders. This decentralized governance poses significant classification challenges under both private international law and tax frameworks.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a legal perspective, DAOs lack formal incorporation, raising questions about their recognition as legal persons. Jurisdictions differ in their treatment of DAOs—some view them as contractual arrangements between members (transparent), while others consider them akin to corporations (opaque) based on their economic activities. For example, Wyoming, USA, has introduced legislation recognizing DAOs as limited liability companies, providing legal certainty around their status and allowing them to be treated as opaque entities for tax purposes.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international tax context, the lack of physical presence complicates determinations of tax residency and permanent establishments (PEs). DAOs may be viewed as transparent entities if income and gains are attributed directly to members based on their share of governance tokens. However, opacity may be applied where DAOs generate income through centralized contracts or pools of funds, leading to corporate tax obligations.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OECD’s BEPS framework has not yet addressed DAOs explicitly, but principles on digital economy taxation, including OECD Pillar One and Pillar Two, may influence their treatment. The introduction of digital PE concepts suggests that DAOs conducting significant digital transactions in a jurisdiction could be taxed as opaque entities despite lacking physical presence.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Regulatory frameworks are emerging to address transparency concerns. The European Union’s Markets in Crypto-Assets (MiCA) regulation aims to establish standards for blockchain-based organizations, including disclosure obligations and anti-money laundering (AML) compliance. Additionally, countries are considering mandatory reporting requirements for DAO transactions under CRS-like frameworks.</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28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pStyle w:val="Heading1"/>
        <w:rPr/>
      </w:pPr>
      <w:bookmarkStart w:colFirst="0" w:colLast="0" w:name="_heading=h.1ci93xb" w:id="13"/>
      <w:bookmarkEnd w:id="13"/>
      <w:r w:rsidDel="00000000" w:rsidR="00000000" w:rsidRPr="00000000">
        <w:rPr>
          <w:rtl w:val="0"/>
        </w:rPr>
        <w:t xml:space="preserve">F.3. THE ISSUE OF QUALIFICATION AND INTERNATIONAL TAX</w:t>
      </w:r>
    </w:p>
    <w:p w:rsidR="00000000" w:rsidDel="00000000" w:rsidP="00000000" w:rsidRDefault="00000000" w:rsidRPr="00000000" w14:paraId="00000090">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Qualification in private international tax law represents one of the more complex and debated aspects of cross-border taxation. At its core, qualification relates to the categorization and characterization of legal concepts, instruments, and relationships within international tax disputes. The challenge arises because jurisdictions often apply distinct legal terminologies and classifications, leading to conflicting interpretations and outcomes. This note examines the issue of qualification as it pertains to private international tax law, focusing on cross-border taxation cases, the principles used by courts to resolve qualification disputes, and the role of domestic and international authorities in resolving conflicts.</w:t>
      </w:r>
    </w:p>
    <w:p w:rsidR="00000000" w:rsidDel="00000000" w:rsidP="00000000" w:rsidRDefault="00000000" w:rsidRPr="00000000" w14:paraId="00000091">
      <w:pPr>
        <w:pStyle w:val="Heading2"/>
        <w:numPr>
          <w:ilvl w:val="0"/>
          <w:numId w:val="5"/>
        </w:numPr>
        <w:ind w:left="360" w:hanging="360"/>
        <w:rPr>
          <w:rFonts w:ascii="Times New Roman" w:cs="Times New Roman" w:eastAsia="Times New Roman" w:hAnsi="Times New Roman"/>
          <w:sz w:val="27"/>
          <w:szCs w:val="27"/>
        </w:rPr>
      </w:pPr>
      <w:bookmarkStart w:colFirst="0" w:colLast="0" w:name="_heading=h.3whwml4" w:id="14"/>
      <w:bookmarkEnd w:id="14"/>
      <w:r w:rsidDel="00000000" w:rsidR="00000000" w:rsidRPr="00000000">
        <w:rPr>
          <w:rFonts w:ascii="Times New Roman" w:cs="Times New Roman" w:eastAsia="Times New Roman" w:hAnsi="Times New Roman"/>
          <w:sz w:val="27"/>
          <w:szCs w:val="27"/>
          <w:rtl w:val="0"/>
        </w:rPr>
        <w:t xml:space="preserve">The Role of Qualification in International Tax Disputes</w:t>
      </w:r>
    </w:p>
    <w:p w:rsidR="00000000" w:rsidDel="00000000" w:rsidP="00000000" w:rsidRDefault="00000000" w:rsidRPr="00000000" w14:paraId="00000092">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Qualification issues emerge prominently when determining how a legal term or concept recognized in one jurisdiction is treated in another. For example, the classification of income as either "dividends" or "interest" can materially impact the applicable withholding tax rate under a tax treaty. The method of resolving such disputes often depends on whether the forum state applies its domestic law, the law of the source state, or adopts an autonomous interpretation based on international standards.</w:t>
      </w:r>
    </w:p>
    <w:p w:rsidR="00000000" w:rsidDel="00000000" w:rsidP="00000000" w:rsidRDefault="00000000" w:rsidRPr="00000000" w14:paraId="00000093">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w:t>
      </w:r>
      <w:r w:rsidDel="00000000" w:rsidR="00000000" w:rsidRPr="00000000">
        <w:rPr>
          <w:rFonts w:ascii="Times New Roman" w:cs="Times New Roman" w:eastAsia="Times New Roman" w:hAnsi="Times New Roman"/>
          <w:i w:val="1"/>
          <w:color w:val="000000"/>
          <w:sz w:val="24"/>
          <w:szCs w:val="24"/>
          <w:rtl w:val="0"/>
        </w:rPr>
        <w:t xml:space="preserve">Salomon v Salomon &amp; Co Ltd</w:t>
      </w:r>
      <w:r w:rsidDel="00000000" w:rsidR="00000000" w:rsidRPr="00000000">
        <w:rPr>
          <w:rFonts w:ascii="Times New Roman" w:cs="Times New Roman" w:eastAsia="Times New Roman" w:hAnsi="Times New Roman"/>
          <w:color w:val="000000"/>
          <w:sz w:val="24"/>
          <w:szCs w:val="24"/>
          <w:rtl w:val="0"/>
        </w:rPr>
        <w:t xml:space="preserve"> [1897] AC 22, although not a tax-specific case, the House of Lords established the principle of treating corporations as separate legal entities, which has since influenced tax treaty interpretation and corporate residence classification disputes. Courts frequently draw upon principles established in domestic and common law precedents when resolving qualification conflicts, applying these principles to determine whether foreign concepts align with domestic legal structures.</w:t>
      </w:r>
    </w:p>
    <w:p w:rsidR="00000000" w:rsidDel="00000000" w:rsidP="00000000" w:rsidRDefault="00000000" w:rsidRPr="00000000" w14:paraId="00000094">
      <w:pPr>
        <w:pStyle w:val="Heading2"/>
        <w:numPr>
          <w:ilvl w:val="0"/>
          <w:numId w:val="5"/>
        </w:numPr>
        <w:ind w:left="360" w:hanging="360"/>
        <w:rPr>
          <w:rFonts w:ascii="Times New Roman" w:cs="Times New Roman" w:eastAsia="Times New Roman" w:hAnsi="Times New Roman"/>
          <w:color w:val="000000"/>
          <w:sz w:val="24"/>
          <w:szCs w:val="24"/>
        </w:rPr>
      </w:pPr>
      <w:bookmarkStart w:colFirst="0" w:colLast="0" w:name="_heading=h.2bn6wsx" w:id="15"/>
      <w:bookmarkEnd w:id="15"/>
      <w:r w:rsidDel="00000000" w:rsidR="00000000" w:rsidRPr="00000000">
        <w:rPr>
          <w:rFonts w:ascii="Times New Roman" w:cs="Times New Roman" w:eastAsia="Times New Roman" w:hAnsi="Times New Roman"/>
          <w:sz w:val="27"/>
          <w:szCs w:val="27"/>
          <w:rtl w:val="0"/>
        </w:rPr>
        <w:t xml:space="preserve">Jurisdictional Conflicts and the Lex Fori Principle</w:t>
      </w:r>
      <w:r w:rsidDel="00000000" w:rsidR="00000000" w:rsidRPr="00000000">
        <w:rPr>
          <w:rtl w:val="0"/>
        </w:rPr>
      </w:r>
    </w:p>
    <w:p w:rsidR="00000000" w:rsidDel="00000000" w:rsidP="00000000" w:rsidRDefault="00000000" w:rsidRPr="00000000" w14:paraId="00000095">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lex fori principle—the application of the forum’s law to procedural and interpretative matters—plays a central role in resolving qualification disputes. Courts generally favor applying their domestic legal definitions unless the treaty explicitly mandates otherwise. This principle was illustrated in </w:t>
      </w:r>
      <w:r w:rsidDel="00000000" w:rsidR="00000000" w:rsidRPr="00000000">
        <w:rPr>
          <w:rFonts w:ascii="Times New Roman" w:cs="Times New Roman" w:eastAsia="Times New Roman" w:hAnsi="Times New Roman"/>
          <w:i w:val="1"/>
          <w:color w:val="000000"/>
          <w:sz w:val="24"/>
          <w:szCs w:val="24"/>
          <w:rtl w:val="0"/>
        </w:rPr>
        <w:t xml:space="preserve">Bricom Holdings Ltd v IRC</w:t>
      </w:r>
      <w:r w:rsidDel="00000000" w:rsidR="00000000" w:rsidRPr="00000000">
        <w:rPr>
          <w:rFonts w:ascii="Times New Roman" w:cs="Times New Roman" w:eastAsia="Times New Roman" w:hAnsi="Times New Roman"/>
          <w:color w:val="000000"/>
          <w:sz w:val="24"/>
          <w:szCs w:val="24"/>
          <w:rtl w:val="0"/>
        </w:rPr>
        <w:t xml:space="preserve"> [1997] STC 1179, where the UK Court of Appeal addressed the characterization of partnership income derived from foreign jurisdictions. The court ruled that domestic classification prevailed, resulting in income being taxed in accordance with UK partnership rules despite differing treatment in the foreign jurisdiction.</w:t>
      </w:r>
    </w:p>
    <w:p w:rsidR="00000000" w:rsidDel="00000000" w:rsidP="00000000" w:rsidRDefault="00000000" w:rsidRPr="00000000" w14:paraId="00000096">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However, reliance on the lex fori principle may lead to double taxation or non-taxation, particularly where foreign classifications do not align with domestic rules. As such, courts often weigh the principle against the need for uniform treaty interpretation, sometimes turning to OECD Commentary on the Model Tax Convention for guidance. The Commentary encourages autonomous interpretations where possible, avoiding strict reliance on domestic law.</w:t>
      </w:r>
    </w:p>
    <w:p w:rsidR="00000000" w:rsidDel="00000000" w:rsidP="00000000" w:rsidRDefault="00000000" w:rsidRPr="00000000" w14:paraId="00000097">
      <w:pPr>
        <w:pStyle w:val="Heading2"/>
        <w:numPr>
          <w:ilvl w:val="0"/>
          <w:numId w:val="5"/>
        </w:numPr>
        <w:ind w:left="360" w:hanging="360"/>
        <w:rPr>
          <w:rFonts w:ascii="Times New Roman" w:cs="Times New Roman" w:eastAsia="Times New Roman" w:hAnsi="Times New Roman"/>
          <w:color w:val="000000"/>
          <w:sz w:val="24"/>
          <w:szCs w:val="24"/>
        </w:rPr>
      </w:pPr>
      <w:bookmarkStart w:colFirst="0" w:colLast="0" w:name="_heading=h.qsh70q" w:id="16"/>
      <w:bookmarkEnd w:id="16"/>
      <w:r w:rsidDel="00000000" w:rsidR="00000000" w:rsidRPr="00000000">
        <w:rPr>
          <w:rFonts w:ascii="Times New Roman" w:cs="Times New Roman" w:eastAsia="Times New Roman" w:hAnsi="Times New Roman"/>
          <w:sz w:val="27"/>
          <w:szCs w:val="27"/>
          <w:rtl w:val="0"/>
        </w:rPr>
        <w:t xml:space="preserve">Substance Over Form and Functional Equivalence</w:t>
      </w:r>
      <w:r w:rsidDel="00000000" w:rsidR="00000000" w:rsidRPr="00000000">
        <w:rPr>
          <w:rtl w:val="0"/>
        </w:rPr>
      </w:r>
    </w:p>
    <w:p w:rsidR="00000000" w:rsidDel="00000000" w:rsidP="00000000" w:rsidRDefault="00000000" w:rsidRPr="00000000" w14:paraId="00000098">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Another approach to qualification disputes involves the application of the "substance over form" doctrine and the concept of functional equivalence. Courts may disregard formal classifications in favor of economic realities, especially when the form disguises the underlying nature of a transaction. For example, in </w:t>
      </w:r>
      <w:r w:rsidDel="00000000" w:rsidR="00000000" w:rsidRPr="00000000">
        <w:rPr>
          <w:rFonts w:ascii="Times New Roman" w:cs="Times New Roman" w:eastAsia="Times New Roman" w:hAnsi="Times New Roman"/>
          <w:i w:val="1"/>
          <w:color w:val="000000"/>
          <w:sz w:val="24"/>
          <w:szCs w:val="24"/>
          <w:rtl w:val="0"/>
        </w:rPr>
        <w:t xml:space="preserve">Furniss v Dawson</w:t>
      </w:r>
      <w:r w:rsidDel="00000000" w:rsidR="00000000" w:rsidRPr="00000000">
        <w:rPr>
          <w:rFonts w:ascii="Times New Roman" w:cs="Times New Roman" w:eastAsia="Times New Roman" w:hAnsi="Times New Roman"/>
          <w:color w:val="000000"/>
          <w:sz w:val="24"/>
          <w:szCs w:val="24"/>
          <w:rtl w:val="0"/>
        </w:rPr>
        <w:t xml:space="preserve"> [1984] AC 474, the House of Lords emphasized the principle of substance over form in tax avoidance cases, establishing a precedent for courts to recharacterize transactions based on their economic substance.</w:t>
      </w:r>
    </w:p>
    <w:p w:rsidR="00000000" w:rsidDel="00000000" w:rsidP="00000000" w:rsidRDefault="00000000" w:rsidRPr="00000000" w14:paraId="00000099">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 equivalence serves a related purpose, allowing courts to analogize foreign legal concepts to domestic counterparts based on similarities in function rather than strict definitions. This method is particularly relevant in cases involving hybrid instruments, such as convertible debt securities, which may qualify as either equity or debt depending on jurisdictional interpretation.</w:t>
      </w:r>
    </w:p>
    <w:p w:rsidR="00000000" w:rsidDel="00000000" w:rsidP="00000000" w:rsidRDefault="00000000" w:rsidRPr="00000000" w14:paraId="0000009A">
      <w:pPr>
        <w:pStyle w:val="Heading2"/>
        <w:numPr>
          <w:ilvl w:val="0"/>
          <w:numId w:val="5"/>
        </w:numPr>
        <w:ind w:left="360" w:hanging="360"/>
        <w:rPr>
          <w:rFonts w:ascii="Times New Roman" w:cs="Times New Roman" w:eastAsia="Times New Roman" w:hAnsi="Times New Roman"/>
          <w:sz w:val="27"/>
          <w:szCs w:val="27"/>
        </w:rPr>
      </w:pPr>
      <w:bookmarkStart w:colFirst="0" w:colLast="0" w:name="_heading=h.3as4poj" w:id="17"/>
      <w:bookmarkEnd w:id="17"/>
      <w:r w:rsidDel="00000000" w:rsidR="00000000" w:rsidRPr="00000000">
        <w:rPr>
          <w:rFonts w:ascii="Times New Roman" w:cs="Times New Roman" w:eastAsia="Times New Roman" w:hAnsi="Times New Roman"/>
          <w:sz w:val="27"/>
          <w:szCs w:val="27"/>
          <w:rtl w:val="0"/>
        </w:rPr>
        <w:t xml:space="preserve">The OECD Model Tax Convention and Autonomous Interpretation</w:t>
      </w:r>
    </w:p>
    <w:p w:rsidR="00000000" w:rsidDel="00000000" w:rsidP="00000000" w:rsidRDefault="00000000" w:rsidRPr="00000000" w14:paraId="0000009B">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OECD Model Tax Convention provides interpretative guidance that promotes consistency in resolving qualification disputes. Article 3(2) of the OECD Model Tax Convention specifically addresses qualification issues, stating that terms not explicitly defined in the treaty should be interpreted based on the law of the contracting state applying the treaty, unless the context requires otherwise.</w:t>
      </w:r>
    </w:p>
    <w:p w:rsidR="00000000" w:rsidDel="00000000" w:rsidP="00000000" w:rsidRDefault="00000000" w:rsidRPr="00000000" w14:paraId="0000009C">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Despite this provision, autonomous interpretation remains a key principle advocated by the OECD to reduce discrepancies between jurisdictions. The German Federal Tax Court (Bundesfinanzhof) in </w:t>
      </w:r>
      <w:r w:rsidDel="00000000" w:rsidR="00000000" w:rsidRPr="00000000">
        <w:rPr>
          <w:rFonts w:ascii="Times New Roman" w:cs="Times New Roman" w:eastAsia="Times New Roman" w:hAnsi="Times New Roman"/>
          <w:i w:val="1"/>
          <w:color w:val="000000"/>
          <w:sz w:val="24"/>
          <w:szCs w:val="24"/>
          <w:rtl w:val="0"/>
        </w:rPr>
        <w:t xml:space="preserve">BFH, I R 117/05</w:t>
      </w:r>
      <w:r w:rsidDel="00000000" w:rsidR="00000000" w:rsidRPr="00000000">
        <w:rPr>
          <w:rFonts w:ascii="Times New Roman" w:cs="Times New Roman" w:eastAsia="Times New Roman" w:hAnsi="Times New Roman"/>
          <w:color w:val="000000"/>
          <w:sz w:val="24"/>
          <w:szCs w:val="24"/>
          <w:rtl w:val="0"/>
        </w:rPr>
        <w:t xml:space="preserve"> (2008) adopted autonomous interpretation principles when addressing the qualification of partnerships under tax treaties. The court analyzed the economic function of the entity rather than adhering to the domestic classification, aligning its approach with OECD standards.</w:t>
      </w:r>
    </w:p>
    <w:p w:rsidR="00000000" w:rsidDel="00000000" w:rsidP="00000000" w:rsidRDefault="00000000" w:rsidRPr="00000000" w14:paraId="0000009D">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Similarly, academic literature emphasizes the importance of autonomous interpretation as a means to reconcile differences in qualification. Vogel, in "Double Taxation Conventions" (1997), argues that autonomous interpretation facilitates legal certainty and prevents treaty abuse. His analysis underscores the OECD’s role in shaping uniform standards through Commentaries and Reports, which national courts increasingly rely upon.</w:t>
      </w:r>
    </w:p>
    <w:p w:rsidR="00000000" w:rsidDel="00000000" w:rsidP="00000000" w:rsidRDefault="00000000" w:rsidRPr="00000000" w14:paraId="0000009E">
      <w:pPr>
        <w:pStyle w:val="Heading2"/>
        <w:numPr>
          <w:ilvl w:val="0"/>
          <w:numId w:val="5"/>
        </w:numPr>
        <w:ind w:left="360" w:hanging="360"/>
        <w:rPr>
          <w:rFonts w:ascii="Times New Roman" w:cs="Times New Roman" w:eastAsia="Times New Roman" w:hAnsi="Times New Roman"/>
          <w:sz w:val="27"/>
          <w:szCs w:val="27"/>
        </w:rPr>
      </w:pPr>
      <w:bookmarkStart w:colFirst="0" w:colLast="0" w:name="_heading=h.1pxezwc" w:id="18"/>
      <w:bookmarkEnd w:id="18"/>
      <w:r w:rsidDel="00000000" w:rsidR="00000000" w:rsidRPr="00000000">
        <w:rPr>
          <w:rFonts w:ascii="Times New Roman" w:cs="Times New Roman" w:eastAsia="Times New Roman" w:hAnsi="Times New Roman"/>
          <w:sz w:val="27"/>
          <w:szCs w:val="27"/>
          <w:rtl w:val="0"/>
        </w:rPr>
        <w:t xml:space="preserve">Dual Residency and Conflicts of Classification</w:t>
      </w:r>
    </w:p>
    <w:p w:rsidR="00000000" w:rsidDel="00000000" w:rsidP="00000000" w:rsidRDefault="00000000" w:rsidRPr="00000000" w14:paraId="0000009F">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Qualification disputes often intersect with issues of dual residency, where entities are treated as residents in more than one jurisdiction based on differing criteria. The case of </w:t>
      </w:r>
      <w:r w:rsidDel="00000000" w:rsidR="00000000" w:rsidRPr="00000000">
        <w:rPr>
          <w:rFonts w:ascii="Times New Roman" w:cs="Times New Roman" w:eastAsia="Times New Roman" w:hAnsi="Times New Roman"/>
          <w:i w:val="1"/>
          <w:color w:val="000000"/>
          <w:sz w:val="24"/>
          <w:szCs w:val="24"/>
          <w:rtl w:val="0"/>
        </w:rPr>
        <w:t xml:space="preserve">CIR v Commerzbank AG</w:t>
      </w:r>
      <w:r w:rsidDel="00000000" w:rsidR="00000000" w:rsidRPr="00000000">
        <w:rPr>
          <w:rFonts w:ascii="Times New Roman" w:cs="Times New Roman" w:eastAsia="Times New Roman" w:hAnsi="Times New Roman"/>
          <w:color w:val="000000"/>
          <w:sz w:val="24"/>
          <w:szCs w:val="24"/>
          <w:rtl w:val="0"/>
        </w:rPr>
        <w:t xml:space="preserve"> [1990] STC 285 addressed the classification of profits attributed to a UK branch of a German bank. The UK and Germany applied conflicting definitions of "permanent establishment," resulting in a dispute over taxable income allocation. Courts resolved the matter by prioritizing the treaty definition over domestic classifications, highlighting the importance of contextual interpretation in cross-border disputes.</w:t>
      </w:r>
    </w:p>
    <w:p w:rsidR="00000000" w:rsidDel="00000000" w:rsidP="00000000" w:rsidRDefault="00000000" w:rsidRPr="00000000" w14:paraId="000000A0">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mitigate conflicts arising from dual residency, some treaties incorporate tie-breaker rules based on place of effective management. However, as noted in the OECD Commentary, such rules may fail to address hybrid entities or trusts, which require functional analysis beyond residence determinations.</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Hybrid Entities and Transparent Taxation</w:t>
      </w:r>
    </w:p>
    <w:p w:rsidR="00000000" w:rsidDel="00000000" w:rsidP="00000000" w:rsidRDefault="00000000" w:rsidRPr="00000000" w14:paraId="000000A2">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Hybrid entities, such as partnerships and trusts, present unique challenges in qualification disputes due to their transparent or opaque treatment across jurisdictions. In </w:t>
      </w:r>
      <w:r w:rsidDel="00000000" w:rsidR="00000000" w:rsidRPr="00000000">
        <w:rPr>
          <w:rFonts w:ascii="Times New Roman" w:cs="Times New Roman" w:eastAsia="Times New Roman" w:hAnsi="Times New Roman"/>
          <w:i w:val="1"/>
          <w:color w:val="000000"/>
          <w:sz w:val="24"/>
          <w:szCs w:val="24"/>
          <w:rtl w:val="0"/>
        </w:rPr>
        <w:t xml:space="preserve">Swift v HMRC</w:t>
      </w:r>
      <w:r w:rsidDel="00000000" w:rsidR="00000000" w:rsidRPr="00000000">
        <w:rPr>
          <w:rFonts w:ascii="Times New Roman" w:cs="Times New Roman" w:eastAsia="Times New Roman" w:hAnsi="Times New Roman"/>
          <w:color w:val="000000"/>
          <w:sz w:val="24"/>
          <w:szCs w:val="24"/>
          <w:rtl w:val="0"/>
        </w:rPr>
        <w:t xml:space="preserve"> [2010] EWCA Civ 419, the Court of Appeal examined the qualification of a US limited liability company (LLC) for UK tax purposes. While classified as a corporation in the US, the LLC was treated as fiscally transparent under UK law. The court ultimately deferred to UK classification principles, illustrating the tension between domestic law and treaty interpretation.</w:t>
      </w:r>
    </w:p>
    <w:p w:rsidR="00000000" w:rsidDel="00000000" w:rsidP="00000000" w:rsidRDefault="00000000" w:rsidRPr="00000000" w14:paraId="000000A3">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Such cases underscore the need for harmonized approaches to hybrid entity classification. The OECD’s BEPS Action 2 report recommends coordinated measures to address hybrid mismatches, emphasizing the alignment of tax treatment with legal and economic substance. While these recommendations are not legally binding, they influence legislative reforms and judicial decisions globally.</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Recharacterization and Anti-Avoidance Measures</w:t>
      </w:r>
    </w:p>
    <w:p w:rsidR="00000000" w:rsidDel="00000000" w:rsidP="00000000" w:rsidRDefault="00000000" w:rsidRPr="00000000" w14:paraId="000000A5">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Qualification disputes often arise in the context of tax avoidance, where transactions are deliberately structured to exploit differences in classification between jurisdictions. Anti-avoidance doctrines, such as the general anti-abuse rule (GAAR) in the UK, empower tax authorities to recharacterize transactions based on their primary purpose.</w:t>
      </w:r>
    </w:p>
    <w:p w:rsidR="00000000" w:rsidDel="00000000" w:rsidP="00000000" w:rsidRDefault="00000000" w:rsidRPr="00000000" w14:paraId="000000A6">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Canadian Supreme Court’s ruling in </w:t>
      </w:r>
      <w:r w:rsidDel="00000000" w:rsidR="00000000" w:rsidRPr="00000000">
        <w:rPr>
          <w:rFonts w:ascii="Times New Roman" w:cs="Times New Roman" w:eastAsia="Times New Roman" w:hAnsi="Times New Roman"/>
          <w:i w:val="1"/>
          <w:color w:val="000000"/>
          <w:sz w:val="24"/>
          <w:szCs w:val="24"/>
          <w:rtl w:val="0"/>
        </w:rPr>
        <w:t xml:space="preserve">Canada Trustco Mortgage Co v The Queen</w:t>
      </w:r>
      <w:r w:rsidDel="00000000" w:rsidR="00000000" w:rsidRPr="00000000">
        <w:rPr>
          <w:rFonts w:ascii="Times New Roman" w:cs="Times New Roman" w:eastAsia="Times New Roman" w:hAnsi="Times New Roman"/>
          <w:color w:val="000000"/>
          <w:sz w:val="24"/>
          <w:szCs w:val="24"/>
          <w:rtl w:val="0"/>
        </w:rPr>
        <w:t xml:space="preserve"> [2005] SCC 54 exemplifies the use of GAAR in recharacterization disputes. The court emphasized a purposive approach, focusing on legislative intent to counter tax avoidance schemes. This approach aligns with OECD principles, reinforcing the need for coordinated interpretations in cross-border tax planning.</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ind w:left="4127" w:firstLine="3793"/>
      <w:rPr>
        <w:b w:val="1"/>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4">
    <w:lvl w:ilvl="0">
      <w:start w:val="1"/>
      <w:numFmt w:val="decimal"/>
      <w:lvlText w:val="%1."/>
      <w:lvlJc w:val="left"/>
      <w:pPr>
        <w:ind w:left="360" w:hanging="360"/>
      </w:pPr>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color w:val="000000"/>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E25DDC"/>
  </w:style>
  <w:style w:type="paragraph" w:styleId="Heading1">
    <w:name w:val="heading 1"/>
    <w:basedOn w:val="Normal"/>
    <w:next w:val="Normal"/>
    <w:link w:val="Heading1Char"/>
    <w:uiPriority w:val="9"/>
    <w:qFormat w:val="1"/>
    <w:rsid w:val="003905AD"/>
    <w:pPr>
      <w:keepNext w:val="1"/>
      <w:keepLines w:val="1"/>
      <w:spacing w:after="0" w:before="240"/>
      <w:outlineLvl w:val="0"/>
    </w:pPr>
    <w:rPr>
      <w:rFonts w:ascii="Times New Roman" w:hAnsi="Times New Roman" w:cstheme="majorBidi" w:eastAsiaTheme="majorEastAsia"/>
      <w:b w:val="1"/>
      <w:color w:val="000000" w:themeColor="text1"/>
      <w:sz w:val="28"/>
      <w:szCs w:val="32"/>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3905AD"/>
    <w:rPr>
      <w:rFonts w:ascii="Times New Roman" w:hAnsi="Times New Roman" w:cstheme="majorBidi" w:eastAsiaTheme="majorEastAsia"/>
      <w:b w:val="1"/>
      <w:color w:val="000000" w:themeColor="text1"/>
      <w:sz w:val="28"/>
      <w:szCs w:val="32"/>
    </w:rPr>
  </w:style>
  <w:style w:type="paragraph" w:styleId="NormalWeb">
    <w:name w:val="Normal (Web)"/>
    <w:basedOn w:val="Normal"/>
    <w:uiPriority w:val="99"/>
    <w:unhideWhenUsed w:val="1"/>
    <w:rsid w:val="00CD3C04"/>
    <w:pPr>
      <w:spacing w:after="100" w:afterAutospacing="1" w:before="100" w:beforeAutospacing="1" w:line="240" w:lineRule="auto"/>
    </w:pPr>
    <w:rPr>
      <w:rFonts w:ascii="Times New Roman" w:cs="Times New Roman" w:eastAsia="Times New Roman" w:hAnsi="Times New Roman"/>
      <w:sz w:val="24"/>
      <w:szCs w:val="24"/>
    </w:rPr>
  </w:style>
  <w:style w:type="paragraph" w:styleId="TOCHeading">
    <w:name w:val="TOC Heading"/>
    <w:basedOn w:val="Heading1"/>
    <w:next w:val="Normal"/>
    <w:uiPriority w:val="39"/>
    <w:unhideWhenUsed w:val="1"/>
    <w:qFormat w:val="1"/>
    <w:rsid w:val="00CD3C04"/>
    <w:pPr>
      <w:outlineLvl w:val="9"/>
    </w:pPr>
    <w:rPr>
      <w:rFonts w:asciiTheme="majorHAnsi" w:hAnsiTheme="majorHAnsi"/>
      <w:b w:val="0"/>
      <w:color w:val="2f5496" w:themeColor="accent1" w:themeShade="0000BF"/>
      <w:sz w:val="32"/>
    </w:rPr>
  </w:style>
  <w:style w:type="paragraph" w:styleId="TOC1">
    <w:name w:val="toc 1"/>
    <w:basedOn w:val="Normal"/>
    <w:next w:val="Normal"/>
    <w:autoRedefine w:val="1"/>
    <w:uiPriority w:val="39"/>
    <w:unhideWhenUsed w:val="1"/>
    <w:rsid w:val="00CD3C04"/>
    <w:pPr>
      <w:spacing w:after="100"/>
    </w:pPr>
  </w:style>
  <w:style w:type="character" w:styleId="Hyperlink">
    <w:name w:val="Hyperlink"/>
    <w:basedOn w:val="DefaultParagraphFont"/>
    <w:uiPriority w:val="99"/>
    <w:unhideWhenUsed w:val="1"/>
    <w:rsid w:val="00CD3C04"/>
    <w:rPr>
      <w:color w:val="0563c1" w:themeColor="hyperlink"/>
      <w:u w:val="single"/>
    </w:rPr>
  </w:style>
  <w:style w:type="paragraph" w:styleId="Header">
    <w:name w:val="header"/>
    <w:basedOn w:val="Normal"/>
    <w:link w:val="HeaderChar"/>
    <w:uiPriority w:val="99"/>
    <w:unhideWhenUsed w:val="1"/>
    <w:rsid w:val="00BA6C8F"/>
    <w:pPr>
      <w:tabs>
        <w:tab w:val="center" w:pos="4513"/>
        <w:tab w:val="right" w:pos="9026"/>
      </w:tabs>
      <w:spacing w:after="0" w:line="240" w:lineRule="auto"/>
    </w:pPr>
  </w:style>
  <w:style w:type="character" w:styleId="HeaderChar" w:customStyle="1">
    <w:name w:val="Header Char"/>
    <w:basedOn w:val="DefaultParagraphFont"/>
    <w:link w:val="Header"/>
    <w:uiPriority w:val="99"/>
    <w:rsid w:val="00BA6C8F"/>
  </w:style>
  <w:style w:type="paragraph" w:styleId="Footer">
    <w:name w:val="footer"/>
    <w:basedOn w:val="Normal"/>
    <w:link w:val="FooterChar"/>
    <w:uiPriority w:val="99"/>
    <w:unhideWhenUsed w:val="1"/>
    <w:rsid w:val="00BA6C8F"/>
    <w:pPr>
      <w:tabs>
        <w:tab w:val="center" w:pos="4513"/>
        <w:tab w:val="right" w:pos="9026"/>
      </w:tabs>
      <w:spacing w:after="0" w:line="240" w:lineRule="auto"/>
    </w:pPr>
  </w:style>
  <w:style w:type="character" w:styleId="FooterChar" w:customStyle="1">
    <w:name w:val="Footer Char"/>
    <w:basedOn w:val="DefaultParagraphFont"/>
    <w:link w:val="Footer"/>
    <w:uiPriority w:val="99"/>
    <w:rsid w:val="00BA6C8F"/>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34"/>
    <w:qFormat w:val="1"/>
    <w:rsid w:val="001F72D6"/>
    <w:pPr>
      <w:ind w:left="720"/>
      <w:contextualSpacing w:val="1"/>
    </w:pPr>
  </w:style>
  <w:style w:type="character" w:styleId="Emphasis">
    <w:name w:val="Emphasis"/>
    <w:basedOn w:val="DefaultParagraphFont"/>
    <w:uiPriority w:val="20"/>
    <w:qFormat w:val="1"/>
    <w:rsid w:val="00F3774E"/>
    <w:rPr>
      <w:i w:val="1"/>
      <w:iCs w:val="1"/>
    </w:rPr>
  </w:style>
  <w:style w:type="paragraph" w:styleId="TOC2">
    <w:name w:val="toc 2"/>
    <w:basedOn w:val="Normal"/>
    <w:next w:val="Normal"/>
    <w:autoRedefine w:val="1"/>
    <w:uiPriority w:val="39"/>
    <w:unhideWhenUsed w:val="1"/>
    <w:rsid w:val="003D3566"/>
    <w:pPr>
      <w:spacing w:after="100"/>
      <w:ind w:left="22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ysqPp19fMFN1kq7niCEAsy+Csg==">CgMxLjAyCGguZ2pkZ3hzMgloLjMwajB6bGwyCWguMWZvYjl0ZTIJaC4zem55c2g3MgloLjJldDkycDAyCGgudHlqY3d0MgloLjNkeTZ2a20yCWguMXQzaDVzZjIJaC40ZDM0b2c4MgloLjJzOGV5bzEyCWguMXk4MTB0dzIJaC40aTdvamhwMgloLjJ4Y3l0cGkyCWguMWNpOTN4YjIJaC4zd2h3bWw0MgloLjJibjZ3c3gyCGgucXNoNzBxMgloLjNhczRwb2oyCWguMXB4ZXp3YzgAciExcW5yZHdxWHZwSmlKMHB3bjd4eXUxeU8yNE1tODVYW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2024-09-06T13:17:00Z</dcterms:created>
  <dc:creator>victory otamiri</dc:creator>
</cp:coreProperties>
</file>