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STATE RESPONSIBILITY IN INTERNATIONAL TAX: THE DEVELOPMENT OF THE CONCEPT OF HARMFUL TAX COMPETITION</w:t>
      </w:r>
    </w:p>
    <w:p w:rsidR="00000000" w:rsidDel="00000000" w:rsidP="00000000" w:rsidRDefault="00000000" w:rsidRPr="00000000" w14:paraId="00000002">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concept of harmful tax competition has gained significant prominence in international tax policy discussions over the past three decades. It reflects concerns that certain tax practices adopted by states can undermine the global tax base, distort economic decision-making, and erode public revenues. This note examines the evolution of harmful tax competition, focusing on state responsibility within the framework of international cooperation, legislative measures, and enforcement mechanisms. It critically evaluates the role of international organizations, the interplay between sovereignty and cooperation, and emerging challenges in addressing harmful practices.</w:t>
      </w:r>
    </w:p>
    <w:p w:rsidR="00000000" w:rsidDel="00000000" w:rsidP="00000000" w:rsidRDefault="00000000" w:rsidRPr="00000000" w14:paraId="00000003">
      <w:pPr>
        <w:pStyle w:val="Heading2"/>
        <w:numPr>
          <w:ilvl w:val="0"/>
          <w:numId w:val="1"/>
        </w:numPr>
        <w:ind w:left="360" w:hanging="360"/>
        <w:rPr>
          <w:rFonts w:ascii="Times New Roman" w:cs="Times New Roman" w:eastAsia="Times New Roman" w:hAnsi="Times New Roman"/>
          <w:b w:val="1"/>
          <w:color w:val="000000"/>
          <w:sz w:val="27"/>
          <w:szCs w:val="27"/>
        </w:rPr>
      </w:pPr>
      <w:r w:rsidDel="00000000" w:rsidR="00000000" w:rsidRPr="00000000">
        <w:rPr>
          <w:rFonts w:ascii="Times New Roman" w:cs="Times New Roman" w:eastAsia="Times New Roman" w:hAnsi="Times New Roman"/>
          <w:b w:val="1"/>
          <w:color w:val="000000"/>
          <w:sz w:val="27"/>
          <w:szCs w:val="27"/>
          <w:rtl w:val="0"/>
        </w:rPr>
        <w:t xml:space="preserve">Emergence of the Concept</w:t>
      </w:r>
    </w:p>
    <w:p w:rsidR="00000000" w:rsidDel="00000000" w:rsidP="00000000" w:rsidRDefault="00000000" w:rsidRPr="00000000" w14:paraId="00000004">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Harmful tax competition first emerged as a focal point in international tax discourse following the OECD's 1998 report titled "Harmful Tax Competition: An Emerging Global Issue." The report identified the practices of certain jurisdictions, particularly tax havens, as threats to fair competition and fiscal sovereignty. Tax havens offered low or zero tax rates and limited transparency, thereby enabling tax avoidance and evasion. The OECD's framework for identifying harmful practices included features such as lack of transparency, absence of information exchange, and ring-fencing of preferential regimes.</w:t>
      </w:r>
    </w:p>
    <w:p w:rsidR="00000000" w:rsidDel="00000000" w:rsidP="00000000" w:rsidRDefault="00000000" w:rsidRPr="00000000" w14:paraId="00000005">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context, harmful tax competition was seen as a deviation from acceptable state behavior, calling for multilateral cooperation to establish minimum standards. The OECD established the Forum on Harmful Tax Practices (FHTP) to monitor implementation and compliance. Legislative developments, such as the EU Code of Conduct on Business Taxation, further supported this agenda by targeting harmful preferential regimes within member states.</w:t>
      </w:r>
    </w:p>
    <w:p w:rsidR="00000000" w:rsidDel="00000000" w:rsidP="00000000" w:rsidRDefault="00000000" w:rsidRPr="00000000" w14:paraId="00000006">
      <w:pPr>
        <w:pStyle w:val="Heading2"/>
        <w:numPr>
          <w:ilvl w:val="0"/>
          <w:numId w:val="1"/>
        </w:numPr>
        <w:ind w:left="360" w:hanging="360"/>
        <w:rPr>
          <w:rFonts w:ascii="Times New Roman" w:cs="Times New Roman" w:eastAsia="Times New Roman" w:hAnsi="Times New Roman"/>
          <w:b w:val="1"/>
          <w:color w:val="000000"/>
          <w:sz w:val="27"/>
          <w:szCs w:val="27"/>
        </w:rPr>
      </w:pPr>
      <w:r w:rsidDel="00000000" w:rsidR="00000000" w:rsidRPr="00000000">
        <w:rPr>
          <w:rFonts w:ascii="Times New Roman" w:cs="Times New Roman" w:eastAsia="Times New Roman" w:hAnsi="Times New Roman"/>
          <w:b w:val="1"/>
          <w:color w:val="000000"/>
          <w:sz w:val="27"/>
          <w:szCs w:val="27"/>
          <w:rtl w:val="0"/>
        </w:rPr>
        <w:t xml:space="preserve">State Sovereignty and Responsibility</w:t>
      </w:r>
    </w:p>
    <w:p w:rsidR="00000000" w:rsidDel="00000000" w:rsidP="00000000" w:rsidRDefault="00000000" w:rsidRPr="00000000" w14:paraId="00000007">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sovereignty is a foundational principle of international law, enabling states to design and implement their own tax systems. However, sovereignty is not absolute and must be balanced against obligations to the international community. The notion of state responsibility in harmful tax competition hinges on the concept of collective action to prevent practices that distort global tax fairness.</w:t>
      </w:r>
    </w:p>
    <w:p w:rsidR="00000000" w:rsidDel="00000000" w:rsidP="00000000" w:rsidRDefault="00000000" w:rsidRPr="00000000" w14:paraId="00000008">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OECD/G20 Base Erosion and Profit Shifting (BEPS) Project exemplifies this balance. BEPS Action 5 directly addresses harmful tax practices, emphasizing the need for transparency and substance requirements. The Modified Nexus Approach, introduced under BEPS, mandates that preferential regimes, such as intellectual property (IP) regimes, be tied to substantial economic activities.</w:t>
      </w:r>
    </w:p>
    <w:p w:rsidR="00000000" w:rsidDel="00000000" w:rsidP="00000000" w:rsidRDefault="00000000" w:rsidRPr="00000000" w14:paraId="00000009">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Legislation such as the EU Anti-Tax Avoidance Directive (ATAD) also imposes obligations on member states to curb practices like profit shifting. Case law, including decisions by the European Court of Justice (ECJ), has reinforced these principles by ruling against discriminatory or non-transparent tax measures that contravene the internal market principles.</w:t>
      </w:r>
    </w:p>
    <w:p w:rsidR="00000000" w:rsidDel="00000000" w:rsidP="00000000" w:rsidRDefault="00000000" w:rsidRPr="00000000" w14:paraId="0000000A">
      <w:pPr>
        <w:pStyle w:val="Heading2"/>
        <w:numPr>
          <w:ilvl w:val="0"/>
          <w:numId w:val="1"/>
        </w:numPr>
        <w:ind w:left="360" w:hanging="360"/>
        <w:rPr>
          <w:rFonts w:ascii="Times New Roman" w:cs="Times New Roman" w:eastAsia="Times New Roman" w:hAnsi="Times New Roman"/>
          <w:b w:val="1"/>
          <w:color w:val="000000"/>
          <w:sz w:val="27"/>
          <w:szCs w:val="27"/>
        </w:rPr>
      </w:pPr>
      <w:r w:rsidDel="00000000" w:rsidR="00000000" w:rsidRPr="00000000">
        <w:rPr>
          <w:rFonts w:ascii="Times New Roman" w:cs="Times New Roman" w:eastAsia="Times New Roman" w:hAnsi="Times New Roman"/>
          <w:b w:val="1"/>
          <w:color w:val="000000"/>
          <w:sz w:val="27"/>
          <w:szCs w:val="27"/>
          <w:rtl w:val="0"/>
        </w:rPr>
        <w:t xml:space="preserve">International Cooperation and Enforcement</w:t>
      </w:r>
    </w:p>
    <w:p w:rsidR="00000000" w:rsidDel="00000000" w:rsidP="00000000" w:rsidRDefault="00000000" w:rsidRPr="00000000" w14:paraId="0000000B">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cooperation has been central to addressing harmful tax competition. The OECD's Common Reporting Standard (CRS) and the automatic exchange of information (AEOI) framework illustrate how multilateral agreements can enhance transparency and compliance.</w:t>
      </w:r>
    </w:p>
    <w:p w:rsidR="00000000" w:rsidDel="00000000" w:rsidP="00000000" w:rsidRDefault="00000000" w:rsidRPr="00000000" w14:paraId="0000000C">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Notably, the case of </w:t>
      </w:r>
      <w:r w:rsidDel="00000000" w:rsidR="00000000" w:rsidRPr="00000000">
        <w:rPr>
          <w:rFonts w:ascii="Times New Roman" w:cs="Times New Roman" w:eastAsia="Times New Roman" w:hAnsi="Times New Roman"/>
          <w:b w:val="1"/>
          <w:rtl w:val="0"/>
        </w:rPr>
        <w:t xml:space="preserve">Commission v. Ireland (2017)</w:t>
      </w:r>
      <w:r w:rsidDel="00000000" w:rsidR="00000000" w:rsidRPr="00000000">
        <w:rPr>
          <w:rFonts w:ascii="Times New Roman" w:cs="Times New Roman" w:eastAsia="Times New Roman" w:hAnsi="Times New Roman"/>
          <w:rtl w:val="0"/>
        </w:rPr>
        <w:t xml:space="preserve"> highlighted the enforcement challenges posed by state aid rules in combating preferential tax treatment. The European Commission ruled that Ireland's tax rulings granting favorable treatment to Apple Inc. amounted to illegal state aid, breaching EU competition law. Although the case underscored the tension between tax sovereignty and fair competition, it also emphasized the need for consistent enforcement of anti-avoidance rules.</w:t>
      </w:r>
    </w:p>
    <w:p w:rsidR="00000000" w:rsidDel="00000000" w:rsidP="00000000" w:rsidRDefault="00000000" w:rsidRPr="00000000" w14:paraId="0000000D">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literature has further analyzed the role of international cooperation. For example, Avi-Yonah (2000) argues that global governance mechanisms, including treaties and soft-law instruments, play a vital role in mitigating harmful tax practices. However, he also highlights the limitations of enforcement, particularly in jurisdictions outside major economic blocs.</w:t>
      </w:r>
    </w:p>
    <w:p w:rsidR="00000000" w:rsidDel="00000000" w:rsidP="00000000" w:rsidRDefault="00000000" w:rsidRPr="00000000" w14:paraId="0000000E">
      <w:pPr>
        <w:pStyle w:val="Heading2"/>
        <w:numPr>
          <w:ilvl w:val="0"/>
          <w:numId w:val="1"/>
        </w:numPr>
        <w:ind w:left="360" w:hanging="360"/>
        <w:rPr>
          <w:rFonts w:ascii="Times New Roman" w:cs="Times New Roman" w:eastAsia="Times New Roman" w:hAnsi="Times New Roman"/>
          <w:b w:val="1"/>
          <w:color w:val="000000"/>
          <w:sz w:val="27"/>
          <w:szCs w:val="27"/>
        </w:rPr>
      </w:pPr>
      <w:r w:rsidDel="00000000" w:rsidR="00000000" w:rsidRPr="00000000">
        <w:rPr>
          <w:rFonts w:ascii="Times New Roman" w:cs="Times New Roman" w:eastAsia="Times New Roman" w:hAnsi="Times New Roman"/>
          <w:b w:val="1"/>
          <w:color w:val="000000"/>
          <w:sz w:val="27"/>
          <w:szCs w:val="27"/>
          <w:rtl w:val="0"/>
        </w:rPr>
        <w:t xml:space="preserve">The Role of Transparency and Exchange of Information</w:t>
      </w:r>
    </w:p>
    <w:p w:rsidR="00000000" w:rsidDel="00000000" w:rsidP="00000000" w:rsidRDefault="00000000" w:rsidRPr="00000000" w14:paraId="0000000F">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Transparency is a cornerstone of efforts to address harmful tax competition. The Global Forum on Transparency and Exchange of Information for Tax Purposes, established by the OECD, evaluates compliance with international standards through peer reviews.</w:t>
      </w:r>
    </w:p>
    <w:p w:rsidR="00000000" w:rsidDel="00000000" w:rsidP="00000000" w:rsidRDefault="00000000" w:rsidRPr="00000000" w14:paraId="00000010">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Panama Papers (2016) scandal demonstrated the persistent challenges in achieving transparency. Revelations about secretive offshore structures used for tax avoidance and evasion triggered legislative reforms, including stricter beneficial ownership rules and anti-money laundering measures.</w:t>
      </w:r>
    </w:p>
    <w:p w:rsidR="00000000" w:rsidDel="00000000" w:rsidP="00000000" w:rsidRDefault="00000000" w:rsidRPr="00000000" w14:paraId="00000011">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Legislation such as the U.S. Foreign Account Tax Compliance Act (FATCA) has complemented international frameworks by requiring foreign financial institutions to report on U.S. account holders. While effective, FATCA's unilateral approach has drawn criticism for its extraterritorial reach and compliance burdens.</w:t>
      </w:r>
    </w:p>
    <w:p w:rsidR="00000000" w:rsidDel="00000000" w:rsidP="00000000" w:rsidRDefault="00000000" w:rsidRPr="00000000" w14:paraId="00000012">
      <w:pPr>
        <w:pStyle w:val="Heading2"/>
        <w:numPr>
          <w:ilvl w:val="0"/>
          <w:numId w:val="1"/>
        </w:numPr>
        <w:ind w:left="360" w:hanging="360"/>
        <w:rPr>
          <w:rFonts w:ascii="Times New Roman" w:cs="Times New Roman" w:eastAsia="Times New Roman" w:hAnsi="Times New Roman"/>
          <w:b w:val="1"/>
          <w:color w:val="000000"/>
          <w:sz w:val="27"/>
          <w:szCs w:val="27"/>
        </w:rPr>
      </w:pPr>
      <w:r w:rsidDel="00000000" w:rsidR="00000000" w:rsidRPr="00000000">
        <w:rPr>
          <w:rFonts w:ascii="Times New Roman" w:cs="Times New Roman" w:eastAsia="Times New Roman" w:hAnsi="Times New Roman"/>
          <w:b w:val="1"/>
          <w:color w:val="000000"/>
          <w:sz w:val="27"/>
          <w:szCs w:val="27"/>
          <w:rtl w:val="0"/>
        </w:rPr>
        <w:t xml:space="preserve">Substance Requirements and Economic Nexus</w:t>
      </w:r>
    </w:p>
    <w:p w:rsidR="00000000" w:rsidDel="00000000" w:rsidP="00000000" w:rsidRDefault="00000000" w:rsidRPr="00000000" w14:paraId="00000013">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introduction of substance requirements marks a significant shift in combating harmful tax competition. Jurisdictions are now required to demonstrate that income reported in low-tax regimes is linked to substantial business activities. This approach aims to prevent artificial profit shifting and base erosion.</w:t>
      </w:r>
    </w:p>
    <w:p w:rsidR="00000000" w:rsidDel="00000000" w:rsidP="00000000" w:rsidRDefault="00000000" w:rsidRPr="00000000" w14:paraId="00000014">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the Economic Substance Regulations (ESR) introduced by jurisdictions like the Cayman Islands and Bermuda align with OECD standards, requiring entities to prove genuine economic activities within their territories. Compliance failures may lead to sanctions, including blacklisting by international organizations.</w:t>
      </w:r>
    </w:p>
    <w:p w:rsidR="00000000" w:rsidDel="00000000" w:rsidP="00000000" w:rsidRDefault="00000000" w:rsidRPr="00000000" w14:paraId="00000015">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 law, such as </w:t>
      </w:r>
      <w:r w:rsidDel="00000000" w:rsidR="00000000" w:rsidRPr="00000000">
        <w:rPr>
          <w:rFonts w:ascii="Times New Roman" w:cs="Times New Roman" w:eastAsia="Times New Roman" w:hAnsi="Times New Roman"/>
          <w:b w:val="1"/>
          <w:rtl w:val="0"/>
        </w:rPr>
        <w:t xml:space="preserve">Cadbury Schweppes plc v. Commissioners of Inland Revenue (2006)</w:t>
      </w:r>
      <w:r w:rsidDel="00000000" w:rsidR="00000000" w:rsidRPr="00000000">
        <w:rPr>
          <w:rFonts w:ascii="Times New Roman" w:cs="Times New Roman" w:eastAsia="Times New Roman" w:hAnsi="Times New Roman"/>
          <w:rtl w:val="0"/>
        </w:rPr>
        <w:t xml:space="preserve">, illustrates the judicial interpretation of substance requirements. The ECJ ruled that while tax minimization strategies are permissible, arrangements lacking genuine economic activity may be subject to anti-abuse measures.</w:t>
      </w:r>
    </w:p>
    <w:p w:rsidR="00000000" w:rsidDel="00000000" w:rsidP="00000000" w:rsidRDefault="00000000" w:rsidRPr="00000000" w14:paraId="00000016">
      <w:pPr>
        <w:pStyle w:val="Heading2"/>
        <w:numPr>
          <w:ilvl w:val="0"/>
          <w:numId w:val="1"/>
        </w:numPr>
        <w:ind w:left="360" w:hanging="360"/>
        <w:rPr>
          <w:rFonts w:ascii="Times New Roman" w:cs="Times New Roman" w:eastAsia="Times New Roman" w:hAnsi="Times New Roman"/>
          <w:b w:val="1"/>
          <w:color w:val="000000"/>
          <w:sz w:val="27"/>
          <w:szCs w:val="27"/>
        </w:rPr>
      </w:pPr>
      <w:r w:rsidDel="00000000" w:rsidR="00000000" w:rsidRPr="00000000">
        <w:rPr>
          <w:rFonts w:ascii="Times New Roman" w:cs="Times New Roman" w:eastAsia="Times New Roman" w:hAnsi="Times New Roman"/>
          <w:b w:val="1"/>
          <w:color w:val="000000"/>
          <w:sz w:val="27"/>
          <w:szCs w:val="27"/>
          <w:rtl w:val="0"/>
        </w:rPr>
        <w:t xml:space="preserve">The Challenge of Digitalization</w:t>
      </w:r>
    </w:p>
    <w:p w:rsidR="00000000" w:rsidDel="00000000" w:rsidP="00000000" w:rsidRDefault="00000000" w:rsidRPr="00000000" w14:paraId="00000017">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Digitalization poses new challenges to the traditional concept of harmful tax competition. Multinational enterprises (MNEs) can generate substantial revenues in jurisdictions without physical presence, exploiting gaps in existing tax frameworks.</w:t>
      </w:r>
    </w:p>
    <w:p w:rsidR="00000000" w:rsidDel="00000000" w:rsidP="00000000" w:rsidRDefault="00000000" w:rsidRPr="00000000" w14:paraId="00000018">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OECD's Pillar One and Pillar Two initiatives seek to address these challenges. Pillar One reallocates taxing rights based on user participation, while Pillar Two introduces a global minimum tax rate to curb profit shifting. These proposals highlight the evolving nature of harmful tax competition in a digital economy.</w:t>
      </w:r>
    </w:p>
    <w:p w:rsidR="00000000" w:rsidDel="00000000" w:rsidP="00000000" w:rsidRDefault="00000000" w:rsidRPr="00000000" w14:paraId="00000019">
      <w:pPr>
        <w:pStyle w:val="Heading2"/>
        <w:numPr>
          <w:ilvl w:val="0"/>
          <w:numId w:val="1"/>
        </w:numPr>
        <w:ind w:left="360" w:hanging="360"/>
        <w:rPr>
          <w:rFonts w:ascii="Times New Roman" w:cs="Times New Roman" w:eastAsia="Times New Roman" w:hAnsi="Times New Roman"/>
          <w:b w:val="1"/>
          <w:color w:val="000000"/>
          <w:sz w:val="27"/>
          <w:szCs w:val="27"/>
        </w:rPr>
      </w:pPr>
      <w:r w:rsidDel="00000000" w:rsidR="00000000" w:rsidRPr="00000000">
        <w:rPr>
          <w:rFonts w:ascii="Times New Roman" w:cs="Times New Roman" w:eastAsia="Times New Roman" w:hAnsi="Times New Roman"/>
          <w:b w:val="1"/>
          <w:color w:val="000000"/>
          <w:sz w:val="27"/>
          <w:szCs w:val="27"/>
          <w:rtl w:val="0"/>
        </w:rPr>
        <w:t xml:space="preserve">Emerging Trends and Debates</w:t>
      </w:r>
    </w:p>
    <w:p w:rsidR="00000000" w:rsidDel="00000000" w:rsidP="00000000" w:rsidRDefault="00000000" w:rsidRPr="00000000" w14:paraId="0000001A">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progress, debates persist about the effectiveness and fairness of measures to counter harmful tax competition. Critics argue that some initiatives disproportionately impact developing countries, which rely on tax incentives to attract foreign investment. Others highlight enforcement gaps, particularly in jurisdictions that resist international standards.</w:t>
      </w:r>
    </w:p>
    <w:p w:rsidR="00000000" w:rsidDel="00000000" w:rsidP="00000000" w:rsidRDefault="00000000" w:rsidRPr="00000000" w14:paraId="0000001B">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Emerging issues, such as environmental taxation and carbon border adjustment mechanisms, further complicate the landscape. These measures raise questions about whether they constitute legitimate tax policy or discriminatory practices under international law.</w:t>
      </w:r>
    </w:p>
    <w:p w:rsidR="00000000" w:rsidDel="00000000" w:rsidP="00000000" w:rsidRDefault="00000000" w:rsidRPr="00000000" w14:paraId="0000001C">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Jurisdictions are increasingly leveraging technology, such as blockchain, to enhance transparency and monitor compliance. However, the use of such technologies raises privacy concerns, highlighting the need for regulatory frameworks that balance transparency with data protection.</w:t>
      </w:r>
    </w:p>
    <w:p w:rsidR="00000000" w:rsidDel="00000000" w:rsidP="00000000" w:rsidRDefault="00000000" w:rsidRPr="00000000" w14:paraId="0000001D">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rise of unilateral digital service taxes (DSTs) has sparked debates about jurisdictional rights, illustrating the complexities of reconciling national policies with global standards. These taxes often target large technology firms, reflecting broader frustrations over the adequacy of existing rules.</w:t>
      </w:r>
    </w:p>
    <w:p w:rsidR="00000000" w:rsidDel="00000000" w:rsidP="00000000" w:rsidRDefault="00000000" w:rsidRPr="00000000" w14:paraId="0000001E">
      <w:pPr>
        <w:pStyle w:val="Heading2"/>
        <w:numPr>
          <w:ilvl w:val="0"/>
          <w:numId w:val="1"/>
        </w:numPr>
        <w:ind w:left="360" w:hanging="360"/>
        <w:rPr>
          <w:rFonts w:ascii="Times New Roman" w:cs="Times New Roman" w:eastAsia="Times New Roman" w:hAnsi="Times New Roman"/>
          <w:b w:val="1"/>
          <w:color w:val="000000"/>
          <w:sz w:val="27"/>
          <w:szCs w:val="27"/>
        </w:rPr>
      </w:pPr>
      <w:r w:rsidDel="00000000" w:rsidR="00000000" w:rsidRPr="00000000">
        <w:rPr>
          <w:rFonts w:ascii="Times New Roman" w:cs="Times New Roman" w:eastAsia="Times New Roman" w:hAnsi="Times New Roman"/>
          <w:b w:val="1"/>
          <w:color w:val="000000"/>
          <w:sz w:val="27"/>
          <w:szCs w:val="27"/>
          <w:rtl w:val="0"/>
        </w:rPr>
        <w:t xml:space="preserve">Future Directions</w:t>
      </w:r>
    </w:p>
    <w:p w:rsidR="00000000" w:rsidDel="00000000" w:rsidP="00000000" w:rsidRDefault="00000000" w:rsidRPr="00000000" w14:paraId="0000001F">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Efforts to refine anti-avoidance rules, improve compliance frameworks, and promote equitable tax policies will likely remain central to the international agenda. Multilateral approaches, such as enhanced dispute resolution mechanisms and cooperative compliance programs, are critical for addressing enforcement challenges and fostering trust among states.</w:t>
      </w:r>
    </w:p>
    <w:p w:rsidR="00000000" w:rsidDel="00000000" w:rsidP="00000000" w:rsidRDefault="00000000" w:rsidRPr="00000000" w14:paraId="00000020">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Ultimately, the dynamic nature of harmful tax competition necessitates continuous evaluation and adaptation to ensure sustainable global tax governance.</w:t>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C070D4"/>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C070D4"/>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C070D4"/>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C070D4"/>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C070D4"/>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C070D4"/>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C070D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070D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070D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C070D4"/>
    <w:pPr>
      <w:spacing w:after="80" w:line="240" w:lineRule="auto"/>
      <w:contextualSpacing w:val="1"/>
    </w:pPr>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sid w:val="00C070D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C070D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C070D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C070D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070D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070D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070D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070D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070D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070D4"/>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Pr>
      <w:color w:val="595959"/>
      <w:sz w:val="28"/>
      <w:szCs w:val="28"/>
    </w:rPr>
  </w:style>
  <w:style w:type="character" w:styleId="SubtitleChar" w:customStyle="1">
    <w:name w:val="Subtitle Char"/>
    <w:basedOn w:val="DefaultParagraphFont"/>
    <w:link w:val="Subtitle"/>
    <w:uiPriority w:val="11"/>
    <w:rsid w:val="00C070D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070D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070D4"/>
    <w:rPr>
      <w:i w:val="1"/>
      <w:iCs w:val="1"/>
      <w:color w:val="404040" w:themeColor="text1" w:themeTint="0000BF"/>
    </w:rPr>
  </w:style>
  <w:style w:type="paragraph" w:styleId="ListParagraph">
    <w:name w:val="List Paragraph"/>
    <w:basedOn w:val="Normal"/>
    <w:uiPriority w:val="34"/>
    <w:qFormat w:val="1"/>
    <w:rsid w:val="00C070D4"/>
    <w:pPr>
      <w:ind w:left="720"/>
      <w:contextualSpacing w:val="1"/>
    </w:pPr>
  </w:style>
  <w:style w:type="character" w:styleId="IntenseEmphasis">
    <w:name w:val="Intense Emphasis"/>
    <w:basedOn w:val="DefaultParagraphFont"/>
    <w:uiPriority w:val="21"/>
    <w:qFormat w:val="1"/>
    <w:rsid w:val="00C070D4"/>
    <w:rPr>
      <w:i w:val="1"/>
      <w:iCs w:val="1"/>
      <w:color w:val="0f4761" w:themeColor="accent1" w:themeShade="0000BF"/>
    </w:rPr>
  </w:style>
  <w:style w:type="paragraph" w:styleId="IntenseQuote">
    <w:name w:val="Intense Quote"/>
    <w:basedOn w:val="Normal"/>
    <w:next w:val="Normal"/>
    <w:link w:val="IntenseQuoteChar"/>
    <w:uiPriority w:val="30"/>
    <w:qFormat w:val="1"/>
    <w:rsid w:val="00C070D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070D4"/>
    <w:rPr>
      <w:i w:val="1"/>
      <w:iCs w:val="1"/>
      <w:color w:val="0f4761" w:themeColor="accent1" w:themeShade="0000BF"/>
    </w:rPr>
  </w:style>
  <w:style w:type="character" w:styleId="IntenseReference">
    <w:name w:val="Intense Reference"/>
    <w:basedOn w:val="DefaultParagraphFont"/>
    <w:uiPriority w:val="32"/>
    <w:qFormat w:val="1"/>
    <w:rsid w:val="00C070D4"/>
    <w:rPr>
      <w:b w:val="1"/>
      <w:bCs w:val="1"/>
      <w:smallCaps w:val="1"/>
      <w:color w:val="0f4761" w:themeColor="accent1" w:themeShade="0000BF"/>
      <w:spacing w:val="5"/>
    </w:rPr>
  </w:style>
  <w:style w:type="paragraph" w:styleId="NormalWeb">
    <w:name w:val="Normal (Web)"/>
    <w:basedOn w:val="Normal"/>
    <w:uiPriority w:val="99"/>
    <w:semiHidden w:val="1"/>
    <w:unhideWhenUsed w:val="1"/>
    <w:rsid w:val="00C070D4"/>
    <w:pPr>
      <w:spacing w:after="100" w:afterAutospacing="1" w:before="100" w:beforeAutospacing="1" w:line="240" w:lineRule="auto"/>
    </w:pPr>
    <w:rPr>
      <w:rFonts w:ascii="Times New Roman" w:cs="Times New Roman" w:eastAsia="Times New Roman" w:hAnsi="Times New Roman"/>
    </w:rPr>
  </w:style>
  <w:style w:type="character" w:styleId="Strong">
    <w:name w:val="Strong"/>
    <w:basedOn w:val="DefaultParagraphFont"/>
    <w:uiPriority w:val="22"/>
    <w:qFormat w:val="1"/>
    <w:rsid w:val="00C070D4"/>
    <w:rPr>
      <w:b w:val="1"/>
      <w:bCs w:val="1"/>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uAHjMSjT2tiAoJkLjVkvN31FpA==">CgMxLjA4AHIhMUE0dUJ1V3lZcXBKcDV2b3N3X3RnX2R6MU93SG9iNURy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2024-07-20T20:44:00Z</dcterms:created>
  <dc:creator>Munachiso Ogu-Jude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07789942-68db-439c-af99-bd7f66f6c6ce</vt:lpwstr>
  </property>
</Properties>
</file>