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rPr>
          <w:i w:val="0"/>
          <w:smallCaps w:val="0"/>
          <w:strike w:val="0"/>
          <w:color w:val="2f5496"/>
          <w:sz w:val="24"/>
          <w:szCs w:val="24"/>
          <w:u w:val="none"/>
          <w:shd w:fill="auto" w:val="clear"/>
          <w:vertAlign w:val="baseline"/>
        </w:rPr>
      </w:pPr>
      <w:r w:rsidDel="00000000" w:rsidR="00000000" w:rsidRPr="00000000">
        <w:rPr>
          <w:i w:val="0"/>
          <w:smallCaps w:val="0"/>
          <w:strike w:val="0"/>
          <w:color w:val="2f5496"/>
          <w:sz w:val="24"/>
          <w:szCs w:val="24"/>
          <w:u w:val="none"/>
          <w:shd w:fill="auto" w:val="clear"/>
          <w:vertAlign w:val="baseline"/>
          <w:rtl w:val="0"/>
        </w:rPr>
        <w:t xml:space="preserve">Contents</w:t>
      </w:r>
    </w:p>
    <w:sdt>
      <w:sdtPr>
        <w:id w:val="-130334814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E.1. OECD TRANSFER PRICING GUIDELINES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j9gykozg2u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 to Multinational Enterprises and Global Trade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j3w4hj03vh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The Arm’s Length Principle and the Separate Entity Approach</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o8aftqav2k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International Co-ordination and the Role of Tax Treaties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pwln2od7w2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Challenges in Transfer Pricing for Multinational Enterprises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awo0z180b2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The Role of Bilateral Tax Treaties and Mutual Agreement Procedures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vox0tct61x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Implementation of the Arm’s Length Principle in Transfer Pricing Methods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jn1iyqvu7z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Documentation Requirements and Country-by-Country Reporting</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zgho6bwd6ct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Safe Harbours and Simplified Approaches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x5769edyy06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Recent Developments: BEPS and Financial Transactions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E.2. TRANSFER PRICING METHODOLOGIES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Comparable Uncontrolled Price (CUP) Method</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m1r1xppwy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Resale Price Method</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ugpljuv1an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Cost Plus Method</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cakquqw6q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Transactional Net Margin Method (TNMM)</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kbn25gr4q9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Transactional Profit Split Method</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E.3. SPECIAL TOPICS: HARD TO VALUE INTANGIBLES; LOW VALUE ADDING INTRA-GROUP SERVICES; COST CONTRIBUTION/SHARING AGREEMENTS; REVISED SAFE HARBOUR GUIDANCE; DOCUMENTATION; ANNEX TO CHAPTER IV</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Hard-to-Value Intangibles (HTVI)</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u90nkvhuv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Low-Value Adding Intra-Group Services</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3021r1t2u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Cost Contribution/Sharing Agreements (CCAs)</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b2fd35k1cm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Revised Safe Harbour Guidance</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o7r8l6aau9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Annex to Chapter IV</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E.4. RESOLUTION OF TRANSFER PRICING DISPUTES AND ADVANCE PRICING AGREEMENTS (APAS)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muvo0q72fg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Mutual Agreement Procedure (MAP)</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8xtuan2i0x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Arbitration</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vlklulkh0a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Advance Pricing Agreements (APAs)</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8gwuzmnqdh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Implications of Dispute Resolution Mechanisms and APAs</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E.5. ATTRIBUTION OF PROFITS TO PERMANENT ESTABLISHMENTS</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Role of Permanent Establishments in Transfer Pricing</w:t>
              <w:tab/>
              <w:t xml:space="preserve">27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6sumplr3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Profit Allocation to Permanent Establishments</w:t>
              <w:tab/>
              <w:t xml:space="preserve">28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844wqot39r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Regulatory Framework Impacting PEs and Transfer Pricing</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k8ew0vjjid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Compliance and Documentation Requirements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Title"/>
        <w:jc w:val="left"/>
        <w:rPr/>
        <w:sectPr>
          <w:headerReference r:id="rId7" w:type="default"/>
          <w:footerReference r:id="rId8" w:type="default"/>
          <w:pgSz w:h="16838" w:w="11906" w:orient="portrait"/>
          <w:pgMar w:bottom="1440" w:top="1440" w:left="1440" w:right="1440" w:header="708" w:footer="708"/>
          <w:pgNumType w:start="1"/>
        </w:sectPr>
      </w:pPr>
      <w:bookmarkStart w:colFirst="0" w:colLast="0" w:name="_heading=h.906q1qeksdx2" w:id="0"/>
      <w:bookmarkEnd w:id="0"/>
      <w:r w:rsidDel="00000000" w:rsidR="00000000" w:rsidRPr="00000000">
        <w:rPr>
          <w:rtl w:val="0"/>
        </w:rPr>
      </w:r>
    </w:p>
    <w:p w:rsidR="00000000" w:rsidDel="00000000" w:rsidP="00000000" w:rsidRDefault="00000000" w:rsidRPr="00000000" w14:paraId="00000024">
      <w:pPr>
        <w:pStyle w:val="Title"/>
        <w:rPr/>
      </w:pPr>
      <w:bookmarkStart w:colFirst="0" w:colLast="0" w:name="_heading=h.eoeev6ru504f" w:id="1"/>
      <w:bookmarkEnd w:id="1"/>
      <w:r w:rsidDel="00000000" w:rsidR="00000000" w:rsidRPr="00000000">
        <w:rPr>
          <w:rtl w:val="0"/>
        </w:rPr>
        <w:t xml:space="preserve">E. OECD TRANSFER PRICING GUIDELINES</w:t>
      </w:r>
    </w:p>
    <w:p w:rsidR="00000000" w:rsidDel="00000000" w:rsidP="00000000" w:rsidRDefault="00000000" w:rsidRPr="00000000" w14:paraId="00000025">
      <w:pPr>
        <w:pStyle w:val="Heading1"/>
        <w:rPr/>
      </w:pPr>
      <w:bookmarkStart w:colFirst="0" w:colLast="0" w:name="_heading=h.gjdgxs" w:id="2"/>
      <w:bookmarkEnd w:id="2"/>
      <w:r w:rsidDel="00000000" w:rsidR="00000000" w:rsidRPr="00000000">
        <w:rPr>
          <w:rtl w:val="0"/>
        </w:rPr>
        <w:t xml:space="preserve">E.1. OECD TRANSFER PRICING GUIDELINES</w:t>
      </w:r>
    </w:p>
    <w:p w:rsidR="00000000" w:rsidDel="00000000" w:rsidP="00000000" w:rsidRDefault="00000000" w:rsidRPr="00000000" w14:paraId="00000026">
      <w:pPr>
        <w:pStyle w:val="Heading2"/>
        <w:numPr>
          <w:ilvl w:val="0"/>
          <w:numId w:val="6"/>
        </w:numPr>
        <w:ind w:left="720" w:hanging="360"/>
        <w:rPr/>
      </w:pPr>
      <w:bookmarkStart w:colFirst="0" w:colLast="0" w:name="_heading=h.tj9gykozg2uk" w:id="3"/>
      <w:bookmarkEnd w:id="3"/>
      <w:r w:rsidDel="00000000" w:rsidR="00000000" w:rsidRPr="00000000">
        <w:rPr>
          <w:rtl w:val="0"/>
        </w:rPr>
        <w:t xml:space="preserve">Introduction to Multinational Enterprises and Global Trade</w:t>
      </w:r>
    </w:p>
    <w:p w:rsidR="00000000" w:rsidDel="00000000" w:rsidP="00000000" w:rsidRDefault="00000000" w:rsidRPr="00000000" w14:paraId="00000027">
      <w:pPr>
        <w:spacing w:before="200" w:lineRule="auto"/>
        <w:rPr>
          <w:sz w:val="24"/>
          <w:szCs w:val="24"/>
        </w:rPr>
      </w:pPr>
      <w:r w:rsidDel="00000000" w:rsidR="00000000" w:rsidRPr="00000000">
        <w:rPr>
          <w:sz w:val="24"/>
          <w:szCs w:val="24"/>
          <w:rtl w:val="0"/>
        </w:rPr>
        <w:t xml:space="preserve">Since their inception in 1995, the OECD Transfer Pricing Guidelines have become a key reference for multinational enterprises (MNEs) and tax administrations worldwide. MNEs play a critical role in global trade, driven by the increasing integration of national economies and technological advancements, particularly in communications. This growth, however, brings with it complex taxation issues. In an interconnected global economy, the tax treatment of MNEs cannot be considered in isolation; it must be addressed in a broader international context.</w:t>
      </w:r>
    </w:p>
    <w:p w:rsidR="00000000" w:rsidDel="00000000" w:rsidP="00000000" w:rsidRDefault="00000000" w:rsidRPr="00000000" w14:paraId="00000028">
      <w:pPr>
        <w:rPr>
          <w:sz w:val="24"/>
          <w:szCs w:val="24"/>
        </w:rPr>
      </w:pPr>
      <w:r w:rsidDel="00000000" w:rsidR="00000000" w:rsidRPr="00000000">
        <w:rPr>
          <w:sz w:val="24"/>
          <w:szCs w:val="24"/>
          <w:rtl w:val="0"/>
        </w:rPr>
        <w:t xml:space="preserve">The complexity of taxing MNEs arises primarily from the challenge of determining the income and expenses of a company or a permanent establishment that operates within a multinational group. The operations of MNEs are often highly integrated across jurisdictions, which complicates the task of allocating income and expenses to specific countries.</w:t>
      </w:r>
    </w:p>
    <w:p w:rsidR="00000000" w:rsidDel="00000000" w:rsidP="00000000" w:rsidRDefault="00000000" w:rsidRPr="00000000" w14:paraId="00000029">
      <w:pPr>
        <w:pStyle w:val="Heading2"/>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pPr>
      <w:bookmarkStart w:colFirst="0" w:colLast="0" w:name="_heading=h.ij3w4hj03vh8" w:id="4"/>
      <w:bookmarkEnd w:id="4"/>
      <w:r w:rsidDel="00000000" w:rsidR="00000000" w:rsidRPr="00000000">
        <w:rPr>
          <w:rtl w:val="0"/>
        </w:rPr>
        <w:t xml:space="preserve">The Arm’s Length </w:t>
      </w:r>
      <w:r w:rsidDel="00000000" w:rsidR="00000000" w:rsidRPr="00000000">
        <w:rPr>
          <w:rtl w:val="0"/>
        </w:rPr>
        <w:t xml:space="preserve">Principle</w:t>
      </w:r>
      <w:r w:rsidDel="00000000" w:rsidR="00000000" w:rsidRPr="00000000">
        <w:rPr>
          <w:rtl w:val="0"/>
        </w:rPr>
        <w:t xml:space="preserve"> and the Separate Entity Approach</w:t>
      </w:r>
    </w:p>
    <w:p w:rsidR="00000000" w:rsidDel="00000000" w:rsidP="00000000" w:rsidRDefault="00000000" w:rsidRPr="00000000" w14:paraId="0000002A">
      <w:pPr>
        <w:spacing w:before="200" w:lineRule="auto"/>
        <w:rPr>
          <w:sz w:val="24"/>
          <w:szCs w:val="24"/>
        </w:rPr>
      </w:pPr>
      <w:r w:rsidDel="00000000" w:rsidR="00000000" w:rsidRPr="00000000">
        <w:rPr>
          <w:sz w:val="24"/>
          <w:szCs w:val="24"/>
          <w:rtl w:val="0"/>
        </w:rPr>
        <w:t xml:space="preserve">At the core of the OECD Transfer Pricing Guidelines is the arm’s length principle. This principle aims to ensure that transactions between associated enterprises within an MNE group are conducted as if they were independent enterprises dealing at arm's length in the open market. The separate entity approach adopted by OECD member countries is designed to treat each enterprise within the MNE group as an independent entity, subject to taxation based on the income that arises in its jurisdiction.</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arm’s length principle is crucial for maintaining fairness in international taxation, preventing both tax evasion and double taxation. In the absence of this principle, MNEs could manipulate transfer prices between associated enterprises to shift profits to low-tax jurisdictions. By ensuring that transactions reflect market conditions, the arm’s length principle helps establish a reasonable tax base in each jurisdiction.</w:t>
      </w:r>
    </w:p>
    <w:p w:rsidR="00000000" w:rsidDel="00000000" w:rsidP="00000000" w:rsidRDefault="00000000" w:rsidRPr="00000000" w14:paraId="0000002C">
      <w:pPr>
        <w:pStyle w:val="Heading2"/>
        <w:numPr>
          <w:ilvl w:val="0"/>
          <w:numId w:val="6"/>
        </w:numPr>
        <w:ind w:left="720" w:hanging="360"/>
        <w:rPr/>
      </w:pPr>
      <w:bookmarkStart w:colFirst="0" w:colLast="0" w:name="_heading=h.lo8aftqav2kv" w:id="5"/>
      <w:bookmarkEnd w:id="5"/>
      <w:r w:rsidDel="00000000" w:rsidR="00000000" w:rsidRPr="00000000">
        <w:rPr>
          <w:rtl w:val="0"/>
        </w:rPr>
        <w:t xml:space="preserve">International Co-ordination and the Role of Tax Treaties</w:t>
      </w:r>
    </w:p>
    <w:p w:rsidR="00000000" w:rsidDel="00000000" w:rsidP="00000000" w:rsidRDefault="00000000" w:rsidRPr="00000000" w14:paraId="0000002D">
      <w:pPr>
        <w:spacing w:before="200" w:lineRule="auto"/>
        <w:rPr>
          <w:sz w:val="24"/>
          <w:szCs w:val="24"/>
        </w:rPr>
      </w:pPr>
      <w:r w:rsidDel="00000000" w:rsidR="00000000" w:rsidRPr="00000000">
        <w:rPr>
          <w:sz w:val="24"/>
          <w:szCs w:val="24"/>
          <w:rtl w:val="0"/>
        </w:rPr>
        <w:t xml:space="preserve">The OECD Guidelines emphasize the importance of international co-operation and co-ordination to avoid double taxation and promote cross-border trade and investment. Tax competition between jurisdictions could lead to conflicts and impede economic growth, which is why multilateral efforts like the OECD’s work on international tax standards are essential.</w:t>
      </w:r>
    </w:p>
    <w:p w:rsidR="00000000" w:rsidDel="00000000" w:rsidP="00000000" w:rsidRDefault="00000000" w:rsidRPr="00000000" w14:paraId="0000002E">
      <w:pPr>
        <w:rPr>
          <w:sz w:val="24"/>
          <w:szCs w:val="24"/>
        </w:rPr>
      </w:pPr>
      <w:r w:rsidDel="00000000" w:rsidR="00000000" w:rsidRPr="00000000">
        <w:rPr>
          <w:sz w:val="24"/>
          <w:szCs w:val="24"/>
          <w:rtl w:val="0"/>
        </w:rPr>
        <w:t xml:space="preserve">The principles underlying the taxation of MNEs are incorporated into the OECD Model Tax Convention on Income and on Capital, which serves as the foundation for many bilateral tax treaties. Key articles in the Model Tax Convention, such as Article 9 on the arm’s length principle for associated enterprises, Article 5 on permanent establishments, and Articles 10, 11, and 12 on the taxation of dividends, interest, and royalties, play a vital role in governing cross-border transactions.</w:t>
      </w:r>
    </w:p>
    <w:p w:rsidR="00000000" w:rsidDel="00000000" w:rsidP="00000000" w:rsidRDefault="00000000" w:rsidRPr="00000000" w14:paraId="0000002F">
      <w:pPr>
        <w:pStyle w:val="Heading2"/>
        <w:numPr>
          <w:ilvl w:val="0"/>
          <w:numId w:val="6"/>
        </w:numPr>
        <w:ind w:left="720" w:hanging="360"/>
        <w:rPr/>
      </w:pPr>
      <w:bookmarkStart w:colFirst="0" w:colLast="0" w:name="_heading=h.1pwln2od7w2h" w:id="6"/>
      <w:bookmarkEnd w:id="6"/>
      <w:r w:rsidDel="00000000" w:rsidR="00000000" w:rsidRPr="00000000">
        <w:rPr>
          <w:rtl w:val="0"/>
        </w:rPr>
        <w:t xml:space="preserve">Challenges in Transfer Pricing for Multinational Enterprises</w:t>
      </w:r>
    </w:p>
    <w:p w:rsidR="00000000" w:rsidDel="00000000" w:rsidP="00000000" w:rsidRDefault="00000000" w:rsidRPr="00000000" w14:paraId="00000030">
      <w:pPr>
        <w:spacing w:before="200" w:lineRule="auto"/>
        <w:rPr>
          <w:sz w:val="24"/>
          <w:szCs w:val="24"/>
        </w:rPr>
      </w:pPr>
      <w:r w:rsidDel="00000000" w:rsidR="00000000" w:rsidRPr="00000000">
        <w:rPr>
          <w:sz w:val="24"/>
          <w:szCs w:val="24"/>
          <w:rtl w:val="0"/>
        </w:rPr>
        <w:t xml:space="preserve">One of the most challenging aspects of international taxation for MNEs is establishing appropriate transfer prices. These are the prices at which goods, services, and intangible property are transferred between associated enterprises within the same MNE group. The complexity arises from the need to determine these prices in a way that reflects the economic reality of the transaction while considering the integrated nature of MNE operations.</w:t>
      </w:r>
    </w:p>
    <w:p w:rsidR="00000000" w:rsidDel="00000000" w:rsidP="00000000" w:rsidRDefault="00000000" w:rsidRPr="00000000" w14:paraId="00000031">
      <w:pPr>
        <w:rPr>
          <w:sz w:val="24"/>
          <w:szCs w:val="24"/>
        </w:rPr>
      </w:pPr>
      <w:r w:rsidDel="00000000" w:rsidR="00000000" w:rsidRPr="00000000">
        <w:rPr>
          <w:sz w:val="24"/>
          <w:szCs w:val="24"/>
          <w:rtl w:val="0"/>
        </w:rPr>
        <w:t xml:space="preserve">Transfer pricing issues are particularly difficult when they involve more than one tax jurisdiction. Adjustments to transfer prices in one jurisdiction may require corresponding adjustments in another, and if the latter jurisdiction does not agree to such adjustments, the MNE group could face double taxation. To mitigate this risk, the OECD Guidelines promote international consensus on how transfer prices should be determined.</w:t>
      </w:r>
    </w:p>
    <w:p w:rsidR="00000000" w:rsidDel="00000000" w:rsidP="00000000" w:rsidRDefault="00000000" w:rsidRPr="00000000" w14:paraId="00000032">
      <w:pPr>
        <w:pStyle w:val="Heading2"/>
        <w:numPr>
          <w:ilvl w:val="0"/>
          <w:numId w:val="6"/>
        </w:numPr>
        <w:ind w:left="720" w:hanging="360"/>
        <w:rPr/>
      </w:pPr>
      <w:bookmarkStart w:colFirst="0" w:colLast="0" w:name="_heading=h.wawo0z180b2x" w:id="7"/>
      <w:bookmarkEnd w:id="7"/>
      <w:r w:rsidDel="00000000" w:rsidR="00000000" w:rsidRPr="00000000">
        <w:rPr>
          <w:rtl w:val="0"/>
        </w:rPr>
        <w:t xml:space="preserve">The Role of Bilateral Tax Treaties and Mutual Agreement Procedures</w:t>
      </w:r>
    </w:p>
    <w:p w:rsidR="00000000" w:rsidDel="00000000" w:rsidP="00000000" w:rsidRDefault="00000000" w:rsidRPr="00000000" w14:paraId="00000033">
      <w:pPr>
        <w:spacing w:before="200" w:lineRule="auto"/>
        <w:rPr>
          <w:sz w:val="24"/>
          <w:szCs w:val="24"/>
        </w:rPr>
      </w:pPr>
      <w:r w:rsidDel="00000000" w:rsidR="00000000" w:rsidRPr="00000000">
        <w:rPr>
          <w:sz w:val="24"/>
          <w:szCs w:val="24"/>
          <w:rtl w:val="0"/>
        </w:rPr>
        <w:t xml:space="preserve">The OECD Guidelines also highlight the role of bilateral tax treaties in resolving transfer pricing disputes. Articles such as Article 25 of the OECD Model Tax Convention establish mutual agreement procedures (MAP) to resolve disputes and avoid double taxation. MAPs allow competent authorities in different countries to negotiate and reach an agreement on how to allocate the profits of an MNE in a fair and consistent manner.</w:t>
      </w:r>
    </w:p>
    <w:p w:rsidR="00000000" w:rsidDel="00000000" w:rsidP="00000000" w:rsidRDefault="00000000" w:rsidRPr="00000000" w14:paraId="00000034">
      <w:pPr>
        <w:rPr>
          <w:sz w:val="24"/>
          <w:szCs w:val="24"/>
        </w:rPr>
      </w:pPr>
      <w:r w:rsidDel="00000000" w:rsidR="00000000" w:rsidRPr="00000000">
        <w:rPr>
          <w:sz w:val="24"/>
          <w:szCs w:val="24"/>
          <w:rtl w:val="0"/>
        </w:rPr>
        <w:t xml:space="preserve">In addition to MAPs, the OECD Guidelines encourage arbitration as a mechanism to resolve transfer pricing disputes. Arbitration ensures that disputes are resolved in a timely and impartial manner, reducing the risk of prolonged litigation and uncertainty for both taxpayers and tax administrations.</w:t>
      </w:r>
    </w:p>
    <w:p w:rsidR="00000000" w:rsidDel="00000000" w:rsidP="00000000" w:rsidRDefault="00000000" w:rsidRPr="00000000" w14:paraId="00000035">
      <w:pPr>
        <w:pStyle w:val="Heading2"/>
        <w:numPr>
          <w:ilvl w:val="0"/>
          <w:numId w:val="6"/>
        </w:numPr>
        <w:ind w:left="720" w:hanging="360"/>
        <w:rPr/>
      </w:pPr>
      <w:bookmarkStart w:colFirst="0" w:colLast="0" w:name="_heading=h.kvox0tct61xt" w:id="8"/>
      <w:bookmarkEnd w:id="8"/>
      <w:r w:rsidDel="00000000" w:rsidR="00000000" w:rsidRPr="00000000">
        <w:rPr>
          <w:rtl w:val="0"/>
        </w:rPr>
        <w:t xml:space="preserve">Implementation of the Arm’s Length Principle in Transfer Pricing Methods</w:t>
      </w:r>
    </w:p>
    <w:p w:rsidR="00000000" w:rsidDel="00000000" w:rsidP="00000000" w:rsidRDefault="00000000" w:rsidRPr="00000000" w14:paraId="00000036">
      <w:pPr>
        <w:spacing w:before="200" w:lineRule="auto"/>
        <w:rPr>
          <w:sz w:val="24"/>
          <w:szCs w:val="24"/>
        </w:rPr>
      </w:pPr>
      <w:r w:rsidDel="00000000" w:rsidR="00000000" w:rsidRPr="00000000">
        <w:rPr>
          <w:sz w:val="24"/>
          <w:szCs w:val="24"/>
          <w:rtl w:val="0"/>
        </w:rPr>
        <w:t xml:space="preserve">The OECD Guidelines provide detailed guidance on how to apply the arm’s length principle in practice. They outline several methods for determining whether the conditions of transactions between associated enterprises are consistent with the arm’s length principle. These methods include the comparable uncontrolled price (CUP) method, the resale price method, the cost-plus method, and various profit-based methods such as the transactional net margin method (TNMM) and the profit split method.</w:t>
      </w:r>
    </w:p>
    <w:p w:rsidR="00000000" w:rsidDel="00000000" w:rsidP="00000000" w:rsidRDefault="00000000" w:rsidRPr="00000000" w14:paraId="00000037">
      <w:pPr>
        <w:rPr>
          <w:sz w:val="24"/>
          <w:szCs w:val="24"/>
        </w:rPr>
      </w:pPr>
      <w:r w:rsidDel="00000000" w:rsidR="00000000" w:rsidRPr="00000000">
        <w:rPr>
          <w:sz w:val="24"/>
          <w:szCs w:val="24"/>
          <w:rtl w:val="0"/>
        </w:rPr>
        <w:t xml:space="preserve">Each method has its advantages and limitations, and the choice of method depends on the specific circumstances of the transaction. The Guidelines emphasize that the most appropriate method should be selected based on the nature of the transaction and the availability of reliable data. In some cases, a combination of methods may be necessary to achieve the most accurate result.</w:t>
      </w:r>
    </w:p>
    <w:p w:rsidR="00000000" w:rsidDel="00000000" w:rsidP="00000000" w:rsidRDefault="00000000" w:rsidRPr="00000000" w14:paraId="00000038">
      <w:pPr>
        <w:pStyle w:val="Heading2"/>
        <w:numPr>
          <w:ilvl w:val="0"/>
          <w:numId w:val="6"/>
        </w:numPr>
        <w:ind w:left="720" w:hanging="360"/>
        <w:rPr/>
      </w:pPr>
      <w:bookmarkStart w:colFirst="0" w:colLast="0" w:name="_heading=h.rjn1iyqvu7zh" w:id="9"/>
      <w:bookmarkEnd w:id="9"/>
      <w:r w:rsidDel="00000000" w:rsidR="00000000" w:rsidRPr="00000000">
        <w:rPr>
          <w:rtl w:val="0"/>
        </w:rPr>
        <w:t xml:space="preserve">Documentation Requirements and Country-by-Country Reporting</w:t>
      </w:r>
    </w:p>
    <w:p w:rsidR="00000000" w:rsidDel="00000000" w:rsidP="00000000" w:rsidRDefault="00000000" w:rsidRPr="00000000" w14:paraId="00000039">
      <w:pPr>
        <w:spacing w:before="200" w:lineRule="auto"/>
        <w:rPr>
          <w:sz w:val="24"/>
          <w:szCs w:val="24"/>
        </w:rPr>
      </w:pPr>
      <w:r w:rsidDel="00000000" w:rsidR="00000000" w:rsidRPr="00000000">
        <w:rPr>
          <w:sz w:val="24"/>
          <w:szCs w:val="24"/>
          <w:rtl w:val="0"/>
        </w:rPr>
        <w:t xml:space="preserve">In response to the increasing complexity of global trade and the need for greater transparency, the OECD Guidelines also address the importance of transfer pricing documentation. Proper documentation is essential for demonstrating compliance with the arm’s length principle and providing tax administrations with the information they need to assess transfer pricing practices.</w:t>
      </w:r>
    </w:p>
    <w:p w:rsidR="00000000" w:rsidDel="00000000" w:rsidP="00000000" w:rsidRDefault="00000000" w:rsidRPr="00000000" w14:paraId="0000003A">
      <w:pPr>
        <w:rPr>
          <w:sz w:val="24"/>
          <w:szCs w:val="24"/>
        </w:rPr>
      </w:pPr>
      <w:r w:rsidDel="00000000" w:rsidR="00000000" w:rsidRPr="00000000">
        <w:rPr>
          <w:sz w:val="24"/>
          <w:szCs w:val="24"/>
          <w:rtl w:val="0"/>
        </w:rPr>
        <w:t xml:space="preserve">The Guidelines recommend a three-tiered approach to documentation: a master file, a local file, and Country-by-Country (CbC) reporting. The master file provides an overview of the MNE’s global operations, the local file contains detailed information about specific transactions within a jurisdiction, and CbC reporting requires MNEs to provide a breakdown of key financial data on a country-by-country basis. This approach helps ensure that tax administrations have access to the information they need to perform their transfer pricing analyses.</w:t>
      </w:r>
    </w:p>
    <w:p w:rsidR="00000000" w:rsidDel="00000000" w:rsidP="00000000" w:rsidRDefault="00000000" w:rsidRPr="00000000" w14:paraId="0000003B">
      <w:pPr>
        <w:pStyle w:val="Heading2"/>
        <w:numPr>
          <w:ilvl w:val="0"/>
          <w:numId w:val="6"/>
        </w:numPr>
        <w:ind w:left="720" w:hanging="360"/>
        <w:rPr/>
      </w:pPr>
      <w:bookmarkStart w:colFirst="0" w:colLast="0" w:name="_heading=h.zgho6bwd6cto" w:id="10"/>
      <w:bookmarkEnd w:id="10"/>
      <w:r w:rsidDel="00000000" w:rsidR="00000000" w:rsidRPr="00000000">
        <w:rPr>
          <w:rtl w:val="0"/>
        </w:rPr>
        <w:t xml:space="preserve">Safe Harbours and Simplified Approaches</w:t>
      </w:r>
    </w:p>
    <w:p w:rsidR="00000000" w:rsidDel="00000000" w:rsidP="00000000" w:rsidRDefault="00000000" w:rsidRPr="00000000" w14:paraId="0000003C">
      <w:pPr>
        <w:spacing w:before="200" w:lineRule="auto"/>
        <w:rPr>
          <w:sz w:val="24"/>
          <w:szCs w:val="24"/>
        </w:rPr>
      </w:pPr>
      <w:r w:rsidDel="00000000" w:rsidR="00000000" w:rsidRPr="00000000">
        <w:rPr>
          <w:sz w:val="24"/>
          <w:szCs w:val="24"/>
          <w:rtl w:val="0"/>
        </w:rPr>
        <w:t xml:space="preserve">The OECD Guidelines recognize that transfer pricing compliance can be burdensome for both taxpayers and tax administrations, particularly in the case of smaller transactions. To address this, the Guidelines encourage the use of safe harbours—simplified rules that provide certainty for taxpayers in specific situations. Properly designed safe harbours can reduce compliance costs and provide greater predictability for MNEs.</w:t>
      </w:r>
    </w:p>
    <w:p w:rsidR="00000000" w:rsidDel="00000000" w:rsidP="00000000" w:rsidRDefault="00000000" w:rsidRPr="00000000" w14:paraId="0000003D">
      <w:pPr>
        <w:rPr>
          <w:sz w:val="24"/>
          <w:szCs w:val="24"/>
        </w:rPr>
      </w:pPr>
      <w:r w:rsidDel="00000000" w:rsidR="00000000" w:rsidRPr="00000000">
        <w:rPr>
          <w:sz w:val="24"/>
          <w:szCs w:val="24"/>
          <w:rtl w:val="0"/>
        </w:rPr>
        <w:t xml:space="preserve">However, the use of safe harbours must be carefully balanced to avoid creating opportunities for abuse. The Guidelines stress the importance of designing safe harbours in a way that ensures they are consistent with the arm’s length principle and do not result in inappropriate tax outcomes.</w:t>
      </w:r>
    </w:p>
    <w:p w:rsidR="00000000" w:rsidDel="00000000" w:rsidP="00000000" w:rsidRDefault="00000000" w:rsidRPr="00000000" w14:paraId="0000003E">
      <w:pPr>
        <w:pStyle w:val="Heading2"/>
        <w:numPr>
          <w:ilvl w:val="0"/>
          <w:numId w:val="6"/>
        </w:numPr>
        <w:ind w:left="720" w:hanging="360"/>
        <w:rPr/>
      </w:pPr>
      <w:bookmarkStart w:colFirst="0" w:colLast="0" w:name="_heading=h.x5769edyy061" w:id="11"/>
      <w:bookmarkEnd w:id="11"/>
      <w:r w:rsidDel="00000000" w:rsidR="00000000" w:rsidRPr="00000000">
        <w:rPr>
          <w:rtl w:val="0"/>
        </w:rPr>
        <w:t xml:space="preserve">Recent Developments: BEPS and Financial Transactions</w:t>
      </w:r>
    </w:p>
    <w:p w:rsidR="00000000" w:rsidDel="00000000" w:rsidP="00000000" w:rsidRDefault="00000000" w:rsidRPr="00000000" w14:paraId="0000003F">
      <w:pPr>
        <w:rPr/>
      </w:pPr>
      <w:r w:rsidDel="00000000" w:rsidR="00000000" w:rsidRPr="00000000">
        <w:rPr>
          <w:rtl w:val="0"/>
        </w:rPr>
        <w:t xml:space="preserve">The OECD Transfer Pricing Guidelines have undergone several revisions to address evolving challenges in the global economy. One of the most significant recent developments is the Base Erosion and Profit Shifting (BEPS) initiative, which aims to address tax planning strategies that exploit gaps and mismatches in tax rules to shift profits to low or no-tax jurisdictions.</w:t>
      </w:r>
    </w:p>
    <w:p w:rsidR="00000000" w:rsidDel="00000000" w:rsidP="00000000" w:rsidRDefault="00000000" w:rsidRPr="00000000" w14:paraId="00000040">
      <w:pPr>
        <w:rPr/>
      </w:pPr>
      <w:r w:rsidDel="00000000" w:rsidR="00000000" w:rsidRPr="00000000">
        <w:rPr>
          <w:rtl w:val="0"/>
        </w:rPr>
        <w:t xml:space="preserve">The 2015 BEPS reports on Actions 8-10 introduced significant revisions to the Guidelines, focusing on aligning transfer pricing outcomes with value creation. These revisions clarified the application of the arm’s length principle in situations involving hard-to-value intangibles, risk allocation, and business restructurings.</w:t>
      </w:r>
    </w:p>
    <w:p w:rsidR="00000000" w:rsidDel="00000000" w:rsidP="00000000" w:rsidRDefault="00000000" w:rsidRPr="00000000" w14:paraId="00000041">
      <w:pPr>
        <w:rPr/>
        <w:sectPr>
          <w:type w:val="nextPage"/>
          <w:pgSz w:h="16838" w:w="11906" w:orient="portrait"/>
          <w:pgMar w:bottom="1440" w:top="1440" w:left="1440" w:right="1440" w:header="708" w:footer="708"/>
        </w:sectPr>
      </w:pPr>
      <w:r w:rsidDel="00000000" w:rsidR="00000000" w:rsidRPr="00000000">
        <w:rPr>
          <w:rtl w:val="0"/>
        </w:rPr>
        <w:t xml:space="preserve">In 2020, the OECD added new guidance on the transfer pricing aspects of financial transactions. This new Chapter X of the Guidelines provides detailed guidance on how to determine arm’s length prices for financial transactions, including loans, guarantees, and cash pooling arrangements.</w:t>
      </w:r>
    </w:p>
    <w:p w:rsidR="00000000" w:rsidDel="00000000" w:rsidP="00000000" w:rsidRDefault="00000000" w:rsidRPr="00000000" w14:paraId="00000042">
      <w:pPr>
        <w:pStyle w:val="Heading1"/>
        <w:ind w:left="0" w:firstLine="0"/>
        <w:rPr/>
      </w:pPr>
      <w:bookmarkStart w:colFirst="0" w:colLast="0" w:name="_heading=h.26in1rg" w:id="12"/>
      <w:bookmarkEnd w:id="12"/>
      <w:r w:rsidDel="00000000" w:rsidR="00000000" w:rsidRPr="00000000">
        <w:rPr>
          <w:rtl w:val="0"/>
        </w:rPr>
        <w:t xml:space="preserve">E.2. TRANSFER PRICING METHODOLOGIES</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The selection and application of transfer pricing methods play a pivotal role in ensuring that transactions between associated enterprises are in line with the arm’s length principle. The </w:t>
      </w:r>
      <w:r w:rsidDel="00000000" w:rsidR="00000000" w:rsidRPr="00000000">
        <w:rPr>
          <w:b w:val="1"/>
          <w:sz w:val="24"/>
          <w:szCs w:val="24"/>
          <w:rtl w:val="0"/>
        </w:rPr>
        <w:t xml:space="preserve">OECD Transfer Pricing Guidelines for Multinational Enterprises and Tax Administrations</w:t>
      </w:r>
      <w:r w:rsidDel="00000000" w:rsidR="00000000" w:rsidRPr="00000000">
        <w:rPr>
          <w:sz w:val="24"/>
          <w:szCs w:val="24"/>
          <w:rtl w:val="0"/>
        </w:rPr>
        <w:t xml:space="preserve"> provide detailed insights into several transfer pricing methods, grouped into two broad categories: </w:t>
      </w:r>
      <w:r w:rsidDel="00000000" w:rsidR="00000000" w:rsidRPr="00000000">
        <w:rPr>
          <w:b w:val="1"/>
          <w:sz w:val="24"/>
          <w:szCs w:val="24"/>
          <w:rtl w:val="0"/>
        </w:rPr>
        <w:t xml:space="preserve">traditional transaction methods</w:t>
      </w:r>
      <w:r w:rsidDel="00000000" w:rsidR="00000000" w:rsidRPr="00000000">
        <w:rPr>
          <w:sz w:val="24"/>
          <w:szCs w:val="24"/>
          <w:rtl w:val="0"/>
        </w:rPr>
        <w:t xml:space="preserve"> and </w:t>
      </w:r>
      <w:r w:rsidDel="00000000" w:rsidR="00000000" w:rsidRPr="00000000">
        <w:rPr>
          <w:b w:val="1"/>
          <w:sz w:val="24"/>
          <w:szCs w:val="24"/>
          <w:rtl w:val="0"/>
        </w:rPr>
        <w:t xml:space="preserve">transactional profit methods</w:t>
      </w:r>
      <w:r w:rsidDel="00000000" w:rsidR="00000000" w:rsidRPr="00000000">
        <w:rPr>
          <w:sz w:val="24"/>
          <w:szCs w:val="24"/>
          <w:rtl w:val="0"/>
        </w:rPr>
        <w:t xml:space="preserve">. Understanding the specific circumstances in which these methods are most applicable is essential for accurate and reliable transfer pricing.</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In this extended analysis, we will explore the five principal transfer pricing methods outlined in the OECD guidelines:</w:t>
      </w:r>
    </w:p>
    <w:p w:rsidR="00000000" w:rsidDel="00000000" w:rsidP="00000000" w:rsidRDefault="00000000" w:rsidRPr="00000000" w14:paraId="00000045">
      <w:pPr>
        <w:jc w:val="both"/>
        <w:rPr>
          <w:b w:val="1"/>
          <w:sz w:val="24"/>
          <w:szCs w:val="24"/>
        </w:rPr>
      </w:pPr>
      <w:r w:rsidDel="00000000" w:rsidR="00000000" w:rsidRPr="00000000">
        <w:rPr>
          <w:b w:val="1"/>
          <w:sz w:val="24"/>
          <w:szCs w:val="24"/>
          <w:rtl w:val="0"/>
        </w:rPr>
        <w:t xml:space="preserve">Traditional methods:</w:t>
      </w:r>
    </w:p>
    <w:p w:rsidR="00000000" w:rsidDel="00000000" w:rsidP="00000000" w:rsidRDefault="00000000" w:rsidRPr="00000000" w14:paraId="00000046">
      <w:pPr>
        <w:numPr>
          <w:ilvl w:val="0"/>
          <w:numId w:val="52"/>
        </w:numPr>
        <w:ind w:left="720" w:hanging="360"/>
        <w:rPr>
          <w:sz w:val="24"/>
          <w:szCs w:val="24"/>
        </w:rPr>
      </w:pPr>
      <w:r w:rsidDel="00000000" w:rsidR="00000000" w:rsidRPr="00000000">
        <w:rPr>
          <w:sz w:val="24"/>
          <w:szCs w:val="24"/>
          <w:rtl w:val="0"/>
        </w:rPr>
        <w:t xml:space="preserve">Comparable Uncontrolled Price (CUP) Method</w:t>
      </w:r>
    </w:p>
    <w:p w:rsidR="00000000" w:rsidDel="00000000" w:rsidP="00000000" w:rsidRDefault="00000000" w:rsidRPr="00000000" w14:paraId="00000047">
      <w:pPr>
        <w:numPr>
          <w:ilvl w:val="0"/>
          <w:numId w:val="52"/>
        </w:numPr>
        <w:ind w:left="720" w:hanging="360"/>
        <w:rPr>
          <w:sz w:val="24"/>
          <w:szCs w:val="24"/>
        </w:rPr>
      </w:pPr>
      <w:r w:rsidDel="00000000" w:rsidR="00000000" w:rsidRPr="00000000">
        <w:rPr>
          <w:sz w:val="24"/>
          <w:szCs w:val="24"/>
          <w:rtl w:val="0"/>
        </w:rPr>
        <w:t xml:space="preserve">Resale Price Method</w:t>
      </w:r>
    </w:p>
    <w:p w:rsidR="00000000" w:rsidDel="00000000" w:rsidP="00000000" w:rsidRDefault="00000000" w:rsidRPr="00000000" w14:paraId="00000048">
      <w:pPr>
        <w:numPr>
          <w:ilvl w:val="0"/>
          <w:numId w:val="52"/>
        </w:numPr>
        <w:ind w:left="720" w:hanging="360"/>
        <w:rPr>
          <w:sz w:val="24"/>
          <w:szCs w:val="24"/>
        </w:rPr>
      </w:pPr>
      <w:r w:rsidDel="00000000" w:rsidR="00000000" w:rsidRPr="00000000">
        <w:rPr>
          <w:sz w:val="24"/>
          <w:szCs w:val="24"/>
          <w:rtl w:val="0"/>
        </w:rPr>
        <w:t xml:space="preserve">Cost Plus Method</w:t>
      </w:r>
    </w:p>
    <w:p w:rsidR="00000000" w:rsidDel="00000000" w:rsidP="00000000" w:rsidRDefault="00000000" w:rsidRPr="00000000" w14:paraId="00000049">
      <w:pPr>
        <w:jc w:val="both"/>
        <w:rPr>
          <w:b w:val="1"/>
          <w:sz w:val="24"/>
          <w:szCs w:val="24"/>
        </w:rPr>
      </w:pPr>
      <w:r w:rsidDel="00000000" w:rsidR="00000000" w:rsidRPr="00000000">
        <w:rPr>
          <w:b w:val="1"/>
          <w:sz w:val="24"/>
          <w:szCs w:val="24"/>
          <w:rtl w:val="0"/>
        </w:rPr>
        <w:t xml:space="preserve">Transactional Profit methods:</w:t>
      </w:r>
    </w:p>
    <w:p w:rsidR="00000000" w:rsidDel="00000000" w:rsidP="00000000" w:rsidRDefault="00000000" w:rsidRPr="00000000" w14:paraId="0000004A">
      <w:pPr>
        <w:numPr>
          <w:ilvl w:val="0"/>
          <w:numId w:val="58"/>
        </w:numPr>
        <w:spacing w:after="200" w:lineRule="auto"/>
        <w:ind w:left="720" w:hanging="360"/>
        <w:jc w:val="both"/>
        <w:rPr>
          <w:sz w:val="24"/>
          <w:szCs w:val="24"/>
        </w:rPr>
      </w:pPr>
      <w:r w:rsidDel="00000000" w:rsidR="00000000" w:rsidRPr="00000000">
        <w:rPr>
          <w:sz w:val="24"/>
          <w:szCs w:val="24"/>
          <w:rtl w:val="0"/>
        </w:rPr>
        <w:t xml:space="preserve">Transactional Net Margin Method (TNMM)</w:t>
      </w:r>
    </w:p>
    <w:p w:rsidR="00000000" w:rsidDel="00000000" w:rsidP="00000000" w:rsidRDefault="00000000" w:rsidRPr="00000000" w14:paraId="0000004B">
      <w:pPr>
        <w:numPr>
          <w:ilvl w:val="0"/>
          <w:numId w:val="58"/>
        </w:numPr>
        <w:spacing w:after="200" w:lineRule="auto"/>
        <w:ind w:left="720" w:hanging="360"/>
        <w:jc w:val="both"/>
        <w:rPr>
          <w:sz w:val="24"/>
          <w:szCs w:val="24"/>
        </w:rPr>
      </w:pPr>
      <w:r w:rsidDel="00000000" w:rsidR="00000000" w:rsidRPr="00000000">
        <w:rPr>
          <w:sz w:val="24"/>
          <w:szCs w:val="24"/>
          <w:rtl w:val="0"/>
        </w:rPr>
        <w:t xml:space="preserve">Transactional Profit Split Method</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Each method has distinct strengths and weaknesses, and the selection of the most appropriate method depends on the nature of the transaction, the availability of reliable data, and the comparability of transactions. </w:t>
      </w:r>
    </w:p>
    <w:p w:rsidR="00000000" w:rsidDel="00000000" w:rsidP="00000000" w:rsidRDefault="00000000" w:rsidRPr="00000000" w14:paraId="0000004D">
      <w:pPr>
        <w:pStyle w:val="Heading2"/>
        <w:numPr>
          <w:ilvl w:val="0"/>
          <w:numId w:val="3"/>
        </w:numPr>
        <w:ind w:left="720" w:hanging="360"/>
        <w:rPr/>
      </w:pPr>
      <w:bookmarkStart w:colFirst="0" w:colLast="0" w:name="_heading=h.1ksv4uv" w:id="13"/>
      <w:bookmarkEnd w:id="13"/>
      <w:r w:rsidDel="00000000" w:rsidR="00000000" w:rsidRPr="00000000">
        <w:rPr>
          <w:rtl w:val="0"/>
        </w:rPr>
        <w:t xml:space="preserve">Comparable Uncontrolled Price (CUP) Method</w:t>
      </w:r>
    </w:p>
    <w:p w:rsidR="00000000" w:rsidDel="00000000" w:rsidP="00000000" w:rsidRDefault="00000000" w:rsidRPr="00000000" w14:paraId="0000004E">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Comparable Uncontrolled Price (CUP) Method</w:t>
      </w:r>
      <w:r w:rsidDel="00000000" w:rsidR="00000000" w:rsidRPr="00000000">
        <w:rPr>
          <w:sz w:val="24"/>
          <w:szCs w:val="24"/>
          <w:rtl w:val="0"/>
        </w:rPr>
        <w:t xml:space="preserve"> compares the price charged for goods, services, or intangible assets in a controlled transaction (i.e., between associated enterprises) to the price charged in a comparable uncontrolled transaction (i.e., between independent enterprises).</w:t>
      </w:r>
    </w:p>
    <w:p w:rsidR="00000000" w:rsidDel="00000000" w:rsidP="00000000" w:rsidRDefault="00000000" w:rsidRPr="00000000" w14:paraId="0000004F">
      <w:pPr>
        <w:numPr>
          <w:ilvl w:val="1"/>
          <w:numId w:val="3"/>
        </w:numPr>
        <w:ind w:left="810" w:hanging="360"/>
        <w:rPr>
          <w:b w:val="1"/>
        </w:rPr>
      </w:pPr>
      <w:r w:rsidDel="00000000" w:rsidR="00000000" w:rsidRPr="00000000">
        <w:rPr>
          <w:b w:val="1"/>
          <w:rtl w:val="0"/>
        </w:rPr>
        <w:t xml:space="preserve">Application of the CUP Method</w:t>
      </w:r>
    </w:p>
    <w:p w:rsidR="00000000" w:rsidDel="00000000" w:rsidP="00000000" w:rsidRDefault="00000000" w:rsidRPr="00000000" w14:paraId="00000050">
      <w:pPr>
        <w:rPr>
          <w:sz w:val="24"/>
          <w:szCs w:val="24"/>
        </w:rPr>
      </w:pPr>
      <w:r w:rsidDel="00000000" w:rsidR="00000000" w:rsidRPr="00000000">
        <w:rPr>
          <w:sz w:val="24"/>
          <w:szCs w:val="24"/>
          <w:rtl w:val="0"/>
        </w:rPr>
        <w:t xml:space="preserve">The CUP method is best suited for cases where there is a high degree of comparability between the controlled and uncontrolled transactions. This requires that either:</w:t>
      </w:r>
    </w:p>
    <w:p w:rsidR="00000000" w:rsidDel="00000000" w:rsidP="00000000" w:rsidRDefault="00000000" w:rsidRPr="00000000" w14:paraId="00000051">
      <w:pPr>
        <w:numPr>
          <w:ilvl w:val="0"/>
          <w:numId w:val="9"/>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There are no significant differences between the controlled and uncontrolled transactions that would materially affect the price, or</w:t>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Any material differences can be reliably adjusted.</w:t>
      </w:r>
    </w:p>
    <w:p w:rsidR="00000000" w:rsidDel="00000000" w:rsidP="00000000" w:rsidRDefault="00000000" w:rsidRPr="00000000" w14:paraId="00000053">
      <w:pPr>
        <w:rPr>
          <w:sz w:val="24"/>
          <w:szCs w:val="24"/>
        </w:rPr>
      </w:pPr>
      <w:r w:rsidDel="00000000" w:rsidR="00000000" w:rsidRPr="00000000">
        <w:rPr>
          <w:sz w:val="24"/>
          <w:szCs w:val="24"/>
          <w:rtl w:val="0"/>
        </w:rPr>
        <w:t xml:space="preserve">This method is most applicable when dealing with homogeneous products, such as commodities or standardized goods, and in situations where reliable comparable data is available. For example, the CUP method is frequently used in the oil, gas, and commodity sectors, where international market prices serve as a reliable benchmark.</w:t>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Strengths of the CUP Method</w:t>
      </w:r>
      <w:r w:rsidDel="00000000" w:rsidR="00000000" w:rsidRPr="00000000">
        <w:rPr>
          <w:rtl w:val="0"/>
        </w:rPr>
      </w:r>
    </w:p>
    <w:p w:rsidR="00000000" w:rsidDel="00000000" w:rsidP="00000000" w:rsidRDefault="00000000" w:rsidRPr="00000000" w14:paraId="00000055">
      <w:pPr>
        <w:numPr>
          <w:ilvl w:val="0"/>
          <w:numId w:val="10"/>
        </w:numPr>
        <w:ind w:left="720" w:hanging="360"/>
        <w:rPr>
          <w:sz w:val="24"/>
          <w:szCs w:val="24"/>
        </w:rPr>
      </w:pPr>
      <w:r w:rsidDel="00000000" w:rsidR="00000000" w:rsidRPr="00000000">
        <w:rPr>
          <w:b w:val="1"/>
          <w:sz w:val="24"/>
          <w:szCs w:val="24"/>
          <w:rtl w:val="0"/>
        </w:rPr>
        <w:t xml:space="preserve">Direct Price Comparison</w:t>
      </w:r>
      <w:r w:rsidDel="00000000" w:rsidR="00000000" w:rsidRPr="00000000">
        <w:rPr>
          <w:sz w:val="24"/>
          <w:szCs w:val="24"/>
          <w:rtl w:val="0"/>
        </w:rPr>
        <w:t xml:space="preserve">: The CUP method is considered one of the most direct and reliable ways to establish an arm’s length price when there are sufficiently comparable transactions. It provides clear guidance based on price rather than indirect metrics such as margins or profits.</w:t>
      </w:r>
    </w:p>
    <w:p w:rsidR="00000000" w:rsidDel="00000000" w:rsidP="00000000" w:rsidRDefault="00000000" w:rsidRPr="00000000" w14:paraId="00000056">
      <w:pPr>
        <w:numPr>
          <w:ilvl w:val="0"/>
          <w:numId w:val="10"/>
        </w:numPr>
        <w:spacing w:after="160" w:afterAutospacing="0"/>
        <w:ind w:left="720" w:hanging="360"/>
        <w:rPr>
          <w:sz w:val="24"/>
          <w:szCs w:val="24"/>
        </w:rPr>
      </w:pPr>
      <w:r w:rsidDel="00000000" w:rsidR="00000000" w:rsidRPr="00000000">
        <w:rPr>
          <w:b w:val="1"/>
          <w:sz w:val="24"/>
          <w:szCs w:val="24"/>
          <w:rtl w:val="0"/>
        </w:rPr>
        <w:t xml:space="preserve">Objective Data</w:t>
      </w:r>
      <w:r w:rsidDel="00000000" w:rsidR="00000000" w:rsidRPr="00000000">
        <w:rPr>
          <w:sz w:val="24"/>
          <w:szCs w:val="24"/>
          <w:rtl w:val="0"/>
        </w:rPr>
        <w:t xml:space="preserve">: The use of market prices or publicly available data makes the CUP method relatively straightforward, especially in industries with standard pricing mechanisms.</w:t>
      </w:r>
    </w:p>
    <w:p w:rsidR="00000000" w:rsidDel="00000000" w:rsidP="00000000" w:rsidRDefault="00000000" w:rsidRPr="00000000" w14:paraId="000000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Limitations and Challenges</w:t>
      </w:r>
      <w:r w:rsidDel="00000000" w:rsidR="00000000" w:rsidRPr="00000000">
        <w:rPr>
          <w:rtl w:val="0"/>
        </w:rPr>
      </w:r>
    </w:p>
    <w:p w:rsidR="00000000" w:rsidDel="00000000" w:rsidP="00000000" w:rsidRDefault="00000000" w:rsidRPr="00000000" w14:paraId="00000058">
      <w:pPr>
        <w:numPr>
          <w:ilvl w:val="0"/>
          <w:numId w:val="27"/>
        </w:numPr>
        <w:ind w:left="720" w:hanging="360"/>
        <w:rPr>
          <w:sz w:val="24"/>
          <w:szCs w:val="24"/>
        </w:rPr>
      </w:pPr>
      <w:r w:rsidDel="00000000" w:rsidR="00000000" w:rsidRPr="00000000">
        <w:rPr>
          <w:b w:val="1"/>
          <w:sz w:val="24"/>
          <w:szCs w:val="24"/>
          <w:rtl w:val="0"/>
        </w:rPr>
        <w:t xml:space="preserve">Lack of Comparability</w:t>
      </w:r>
      <w:r w:rsidDel="00000000" w:rsidR="00000000" w:rsidRPr="00000000">
        <w:rPr>
          <w:sz w:val="24"/>
          <w:szCs w:val="24"/>
          <w:rtl w:val="0"/>
        </w:rPr>
        <w:t xml:space="preserve">: Finding truly comparable uncontrolled transactions can be difficult. Even slight differences in product characteristics, contract terms, or market conditions can affect the comparability of transactions.</w:t>
      </w:r>
    </w:p>
    <w:p w:rsidR="00000000" w:rsidDel="00000000" w:rsidP="00000000" w:rsidRDefault="00000000" w:rsidRPr="00000000" w14:paraId="00000059">
      <w:pPr>
        <w:numPr>
          <w:ilvl w:val="0"/>
          <w:numId w:val="27"/>
        </w:numPr>
        <w:spacing w:after="160" w:afterAutospacing="0"/>
        <w:ind w:left="720" w:hanging="360"/>
        <w:rPr>
          <w:sz w:val="24"/>
          <w:szCs w:val="24"/>
        </w:rPr>
      </w:pPr>
      <w:r w:rsidDel="00000000" w:rsidR="00000000" w:rsidRPr="00000000">
        <w:rPr>
          <w:b w:val="1"/>
          <w:sz w:val="24"/>
          <w:szCs w:val="24"/>
          <w:rtl w:val="0"/>
        </w:rPr>
        <w:t xml:space="preserve">Complex Adjustments</w:t>
      </w:r>
      <w:r w:rsidDel="00000000" w:rsidR="00000000" w:rsidRPr="00000000">
        <w:rPr>
          <w:sz w:val="24"/>
          <w:szCs w:val="24"/>
          <w:rtl w:val="0"/>
        </w:rPr>
        <w:t xml:space="preserve">: Where there are material differences between the transactions, adjustments are necessary. However, determining these adjustments can be complex and may introduce subjectivity.</w:t>
      </w:r>
    </w:p>
    <w:p w:rsidR="00000000" w:rsidDel="00000000" w:rsidP="00000000" w:rsidRDefault="00000000" w:rsidRPr="00000000" w14:paraId="0000005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Example of CUP in Practice</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Consider a scenario where a multinational company sells copper to both related and independent parties. If the copper sold to independent parties is of the same quality and quantity, and under similar contractual terms, the price from the independent transaction can be used as a reference to determine the arm’s length price for the related party transaction. However, if the copper sold to the independent party differs slightly in grade or volume, adjustments must be made to account for these differences.</w:t>
      </w:r>
    </w:p>
    <w:p w:rsidR="00000000" w:rsidDel="00000000" w:rsidP="00000000" w:rsidRDefault="00000000" w:rsidRPr="00000000" w14:paraId="0000005C">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pPr>
      <w:bookmarkStart w:colFirst="0" w:colLast="0" w:name="_heading=h.rm1r1xppwyv" w:id="14"/>
      <w:bookmarkEnd w:id="14"/>
      <w:r w:rsidDel="00000000" w:rsidR="00000000" w:rsidRPr="00000000">
        <w:rPr>
          <w:rtl w:val="0"/>
        </w:rPr>
        <w:t xml:space="preserve">Resale Price Method</w:t>
      </w:r>
    </w:p>
    <w:p w:rsidR="00000000" w:rsidDel="00000000" w:rsidP="00000000" w:rsidRDefault="00000000" w:rsidRPr="00000000" w14:paraId="0000005D">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Resale Price Method</w:t>
      </w:r>
      <w:r w:rsidDel="00000000" w:rsidR="00000000" w:rsidRPr="00000000">
        <w:rPr>
          <w:sz w:val="24"/>
          <w:szCs w:val="24"/>
          <w:rtl w:val="0"/>
        </w:rPr>
        <w:t xml:space="preserve"> starts with the price at which a product purchased from an associated enterprise is resold to an independent enterprise. The resale price is then reduced by an appropriate gross margin (the “resale price margin”) to arrive at the arm’s length price for the original transaction between the associated enterprises.</w:t>
      </w:r>
    </w:p>
    <w:p w:rsidR="00000000" w:rsidDel="00000000" w:rsidP="00000000" w:rsidRDefault="00000000" w:rsidRPr="00000000" w14:paraId="0000005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Application of the Resale Price Method</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The resale price method is particularly useful in distribution and retail transactions, where the reseller adds little value to the product before selling it to independent parties. The gross margin applied should reflect the margin that independent resellers earn in comparable transactions. This method works well for distributors or agents who do not engage in significant manufacturing or production activities.</w:t>
      </w:r>
    </w:p>
    <w:p w:rsidR="00000000" w:rsidDel="00000000" w:rsidP="00000000" w:rsidRDefault="00000000" w:rsidRPr="00000000" w14:paraId="0000006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Strengths of the Resale Price Method</w:t>
      </w:r>
      <w:r w:rsidDel="00000000" w:rsidR="00000000" w:rsidRPr="00000000">
        <w:rPr>
          <w:rtl w:val="0"/>
        </w:rPr>
      </w:r>
    </w:p>
    <w:p w:rsidR="00000000" w:rsidDel="00000000" w:rsidP="00000000" w:rsidRDefault="00000000" w:rsidRPr="00000000" w14:paraId="00000061">
      <w:pPr>
        <w:numPr>
          <w:ilvl w:val="0"/>
          <w:numId w:val="29"/>
        </w:numPr>
        <w:ind w:left="720" w:hanging="360"/>
        <w:rPr>
          <w:sz w:val="24"/>
          <w:szCs w:val="24"/>
        </w:rPr>
      </w:pPr>
      <w:r w:rsidDel="00000000" w:rsidR="00000000" w:rsidRPr="00000000">
        <w:rPr>
          <w:b w:val="1"/>
          <w:sz w:val="24"/>
          <w:szCs w:val="24"/>
          <w:rtl w:val="0"/>
        </w:rPr>
        <w:t xml:space="preserve">Simplicity</w:t>
      </w:r>
      <w:r w:rsidDel="00000000" w:rsidR="00000000" w:rsidRPr="00000000">
        <w:rPr>
          <w:sz w:val="24"/>
          <w:szCs w:val="24"/>
          <w:rtl w:val="0"/>
        </w:rPr>
        <w:t xml:space="preserve">: The method is relatively simple to apply in straightforward distribution models where the reseller performs limited functions.</w:t>
      </w:r>
    </w:p>
    <w:p w:rsidR="00000000" w:rsidDel="00000000" w:rsidP="00000000" w:rsidRDefault="00000000" w:rsidRPr="00000000" w14:paraId="00000062">
      <w:pPr>
        <w:numPr>
          <w:ilvl w:val="0"/>
          <w:numId w:val="29"/>
        </w:numPr>
        <w:spacing w:after="160" w:afterAutospacing="0"/>
        <w:ind w:left="720" w:hanging="360"/>
        <w:rPr>
          <w:sz w:val="24"/>
          <w:szCs w:val="24"/>
        </w:rPr>
      </w:pPr>
      <w:r w:rsidDel="00000000" w:rsidR="00000000" w:rsidRPr="00000000">
        <w:rPr>
          <w:b w:val="1"/>
          <w:sz w:val="24"/>
          <w:szCs w:val="24"/>
          <w:rtl w:val="0"/>
        </w:rPr>
        <w:t xml:space="preserve">Less Product-Specific</w:t>
      </w:r>
      <w:r w:rsidDel="00000000" w:rsidR="00000000" w:rsidRPr="00000000">
        <w:rPr>
          <w:sz w:val="24"/>
          <w:szCs w:val="24"/>
          <w:rtl w:val="0"/>
        </w:rPr>
        <w:t xml:space="preserve">: Unlike the CUP method, the resale price method does not require exact product comparability. It focuses on the functions performed by the reseller rather than the nature of the product being sold.</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Limitations and Challenges</w:t>
      </w:r>
      <w:r w:rsidDel="00000000" w:rsidR="00000000" w:rsidRPr="00000000">
        <w:rPr>
          <w:rtl w:val="0"/>
        </w:rPr>
      </w:r>
    </w:p>
    <w:p w:rsidR="00000000" w:rsidDel="00000000" w:rsidP="00000000" w:rsidRDefault="00000000" w:rsidRPr="00000000" w14:paraId="00000064">
      <w:pPr>
        <w:numPr>
          <w:ilvl w:val="0"/>
          <w:numId w:val="30"/>
        </w:numPr>
        <w:ind w:left="720" w:hanging="360"/>
        <w:rPr>
          <w:sz w:val="24"/>
          <w:szCs w:val="24"/>
        </w:rPr>
      </w:pPr>
      <w:r w:rsidDel="00000000" w:rsidR="00000000" w:rsidRPr="00000000">
        <w:rPr>
          <w:b w:val="1"/>
          <w:sz w:val="24"/>
          <w:szCs w:val="24"/>
          <w:rtl w:val="0"/>
        </w:rPr>
        <w:t xml:space="preserve">Functional Comparability</w:t>
      </w:r>
      <w:r w:rsidDel="00000000" w:rsidR="00000000" w:rsidRPr="00000000">
        <w:rPr>
          <w:sz w:val="24"/>
          <w:szCs w:val="24"/>
          <w:rtl w:val="0"/>
        </w:rPr>
        <w:t xml:space="preserve">: The reliability of the resale price method depends on the functional comparability between the controlled and uncontrolled transactions. Differences in marketing, distribution, or risk-taking can affect the resale price margin.</w:t>
      </w:r>
    </w:p>
    <w:p w:rsidR="00000000" w:rsidDel="00000000" w:rsidP="00000000" w:rsidRDefault="00000000" w:rsidRPr="00000000" w14:paraId="00000065">
      <w:pPr>
        <w:numPr>
          <w:ilvl w:val="0"/>
          <w:numId w:val="30"/>
        </w:numPr>
        <w:spacing w:after="160" w:afterAutospacing="0"/>
        <w:ind w:left="720" w:hanging="360"/>
        <w:rPr>
          <w:sz w:val="24"/>
          <w:szCs w:val="24"/>
        </w:rPr>
      </w:pPr>
      <w:r w:rsidDel="00000000" w:rsidR="00000000" w:rsidRPr="00000000">
        <w:rPr>
          <w:b w:val="1"/>
          <w:sz w:val="24"/>
          <w:szCs w:val="24"/>
          <w:rtl w:val="0"/>
        </w:rPr>
        <w:t xml:space="preserve">Limited Applicability</w:t>
      </w:r>
      <w:r w:rsidDel="00000000" w:rsidR="00000000" w:rsidRPr="00000000">
        <w:rPr>
          <w:sz w:val="24"/>
          <w:szCs w:val="24"/>
          <w:rtl w:val="0"/>
        </w:rPr>
        <w:t xml:space="preserve">: The method is less reliable when the reseller performs significant value-adding activities, such as product customization or branding, which require more complex functional analysis.</w:t>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Example of Resale Price Method in Practice</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 multinational company sells electronic goods to its subsidiary, which resells them to independent customers. If the subsidiary performs minimal value-adding activities, such as warehousing and logistics, the resale price method can be applied. The gross margin earned by independent distributors of similar products can be used to determine the appropriate margin for the subsidiary.</w:t>
      </w:r>
    </w:p>
    <w:p w:rsidR="00000000" w:rsidDel="00000000" w:rsidP="00000000" w:rsidRDefault="00000000" w:rsidRPr="00000000" w14:paraId="00000068">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pPr>
      <w:bookmarkStart w:colFirst="0" w:colLast="0" w:name="_heading=h.iugpljuv1anb" w:id="15"/>
      <w:bookmarkEnd w:id="15"/>
      <w:r w:rsidDel="00000000" w:rsidR="00000000" w:rsidRPr="00000000">
        <w:rPr>
          <w:rtl w:val="0"/>
        </w:rPr>
        <w:t xml:space="preserve">Cost Plus Method</w:t>
      </w:r>
    </w:p>
    <w:p w:rsidR="00000000" w:rsidDel="00000000" w:rsidP="00000000" w:rsidRDefault="00000000" w:rsidRPr="00000000" w14:paraId="00000069">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Cost Plus Method</w:t>
      </w:r>
      <w:r w:rsidDel="00000000" w:rsidR="00000000" w:rsidRPr="00000000">
        <w:rPr>
          <w:sz w:val="24"/>
          <w:szCs w:val="24"/>
          <w:rtl w:val="0"/>
        </w:rPr>
        <w:t xml:space="preserve"> calculates the arm’s length price by adding an appropriate markup to the costs incurred by the supplier of goods or services in a controlled transaction. The markup reflects the profit that independent suppliers would earn in comparable uncontrolled transactions.</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Application of the Cost Plus Method</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 cost plus method is commonly used in manufacturing, service provision, and contract R&amp;D arrangements. It is particularly suited for transactions involving semi-finished goods, long-term supply agreements, or intra-group services. The method starts with the supplier’s direct and indirect costs, to which a profit markup is added.</w:t>
      </w:r>
    </w:p>
    <w:p w:rsidR="00000000" w:rsidDel="00000000" w:rsidP="00000000" w:rsidRDefault="00000000" w:rsidRPr="00000000" w14:paraId="0000006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Strengths of the Cost Plus Method</w:t>
      </w:r>
      <w:r w:rsidDel="00000000" w:rsidR="00000000" w:rsidRPr="00000000">
        <w:rPr>
          <w:rtl w:val="0"/>
        </w:rPr>
      </w:r>
    </w:p>
    <w:p w:rsidR="00000000" w:rsidDel="00000000" w:rsidP="00000000" w:rsidRDefault="00000000" w:rsidRPr="00000000" w14:paraId="0000006D">
      <w:pPr>
        <w:numPr>
          <w:ilvl w:val="0"/>
          <w:numId w:val="19"/>
        </w:numPr>
        <w:ind w:left="720" w:hanging="360"/>
        <w:rPr>
          <w:sz w:val="24"/>
          <w:szCs w:val="24"/>
        </w:rPr>
      </w:pPr>
      <w:r w:rsidDel="00000000" w:rsidR="00000000" w:rsidRPr="00000000">
        <w:rPr>
          <w:b w:val="1"/>
          <w:sz w:val="24"/>
          <w:szCs w:val="24"/>
          <w:rtl w:val="0"/>
        </w:rPr>
        <w:t xml:space="preserve">Useful for Service Transactions</w:t>
      </w:r>
      <w:r w:rsidDel="00000000" w:rsidR="00000000" w:rsidRPr="00000000">
        <w:rPr>
          <w:sz w:val="24"/>
          <w:szCs w:val="24"/>
          <w:rtl w:val="0"/>
        </w:rPr>
        <w:t xml:space="preserve">: The cost plus method is effective for service-based transactions or situations where a clear cost base exists, such as contract manufacturing or joint facility arrangements.</w:t>
      </w:r>
    </w:p>
    <w:p w:rsidR="00000000" w:rsidDel="00000000" w:rsidP="00000000" w:rsidRDefault="00000000" w:rsidRPr="00000000" w14:paraId="0000006E">
      <w:pPr>
        <w:numPr>
          <w:ilvl w:val="0"/>
          <w:numId w:val="19"/>
        </w:numPr>
        <w:spacing w:after="160" w:afterAutospacing="0"/>
        <w:ind w:left="720" w:hanging="360"/>
        <w:rPr>
          <w:sz w:val="24"/>
          <w:szCs w:val="24"/>
        </w:rPr>
      </w:pPr>
      <w:r w:rsidDel="00000000" w:rsidR="00000000" w:rsidRPr="00000000">
        <w:rPr>
          <w:b w:val="1"/>
          <w:sz w:val="24"/>
          <w:szCs w:val="24"/>
          <w:rtl w:val="0"/>
        </w:rPr>
        <w:t xml:space="preserve">Internal Comparability</w:t>
      </w:r>
      <w:r w:rsidDel="00000000" w:rsidR="00000000" w:rsidRPr="00000000">
        <w:rPr>
          <w:sz w:val="24"/>
          <w:szCs w:val="24"/>
          <w:rtl w:val="0"/>
        </w:rPr>
        <w:t xml:space="preserve">: If the supplier engages in both controlled and uncontrolled transactions, internal comparables may be available, providing a reliable basis for determining the arm’s length price.</w:t>
      </w:r>
    </w:p>
    <w:p w:rsidR="00000000" w:rsidDel="00000000" w:rsidP="00000000" w:rsidRDefault="00000000" w:rsidRPr="00000000" w14:paraId="000000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Limitations and Challenges</w:t>
      </w:r>
      <w:r w:rsidDel="00000000" w:rsidR="00000000" w:rsidRPr="00000000">
        <w:rPr>
          <w:rtl w:val="0"/>
        </w:rPr>
      </w:r>
    </w:p>
    <w:p w:rsidR="00000000" w:rsidDel="00000000" w:rsidP="00000000" w:rsidRDefault="00000000" w:rsidRPr="00000000" w14:paraId="00000070">
      <w:pPr>
        <w:numPr>
          <w:ilvl w:val="0"/>
          <w:numId w:val="20"/>
        </w:numPr>
        <w:ind w:left="720" w:hanging="360"/>
        <w:rPr>
          <w:sz w:val="24"/>
          <w:szCs w:val="24"/>
        </w:rPr>
      </w:pPr>
      <w:r w:rsidDel="00000000" w:rsidR="00000000" w:rsidRPr="00000000">
        <w:rPr>
          <w:b w:val="1"/>
          <w:sz w:val="24"/>
          <w:szCs w:val="24"/>
          <w:rtl w:val="0"/>
        </w:rPr>
        <w:t xml:space="preserve">Cost Structure Complexity</w:t>
      </w:r>
      <w:r w:rsidDel="00000000" w:rsidR="00000000" w:rsidRPr="00000000">
        <w:rPr>
          <w:sz w:val="24"/>
          <w:szCs w:val="24"/>
          <w:rtl w:val="0"/>
        </w:rPr>
        <w:t xml:space="preserve">: Determining the appropriate cost base can be complex, especially when dealing with different accounting practices or cost allocation methods across jurisdictions.</w:t>
      </w:r>
    </w:p>
    <w:p w:rsidR="00000000" w:rsidDel="00000000" w:rsidP="00000000" w:rsidRDefault="00000000" w:rsidRPr="00000000" w14:paraId="00000071">
      <w:pPr>
        <w:numPr>
          <w:ilvl w:val="0"/>
          <w:numId w:val="20"/>
        </w:numPr>
        <w:spacing w:after="160" w:afterAutospacing="0"/>
        <w:ind w:left="720" w:hanging="360"/>
        <w:rPr>
          <w:sz w:val="24"/>
          <w:szCs w:val="24"/>
        </w:rPr>
      </w:pPr>
      <w:r w:rsidDel="00000000" w:rsidR="00000000" w:rsidRPr="00000000">
        <w:rPr>
          <w:b w:val="1"/>
          <w:sz w:val="24"/>
          <w:szCs w:val="24"/>
          <w:rtl w:val="0"/>
        </w:rPr>
        <w:t xml:space="preserve">Profit Margin Determination</w:t>
      </w:r>
      <w:r w:rsidDel="00000000" w:rsidR="00000000" w:rsidRPr="00000000">
        <w:rPr>
          <w:sz w:val="24"/>
          <w:szCs w:val="24"/>
          <w:rtl w:val="0"/>
        </w:rPr>
        <w:t xml:space="preserve">: The markup added to the costs must be determined by reference to comparable transactions, which can be difficult if the supplier performs unique or complex functions.</w:t>
      </w:r>
    </w:p>
    <w:p w:rsidR="00000000" w:rsidDel="00000000" w:rsidP="00000000" w:rsidRDefault="00000000" w:rsidRPr="00000000" w14:paraId="0000007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Example of Cost Plus Method in Practice</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A subsidiary in Country A provides contract R&amp;D services to its parent company in Country B. The subsidiary incurs costs related to labor, materials, and overhead. By adding an appropriate markup based on the gross profit margins earned by independent R&amp;D service providers, the arm’s length price for the services can be determined.</w:t>
      </w:r>
    </w:p>
    <w:p w:rsidR="00000000" w:rsidDel="00000000" w:rsidP="00000000" w:rsidRDefault="00000000" w:rsidRPr="00000000" w14:paraId="00000074">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pPr>
      <w:bookmarkStart w:colFirst="0" w:colLast="0" w:name="_heading=h.3cakquqw6qx" w:id="16"/>
      <w:bookmarkEnd w:id="16"/>
      <w:r w:rsidDel="00000000" w:rsidR="00000000" w:rsidRPr="00000000">
        <w:rPr>
          <w:rtl w:val="0"/>
        </w:rPr>
        <w:t xml:space="preserve">Transactional Net Margin Method (TNMM)</w:t>
      </w:r>
    </w:p>
    <w:p w:rsidR="00000000" w:rsidDel="00000000" w:rsidP="00000000" w:rsidRDefault="00000000" w:rsidRPr="00000000" w14:paraId="00000075">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Transactional Net Margin Method (TNMM)</w:t>
      </w:r>
      <w:r w:rsidDel="00000000" w:rsidR="00000000" w:rsidRPr="00000000">
        <w:rPr>
          <w:sz w:val="24"/>
          <w:szCs w:val="24"/>
          <w:rtl w:val="0"/>
        </w:rPr>
        <w:t xml:space="preserve"> is a widely used transfer pricing method that compares the net profit margin relative to an appropriate base (e.g., sales, costs, or assets) realized from a controlled transaction with the net margin earned by independent enterprises in comparable uncontrolled transactions. TNMM is a one-sided method, focusing on one of the parties involved in the transaction (typically the “tested party”), and it relies heavily on functional comparability.</w:t>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Application and Selection of TNMM</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TNMM is often selected in cases where traditional transaction methods like the CUP method, Resale Price method, or Cost Plus method cannot be applied reliably. It is particularly useful in situations where it is difficult to find reliable gross margin data but easier to access net margin information. TNMM operates in a manner similar to the Resale Price and Cost Plus methods but focuses on net profit rather than gross profit.</w:t>
      </w:r>
    </w:p>
    <w:p w:rsidR="00000000" w:rsidDel="00000000" w:rsidP="00000000" w:rsidRDefault="00000000" w:rsidRPr="00000000" w14:paraId="0000007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sz w:val="24"/>
          <w:szCs w:val="24"/>
          <w:rtl w:val="0"/>
        </w:rPr>
        <w:t xml:space="preserve">Tested Party</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In applying TNMM, the </w:t>
      </w:r>
      <w:r w:rsidDel="00000000" w:rsidR="00000000" w:rsidRPr="00000000">
        <w:rPr>
          <w:b w:val="1"/>
          <w:sz w:val="24"/>
          <w:szCs w:val="24"/>
          <w:rtl w:val="0"/>
        </w:rPr>
        <w:t xml:space="preserve">tested party</w:t>
      </w:r>
      <w:r w:rsidDel="00000000" w:rsidR="00000000" w:rsidRPr="00000000">
        <w:rPr>
          <w:sz w:val="24"/>
          <w:szCs w:val="24"/>
          <w:rtl w:val="0"/>
        </w:rPr>
        <w:t xml:space="preserve"> is usually the less complex of the two related entities involved in the transaction. The tested party is selected based on the availability of reliable comparable data, and it typically performs simpler functions and assumes fewer risks. By focusing on the tested party, TNMM simplifies the analysis, as it only requires an examination of the financial indicator for that party, rather than for both entities involved in the transaction.</w:t>
      </w:r>
    </w:p>
    <w:p w:rsidR="00000000" w:rsidDel="00000000" w:rsidP="00000000" w:rsidRDefault="00000000" w:rsidRPr="00000000" w14:paraId="0000007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sz w:val="24"/>
          <w:szCs w:val="24"/>
          <w:rtl w:val="0"/>
        </w:rPr>
        <w:t xml:space="preserve">Functional Comparability</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TNMM requires a thorough </w:t>
      </w:r>
      <w:r w:rsidDel="00000000" w:rsidR="00000000" w:rsidRPr="00000000">
        <w:rPr>
          <w:b w:val="1"/>
          <w:sz w:val="24"/>
          <w:szCs w:val="24"/>
          <w:rtl w:val="0"/>
        </w:rPr>
        <w:t xml:space="preserve">functional analysis</w:t>
      </w:r>
      <w:r w:rsidDel="00000000" w:rsidR="00000000" w:rsidRPr="00000000">
        <w:rPr>
          <w:sz w:val="24"/>
          <w:szCs w:val="24"/>
          <w:rtl w:val="0"/>
        </w:rPr>
        <w:t xml:space="preserve"> to determine whether the tested party and the independent enterprises being used for comparison perform similar functions, bear similar risks, and employ similar assets. Although TNMM is more tolerant of product differences, functional comparability is critical for ensuring the reliability of the method.</w:t>
      </w:r>
    </w:p>
    <w:p w:rsidR="00000000" w:rsidDel="00000000" w:rsidP="00000000" w:rsidRDefault="00000000" w:rsidRPr="00000000" w14:paraId="0000007C">
      <w:pPr>
        <w:rPr>
          <w:sz w:val="24"/>
          <w:szCs w:val="24"/>
        </w:rPr>
      </w:pPr>
      <w:r w:rsidDel="00000000" w:rsidR="00000000" w:rsidRPr="00000000">
        <w:rPr>
          <w:sz w:val="24"/>
          <w:szCs w:val="24"/>
          <w:rtl w:val="0"/>
        </w:rPr>
        <w:t xml:space="preserve">For example, a multinational enterprise (MNE) with a subsidiary acting as a low-risk distributor may apply TNMM by comparing the subsidiary’s net profit margin as a percentage of sales to those of independent distributors in the same market. The functional analysis would focus on the subsidiary’s distribution functions, marketing efforts, and the level of risks borne by the subsidiary compared to the independent distributors.</w:t>
      </w:r>
    </w:p>
    <w:p w:rsidR="00000000" w:rsidDel="00000000" w:rsidP="00000000" w:rsidRDefault="00000000" w:rsidRPr="00000000" w14:paraId="0000007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Strengths of TNMM</w:t>
      </w:r>
      <w:r w:rsidDel="00000000" w:rsidR="00000000" w:rsidRPr="00000000">
        <w:rPr>
          <w:rtl w:val="0"/>
        </w:rPr>
      </w:r>
    </w:p>
    <w:p w:rsidR="00000000" w:rsidDel="00000000" w:rsidP="00000000" w:rsidRDefault="00000000" w:rsidRPr="00000000" w14:paraId="0000007E">
      <w:pPr>
        <w:numPr>
          <w:ilvl w:val="0"/>
          <w:numId w:val="21"/>
        </w:numPr>
        <w:ind w:left="720" w:hanging="360"/>
        <w:rPr>
          <w:sz w:val="24"/>
          <w:szCs w:val="24"/>
        </w:rPr>
      </w:pPr>
      <w:r w:rsidDel="00000000" w:rsidR="00000000" w:rsidRPr="00000000">
        <w:rPr>
          <w:b w:val="1"/>
          <w:sz w:val="24"/>
          <w:szCs w:val="24"/>
          <w:rtl w:val="0"/>
        </w:rPr>
        <w:t xml:space="preserve">Broad Applicability</w:t>
      </w:r>
      <w:r w:rsidDel="00000000" w:rsidR="00000000" w:rsidRPr="00000000">
        <w:rPr>
          <w:sz w:val="24"/>
          <w:szCs w:val="24"/>
          <w:rtl w:val="0"/>
        </w:rPr>
        <w:t xml:space="preserve">: TNMM is less sensitive to product comparability and can be applied across different industries and sectors. It is particularly useful in cases where the tested party performs routine functions, such as manufacturing or distribution, and where the use of traditional transaction methods may not provide a reliable result.</w:t>
      </w:r>
    </w:p>
    <w:p w:rsidR="00000000" w:rsidDel="00000000" w:rsidP="00000000" w:rsidRDefault="00000000" w:rsidRPr="00000000" w14:paraId="0000007F">
      <w:pPr>
        <w:numPr>
          <w:ilvl w:val="0"/>
          <w:numId w:val="21"/>
        </w:numPr>
        <w:ind w:left="720" w:hanging="360"/>
        <w:rPr>
          <w:sz w:val="24"/>
          <w:szCs w:val="24"/>
        </w:rPr>
      </w:pPr>
      <w:r w:rsidDel="00000000" w:rsidR="00000000" w:rsidRPr="00000000">
        <w:rPr>
          <w:b w:val="1"/>
          <w:sz w:val="24"/>
          <w:szCs w:val="24"/>
          <w:rtl w:val="0"/>
        </w:rPr>
        <w:t xml:space="preserve">Flexibility in Net Margin Analysis</w:t>
      </w:r>
      <w:r w:rsidDel="00000000" w:rsidR="00000000" w:rsidRPr="00000000">
        <w:rPr>
          <w:sz w:val="24"/>
          <w:szCs w:val="24"/>
          <w:rtl w:val="0"/>
        </w:rPr>
        <w:t xml:space="preserve">: TNMM provides flexibility in the choice of the </w:t>
      </w:r>
      <w:r w:rsidDel="00000000" w:rsidR="00000000" w:rsidRPr="00000000">
        <w:rPr>
          <w:b w:val="1"/>
          <w:sz w:val="24"/>
          <w:szCs w:val="24"/>
          <w:rtl w:val="0"/>
        </w:rPr>
        <w:t xml:space="preserve">profit level indicator (PLI)</w:t>
      </w:r>
      <w:r w:rsidDel="00000000" w:rsidR="00000000" w:rsidRPr="00000000">
        <w:rPr>
          <w:sz w:val="24"/>
          <w:szCs w:val="24"/>
          <w:rtl w:val="0"/>
        </w:rPr>
        <w:t xml:space="preserve">, such as return on sales (ROS), return on assets (ROA), or return on operating costs. The choice of PLI depends on the nature of the business and the transaction, and it allows for more adaptable comparisons when precise product comparability is difficult to achieve.</w:t>
      </w:r>
    </w:p>
    <w:p w:rsidR="00000000" w:rsidDel="00000000" w:rsidP="00000000" w:rsidRDefault="00000000" w:rsidRPr="00000000" w14:paraId="00000080">
      <w:pPr>
        <w:numPr>
          <w:ilvl w:val="0"/>
          <w:numId w:val="21"/>
        </w:numPr>
        <w:spacing w:after="160" w:afterAutospacing="0"/>
        <w:ind w:left="720" w:hanging="360"/>
        <w:rPr>
          <w:sz w:val="24"/>
          <w:szCs w:val="24"/>
        </w:rPr>
      </w:pPr>
      <w:r w:rsidDel="00000000" w:rsidR="00000000" w:rsidRPr="00000000">
        <w:rPr>
          <w:b w:val="1"/>
          <w:sz w:val="24"/>
          <w:szCs w:val="24"/>
          <w:rtl w:val="0"/>
        </w:rPr>
        <w:t xml:space="preserve">Availability of Comparable Data</w:t>
      </w:r>
      <w:r w:rsidDel="00000000" w:rsidR="00000000" w:rsidRPr="00000000">
        <w:rPr>
          <w:sz w:val="24"/>
          <w:szCs w:val="24"/>
          <w:rtl w:val="0"/>
        </w:rPr>
        <w:t xml:space="preserve">: TNMM benefits from the availability of external comparable data, such as financial data from independent enterprises in the same industry or sector, which can be used to establish a reliable range of net profit margins.</w:t>
      </w:r>
    </w:p>
    <w:p w:rsidR="00000000" w:rsidDel="00000000" w:rsidP="00000000" w:rsidRDefault="00000000" w:rsidRPr="00000000" w14:paraId="0000008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Limitations and Challenges of TNMM</w:t>
      </w:r>
      <w:r w:rsidDel="00000000" w:rsidR="00000000" w:rsidRPr="00000000">
        <w:rPr>
          <w:rtl w:val="0"/>
        </w:rPr>
      </w:r>
    </w:p>
    <w:p w:rsidR="00000000" w:rsidDel="00000000" w:rsidP="00000000" w:rsidRDefault="00000000" w:rsidRPr="00000000" w14:paraId="00000082">
      <w:pPr>
        <w:numPr>
          <w:ilvl w:val="0"/>
          <w:numId w:val="22"/>
        </w:numPr>
        <w:ind w:left="720" w:hanging="360"/>
        <w:rPr>
          <w:sz w:val="24"/>
          <w:szCs w:val="24"/>
        </w:rPr>
      </w:pPr>
      <w:r w:rsidDel="00000000" w:rsidR="00000000" w:rsidRPr="00000000">
        <w:rPr>
          <w:b w:val="1"/>
          <w:sz w:val="24"/>
          <w:szCs w:val="24"/>
          <w:rtl w:val="0"/>
        </w:rPr>
        <w:t xml:space="preserve">Choice of Profit Level Indicator (PLI)</w:t>
      </w:r>
      <w:r w:rsidDel="00000000" w:rsidR="00000000" w:rsidRPr="00000000">
        <w:rPr>
          <w:sz w:val="24"/>
          <w:szCs w:val="24"/>
          <w:rtl w:val="0"/>
        </w:rPr>
        <w:t xml:space="preserve">: One of the key challenges in applying TNMM is selecting the appropriate PLI. The PLI should reflect the economic characteristics of the tested party’s business. For example, a return on sales (ROS) might be suitable for a distributor, while a return on assets (ROA) might be more appropriate for a capital-intensive manufacturer. The selection of the wrong PLI can distort the results.</w:t>
      </w:r>
    </w:p>
    <w:p w:rsidR="00000000" w:rsidDel="00000000" w:rsidP="00000000" w:rsidRDefault="00000000" w:rsidRPr="00000000" w14:paraId="00000083">
      <w:pPr>
        <w:numPr>
          <w:ilvl w:val="0"/>
          <w:numId w:val="22"/>
        </w:numPr>
        <w:ind w:left="720" w:hanging="360"/>
        <w:rPr>
          <w:sz w:val="24"/>
          <w:szCs w:val="24"/>
        </w:rPr>
      </w:pPr>
      <w:r w:rsidDel="00000000" w:rsidR="00000000" w:rsidRPr="00000000">
        <w:rPr>
          <w:b w:val="1"/>
          <w:sz w:val="24"/>
          <w:szCs w:val="24"/>
          <w:rtl w:val="0"/>
        </w:rPr>
        <w:t xml:space="preserve">One-Sided Analysis</w:t>
      </w:r>
      <w:r w:rsidDel="00000000" w:rsidR="00000000" w:rsidRPr="00000000">
        <w:rPr>
          <w:sz w:val="24"/>
          <w:szCs w:val="24"/>
          <w:rtl w:val="0"/>
        </w:rPr>
        <w:t xml:space="preserve">: TNMM focuses solely on the tested party, which may overlook the contributions made by the other related party involved in the transaction. This one-sided approach can sometimes fail to capture the full economic picture, especially in cases where both parties contribute significantly to the creation of value.</w:t>
      </w:r>
    </w:p>
    <w:p w:rsidR="00000000" w:rsidDel="00000000" w:rsidP="00000000" w:rsidRDefault="00000000" w:rsidRPr="00000000" w14:paraId="00000084">
      <w:pPr>
        <w:numPr>
          <w:ilvl w:val="0"/>
          <w:numId w:val="22"/>
        </w:numPr>
        <w:spacing w:after="160" w:afterAutospacing="0"/>
        <w:ind w:left="720" w:hanging="360"/>
        <w:rPr>
          <w:sz w:val="24"/>
          <w:szCs w:val="24"/>
        </w:rPr>
      </w:pPr>
      <w:r w:rsidDel="00000000" w:rsidR="00000000" w:rsidRPr="00000000">
        <w:rPr>
          <w:b w:val="1"/>
          <w:sz w:val="24"/>
          <w:szCs w:val="24"/>
          <w:rtl w:val="0"/>
        </w:rPr>
        <w:t xml:space="preserve">Functional Comparability Requirement</w:t>
      </w:r>
      <w:r w:rsidDel="00000000" w:rsidR="00000000" w:rsidRPr="00000000">
        <w:rPr>
          <w:sz w:val="24"/>
          <w:szCs w:val="24"/>
          <w:rtl w:val="0"/>
        </w:rPr>
        <w:t xml:space="preserve">: TNMM places a strong emphasis on functional comparability, which can be difficult to achieve in practice. Even small differences in the functions performed or risks assumed can have a significant impact on the net profit margin, necessitating complex adjustments.</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160" w:beforeAutospacing="0" w:line="259" w:lineRule="auto"/>
        <w:ind w:left="810" w:right="0" w:hanging="360"/>
        <w:jc w:val="both"/>
        <w:rPr>
          <w:b w:val="1"/>
        </w:rPr>
      </w:pPr>
      <w:r w:rsidDel="00000000" w:rsidR="00000000" w:rsidRPr="00000000">
        <w:rPr>
          <w:b w:val="1"/>
          <w:sz w:val="24"/>
          <w:szCs w:val="24"/>
          <w:rtl w:val="0"/>
        </w:rPr>
        <w:t xml:space="preserve">Practical Examples of TNMM in Action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beforeAutospacing="0" w:line="259" w:lineRule="auto"/>
        <w:ind w:left="990" w:right="0" w:hanging="360"/>
        <w:jc w:val="both"/>
        <w:rPr>
          <w:b w:val="1"/>
          <w:i w:val="1"/>
        </w:rPr>
      </w:pPr>
      <w:r w:rsidDel="00000000" w:rsidR="00000000" w:rsidRPr="00000000">
        <w:rPr>
          <w:b w:val="1"/>
          <w:i w:val="1"/>
          <w:sz w:val="24"/>
          <w:szCs w:val="24"/>
          <w:rtl w:val="0"/>
        </w:rPr>
        <w:t xml:space="preserve">Example 1: Low-Risk Distributor</w:t>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An MNE operates a subsidiary in Country X as a low-risk distributor of consumer electronics. The subsidiary performs basic distribution functions, such as warehousing and logistics, and bears minimal risks. The MNE applies TNMM, selecting the subsidiary as the tested party, with the PLI being the subsidiary’s net profit margin as a percentage of sales (return on sales). The MNE compares the subsidiary’s ROS to independent distributors of similar products in Country X. If the subsidiary’s ROS falls outside the arm’s length range, adjustments are made to align it with comparable distributors.</w:t>
      </w:r>
    </w:p>
    <w:p w:rsidR="00000000" w:rsidDel="00000000" w:rsidP="00000000" w:rsidRDefault="00000000" w:rsidRPr="00000000" w14:paraId="0000008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Example</w:t>
      </w:r>
      <w:r w:rsidDel="00000000" w:rsidR="00000000" w:rsidRPr="00000000">
        <w:rPr>
          <w:b w:val="1"/>
          <w:i w:val="1"/>
          <w:sz w:val="24"/>
          <w:szCs w:val="24"/>
          <w:rtl w:val="0"/>
        </w:rPr>
        <w:t xml:space="preserve"> 2: Contract Manufacturer</w: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A subsidiary of an MNE in Country Y operates as a contract manufacturer of pharmaceutical products. The subsidiary manufactures products based on specifications provided by the parent company and does not bear the risks associated with product development or market fluctuations. TNMM is applied, with the subsidiary as the tested party and the PLI being the return on assets (ROA). The MNE compares the subsidiary’s ROA to independent contract manufacturers in the pharmaceutical industry. Based on the comparison, the MNE determines whether adjustments are necessary to bring the subsidiary’s net profit in line with the arm’s length standard.</w:t>
      </w:r>
    </w:p>
    <w:p w:rsidR="00000000" w:rsidDel="00000000" w:rsidP="00000000" w:rsidRDefault="00000000" w:rsidRPr="00000000" w14:paraId="0000008A">
      <w:pPr>
        <w:pStyle w:val="Heading2"/>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both"/>
        <w:rPr/>
      </w:pPr>
      <w:bookmarkStart w:colFirst="0" w:colLast="0" w:name="_heading=h.okbn25gr4q94" w:id="17"/>
      <w:bookmarkEnd w:id="17"/>
      <w:r w:rsidDel="00000000" w:rsidR="00000000" w:rsidRPr="00000000">
        <w:rPr>
          <w:rtl w:val="0"/>
        </w:rPr>
        <w:t xml:space="preserve">Transactional Profit Split Method</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Transactional Profit Split Method</w:t>
      </w:r>
      <w:r w:rsidDel="00000000" w:rsidR="00000000" w:rsidRPr="00000000">
        <w:rPr>
          <w:sz w:val="24"/>
          <w:szCs w:val="24"/>
          <w:rtl w:val="0"/>
        </w:rPr>
        <w:t xml:space="preserve"> is a transactional profit method that allocates the combined profits (or losses) from a controlled transaction between the associated enterprises based on the relative value of each party’s contribution. The method is typically applied in cases where both parties make significant and interdependent contributions to the transaction, making it difficult to evaluate the contributions of each party separately.</w:t>
      </w:r>
    </w:p>
    <w:p w:rsidR="00000000" w:rsidDel="00000000" w:rsidP="00000000" w:rsidRDefault="00000000" w:rsidRPr="00000000" w14:paraId="0000008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Application and Selection of the Profit Split Method</w:t>
      </w: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The profit split method is most appropriate in situations where both parties to the transaction contribute unique intangibles, share economically significant risks, or engage in highly integrated operations. The method can be applied in two main ways:</w:t>
      </w:r>
    </w:p>
    <w:p w:rsidR="00000000" w:rsidDel="00000000" w:rsidP="00000000" w:rsidRDefault="00000000" w:rsidRPr="00000000" w14:paraId="0000008E">
      <w:pPr>
        <w:numPr>
          <w:ilvl w:val="0"/>
          <w:numId w:val="23"/>
        </w:numPr>
        <w:ind w:left="720" w:hanging="360"/>
        <w:rPr>
          <w:sz w:val="24"/>
          <w:szCs w:val="24"/>
        </w:rPr>
      </w:pPr>
      <w:r w:rsidDel="00000000" w:rsidR="00000000" w:rsidRPr="00000000">
        <w:rPr>
          <w:b w:val="1"/>
          <w:sz w:val="24"/>
          <w:szCs w:val="24"/>
          <w:rtl w:val="0"/>
        </w:rPr>
        <w:t xml:space="preserve">Contribution Analysis</w:t>
      </w:r>
      <w:r w:rsidDel="00000000" w:rsidR="00000000" w:rsidRPr="00000000">
        <w:rPr>
          <w:sz w:val="24"/>
          <w:szCs w:val="24"/>
          <w:rtl w:val="0"/>
        </w:rPr>
        <w:t xml:space="preserve">: The total profits from the controlled transaction are divided between the parties based on the relative value of their respective contributions.</w:t>
      </w:r>
    </w:p>
    <w:p w:rsidR="00000000" w:rsidDel="00000000" w:rsidP="00000000" w:rsidRDefault="00000000" w:rsidRPr="00000000" w14:paraId="0000008F">
      <w:pPr>
        <w:numPr>
          <w:ilvl w:val="0"/>
          <w:numId w:val="23"/>
        </w:numPr>
        <w:spacing w:after="160" w:afterAutospacing="0"/>
        <w:ind w:left="720" w:hanging="360"/>
        <w:rPr>
          <w:sz w:val="24"/>
          <w:szCs w:val="24"/>
        </w:rPr>
      </w:pPr>
      <w:r w:rsidDel="00000000" w:rsidR="00000000" w:rsidRPr="00000000">
        <w:rPr>
          <w:b w:val="1"/>
          <w:sz w:val="24"/>
          <w:szCs w:val="24"/>
          <w:rtl w:val="0"/>
        </w:rPr>
        <w:t xml:space="preserve">Residual Profit Split</w:t>
      </w:r>
      <w:r w:rsidDel="00000000" w:rsidR="00000000" w:rsidRPr="00000000">
        <w:rPr>
          <w:sz w:val="24"/>
          <w:szCs w:val="24"/>
          <w:rtl w:val="0"/>
        </w:rPr>
        <w:t xml:space="preserve">: The total profits are split into two categories. First, routine profits are allocated to each party based on their routine functions, using traditional transaction methods or TNMM. The remaining “residual” profits (typically from the exploitation of intangibles) are then split based on the relative value of the parties’ contributions to those profits.</w:t>
      </w:r>
    </w:p>
    <w:p w:rsidR="00000000" w:rsidDel="00000000" w:rsidP="00000000" w:rsidRDefault="00000000" w:rsidRPr="00000000" w14:paraId="0000009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990" w:right="0" w:hanging="360"/>
        <w:jc w:val="both"/>
        <w:rPr>
          <w:b w:val="1"/>
          <w:i w:val="1"/>
        </w:rPr>
      </w:pPr>
      <w:r w:rsidDel="00000000" w:rsidR="00000000" w:rsidRPr="00000000">
        <w:rPr>
          <w:b w:val="1"/>
          <w:sz w:val="24"/>
          <w:szCs w:val="24"/>
          <w:rtl w:val="0"/>
        </w:rPr>
        <w:t xml:space="preserve">When to Use the Profit Split Method</w:t>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The profit split method is particularly useful in cases where:</w:t>
      </w:r>
    </w:p>
    <w:p w:rsidR="00000000" w:rsidDel="00000000" w:rsidP="00000000" w:rsidRDefault="00000000" w:rsidRPr="00000000" w14:paraId="00000092">
      <w:pPr>
        <w:numPr>
          <w:ilvl w:val="0"/>
          <w:numId w:val="24"/>
        </w:numPr>
        <w:ind w:left="720" w:hanging="360"/>
        <w:rPr>
          <w:sz w:val="24"/>
          <w:szCs w:val="24"/>
        </w:rPr>
      </w:pPr>
      <w:r w:rsidDel="00000000" w:rsidR="00000000" w:rsidRPr="00000000">
        <w:rPr>
          <w:b w:val="1"/>
          <w:sz w:val="24"/>
          <w:szCs w:val="24"/>
          <w:rtl w:val="0"/>
        </w:rPr>
        <w:t xml:space="preserve">Both parties make unique and valuable contributions</w:t>
      </w:r>
      <w:r w:rsidDel="00000000" w:rsidR="00000000" w:rsidRPr="00000000">
        <w:rPr>
          <w:sz w:val="24"/>
          <w:szCs w:val="24"/>
          <w:rtl w:val="0"/>
        </w:rPr>
        <w:t xml:space="preserve">: For example, if both parties contribute unique intangibles or perform high-value functions, the profit split method can ensure that each party receives an appropriate share of the total profits.</w:t>
      </w:r>
    </w:p>
    <w:p w:rsidR="00000000" w:rsidDel="00000000" w:rsidP="00000000" w:rsidRDefault="00000000" w:rsidRPr="00000000" w14:paraId="00000093">
      <w:pPr>
        <w:numPr>
          <w:ilvl w:val="0"/>
          <w:numId w:val="24"/>
        </w:numPr>
        <w:ind w:left="720" w:hanging="360"/>
        <w:rPr>
          <w:sz w:val="24"/>
          <w:szCs w:val="24"/>
        </w:rPr>
      </w:pPr>
      <w:r w:rsidDel="00000000" w:rsidR="00000000" w:rsidRPr="00000000">
        <w:rPr>
          <w:b w:val="1"/>
          <w:sz w:val="24"/>
          <w:szCs w:val="24"/>
          <w:rtl w:val="0"/>
        </w:rPr>
        <w:t xml:space="preserve">Highly integrated operations</w:t>
      </w:r>
      <w:r w:rsidDel="00000000" w:rsidR="00000000" w:rsidRPr="00000000">
        <w:rPr>
          <w:sz w:val="24"/>
          <w:szCs w:val="24"/>
          <w:rtl w:val="0"/>
        </w:rPr>
        <w:t xml:space="preserve">: In cases where the functions, risks, and assets of the parties are so integrated that it is difficult to assess their contributions separately, the profit split method can provide a more accurate reflection of the value creation process.</w:t>
      </w:r>
    </w:p>
    <w:p w:rsidR="00000000" w:rsidDel="00000000" w:rsidP="00000000" w:rsidRDefault="00000000" w:rsidRPr="00000000" w14:paraId="00000094">
      <w:pPr>
        <w:numPr>
          <w:ilvl w:val="0"/>
          <w:numId w:val="24"/>
        </w:numPr>
        <w:spacing w:after="160" w:afterAutospacing="0"/>
        <w:ind w:left="720" w:hanging="360"/>
        <w:rPr>
          <w:sz w:val="24"/>
          <w:szCs w:val="24"/>
        </w:rPr>
      </w:pPr>
      <w:r w:rsidDel="00000000" w:rsidR="00000000" w:rsidRPr="00000000">
        <w:rPr>
          <w:b w:val="1"/>
          <w:sz w:val="24"/>
          <w:szCs w:val="24"/>
          <w:rtl w:val="0"/>
        </w:rPr>
        <w:t xml:space="preserve">Lack of reliable comparables</w:t>
      </w:r>
      <w:r w:rsidDel="00000000" w:rsidR="00000000" w:rsidRPr="00000000">
        <w:rPr>
          <w:sz w:val="24"/>
          <w:szCs w:val="24"/>
          <w:rtl w:val="0"/>
        </w:rPr>
        <w:t xml:space="preserve">: When it is challenging to find reliable external comparables, the profit split method may be the most appropriate choice.</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Strengths of the Profit Split Method</w:t>
      </w:r>
      <w:r w:rsidDel="00000000" w:rsidR="00000000" w:rsidRPr="00000000">
        <w:rPr>
          <w:rtl w:val="0"/>
        </w:rPr>
      </w:r>
    </w:p>
    <w:p w:rsidR="00000000" w:rsidDel="00000000" w:rsidP="00000000" w:rsidRDefault="00000000" w:rsidRPr="00000000" w14:paraId="00000096">
      <w:pPr>
        <w:numPr>
          <w:ilvl w:val="0"/>
          <w:numId w:val="25"/>
        </w:numPr>
        <w:ind w:left="720" w:hanging="360"/>
        <w:rPr>
          <w:sz w:val="24"/>
          <w:szCs w:val="24"/>
        </w:rPr>
      </w:pPr>
      <w:r w:rsidDel="00000000" w:rsidR="00000000" w:rsidRPr="00000000">
        <w:rPr>
          <w:b w:val="1"/>
          <w:sz w:val="24"/>
          <w:szCs w:val="24"/>
          <w:rtl w:val="0"/>
        </w:rPr>
        <w:t xml:space="preserve">Comprehensive Approach</w:t>
      </w:r>
      <w:r w:rsidDel="00000000" w:rsidR="00000000" w:rsidRPr="00000000">
        <w:rPr>
          <w:sz w:val="24"/>
          <w:szCs w:val="24"/>
          <w:rtl w:val="0"/>
        </w:rPr>
        <w:t xml:space="preserve">: The profit split method takes into account the contributions of all parties involved in the transaction, making it particularly well-suited for complex transactions where both parties contribute significantly to value creation.</w:t>
      </w:r>
    </w:p>
    <w:p w:rsidR="00000000" w:rsidDel="00000000" w:rsidP="00000000" w:rsidRDefault="00000000" w:rsidRPr="00000000" w14:paraId="00000097">
      <w:pPr>
        <w:numPr>
          <w:ilvl w:val="0"/>
          <w:numId w:val="25"/>
        </w:numPr>
        <w:ind w:left="720" w:hanging="360"/>
        <w:rPr>
          <w:sz w:val="24"/>
          <w:szCs w:val="24"/>
        </w:rPr>
      </w:pPr>
      <w:r w:rsidDel="00000000" w:rsidR="00000000" w:rsidRPr="00000000">
        <w:rPr>
          <w:b w:val="1"/>
          <w:sz w:val="24"/>
          <w:szCs w:val="24"/>
          <w:rtl w:val="0"/>
        </w:rPr>
        <w:t xml:space="preserve">Captures Unique and Valuable Contributions</w:t>
      </w:r>
      <w:r w:rsidDel="00000000" w:rsidR="00000000" w:rsidRPr="00000000">
        <w:rPr>
          <w:sz w:val="24"/>
          <w:szCs w:val="24"/>
          <w:rtl w:val="0"/>
        </w:rPr>
        <w:t xml:space="preserve">: The method is ideal for situations where both parties contribute unique intangibles or valuable assets that cannot be easily benchmarked using traditional methods.</w:t>
      </w:r>
    </w:p>
    <w:p w:rsidR="00000000" w:rsidDel="00000000" w:rsidP="00000000" w:rsidRDefault="00000000" w:rsidRPr="00000000" w14:paraId="00000098">
      <w:pPr>
        <w:numPr>
          <w:ilvl w:val="0"/>
          <w:numId w:val="25"/>
        </w:numPr>
        <w:spacing w:after="160" w:afterAutospacing="0"/>
        <w:ind w:left="720" w:hanging="360"/>
        <w:rPr>
          <w:sz w:val="24"/>
          <w:szCs w:val="24"/>
        </w:rPr>
      </w:pPr>
      <w:r w:rsidDel="00000000" w:rsidR="00000000" w:rsidRPr="00000000">
        <w:rPr>
          <w:b w:val="1"/>
          <w:sz w:val="24"/>
          <w:szCs w:val="24"/>
          <w:rtl w:val="0"/>
        </w:rPr>
        <w:t xml:space="preserve">Flexible in High-Risk or Integrated Operations</w:t>
      </w:r>
      <w:r w:rsidDel="00000000" w:rsidR="00000000" w:rsidRPr="00000000">
        <w:rPr>
          <w:sz w:val="24"/>
          <w:szCs w:val="24"/>
          <w:rtl w:val="0"/>
        </w:rPr>
        <w:t xml:space="preserve">: The profit split method can adapt to highly integrated business models or transactions involving significant shared risks, where one-sided methods like TNMM may not fully capture the economic reality of the transaction.</w:t>
      </w:r>
    </w:p>
    <w:p w:rsidR="00000000" w:rsidDel="00000000" w:rsidP="00000000" w:rsidRDefault="00000000" w:rsidRPr="00000000" w14:paraId="000000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160" w:beforeAutospacing="0" w:line="259" w:lineRule="auto"/>
        <w:ind w:left="810" w:right="0" w:hanging="360"/>
        <w:jc w:val="both"/>
        <w:rPr>
          <w:b w:val="1"/>
        </w:rPr>
      </w:pPr>
      <w:r w:rsidDel="00000000" w:rsidR="00000000" w:rsidRPr="00000000">
        <w:rPr>
          <w:b w:val="1"/>
          <w:sz w:val="24"/>
          <w:szCs w:val="24"/>
          <w:rtl w:val="0"/>
        </w:rPr>
        <w:t xml:space="preserve">Limitations and Challenges of the Profit Split Method</w:t>
      </w:r>
      <w:r w:rsidDel="00000000" w:rsidR="00000000" w:rsidRPr="00000000">
        <w:rPr>
          <w:rtl w:val="0"/>
        </w:rPr>
      </w:r>
    </w:p>
    <w:p w:rsidR="00000000" w:rsidDel="00000000" w:rsidP="00000000" w:rsidRDefault="00000000" w:rsidRPr="00000000" w14:paraId="0000009A">
      <w:pPr>
        <w:numPr>
          <w:ilvl w:val="0"/>
          <w:numId w:val="26"/>
        </w:numPr>
        <w:ind w:left="720" w:hanging="360"/>
        <w:rPr>
          <w:sz w:val="24"/>
          <w:szCs w:val="24"/>
        </w:rPr>
      </w:pPr>
      <w:r w:rsidDel="00000000" w:rsidR="00000000" w:rsidRPr="00000000">
        <w:rPr>
          <w:b w:val="1"/>
          <w:sz w:val="24"/>
          <w:szCs w:val="24"/>
          <w:rtl w:val="0"/>
        </w:rPr>
        <w:t xml:space="preserve">Complexity in Application</w:t>
      </w:r>
      <w:r w:rsidDel="00000000" w:rsidR="00000000" w:rsidRPr="00000000">
        <w:rPr>
          <w:sz w:val="24"/>
          <w:szCs w:val="24"/>
          <w:rtl w:val="0"/>
        </w:rPr>
        <w:t xml:space="preserve">: The profit split method requires a thorough analysis of the contributions of each party, which can be challenging in practice. This includes the need for detailed financial information about both parties, which may not always be available.</w:t>
      </w:r>
    </w:p>
    <w:p w:rsidR="00000000" w:rsidDel="00000000" w:rsidP="00000000" w:rsidRDefault="00000000" w:rsidRPr="00000000" w14:paraId="0000009B">
      <w:pPr>
        <w:numPr>
          <w:ilvl w:val="0"/>
          <w:numId w:val="26"/>
        </w:numPr>
        <w:ind w:left="720" w:hanging="360"/>
        <w:rPr>
          <w:sz w:val="24"/>
          <w:szCs w:val="24"/>
        </w:rPr>
      </w:pPr>
      <w:r w:rsidDel="00000000" w:rsidR="00000000" w:rsidRPr="00000000">
        <w:rPr>
          <w:b w:val="1"/>
          <w:sz w:val="24"/>
          <w:szCs w:val="24"/>
          <w:rtl w:val="0"/>
        </w:rPr>
        <w:t xml:space="preserve">Subjectivity in Profit Allocation</w:t>
      </w:r>
      <w:r w:rsidDel="00000000" w:rsidR="00000000" w:rsidRPr="00000000">
        <w:rPr>
          <w:sz w:val="24"/>
          <w:szCs w:val="24"/>
          <w:rtl w:val="0"/>
        </w:rPr>
        <w:t xml:space="preserve">: The allocation of profits is often based on subjective judgments about the relative value of each party’s contribution. This can lead to disputes with tax authorities, especially when there is a lack of objective data to support the allocation.</w:t>
      </w:r>
    </w:p>
    <w:p w:rsidR="00000000" w:rsidDel="00000000" w:rsidP="00000000" w:rsidRDefault="00000000" w:rsidRPr="00000000" w14:paraId="0000009C">
      <w:pPr>
        <w:numPr>
          <w:ilvl w:val="0"/>
          <w:numId w:val="26"/>
        </w:numPr>
        <w:spacing w:after="160" w:afterAutospacing="0"/>
        <w:ind w:left="720" w:hanging="360"/>
        <w:rPr>
          <w:sz w:val="24"/>
          <w:szCs w:val="24"/>
        </w:rPr>
      </w:pPr>
      <w:r w:rsidDel="00000000" w:rsidR="00000000" w:rsidRPr="00000000">
        <w:rPr>
          <w:b w:val="1"/>
          <w:sz w:val="24"/>
          <w:szCs w:val="24"/>
          <w:rtl w:val="0"/>
        </w:rPr>
        <w:t xml:space="preserve">Difficulty in Identifying Profit Splitting Factors</w:t>
      </w:r>
      <w:r w:rsidDel="00000000" w:rsidR="00000000" w:rsidRPr="00000000">
        <w:rPr>
          <w:sz w:val="24"/>
          <w:szCs w:val="24"/>
          <w:rtl w:val="0"/>
        </w:rPr>
        <w:t xml:space="preserve">: Determining the appropriate profit-splitting factors, such as assets, costs, or functions, can be difficult, especially in cases involving unique intangibles or highly integrated operations.</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160" w:beforeAutospacing="0" w:line="259" w:lineRule="auto"/>
        <w:ind w:left="810" w:right="0" w:hanging="360"/>
        <w:jc w:val="both"/>
        <w:rPr>
          <w:b w:val="1"/>
        </w:rPr>
      </w:pPr>
      <w:r w:rsidDel="00000000" w:rsidR="00000000" w:rsidRPr="00000000">
        <w:rPr>
          <w:b w:val="1"/>
          <w:sz w:val="24"/>
          <w:szCs w:val="24"/>
          <w:rtl w:val="0"/>
        </w:rPr>
        <w:t xml:space="preserve">Practical Examples of the Profit Split Method in Action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beforeAutospacing="0" w:line="259" w:lineRule="auto"/>
        <w:ind w:left="990" w:right="0" w:hanging="360"/>
        <w:jc w:val="both"/>
        <w:rPr>
          <w:b w:val="1"/>
          <w:i w:val="1"/>
        </w:rPr>
      </w:pPr>
      <w:r w:rsidDel="00000000" w:rsidR="00000000" w:rsidRPr="00000000">
        <w:rPr>
          <w:b w:val="1"/>
          <w:i w:val="1"/>
          <w:rtl w:val="0"/>
        </w:rPr>
        <w:t xml:space="preserve">Example</w:t>
      </w:r>
      <w:r w:rsidDel="00000000" w:rsidR="00000000" w:rsidRPr="00000000">
        <w:rPr>
          <w:b w:val="1"/>
          <w:i w:val="1"/>
          <w:sz w:val="24"/>
          <w:szCs w:val="24"/>
          <w:rtl w:val="0"/>
        </w:rPr>
        <w:t xml:space="preserve"> 1: Joint Development of Intangible Assets</w:t>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A multinational enterprise engages in a joint venture between its R&amp;D center in Country A and its marketing subsidiary in Country B to develop and market a new software product. Both entities contribute unique intangibles—Country A contributes cutting-edge technology, while Country B contributes its brand and customer relationships. The profit split method is applied, with total profits from the software’s sales being split between the two entities based on their relative contributions to the development and commercialization of the product.</w:t>
      </w:r>
    </w:p>
    <w:p w:rsidR="00000000" w:rsidDel="00000000" w:rsidP="00000000" w:rsidRDefault="00000000" w:rsidRPr="00000000" w14:paraId="000000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Example</w:t>
      </w:r>
      <w:r w:rsidDel="00000000" w:rsidR="00000000" w:rsidRPr="00000000">
        <w:rPr>
          <w:b w:val="1"/>
          <w:i w:val="1"/>
          <w:sz w:val="24"/>
          <w:szCs w:val="24"/>
          <w:rtl w:val="0"/>
        </w:rPr>
        <w:t xml:space="preserve"> 2: Highly Integrated Global Trading Operations</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A global financial institution operates a trading operation that involves subsidiaries in several countries, each contributing to the global trading strategy. The profit split method is applied to the total profits generated by the trading operations, with profits being allocated based on the relative value of the functions performed, risks assumed, and assets employed by each subsidiary. The method ensures that each subsidiary receives an appropriate share of the profits based on its contribution to the overall trading strategy.</w:t>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Key Considerations in Applying the Profit Split Method</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When applying the profit split method, it is essential to:</w:t>
      </w:r>
    </w:p>
    <w:p w:rsidR="00000000" w:rsidDel="00000000" w:rsidP="00000000" w:rsidRDefault="00000000" w:rsidRPr="00000000" w14:paraId="000000A4">
      <w:pPr>
        <w:numPr>
          <w:ilvl w:val="0"/>
          <w:numId w:val="36"/>
        </w:numPr>
        <w:ind w:left="720" w:hanging="360"/>
        <w:rPr>
          <w:sz w:val="24"/>
          <w:szCs w:val="24"/>
        </w:rPr>
      </w:pPr>
      <w:r w:rsidDel="00000000" w:rsidR="00000000" w:rsidRPr="00000000">
        <w:rPr>
          <w:b w:val="1"/>
          <w:sz w:val="24"/>
          <w:szCs w:val="24"/>
          <w:rtl w:val="0"/>
        </w:rPr>
        <w:t xml:space="preserve">Accurately Delineate the Transaction</w:t>
      </w:r>
      <w:r w:rsidDel="00000000" w:rsidR="00000000" w:rsidRPr="00000000">
        <w:rPr>
          <w:sz w:val="24"/>
          <w:szCs w:val="24"/>
          <w:rtl w:val="0"/>
        </w:rPr>
        <w:t xml:space="preserve">: A thorough functional analysis is required to understand the contributions of each party to the transaction. This includes an assessment of the functions performed, risks assumed, and assets employed by each party.</w:t>
      </w:r>
    </w:p>
    <w:p w:rsidR="00000000" w:rsidDel="00000000" w:rsidP="00000000" w:rsidRDefault="00000000" w:rsidRPr="00000000" w14:paraId="000000A5">
      <w:pPr>
        <w:numPr>
          <w:ilvl w:val="0"/>
          <w:numId w:val="36"/>
        </w:numPr>
        <w:ind w:left="720" w:hanging="360"/>
        <w:rPr>
          <w:sz w:val="24"/>
          <w:szCs w:val="24"/>
        </w:rPr>
      </w:pPr>
      <w:r w:rsidDel="00000000" w:rsidR="00000000" w:rsidRPr="00000000">
        <w:rPr>
          <w:b w:val="1"/>
          <w:sz w:val="24"/>
          <w:szCs w:val="24"/>
          <w:rtl w:val="0"/>
        </w:rPr>
        <w:t xml:space="preserve">Determine the Appropriate Profit Splitting Factors</w:t>
      </w:r>
      <w:r w:rsidDel="00000000" w:rsidR="00000000" w:rsidRPr="00000000">
        <w:rPr>
          <w:sz w:val="24"/>
          <w:szCs w:val="24"/>
          <w:rtl w:val="0"/>
        </w:rPr>
        <w:t xml:space="preserve">: The selection of profit splitting factors, such as costs, assets, or sales, should be based on objective data that reflects the relative contributions of the parties. For example, a cost-based factor may be appropriate in a joint R&amp;D arrangement, while an asset-based factor may be suitable for a capital-intensive business.</w:t>
      </w:r>
    </w:p>
    <w:p w:rsidR="00000000" w:rsidDel="00000000" w:rsidP="00000000" w:rsidRDefault="00000000" w:rsidRPr="00000000" w14:paraId="000000A6">
      <w:pPr>
        <w:numPr>
          <w:ilvl w:val="0"/>
          <w:numId w:val="36"/>
        </w:numPr>
        <w:ind w:left="720" w:hanging="360"/>
        <w:rPr>
          <w:sz w:val="24"/>
          <w:szCs w:val="24"/>
        </w:rPr>
      </w:pPr>
      <w:r w:rsidDel="00000000" w:rsidR="00000000" w:rsidRPr="00000000">
        <w:rPr>
          <w:b w:val="1"/>
          <w:sz w:val="24"/>
          <w:szCs w:val="24"/>
          <w:rtl w:val="0"/>
        </w:rPr>
        <w:t xml:space="preserve">Consider the Nature of the Profits</w:t>
      </w:r>
      <w:r w:rsidDel="00000000" w:rsidR="00000000" w:rsidRPr="00000000">
        <w:rPr>
          <w:sz w:val="24"/>
          <w:szCs w:val="24"/>
          <w:rtl w:val="0"/>
        </w:rPr>
        <w:t xml:space="preserve">: The method of splitting profits—whether based on gross or operating profits—should be aligned with the contributions of the parties. In some cases, a split of gross profits may be more appropriate if the parties share production risks, while a split of operating profits may be suitable if the parties also share risks associated with sales and marketing.</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ind w:left="0" w:firstLine="0"/>
        <w:jc w:val="left"/>
        <w:rPr/>
      </w:pPr>
      <w:bookmarkStart w:colFirst="0" w:colLast="0" w:name="_heading=h.1y810tw" w:id="18"/>
      <w:bookmarkEnd w:id="18"/>
      <w:r w:rsidDel="00000000" w:rsidR="00000000" w:rsidRPr="00000000">
        <w:rPr>
          <w:rtl w:val="0"/>
        </w:rPr>
        <w:t xml:space="preserve">E.3. SPECIAL TOPICS: HARD TO VALUE INTANGIBLES; LOW VALUE ADDING INTRA-GROUP SERVICES; COST CONTRIBUTION/SHARING AGREEMENTS; REVISED SAFE HARBOUR GUIDANCE; DOCUMENTATION; ANNEX TO CHAPTER IV</w:t>
      </w:r>
    </w:p>
    <w:p w:rsidR="00000000" w:rsidDel="00000000" w:rsidP="00000000" w:rsidRDefault="00000000" w:rsidRPr="00000000" w14:paraId="000000B3">
      <w:pPr>
        <w:rPr>
          <w:sz w:val="24"/>
          <w:szCs w:val="24"/>
        </w:rPr>
      </w:pPr>
      <w:r w:rsidDel="00000000" w:rsidR="00000000" w:rsidRPr="00000000">
        <w:rPr>
          <w:sz w:val="24"/>
          <w:szCs w:val="24"/>
          <w:rtl w:val="0"/>
        </w:rPr>
        <w:t xml:space="preserve">The OECD Transfer Pricing Guidelines provide a detailed framework for transfer pricing, ensuring that transactions between related entities within multinational enterprises (MNEs) adhere to the arm's length principle. Beyond traditional methods, the guidelines also address several special topics crucial for contemporary transfer pricing practices. These include hard-to-value intangibles (HTVI), low-value adding intra-group services, cost contribution/sharing agreements, revised safe harbour guidance, and documentation requirements. This section explores these special topics in detail, highlighting their applications and implications within the framework of the OECD guidelines.</w:t>
      </w:r>
    </w:p>
    <w:p w:rsidR="00000000" w:rsidDel="00000000" w:rsidP="00000000" w:rsidRDefault="00000000" w:rsidRPr="00000000" w14:paraId="000000B4">
      <w:pPr>
        <w:pStyle w:val="Heading2"/>
        <w:numPr>
          <w:ilvl w:val="0"/>
          <w:numId w:val="45"/>
        </w:numPr>
        <w:ind w:left="720" w:hanging="360"/>
        <w:rPr/>
      </w:pPr>
      <w:bookmarkStart w:colFirst="0" w:colLast="0" w:name="_heading=h.4i7ojhp" w:id="19"/>
      <w:bookmarkEnd w:id="19"/>
      <w:r w:rsidDel="00000000" w:rsidR="00000000" w:rsidRPr="00000000">
        <w:rPr>
          <w:rtl w:val="0"/>
        </w:rPr>
        <w:t xml:space="preserve">Hard-to-Value Intangibles (HTVI)</w:t>
      </w:r>
    </w:p>
    <w:p w:rsidR="00000000" w:rsidDel="00000000" w:rsidP="00000000" w:rsidRDefault="00000000" w:rsidRPr="00000000" w14:paraId="000000B5">
      <w:pPr>
        <w:rPr>
          <w:sz w:val="24"/>
          <w:szCs w:val="24"/>
        </w:rPr>
      </w:pPr>
      <w:r w:rsidDel="00000000" w:rsidR="00000000" w:rsidRPr="00000000">
        <w:rPr>
          <w:sz w:val="24"/>
          <w:szCs w:val="24"/>
          <w:rtl w:val="0"/>
        </w:rPr>
        <w:t xml:space="preserve">Hard-to-value intangibles (HTVI) present unique challenges in transfer pricing due to their uncertain future value and the difficulty in finding comparable transactions. Chapter VI of the OECD Transfer Pricing Guidelines addresses the transfer pricing aspects of intangibles, including HTVI, and provides guidance on how to manage these challenges.</w:t>
      </w:r>
    </w:p>
    <w:p w:rsidR="00000000" w:rsidDel="00000000" w:rsidP="00000000" w:rsidRDefault="00000000" w:rsidRPr="00000000" w14:paraId="000000B6">
      <w:pPr>
        <w:numPr>
          <w:ilvl w:val="1"/>
          <w:numId w:val="45"/>
        </w:numPr>
        <w:ind w:left="720" w:hanging="360"/>
        <w:rPr>
          <w:b w:val="1"/>
        </w:rPr>
      </w:pPr>
      <w:r w:rsidDel="00000000" w:rsidR="00000000" w:rsidRPr="00000000">
        <w:rPr>
          <w:b w:val="1"/>
          <w:rtl w:val="0"/>
        </w:rPr>
        <w:t xml:space="preserve">Definition and Characteristics:</w:t>
      </w:r>
    </w:p>
    <w:p w:rsidR="00000000" w:rsidDel="00000000" w:rsidP="00000000" w:rsidRDefault="00000000" w:rsidRPr="00000000" w14:paraId="000000B7">
      <w:pPr>
        <w:numPr>
          <w:ilvl w:val="0"/>
          <w:numId w:val="11"/>
        </w:numPr>
        <w:ind w:left="720" w:hanging="360"/>
        <w:rPr>
          <w:sz w:val="24"/>
          <w:szCs w:val="24"/>
        </w:rPr>
      </w:pPr>
      <w:r w:rsidDel="00000000" w:rsidR="00000000" w:rsidRPr="00000000">
        <w:rPr>
          <w:b w:val="1"/>
          <w:sz w:val="24"/>
          <w:szCs w:val="24"/>
          <w:rtl w:val="0"/>
        </w:rPr>
        <w:t xml:space="preserve">Uncertainty:</w:t>
      </w:r>
      <w:r w:rsidDel="00000000" w:rsidR="00000000" w:rsidRPr="00000000">
        <w:rPr>
          <w:sz w:val="24"/>
          <w:szCs w:val="24"/>
          <w:rtl w:val="0"/>
        </w:rPr>
        <w:t xml:space="preserve"> HTVI are characterized by their significant uncertainty at the time of the transaction regarding their value.</w:t>
      </w:r>
    </w:p>
    <w:p w:rsidR="00000000" w:rsidDel="00000000" w:rsidP="00000000" w:rsidRDefault="00000000" w:rsidRPr="00000000" w14:paraId="000000B8">
      <w:pPr>
        <w:numPr>
          <w:ilvl w:val="0"/>
          <w:numId w:val="11"/>
        </w:numPr>
        <w:ind w:left="720" w:hanging="360"/>
        <w:rPr>
          <w:sz w:val="24"/>
          <w:szCs w:val="24"/>
        </w:rPr>
      </w:pPr>
      <w:r w:rsidDel="00000000" w:rsidR="00000000" w:rsidRPr="00000000">
        <w:rPr>
          <w:b w:val="1"/>
          <w:sz w:val="24"/>
          <w:szCs w:val="24"/>
          <w:rtl w:val="0"/>
        </w:rPr>
        <w:t xml:space="preserve">Lack of Comparables:</w:t>
      </w:r>
      <w:r w:rsidDel="00000000" w:rsidR="00000000" w:rsidRPr="00000000">
        <w:rPr>
          <w:sz w:val="24"/>
          <w:szCs w:val="24"/>
          <w:rtl w:val="0"/>
        </w:rPr>
        <w:t xml:space="preserve"> These intangibles often lack reliable comparables, making it difficult to apply traditional transfer pricing methods.</w:t>
      </w:r>
    </w:p>
    <w:p w:rsidR="00000000" w:rsidDel="00000000" w:rsidP="00000000" w:rsidRDefault="00000000" w:rsidRPr="00000000" w14:paraId="000000B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sz w:val="24"/>
          <w:szCs w:val="24"/>
          <w:rtl w:val="0"/>
        </w:rPr>
        <w:t xml:space="preserve">Guidance and Approaches:</w:t>
      </w:r>
      <w:r w:rsidDel="00000000" w:rsidR="00000000" w:rsidRPr="00000000">
        <w:rPr>
          <w:rtl w:val="0"/>
        </w:rPr>
      </w:r>
    </w:p>
    <w:p w:rsidR="00000000" w:rsidDel="00000000" w:rsidP="00000000" w:rsidRDefault="00000000" w:rsidRPr="00000000" w14:paraId="000000BA">
      <w:pPr>
        <w:numPr>
          <w:ilvl w:val="0"/>
          <w:numId w:val="12"/>
        </w:numPr>
        <w:ind w:left="720" w:hanging="360"/>
        <w:rPr>
          <w:sz w:val="24"/>
          <w:szCs w:val="24"/>
        </w:rPr>
      </w:pPr>
      <w:r w:rsidDel="00000000" w:rsidR="00000000" w:rsidRPr="00000000">
        <w:rPr>
          <w:b w:val="1"/>
          <w:sz w:val="24"/>
          <w:szCs w:val="24"/>
          <w:rtl w:val="0"/>
        </w:rPr>
        <w:t xml:space="preserve">Ex-Post Outcomes as Evidence:</w:t>
      </w:r>
      <w:r w:rsidDel="00000000" w:rsidR="00000000" w:rsidRPr="00000000">
        <w:rPr>
          <w:sz w:val="24"/>
          <w:szCs w:val="24"/>
          <w:rtl w:val="0"/>
        </w:rPr>
        <w:t xml:space="preserve"> The guidelines allow tax administrations to use ex-post outcomes (actual results) as presumptive evidence of the appropriateness of ex-ante pricing arrangements. This approach aims to reduce information asymmetry between taxpayers and tax authorities.</w:t>
      </w:r>
    </w:p>
    <w:p w:rsidR="00000000" w:rsidDel="00000000" w:rsidP="00000000" w:rsidRDefault="00000000" w:rsidRPr="00000000" w14:paraId="000000BB">
      <w:pPr>
        <w:numPr>
          <w:ilvl w:val="0"/>
          <w:numId w:val="12"/>
        </w:numPr>
        <w:ind w:left="720" w:hanging="360"/>
        <w:rPr>
          <w:sz w:val="24"/>
          <w:szCs w:val="24"/>
        </w:rPr>
      </w:pPr>
      <w:r w:rsidDel="00000000" w:rsidR="00000000" w:rsidRPr="00000000">
        <w:rPr>
          <w:b w:val="1"/>
          <w:sz w:val="24"/>
          <w:szCs w:val="24"/>
          <w:rtl w:val="0"/>
        </w:rPr>
        <w:t xml:space="preserve">Adjustments:</w:t>
      </w:r>
      <w:r w:rsidDel="00000000" w:rsidR="00000000" w:rsidRPr="00000000">
        <w:rPr>
          <w:sz w:val="24"/>
          <w:szCs w:val="24"/>
          <w:rtl w:val="0"/>
        </w:rPr>
        <w:t xml:space="preserve"> If the actual financial outcomes deviate significantly from the projections used in the pricing of HTVI, adjustments can be made to ensure the prices reflect the arm's length principle.</w:t>
      </w:r>
    </w:p>
    <w:p w:rsidR="00000000" w:rsidDel="00000000" w:rsidP="00000000" w:rsidRDefault="00000000" w:rsidRPr="00000000" w14:paraId="000000B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Challenges:</w:t>
      </w:r>
      <w:r w:rsidDel="00000000" w:rsidR="00000000" w:rsidRPr="00000000">
        <w:rPr>
          <w:rtl w:val="0"/>
        </w:rPr>
      </w:r>
    </w:p>
    <w:p w:rsidR="00000000" w:rsidDel="00000000" w:rsidP="00000000" w:rsidRDefault="00000000" w:rsidRPr="00000000" w14:paraId="000000BD">
      <w:pPr>
        <w:numPr>
          <w:ilvl w:val="0"/>
          <w:numId w:val="13"/>
        </w:numPr>
        <w:ind w:left="720" w:hanging="360"/>
        <w:rPr>
          <w:sz w:val="24"/>
          <w:szCs w:val="24"/>
        </w:rPr>
      </w:pPr>
      <w:r w:rsidDel="00000000" w:rsidR="00000000" w:rsidRPr="00000000">
        <w:rPr>
          <w:b w:val="1"/>
          <w:sz w:val="24"/>
          <w:szCs w:val="24"/>
          <w:rtl w:val="0"/>
        </w:rPr>
        <w:t xml:space="preserve">Sector-Specific Applications:</w:t>
      </w:r>
      <w:r w:rsidDel="00000000" w:rsidR="00000000" w:rsidRPr="00000000">
        <w:rPr>
          <w:sz w:val="24"/>
          <w:szCs w:val="24"/>
          <w:rtl w:val="0"/>
        </w:rPr>
        <w:t xml:space="preserve"> HTVI are particularly relevant in high-tech industries, pharmaceuticals, and other sectors where the future profitability of intangibles is highly unpredictable.</w:t>
      </w:r>
    </w:p>
    <w:p w:rsidR="00000000" w:rsidDel="00000000" w:rsidP="00000000" w:rsidRDefault="00000000" w:rsidRPr="00000000" w14:paraId="000000BE">
      <w:pPr>
        <w:numPr>
          <w:ilvl w:val="0"/>
          <w:numId w:val="13"/>
        </w:numPr>
        <w:ind w:left="720" w:hanging="360"/>
        <w:rPr>
          <w:sz w:val="24"/>
          <w:szCs w:val="24"/>
        </w:rPr>
      </w:pPr>
      <w:r w:rsidDel="00000000" w:rsidR="00000000" w:rsidRPr="00000000">
        <w:rPr>
          <w:b w:val="1"/>
          <w:sz w:val="24"/>
          <w:szCs w:val="24"/>
          <w:rtl w:val="0"/>
        </w:rPr>
        <w:t xml:space="preserve">Compliance and Dispute Resolution:</w:t>
      </w:r>
      <w:r w:rsidDel="00000000" w:rsidR="00000000" w:rsidRPr="00000000">
        <w:rPr>
          <w:sz w:val="24"/>
          <w:szCs w:val="24"/>
          <w:rtl w:val="0"/>
        </w:rPr>
        <w:t xml:space="preserve"> Proper documentation and robust economic analyses are crucial to support the initial valuations and mitigate potential disputes with tax authorities.</w:t>
      </w:r>
    </w:p>
    <w:p w:rsidR="00000000" w:rsidDel="00000000" w:rsidP="00000000" w:rsidRDefault="00000000" w:rsidRPr="00000000" w14:paraId="000000BF">
      <w:pPr>
        <w:rPr>
          <w:sz w:val="24"/>
          <w:szCs w:val="24"/>
        </w:rPr>
      </w:pPr>
      <w:r w:rsidDel="00000000" w:rsidR="00000000" w:rsidRPr="00000000">
        <w:rPr>
          <w:sz w:val="24"/>
          <w:szCs w:val="24"/>
          <w:rtl w:val="0"/>
        </w:rPr>
        <w:t xml:space="preserve">The guidance on HTVI aims to ensure that transfer pricing outcomes reflect the economic reality and address the challenges posed by the uncertainty and lack of comparability of these intangibles.</w:t>
      </w:r>
    </w:p>
    <w:p w:rsidR="00000000" w:rsidDel="00000000" w:rsidP="00000000" w:rsidRDefault="00000000" w:rsidRPr="00000000" w14:paraId="000000C0">
      <w:pPr>
        <w:rPr>
          <w:sz w:val="24"/>
          <w:szCs w:val="24"/>
        </w:rPr>
      </w:pPr>
      <w:r w:rsidDel="00000000" w:rsidR="00000000" w:rsidRPr="00000000">
        <w:rPr>
          <w:b w:val="1"/>
          <w:sz w:val="24"/>
          <w:szCs w:val="24"/>
          <w:rtl w:val="0"/>
        </w:rPr>
        <w:t xml:space="preserve">Analysis:</w:t>
      </w:r>
      <w:r w:rsidDel="00000000" w:rsidR="00000000" w:rsidRPr="00000000">
        <w:rPr>
          <w:sz w:val="24"/>
          <w:szCs w:val="24"/>
          <w:rtl w:val="0"/>
        </w:rPr>
        <w:t xml:space="preserve"> The HTVI guidelines are designed to bridge the gap between the uncertainties inherent in the valuation of intangibles and the need for tax authorities to ensure that transfer prices are consistent with the arm's length principle. By allowing for the use of ex-post outcomes, the OECD aims to create a balanced approach where the realities of the market and the intentions at the time of the transaction are both considered. This approach can mitigate disputes but also requires MNEs to maintain thorough documentation and robust initial valuations to justify their pricing decisions.</w:t>
      </w:r>
    </w:p>
    <w:p w:rsidR="00000000" w:rsidDel="00000000" w:rsidP="00000000" w:rsidRDefault="00000000" w:rsidRPr="00000000" w14:paraId="000000C1">
      <w:pPr>
        <w:pStyle w:val="Heading2"/>
        <w:numPr>
          <w:ilvl w:val="0"/>
          <w:numId w:val="45"/>
        </w:numPr>
        <w:spacing w:after="0" w:before="240" w:line="278.00000000000006" w:lineRule="auto"/>
        <w:ind w:left="720" w:hanging="360"/>
        <w:rPr/>
      </w:pPr>
      <w:bookmarkStart w:colFirst="0" w:colLast="0" w:name="_heading=h.1u90nkvhuvz9" w:id="20"/>
      <w:bookmarkEnd w:id="20"/>
      <w:r w:rsidDel="00000000" w:rsidR="00000000" w:rsidRPr="00000000">
        <w:rPr>
          <w:rtl w:val="0"/>
        </w:rPr>
        <w:t xml:space="preserve">Low-Value Adding Intra-Group Services</w:t>
      </w:r>
    </w:p>
    <w:p w:rsidR="00000000" w:rsidDel="00000000" w:rsidP="00000000" w:rsidRDefault="00000000" w:rsidRPr="00000000" w14:paraId="000000C2">
      <w:pPr>
        <w:rPr>
          <w:sz w:val="24"/>
          <w:szCs w:val="24"/>
        </w:rPr>
      </w:pPr>
      <w:r w:rsidDel="00000000" w:rsidR="00000000" w:rsidRPr="00000000">
        <w:rPr>
          <w:sz w:val="24"/>
          <w:szCs w:val="24"/>
          <w:rtl w:val="0"/>
        </w:rPr>
        <w:t xml:space="preserve">Low-value adding intra-group services are routine services provided within an MNE that do not contribute significantly to the creation of value. Chapter VII of the OECD Transfer Pricing Guidelines provides simplified approaches for pricing these services to reduce the compliance burden.</w:t>
      </w:r>
    </w:p>
    <w:p w:rsidR="00000000" w:rsidDel="00000000" w:rsidP="00000000" w:rsidRDefault="00000000" w:rsidRPr="00000000" w14:paraId="000000C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sz w:val="24"/>
          <w:szCs w:val="24"/>
          <w:rtl w:val="0"/>
        </w:rPr>
        <w:t xml:space="preserve">Definition and Characteristics:</w:t>
      </w:r>
      <w:r w:rsidDel="00000000" w:rsidR="00000000" w:rsidRPr="00000000">
        <w:rPr>
          <w:rtl w:val="0"/>
        </w:rPr>
      </w:r>
    </w:p>
    <w:p w:rsidR="00000000" w:rsidDel="00000000" w:rsidP="00000000" w:rsidRDefault="00000000" w:rsidRPr="00000000" w14:paraId="000000C4">
      <w:pPr>
        <w:numPr>
          <w:ilvl w:val="0"/>
          <w:numId w:val="7"/>
        </w:numPr>
        <w:ind w:left="720" w:hanging="360"/>
        <w:rPr>
          <w:sz w:val="24"/>
          <w:szCs w:val="24"/>
        </w:rPr>
      </w:pPr>
      <w:r w:rsidDel="00000000" w:rsidR="00000000" w:rsidRPr="00000000">
        <w:rPr>
          <w:b w:val="1"/>
          <w:sz w:val="24"/>
          <w:szCs w:val="24"/>
          <w:rtl w:val="0"/>
        </w:rPr>
        <w:t xml:space="preserve">Routine Nature:</w:t>
      </w:r>
      <w:r w:rsidDel="00000000" w:rsidR="00000000" w:rsidRPr="00000000">
        <w:rPr>
          <w:sz w:val="24"/>
          <w:szCs w:val="24"/>
          <w:rtl w:val="0"/>
        </w:rPr>
        <w:t xml:space="preserve"> These services are of a supportive nature and are not part of the core business activities of the MNE.</w:t>
      </w:r>
    </w:p>
    <w:p w:rsidR="00000000" w:rsidDel="00000000" w:rsidP="00000000" w:rsidRDefault="00000000" w:rsidRPr="00000000" w14:paraId="000000C5">
      <w:pPr>
        <w:numPr>
          <w:ilvl w:val="0"/>
          <w:numId w:val="7"/>
        </w:numPr>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 Common examples include administrative services, accounting, legal, IT support, and human resources.</w:t>
      </w:r>
    </w:p>
    <w:p w:rsidR="00000000" w:rsidDel="00000000" w:rsidP="00000000" w:rsidRDefault="00000000" w:rsidRPr="00000000" w14:paraId="000000C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Simplified</w:t>
      </w:r>
      <w:r w:rsidDel="00000000" w:rsidR="00000000" w:rsidRPr="00000000">
        <w:rPr>
          <w:b w:val="1"/>
          <w:sz w:val="24"/>
          <w:szCs w:val="24"/>
          <w:rtl w:val="0"/>
        </w:rPr>
        <w:t xml:space="preserve"> Approach:</w:t>
      </w:r>
      <w:r w:rsidDel="00000000" w:rsidR="00000000" w:rsidRPr="00000000">
        <w:rPr>
          <w:rtl w:val="0"/>
        </w:rPr>
      </w:r>
    </w:p>
    <w:p w:rsidR="00000000" w:rsidDel="00000000" w:rsidP="00000000" w:rsidRDefault="00000000" w:rsidRPr="00000000" w14:paraId="000000C7">
      <w:pPr>
        <w:numPr>
          <w:ilvl w:val="0"/>
          <w:numId w:val="17"/>
        </w:numPr>
        <w:ind w:left="720" w:hanging="360"/>
        <w:rPr>
          <w:sz w:val="24"/>
          <w:szCs w:val="24"/>
        </w:rPr>
      </w:pPr>
      <w:r w:rsidDel="00000000" w:rsidR="00000000" w:rsidRPr="00000000">
        <w:rPr>
          <w:b w:val="1"/>
          <w:sz w:val="24"/>
          <w:szCs w:val="24"/>
          <w:rtl w:val="0"/>
        </w:rPr>
        <w:t xml:space="preserve">Safe Harbour Provisions:</w:t>
      </w:r>
      <w:r w:rsidDel="00000000" w:rsidR="00000000" w:rsidRPr="00000000">
        <w:rPr>
          <w:sz w:val="24"/>
          <w:szCs w:val="24"/>
          <w:rtl w:val="0"/>
        </w:rPr>
        <w:t xml:space="preserve"> The guidelines propose a simplified approach, including a standard mark-up on costs (5% mark-up), for low-value adding services. This safe harbour provision aims to streamline the compliance process and reduce disputes.</w:t>
      </w:r>
    </w:p>
    <w:p w:rsidR="00000000" w:rsidDel="00000000" w:rsidP="00000000" w:rsidRDefault="00000000" w:rsidRPr="00000000" w14:paraId="000000C8">
      <w:pPr>
        <w:numPr>
          <w:ilvl w:val="0"/>
          <w:numId w:val="17"/>
        </w:numPr>
        <w:ind w:left="720" w:hanging="360"/>
        <w:rPr>
          <w:sz w:val="24"/>
          <w:szCs w:val="24"/>
        </w:rPr>
      </w:pPr>
      <w:r w:rsidDel="00000000" w:rsidR="00000000" w:rsidRPr="00000000">
        <w:rPr>
          <w:b w:val="1"/>
          <w:sz w:val="24"/>
          <w:szCs w:val="24"/>
          <w:rtl w:val="0"/>
        </w:rPr>
        <w:t xml:space="preserve">Cost Allocation:</w:t>
      </w:r>
      <w:r w:rsidDel="00000000" w:rsidR="00000000" w:rsidRPr="00000000">
        <w:rPr>
          <w:sz w:val="24"/>
          <w:szCs w:val="24"/>
          <w:rtl w:val="0"/>
        </w:rPr>
        <w:t xml:space="preserve"> Costs can be allocated based on a reasonable allocation key, such as the number of employees or the proportion of revenue.</w:t>
      </w:r>
    </w:p>
    <w:p w:rsidR="00000000" w:rsidDel="00000000" w:rsidP="00000000" w:rsidRDefault="00000000" w:rsidRPr="00000000" w14:paraId="000000C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Benefits:</w:t>
      </w:r>
      <w:r w:rsidDel="00000000" w:rsidR="00000000" w:rsidRPr="00000000">
        <w:rPr>
          <w:rtl w:val="0"/>
        </w:rPr>
      </w:r>
    </w:p>
    <w:p w:rsidR="00000000" w:rsidDel="00000000" w:rsidP="00000000" w:rsidRDefault="00000000" w:rsidRPr="00000000" w14:paraId="000000CA">
      <w:pPr>
        <w:numPr>
          <w:ilvl w:val="0"/>
          <w:numId w:val="39"/>
        </w:numPr>
        <w:ind w:left="720" w:hanging="360"/>
        <w:rPr>
          <w:sz w:val="24"/>
          <w:szCs w:val="24"/>
        </w:rPr>
      </w:pPr>
      <w:r w:rsidDel="00000000" w:rsidR="00000000" w:rsidRPr="00000000">
        <w:rPr>
          <w:b w:val="1"/>
          <w:sz w:val="24"/>
          <w:szCs w:val="24"/>
          <w:rtl w:val="0"/>
        </w:rPr>
        <w:t xml:space="preserve">Ease of Implementation:</w:t>
      </w:r>
      <w:r w:rsidDel="00000000" w:rsidR="00000000" w:rsidRPr="00000000">
        <w:rPr>
          <w:sz w:val="24"/>
          <w:szCs w:val="24"/>
          <w:rtl w:val="0"/>
        </w:rPr>
        <w:t xml:space="preserve"> The simplified approach is easy to implement and reduces the need for extensive documentation and benchmarking studies.</w:t>
      </w:r>
    </w:p>
    <w:p w:rsidR="00000000" w:rsidDel="00000000" w:rsidP="00000000" w:rsidRDefault="00000000" w:rsidRPr="00000000" w14:paraId="000000CB">
      <w:pPr>
        <w:numPr>
          <w:ilvl w:val="0"/>
          <w:numId w:val="39"/>
        </w:numPr>
        <w:ind w:left="720" w:hanging="360"/>
        <w:rPr>
          <w:sz w:val="24"/>
          <w:szCs w:val="24"/>
        </w:rPr>
      </w:pPr>
      <w:r w:rsidDel="00000000" w:rsidR="00000000" w:rsidRPr="00000000">
        <w:rPr>
          <w:b w:val="1"/>
          <w:sz w:val="24"/>
          <w:szCs w:val="24"/>
          <w:rtl w:val="0"/>
        </w:rPr>
        <w:t xml:space="preserve">Reduced Compliance Costs:</w:t>
      </w:r>
      <w:r w:rsidDel="00000000" w:rsidR="00000000" w:rsidRPr="00000000">
        <w:rPr>
          <w:sz w:val="24"/>
          <w:szCs w:val="24"/>
          <w:rtl w:val="0"/>
        </w:rPr>
        <w:t xml:space="preserve"> By adopting a standard mark-up, MNEs can reduce their compliance costs and focus their resources on more complex transfer pricing issues.</w:t>
      </w:r>
    </w:p>
    <w:p w:rsidR="00000000" w:rsidDel="00000000" w:rsidP="00000000" w:rsidRDefault="00000000" w:rsidRPr="00000000" w14:paraId="000000C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sz w:val="24"/>
          <w:szCs w:val="24"/>
          <w:rtl w:val="0"/>
        </w:rPr>
        <w:t xml:space="preserve">Challenges and Considerations:</w:t>
      </w:r>
      <w:r w:rsidDel="00000000" w:rsidR="00000000" w:rsidRPr="00000000">
        <w:rPr>
          <w:rtl w:val="0"/>
        </w:rPr>
      </w:r>
    </w:p>
    <w:p w:rsidR="00000000" w:rsidDel="00000000" w:rsidP="00000000" w:rsidRDefault="00000000" w:rsidRPr="00000000" w14:paraId="000000CD">
      <w:pPr>
        <w:numPr>
          <w:ilvl w:val="0"/>
          <w:numId w:val="53"/>
        </w:numPr>
        <w:ind w:left="720" w:hanging="360"/>
        <w:rPr>
          <w:sz w:val="24"/>
          <w:szCs w:val="24"/>
        </w:rPr>
      </w:pPr>
      <w:r w:rsidDel="00000000" w:rsidR="00000000" w:rsidRPr="00000000">
        <w:rPr>
          <w:b w:val="1"/>
          <w:sz w:val="24"/>
          <w:szCs w:val="24"/>
          <w:rtl w:val="0"/>
        </w:rPr>
        <w:t xml:space="preserve">Defining Low-Value Services:</w:t>
      </w:r>
      <w:r w:rsidDel="00000000" w:rsidR="00000000" w:rsidRPr="00000000">
        <w:rPr>
          <w:sz w:val="24"/>
          <w:szCs w:val="24"/>
          <w:rtl w:val="0"/>
        </w:rPr>
        <w:t xml:space="preserve"> Precisely defining what constitutes a low-value adding service is crucial to ensure the appropriate application of the simplified approach.</w:t>
      </w:r>
    </w:p>
    <w:p w:rsidR="00000000" w:rsidDel="00000000" w:rsidP="00000000" w:rsidRDefault="00000000" w:rsidRPr="00000000" w14:paraId="000000CE">
      <w:pPr>
        <w:numPr>
          <w:ilvl w:val="0"/>
          <w:numId w:val="53"/>
        </w:numPr>
        <w:ind w:left="720" w:hanging="360"/>
        <w:rPr>
          <w:sz w:val="24"/>
          <w:szCs w:val="24"/>
        </w:rPr>
      </w:pPr>
      <w:r w:rsidDel="00000000" w:rsidR="00000000" w:rsidRPr="00000000">
        <w:rPr>
          <w:b w:val="1"/>
          <w:sz w:val="24"/>
          <w:szCs w:val="24"/>
          <w:rtl w:val="0"/>
        </w:rPr>
        <w:t xml:space="preserve">Documentation Requirements:</w:t>
      </w:r>
      <w:r w:rsidDel="00000000" w:rsidR="00000000" w:rsidRPr="00000000">
        <w:rPr>
          <w:sz w:val="24"/>
          <w:szCs w:val="24"/>
          <w:rtl w:val="0"/>
        </w:rPr>
        <w:t xml:space="preserve"> Even with the simplified approach, adequate documentation is necessary to substantiate the classification of services and the applied mark-up.</w:t>
      </w:r>
    </w:p>
    <w:p w:rsidR="00000000" w:rsidDel="00000000" w:rsidP="00000000" w:rsidRDefault="00000000" w:rsidRPr="00000000" w14:paraId="000000CF">
      <w:pPr>
        <w:rPr>
          <w:sz w:val="24"/>
          <w:szCs w:val="24"/>
        </w:rPr>
      </w:pPr>
      <w:r w:rsidDel="00000000" w:rsidR="00000000" w:rsidRPr="00000000">
        <w:rPr>
          <w:sz w:val="24"/>
          <w:szCs w:val="24"/>
          <w:rtl w:val="0"/>
        </w:rPr>
        <w:t xml:space="preserve">The guidance on low-value adding intra-group services helps to standardize the treatment of these routine transactions, ensuring consistency and reducing the administrative burden for both taxpayers and tax authorities.</w:t>
      </w:r>
    </w:p>
    <w:p w:rsidR="00000000" w:rsidDel="00000000" w:rsidP="00000000" w:rsidRDefault="00000000" w:rsidRPr="00000000" w14:paraId="000000D0">
      <w:pPr>
        <w:rPr>
          <w:sz w:val="24"/>
          <w:szCs w:val="24"/>
        </w:rPr>
      </w:pPr>
      <w:r w:rsidDel="00000000" w:rsidR="00000000" w:rsidRPr="00000000">
        <w:rPr>
          <w:b w:val="1"/>
          <w:sz w:val="24"/>
          <w:szCs w:val="24"/>
          <w:rtl w:val="0"/>
        </w:rPr>
        <w:t xml:space="preserve">Analysis:</w:t>
      </w:r>
      <w:r w:rsidDel="00000000" w:rsidR="00000000" w:rsidRPr="00000000">
        <w:rPr>
          <w:sz w:val="24"/>
          <w:szCs w:val="24"/>
          <w:rtl w:val="0"/>
        </w:rPr>
        <w:t xml:space="preserve"> The OECD’s simplified approach to low-value adding services reflects a pragmatic understanding that not all intra-group transactions carry significant transfer pricing risks. By introducing safe harbour provisions, the OECD reduces the administrative burden on both MNEs and tax authorities, allowing resources to be focused on higher-risk areas. This simplification can lead to greater compliance and reduced disputes, provided the definitions and classifications are clear and uniformly applied.</w:t>
      </w:r>
    </w:p>
    <w:p w:rsidR="00000000" w:rsidDel="00000000" w:rsidP="00000000" w:rsidRDefault="00000000" w:rsidRPr="00000000" w14:paraId="000000D1">
      <w:pPr>
        <w:pStyle w:val="Heading2"/>
        <w:numPr>
          <w:ilvl w:val="0"/>
          <w:numId w:val="45"/>
        </w:numPr>
        <w:spacing w:after="0" w:before="240" w:line="278.00000000000006" w:lineRule="auto"/>
        <w:ind w:left="720" w:hanging="360"/>
        <w:rPr/>
      </w:pPr>
      <w:bookmarkStart w:colFirst="0" w:colLast="0" w:name="_heading=h.93021r1t2ul6" w:id="21"/>
      <w:bookmarkEnd w:id="21"/>
      <w:r w:rsidDel="00000000" w:rsidR="00000000" w:rsidRPr="00000000">
        <w:rPr>
          <w:rtl w:val="0"/>
        </w:rPr>
        <w:t xml:space="preserve">Cost Contribution/Sharing Agreements (CCAs)</w:t>
      </w:r>
    </w:p>
    <w:p w:rsidR="00000000" w:rsidDel="00000000" w:rsidP="00000000" w:rsidRDefault="00000000" w:rsidRPr="00000000" w14:paraId="000000D2">
      <w:pPr>
        <w:rPr>
          <w:sz w:val="24"/>
          <w:szCs w:val="24"/>
        </w:rPr>
      </w:pPr>
      <w:r w:rsidDel="00000000" w:rsidR="00000000" w:rsidRPr="00000000">
        <w:rPr>
          <w:sz w:val="24"/>
          <w:szCs w:val="24"/>
          <w:rtl w:val="0"/>
        </w:rPr>
        <w:t xml:space="preserve">Cost contribution agreements (CCAs) are arrangements where related parties share the costs and risks of developing, producing, or obtaining assets, services, or rights. Chapter VIII of the OECD Transfer Pricing Guidelines provides detailed guidance on CCAs, ensuring that contributions and benefits are aligned with the arm's length principle.</w:t>
      </w:r>
    </w:p>
    <w:p w:rsidR="00000000" w:rsidDel="00000000" w:rsidP="00000000" w:rsidRDefault="00000000" w:rsidRPr="00000000" w14:paraId="000000D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sz w:val="24"/>
          <w:szCs w:val="24"/>
          <w:rtl w:val="0"/>
        </w:rPr>
        <w:t xml:space="preserve">Definition and Characteristics:</w:t>
      </w:r>
      <w:r w:rsidDel="00000000" w:rsidR="00000000" w:rsidRPr="00000000">
        <w:rPr>
          <w:rtl w:val="0"/>
        </w:rPr>
      </w:r>
    </w:p>
    <w:p w:rsidR="00000000" w:rsidDel="00000000" w:rsidP="00000000" w:rsidRDefault="00000000" w:rsidRPr="00000000" w14:paraId="000000D4">
      <w:pPr>
        <w:numPr>
          <w:ilvl w:val="0"/>
          <w:numId w:val="54"/>
        </w:numPr>
        <w:ind w:left="720" w:hanging="360"/>
        <w:rPr>
          <w:sz w:val="24"/>
          <w:szCs w:val="24"/>
        </w:rPr>
      </w:pPr>
      <w:r w:rsidDel="00000000" w:rsidR="00000000" w:rsidRPr="00000000">
        <w:rPr>
          <w:b w:val="1"/>
          <w:sz w:val="24"/>
          <w:szCs w:val="24"/>
          <w:rtl w:val="0"/>
        </w:rPr>
        <w:t xml:space="preserve">Joint Development and Risk Sharing:</w:t>
      </w:r>
      <w:r w:rsidDel="00000000" w:rsidR="00000000" w:rsidRPr="00000000">
        <w:rPr>
          <w:sz w:val="24"/>
          <w:szCs w:val="24"/>
          <w:rtl w:val="0"/>
        </w:rPr>
        <w:t xml:space="preserve"> CCAs involve the joint development of intangibles or the sharing of services, where each participant bears a proportionate share of the costs and risks.</w:t>
      </w:r>
    </w:p>
    <w:p w:rsidR="00000000" w:rsidDel="00000000" w:rsidP="00000000" w:rsidRDefault="00000000" w:rsidRPr="00000000" w14:paraId="000000D5">
      <w:pPr>
        <w:numPr>
          <w:ilvl w:val="0"/>
          <w:numId w:val="54"/>
        </w:numPr>
        <w:ind w:left="720" w:hanging="360"/>
        <w:rPr>
          <w:sz w:val="24"/>
          <w:szCs w:val="24"/>
        </w:rPr>
      </w:pPr>
      <w:r w:rsidDel="00000000" w:rsidR="00000000" w:rsidRPr="00000000">
        <w:rPr>
          <w:b w:val="1"/>
          <w:sz w:val="24"/>
          <w:szCs w:val="24"/>
          <w:rtl w:val="0"/>
        </w:rPr>
        <w:t xml:space="preserve">Expected Benefits:</w:t>
      </w:r>
      <w:r w:rsidDel="00000000" w:rsidR="00000000" w:rsidRPr="00000000">
        <w:rPr>
          <w:sz w:val="24"/>
          <w:szCs w:val="24"/>
          <w:rtl w:val="0"/>
        </w:rPr>
        <w:t xml:space="preserve"> Participants are expected to receive benefits commensurate with their contributions.</w:t>
      </w:r>
    </w:p>
    <w:p w:rsidR="00000000" w:rsidDel="00000000" w:rsidP="00000000" w:rsidRDefault="00000000" w:rsidRPr="00000000" w14:paraId="000000D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Guidance</w:t>
      </w:r>
      <w:r w:rsidDel="00000000" w:rsidR="00000000" w:rsidRPr="00000000">
        <w:rPr>
          <w:b w:val="1"/>
          <w:sz w:val="24"/>
          <w:szCs w:val="24"/>
          <w:rtl w:val="0"/>
        </w:rPr>
        <w:t xml:space="preserve"> and Approaches:</w:t>
      </w:r>
      <w:r w:rsidDel="00000000" w:rsidR="00000000" w:rsidRPr="00000000">
        <w:rPr>
          <w:rtl w:val="0"/>
        </w:rPr>
      </w:r>
    </w:p>
    <w:p w:rsidR="00000000" w:rsidDel="00000000" w:rsidP="00000000" w:rsidRDefault="00000000" w:rsidRPr="00000000" w14:paraId="000000D7">
      <w:pPr>
        <w:numPr>
          <w:ilvl w:val="0"/>
          <w:numId w:val="8"/>
        </w:numPr>
        <w:ind w:left="720" w:hanging="360"/>
        <w:rPr>
          <w:sz w:val="24"/>
          <w:szCs w:val="24"/>
        </w:rPr>
      </w:pPr>
      <w:r w:rsidDel="00000000" w:rsidR="00000000" w:rsidRPr="00000000">
        <w:rPr>
          <w:b w:val="1"/>
          <w:sz w:val="24"/>
          <w:szCs w:val="24"/>
          <w:rtl w:val="0"/>
        </w:rPr>
        <w:t xml:space="preserve">Arm’s Length Contributions:</w:t>
      </w:r>
      <w:r w:rsidDel="00000000" w:rsidR="00000000" w:rsidRPr="00000000">
        <w:rPr>
          <w:sz w:val="24"/>
          <w:szCs w:val="24"/>
          <w:rtl w:val="0"/>
        </w:rPr>
        <w:t xml:space="preserve"> Contributions must be consistent with what independent parties would agree to under similar circumstances. This includes cash contributions, in-kind contributions, and contributions of existing assets or rights.</w:t>
      </w:r>
    </w:p>
    <w:p w:rsidR="00000000" w:rsidDel="00000000" w:rsidP="00000000" w:rsidRDefault="00000000" w:rsidRPr="00000000" w14:paraId="000000D8">
      <w:pPr>
        <w:numPr>
          <w:ilvl w:val="0"/>
          <w:numId w:val="8"/>
        </w:numPr>
        <w:ind w:left="720" w:hanging="360"/>
        <w:rPr>
          <w:sz w:val="24"/>
          <w:szCs w:val="24"/>
        </w:rPr>
      </w:pPr>
      <w:r w:rsidDel="00000000" w:rsidR="00000000" w:rsidRPr="00000000">
        <w:rPr>
          <w:b w:val="1"/>
          <w:sz w:val="24"/>
          <w:szCs w:val="24"/>
          <w:rtl w:val="0"/>
        </w:rPr>
        <w:t xml:space="preserve">Valuation and Allocation:</w:t>
      </w:r>
      <w:r w:rsidDel="00000000" w:rsidR="00000000" w:rsidRPr="00000000">
        <w:rPr>
          <w:sz w:val="24"/>
          <w:szCs w:val="24"/>
          <w:rtl w:val="0"/>
        </w:rPr>
        <w:t xml:space="preserve"> The value of contributions should be based on the arm's length principle, and the allocation of costs and benefits should reflect the relative value of each participant’s contribution.</w:t>
      </w:r>
    </w:p>
    <w:p w:rsidR="00000000" w:rsidDel="00000000" w:rsidP="00000000" w:rsidRDefault="00000000" w:rsidRPr="00000000" w14:paraId="000000D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Compliance:</w:t>
      </w:r>
      <w:r w:rsidDel="00000000" w:rsidR="00000000" w:rsidRPr="00000000">
        <w:rPr>
          <w:rtl w:val="0"/>
        </w:rPr>
      </w:r>
    </w:p>
    <w:p w:rsidR="00000000" w:rsidDel="00000000" w:rsidP="00000000" w:rsidRDefault="00000000" w:rsidRPr="00000000" w14:paraId="000000DA">
      <w:pPr>
        <w:numPr>
          <w:ilvl w:val="0"/>
          <w:numId w:val="31"/>
        </w:numPr>
        <w:ind w:left="720" w:hanging="360"/>
        <w:rPr>
          <w:sz w:val="24"/>
          <w:szCs w:val="24"/>
        </w:rPr>
      </w:pPr>
      <w:r w:rsidDel="00000000" w:rsidR="00000000" w:rsidRPr="00000000">
        <w:rPr>
          <w:b w:val="1"/>
          <w:sz w:val="24"/>
          <w:szCs w:val="24"/>
          <w:rtl w:val="0"/>
        </w:rPr>
        <w:t xml:space="preserve">Documentation Requirements:</w:t>
      </w:r>
      <w:r w:rsidDel="00000000" w:rsidR="00000000" w:rsidRPr="00000000">
        <w:rPr>
          <w:sz w:val="24"/>
          <w:szCs w:val="24"/>
          <w:rtl w:val="0"/>
        </w:rPr>
        <w:t xml:space="preserve"> Detailed documentation is required to support the contributions, expected benefits, and valuation methods used. This includes agreements, calculations of contributions, and projections of expected benefits.</w:t>
      </w:r>
    </w:p>
    <w:p w:rsidR="00000000" w:rsidDel="00000000" w:rsidP="00000000" w:rsidRDefault="00000000" w:rsidRPr="00000000" w14:paraId="000000DB">
      <w:pPr>
        <w:numPr>
          <w:ilvl w:val="0"/>
          <w:numId w:val="31"/>
        </w:numPr>
        <w:ind w:left="720" w:hanging="360"/>
        <w:rPr>
          <w:sz w:val="24"/>
          <w:szCs w:val="24"/>
        </w:rPr>
      </w:pPr>
      <w:r w:rsidDel="00000000" w:rsidR="00000000" w:rsidRPr="00000000">
        <w:rPr>
          <w:b w:val="1"/>
          <w:sz w:val="24"/>
          <w:szCs w:val="24"/>
          <w:rtl w:val="0"/>
        </w:rPr>
        <w:t xml:space="preserve">Sector-Specific Applications:</w:t>
      </w:r>
      <w:r w:rsidDel="00000000" w:rsidR="00000000" w:rsidRPr="00000000">
        <w:rPr>
          <w:sz w:val="24"/>
          <w:szCs w:val="24"/>
          <w:rtl w:val="0"/>
        </w:rPr>
        <w:t xml:space="preserve"> CCAs are common in industries with high R&amp;D costs, such as pharmaceuticals and technology, where joint development projects are prevalent.</w:t>
      </w:r>
    </w:p>
    <w:p w:rsidR="00000000" w:rsidDel="00000000" w:rsidP="00000000" w:rsidRDefault="00000000" w:rsidRPr="00000000" w14:paraId="000000DC">
      <w:pPr>
        <w:ind w:left="720" w:firstLine="0"/>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Challenges</w:t>
      </w:r>
      <w:r w:rsidDel="00000000" w:rsidR="00000000" w:rsidRPr="00000000">
        <w:rPr>
          <w:b w:val="1"/>
          <w:sz w:val="24"/>
          <w:szCs w:val="24"/>
          <w:rtl w:val="0"/>
        </w:rPr>
        <w:t xml:space="preserve"> and Considerations:</w:t>
      </w:r>
      <w:r w:rsidDel="00000000" w:rsidR="00000000" w:rsidRPr="00000000">
        <w:rPr>
          <w:rtl w:val="0"/>
        </w:rPr>
      </w:r>
    </w:p>
    <w:p w:rsidR="00000000" w:rsidDel="00000000" w:rsidP="00000000" w:rsidRDefault="00000000" w:rsidRPr="00000000" w14:paraId="000000DE">
      <w:pPr>
        <w:numPr>
          <w:ilvl w:val="0"/>
          <w:numId w:val="32"/>
        </w:numPr>
        <w:ind w:left="720" w:hanging="360"/>
        <w:rPr>
          <w:sz w:val="24"/>
          <w:szCs w:val="24"/>
        </w:rPr>
      </w:pPr>
      <w:r w:rsidDel="00000000" w:rsidR="00000000" w:rsidRPr="00000000">
        <w:rPr>
          <w:b w:val="1"/>
          <w:sz w:val="24"/>
          <w:szCs w:val="24"/>
          <w:rtl w:val="0"/>
        </w:rPr>
        <w:t xml:space="preserve">Complex Valuations:</w:t>
      </w:r>
      <w:r w:rsidDel="00000000" w:rsidR="00000000" w:rsidRPr="00000000">
        <w:rPr>
          <w:sz w:val="24"/>
          <w:szCs w:val="24"/>
          <w:rtl w:val="0"/>
        </w:rPr>
        <w:t xml:space="preserve"> Accurately valuing contributions and expected benefits can be complex, particularly for intangibles with uncertain future value.</w:t>
      </w:r>
    </w:p>
    <w:p w:rsidR="00000000" w:rsidDel="00000000" w:rsidP="00000000" w:rsidRDefault="00000000" w:rsidRPr="00000000" w14:paraId="000000DF">
      <w:pPr>
        <w:numPr>
          <w:ilvl w:val="0"/>
          <w:numId w:val="32"/>
        </w:numPr>
        <w:ind w:left="720" w:hanging="360"/>
        <w:rPr>
          <w:sz w:val="24"/>
          <w:szCs w:val="24"/>
        </w:rPr>
      </w:pPr>
      <w:r w:rsidDel="00000000" w:rsidR="00000000" w:rsidRPr="00000000">
        <w:rPr>
          <w:b w:val="1"/>
          <w:sz w:val="24"/>
          <w:szCs w:val="24"/>
          <w:rtl w:val="0"/>
        </w:rPr>
        <w:t xml:space="preserve">Monitoring and Adjustments:</w:t>
      </w:r>
      <w:r w:rsidDel="00000000" w:rsidR="00000000" w:rsidRPr="00000000">
        <w:rPr>
          <w:sz w:val="24"/>
          <w:szCs w:val="24"/>
          <w:rtl w:val="0"/>
        </w:rPr>
        <w:t xml:space="preserve"> Continuous monitoring and adjustments may be necessary to ensure that the allocations remain consistent with the arm's length principle over time.</w:t>
      </w:r>
    </w:p>
    <w:p w:rsidR="00000000" w:rsidDel="00000000" w:rsidP="00000000" w:rsidRDefault="00000000" w:rsidRPr="00000000" w14:paraId="000000E0">
      <w:pPr>
        <w:rPr>
          <w:sz w:val="24"/>
          <w:szCs w:val="24"/>
        </w:rPr>
      </w:pPr>
      <w:r w:rsidDel="00000000" w:rsidR="00000000" w:rsidRPr="00000000">
        <w:rPr>
          <w:sz w:val="24"/>
          <w:szCs w:val="24"/>
          <w:rtl w:val="0"/>
        </w:rPr>
        <w:t xml:space="preserve">The guidance on CCAs ensures that the allocation of costs and benefits among participants reflects the economic reality and aligns with the arm's length principle.</w:t>
      </w:r>
    </w:p>
    <w:p w:rsidR="00000000" w:rsidDel="00000000" w:rsidP="00000000" w:rsidRDefault="00000000" w:rsidRPr="00000000" w14:paraId="000000E1">
      <w:pPr>
        <w:rPr>
          <w:sz w:val="24"/>
          <w:szCs w:val="24"/>
        </w:rPr>
      </w:pPr>
      <w:r w:rsidDel="00000000" w:rsidR="00000000" w:rsidRPr="00000000">
        <w:rPr>
          <w:b w:val="1"/>
          <w:sz w:val="24"/>
          <w:szCs w:val="24"/>
          <w:rtl w:val="0"/>
        </w:rPr>
        <w:t xml:space="preserve">Analysis:</w:t>
      </w:r>
      <w:r w:rsidDel="00000000" w:rsidR="00000000" w:rsidRPr="00000000">
        <w:rPr>
          <w:sz w:val="24"/>
          <w:szCs w:val="24"/>
          <w:rtl w:val="0"/>
        </w:rPr>
        <w:t xml:space="preserve"> CCAs provide a collaborative framework for MNEs to develop and share assets, particularly intangibles. The OECD guidelines ensure that these agreements are structured in a way that aligns contributions and benefits with the arm's length principle. This approach encourages efficient resource allocation within MNEs while ensuring that transfer pricing risks are managed effectively. The complexity of valuing contributions and benefits underscores the need for robust documentation and ongoing adjustments to maintain compliance.</w:t>
      </w:r>
    </w:p>
    <w:p w:rsidR="00000000" w:rsidDel="00000000" w:rsidP="00000000" w:rsidRDefault="00000000" w:rsidRPr="00000000" w14:paraId="000000E2">
      <w:pPr>
        <w:pStyle w:val="Heading2"/>
        <w:numPr>
          <w:ilvl w:val="0"/>
          <w:numId w:val="45"/>
        </w:numPr>
        <w:spacing w:after="0" w:before="240" w:line="278.00000000000006" w:lineRule="auto"/>
        <w:ind w:left="720" w:hanging="360"/>
        <w:rPr/>
      </w:pPr>
      <w:bookmarkStart w:colFirst="0" w:colLast="0" w:name="_heading=h.eb2fd35k1cmv" w:id="22"/>
      <w:bookmarkEnd w:id="22"/>
      <w:r w:rsidDel="00000000" w:rsidR="00000000" w:rsidRPr="00000000">
        <w:rPr>
          <w:rtl w:val="0"/>
        </w:rPr>
        <w:t xml:space="preserve">Revised Safe Harbour Guidance</w:t>
      </w:r>
    </w:p>
    <w:p w:rsidR="00000000" w:rsidDel="00000000" w:rsidP="00000000" w:rsidRDefault="00000000" w:rsidRPr="00000000" w14:paraId="000000E3">
      <w:pPr>
        <w:rPr>
          <w:sz w:val="24"/>
          <w:szCs w:val="24"/>
        </w:rPr>
      </w:pPr>
      <w:r w:rsidDel="00000000" w:rsidR="00000000" w:rsidRPr="00000000">
        <w:rPr>
          <w:sz w:val="24"/>
          <w:szCs w:val="24"/>
          <w:rtl w:val="0"/>
        </w:rPr>
        <w:t xml:space="preserve">Safe harbour provisions provide simplified transfer pricing approaches that, if followed, offer protection from tax authority challenges. Chapter IV of the OECD Transfer Pricing Guidelines discusses safe harbours and provides updated guidance to enhance their application.</w:t>
      </w:r>
    </w:p>
    <w:p w:rsidR="00000000" w:rsidDel="00000000" w:rsidP="00000000" w:rsidRDefault="00000000" w:rsidRPr="00000000" w14:paraId="000000E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Definition</w:t>
      </w:r>
      <w:r w:rsidDel="00000000" w:rsidR="00000000" w:rsidRPr="00000000">
        <w:rPr>
          <w:b w:val="1"/>
          <w:sz w:val="24"/>
          <w:szCs w:val="24"/>
          <w:rtl w:val="0"/>
        </w:rPr>
        <w:t xml:space="preserve"> and Purpose:</w:t>
      </w:r>
      <w:r w:rsidDel="00000000" w:rsidR="00000000" w:rsidRPr="00000000">
        <w:rPr>
          <w:rtl w:val="0"/>
        </w:rPr>
      </w:r>
    </w:p>
    <w:p w:rsidR="00000000" w:rsidDel="00000000" w:rsidP="00000000" w:rsidRDefault="00000000" w:rsidRPr="00000000" w14:paraId="000000E5">
      <w:pPr>
        <w:numPr>
          <w:ilvl w:val="0"/>
          <w:numId w:val="33"/>
        </w:numPr>
        <w:ind w:left="720" w:hanging="360"/>
        <w:rPr>
          <w:sz w:val="24"/>
          <w:szCs w:val="24"/>
        </w:rPr>
      </w:pPr>
      <w:r w:rsidDel="00000000" w:rsidR="00000000" w:rsidRPr="00000000">
        <w:rPr>
          <w:b w:val="1"/>
          <w:sz w:val="24"/>
          <w:szCs w:val="24"/>
          <w:rtl w:val="0"/>
        </w:rPr>
        <w:t xml:space="preserve">Simplification:</w:t>
      </w:r>
      <w:r w:rsidDel="00000000" w:rsidR="00000000" w:rsidRPr="00000000">
        <w:rPr>
          <w:sz w:val="24"/>
          <w:szCs w:val="24"/>
          <w:rtl w:val="0"/>
        </w:rPr>
        <w:t xml:space="preserve"> Safe harbours aim to simplify compliance by providing clear, standardized rules for certain types of transactions.</w:t>
      </w:r>
    </w:p>
    <w:p w:rsidR="00000000" w:rsidDel="00000000" w:rsidP="00000000" w:rsidRDefault="00000000" w:rsidRPr="00000000" w14:paraId="000000E6">
      <w:pPr>
        <w:numPr>
          <w:ilvl w:val="0"/>
          <w:numId w:val="33"/>
        </w:numPr>
        <w:ind w:left="720" w:hanging="360"/>
        <w:rPr>
          <w:sz w:val="24"/>
          <w:szCs w:val="24"/>
        </w:rPr>
      </w:pPr>
      <w:r w:rsidDel="00000000" w:rsidR="00000000" w:rsidRPr="00000000">
        <w:rPr>
          <w:b w:val="1"/>
          <w:sz w:val="24"/>
          <w:szCs w:val="24"/>
          <w:rtl w:val="0"/>
        </w:rPr>
        <w:t xml:space="preserve">Certainty and Reduced Disputes:</w:t>
      </w:r>
      <w:r w:rsidDel="00000000" w:rsidR="00000000" w:rsidRPr="00000000">
        <w:rPr>
          <w:sz w:val="24"/>
          <w:szCs w:val="24"/>
          <w:rtl w:val="0"/>
        </w:rPr>
        <w:t xml:space="preserve"> They offer certainty to taxpayers and reduce the likelihood of disputes with tax authorities.</w:t>
      </w:r>
    </w:p>
    <w:p w:rsidR="00000000" w:rsidDel="00000000" w:rsidP="00000000" w:rsidRDefault="00000000" w:rsidRPr="00000000" w14:paraId="000000E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Revised</w:t>
      </w:r>
      <w:r w:rsidDel="00000000" w:rsidR="00000000" w:rsidRPr="00000000">
        <w:rPr>
          <w:b w:val="1"/>
          <w:sz w:val="24"/>
          <w:szCs w:val="24"/>
          <w:rtl w:val="0"/>
        </w:rPr>
        <w:t xml:space="preserve"> Guidance:</w:t>
      </w:r>
      <w:r w:rsidDel="00000000" w:rsidR="00000000" w:rsidRPr="00000000">
        <w:rPr>
          <w:rtl w:val="0"/>
        </w:rPr>
      </w:r>
    </w:p>
    <w:p w:rsidR="00000000" w:rsidDel="00000000" w:rsidP="00000000" w:rsidRDefault="00000000" w:rsidRPr="00000000" w14:paraId="000000E8">
      <w:pPr>
        <w:numPr>
          <w:ilvl w:val="0"/>
          <w:numId w:val="34"/>
        </w:numPr>
        <w:ind w:left="720" w:hanging="360"/>
        <w:rPr>
          <w:sz w:val="24"/>
          <w:szCs w:val="24"/>
        </w:rPr>
      </w:pPr>
      <w:r w:rsidDel="00000000" w:rsidR="00000000" w:rsidRPr="00000000">
        <w:rPr>
          <w:b w:val="1"/>
          <w:sz w:val="24"/>
          <w:szCs w:val="24"/>
          <w:rtl w:val="0"/>
        </w:rPr>
        <w:t xml:space="preserve">Scope and Conditions:</w:t>
      </w:r>
      <w:r w:rsidDel="00000000" w:rsidR="00000000" w:rsidRPr="00000000">
        <w:rPr>
          <w:sz w:val="24"/>
          <w:szCs w:val="24"/>
          <w:rtl w:val="0"/>
        </w:rPr>
        <w:t xml:space="preserve"> The guidelines provide detailed conditions under which safe harbours can be applied, including the types of transactions covered and the thresholds for eligibility.</w:t>
      </w:r>
    </w:p>
    <w:p w:rsidR="00000000" w:rsidDel="00000000" w:rsidP="00000000" w:rsidRDefault="00000000" w:rsidRPr="00000000" w14:paraId="000000E9">
      <w:pPr>
        <w:numPr>
          <w:ilvl w:val="0"/>
          <w:numId w:val="34"/>
        </w:numPr>
        <w:ind w:left="720" w:hanging="360"/>
        <w:rPr>
          <w:sz w:val="24"/>
          <w:szCs w:val="24"/>
        </w:rPr>
      </w:pPr>
      <w:r w:rsidDel="00000000" w:rsidR="00000000" w:rsidRPr="00000000">
        <w:rPr>
          <w:b w:val="1"/>
          <w:sz w:val="24"/>
          <w:szCs w:val="24"/>
          <w:rtl w:val="0"/>
        </w:rPr>
        <w:t xml:space="preserve">Standardized Mark-Ups:</w:t>
      </w:r>
      <w:r w:rsidDel="00000000" w:rsidR="00000000" w:rsidRPr="00000000">
        <w:rPr>
          <w:sz w:val="24"/>
          <w:szCs w:val="24"/>
          <w:rtl w:val="0"/>
        </w:rPr>
        <w:t xml:space="preserve"> For example, a standard mark-up on costs for low-value adding services simplifies the application of the arm's length principle.</w:t>
      </w:r>
    </w:p>
    <w:p w:rsidR="00000000" w:rsidDel="00000000" w:rsidP="00000000" w:rsidRDefault="00000000" w:rsidRPr="00000000" w14:paraId="000000E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Benefits:</w:t>
      </w:r>
      <w:r w:rsidDel="00000000" w:rsidR="00000000" w:rsidRPr="00000000">
        <w:rPr>
          <w:rtl w:val="0"/>
        </w:rPr>
      </w:r>
    </w:p>
    <w:p w:rsidR="00000000" w:rsidDel="00000000" w:rsidP="00000000" w:rsidRDefault="00000000" w:rsidRPr="00000000" w14:paraId="000000EB">
      <w:pPr>
        <w:numPr>
          <w:ilvl w:val="0"/>
          <w:numId w:val="35"/>
        </w:numPr>
        <w:ind w:left="720" w:hanging="360"/>
        <w:rPr>
          <w:sz w:val="24"/>
          <w:szCs w:val="24"/>
        </w:rPr>
      </w:pPr>
      <w:r w:rsidDel="00000000" w:rsidR="00000000" w:rsidRPr="00000000">
        <w:rPr>
          <w:b w:val="1"/>
          <w:sz w:val="24"/>
          <w:szCs w:val="24"/>
          <w:rtl w:val="0"/>
        </w:rPr>
        <w:t xml:space="preserve">Compliance Ease:</w:t>
      </w:r>
      <w:r w:rsidDel="00000000" w:rsidR="00000000" w:rsidRPr="00000000">
        <w:rPr>
          <w:sz w:val="24"/>
          <w:szCs w:val="24"/>
          <w:rtl w:val="0"/>
        </w:rPr>
        <w:t xml:space="preserve"> Safe harbours reduce the need for extensive documentation and complex analyses, easing the compliance burden for taxpayers.</w:t>
      </w:r>
    </w:p>
    <w:p w:rsidR="00000000" w:rsidDel="00000000" w:rsidP="00000000" w:rsidRDefault="00000000" w:rsidRPr="00000000" w14:paraId="000000EC">
      <w:pPr>
        <w:numPr>
          <w:ilvl w:val="0"/>
          <w:numId w:val="35"/>
        </w:numPr>
        <w:ind w:left="720" w:hanging="360"/>
        <w:rPr>
          <w:sz w:val="24"/>
          <w:szCs w:val="24"/>
        </w:rPr>
      </w:pPr>
      <w:r w:rsidDel="00000000" w:rsidR="00000000" w:rsidRPr="00000000">
        <w:rPr>
          <w:b w:val="1"/>
          <w:sz w:val="24"/>
          <w:szCs w:val="24"/>
          <w:rtl w:val="0"/>
        </w:rPr>
        <w:t xml:space="preserve">Risk Mitigation:</w:t>
      </w:r>
      <w:r w:rsidDel="00000000" w:rsidR="00000000" w:rsidRPr="00000000">
        <w:rPr>
          <w:sz w:val="24"/>
          <w:szCs w:val="24"/>
          <w:rtl w:val="0"/>
        </w:rPr>
        <w:t xml:space="preserve"> They provide a straightforward path to compliance, reducing the risk of adjustments and penalties.</w:t>
      </w:r>
    </w:p>
    <w:p w:rsidR="00000000" w:rsidDel="00000000" w:rsidP="00000000" w:rsidRDefault="00000000" w:rsidRPr="00000000" w14:paraId="000000E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Challenges</w:t>
      </w:r>
      <w:r w:rsidDel="00000000" w:rsidR="00000000" w:rsidRPr="00000000">
        <w:rPr>
          <w:b w:val="1"/>
          <w:sz w:val="24"/>
          <w:szCs w:val="24"/>
          <w:rtl w:val="0"/>
        </w:rPr>
        <w:t xml:space="preserve"> and Considerations:</w:t>
      </w:r>
      <w:r w:rsidDel="00000000" w:rsidR="00000000" w:rsidRPr="00000000">
        <w:rPr>
          <w:rtl w:val="0"/>
        </w:rPr>
      </w:r>
    </w:p>
    <w:p w:rsidR="00000000" w:rsidDel="00000000" w:rsidP="00000000" w:rsidRDefault="00000000" w:rsidRPr="00000000" w14:paraId="000000EE">
      <w:pPr>
        <w:numPr>
          <w:ilvl w:val="0"/>
          <w:numId w:val="46"/>
        </w:numPr>
        <w:ind w:left="720" w:hanging="360"/>
        <w:rPr>
          <w:sz w:val="24"/>
          <w:szCs w:val="24"/>
        </w:rPr>
      </w:pPr>
      <w:r w:rsidDel="00000000" w:rsidR="00000000" w:rsidRPr="00000000">
        <w:rPr>
          <w:b w:val="1"/>
          <w:sz w:val="24"/>
          <w:szCs w:val="24"/>
          <w:rtl w:val="0"/>
        </w:rPr>
        <w:t xml:space="preserve">Defining Scope:</w:t>
      </w:r>
      <w:r w:rsidDel="00000000" w:rsidR="00000000" w:rsidRPr="00000000">
        <w:rPr>
          <w:sz w:val="24"/>
          <w:szCs w:val="24"/>
          <w:rtl w:val="0"/>
        </w:rPr>
        <w:t xml:space="preserve"> Clearly defining the scope and eligibility for safe harbour provisions is crucial to prevent misuse and ensure appropriate application.</w:t>
      </w:r>
    </w:p>
    <w:p w:rsidR="00000000" w:rsidDel="00000000" w:rsidP="00000000" w:rsidRDefault="00000000" w:rsidRPr="00000000" w14:paraId="000000EF">
      <w:pPr>
        <w:numPr>
          <w:ilvl w:val="0"/>
          <w:numId w:val="46"/>
        </w:numPr>
        <w:ind w:left="720" w:hanging="360"/>
        <w:rPr>
          <w:sz w:val="24"/>
          <w:szCs w:val="24"/>
        </w:rPr>
      </w:pPr>
      <w:r w:rsidDel="00000000" w:rsidR="00000000" w:rsidRPr="00000000">
        <w:rPr>
          <w:b w:val="1"/>
          <w:sz w:val="24"/>
          <w:szCs w:val="24"/>
          <w:rtl w:val="0"/>
        </w:rPr>
        <w:t xml:space="preserve">Balancing Simplification and Precision:</w:t>
      </w:r>
      <w:r w:rsidDel="00000000" w:rsidR="00000000" w:rsidRPr="00000000">
        <w:rPr>
          <w:sz w:val="24"/>
          <w:szCs w:val="24"/>
          <w:rtl w:val="0"/>
        </w:rPr>
        <w:t xml:space="preserve"> While safe harbours simplify compliance, they must balance this with sufficient precision to maintain alignment with the arm's length principle.</w:t>
      </w:r>
    </w:p>
    <w:p w:rsidR="00000000" w:rsidDel="00000000" w:rsidP="00000000" w:rsidRDefault="00000000" w:rsidRPr="00000000" w14:paraId="000000F0">
      <w:pPr>
        <w:rPr>
          <w:sz w:val="24"/>
          <w:szCs w:val="24"/>
        </w:rPr>
      </w:pPr>
      <w:r w:rsidDel="00000000" w:rsidR="00000000" w:rsidRPr="00000000">
        <w:rPr>
          <w:sz w:val="24"/>
          <w:szCs w:val="24"/>
          <w:rtl w:val="0"/>
        </w:rPr>
        <w:t xml:space="preserve">The revised safe harbour guidance aims to provide clear, standardized rules that simplify compliance and reduce the risk of disputes, offering a practical approach for certain types of transactions.</w:t>
      </w:r>
    </w:p>
    <w:p w:rsidR="00000000" w:rsidDel="00000000" w:rsidP="00000000" w:rsidRDefault="00000000" w:rsidRPr="00000000" w14:paraId="000000F1">
      <w:pPr>
        <w:rPr>
          <w:sz w:val="24"/>
          <w:szCs w:val="24"/>
        </w:rPr>
      </w:pPr>
      <w:r w:rsidDel="00000000" w:rsidR="00000000" w:rsidRPr="00000000">
        <w:rPr>
          <w:b w:val="1"/>
          <w:sz w:val="24"/>
          <w:szCs w:val="24"/>
          <w:rtl w:val="0"/>
        </w:rPr>
        <w:t xml:space="preserve">Analysis:</w:t>
      </w:r>
      <w:r w:rsidDel="00000000" w:rsidR="00000000" w:rsidRPr="00000000">
        <w:rPr>
          <w:sz w:val="24"/>
          <w:szCs w:val="24"/>
          <w:rtl w:val="0"/>
        </w:rPr>
        <w:t xml:space="preserve"> Safe harbour provisions represent a balance between administrative efficiency and compliance accuracy. By providing standardized rules, the OECD reduces the administrative burden on MNEs and tax authorities, fostering a more cooperative compliance environment. However, ensuring that these provisions are not overly simplistic is crucial to maintaining the integrity of the arm's length principle. Properly defined and implemented, safe harbours can significantly reduce compliance costs and disputes.</w:t>
      </w:r>
    </w:p>
    <w:p w:rsidR="00000000" w:rsidDel="00000000" w:rsidP="00000000" w:rsidRDefault="00000000" w:rsidRPr="00000000" w14:paraId="000000F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b w:val="1"/>
        </w:rPr>
      </w:pPr>
      <w:r w:rsidDel="00000000" w:rsidR="00000000" w:rsidRPr="00000000">
        <w:rPr>
          <w:b w:val="1"/>
          <w:rtl w:val="0"/>
        </w:rPr>
        <w:t xml:space="preserve">Documentation</w:t>
      </w: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Proper documentation is essential for demonstrating compliance with the arm's length principle and supporting transfer pricing positions during tax audits. Chapter V of the OECD Transfer Pricing Guidelines outlines the documentation requirements, emphasizing the importance of transparency and consistency.</w:t>
      </w:r>
    </w:p>
    <w:p w:rsidR="00000000" w:rsidDel="00000000" w:rsidP="00000000" w:rsidRDefault="00000000" w:rsidRPr="00000000" w14:paraId="000000F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sz w:val="24"/>
          <w:szCs w:val="24"/>
          <w:rtl w:val="0"/>
        </w:rPr>
        <w:t xml:space="preserve">Documentation Requirements:</w:t>
      </w:r>
      <w:r w:rsidDel="00000000" w:rsidR="00000000" w:rsidRPr="00000000">
        <w:rPr>
          <w:rtl w:val="0"/>
        </w:rPr>
      </w:r>
    </w:p>
    <w:p w:rsidR="00000000" w:rsidDel="00000000" w:rsidP="00000000" w:rsidRDefault="00000000" w:rsidRPr="00000000" w14:paraId="000000F5">
      <w:pPr>
        <w:numPr>
          <w:ilvl w:val="0"/>
          <w:numId w:val="47"/>
        </w:numPr>
        <w:ind w:left="720" w:hanging="360"/>
        <w:rPr>
          <w:sz w:val="24"/>
          <w:szCs w:val="24"/>
        </w:rPr>
      </w:pPr>
      <w:r w:rsidDel="00000000" w:rsidR="00000000" w:rsidRPr="00000000">
        <w:rPr>
          <w:b w:val="1"/>
          <w:sz w:val="24"/>
          <w:szCs w:val="24"/>
          <w:rtl w:val="0"/>
        </w:rPr>
        <w:t xml:space="preserve">Master File:</w:t>
      </w:r>
      <w:r w:rsidDel="00000000" w:rsidR="00000000" w:rsidRPr="00000000">
        <w:rPr>
          <w:sz w:val="24"/>
          <w:szCs w:val="24"/>
          <w:rtl w:val="0"/>
        </w:rPr>
        <w:t xml:space="preserve"> Provides a high-level overview of the MNE’s global business operations, transfer pricing policies, and overall financial results. It includes information about the group’s organizational structure, business descriptions, intangibles, intercompany financial activities, and the MNE’s overall transfer pricing policy.</w:t>
      </w:r>
    </w:p>
    <w:p w:rsidR="00000000" w:rsidDel="00000000" w:rsidP="00000000" w:rsidRDefault="00000000" w:rsidRPr="00000000" w14:paraId="000000F6">
      <w:pPr>
        <w:numPr>
          <w:ilvl w:val="0"/>
          <w:numId w:val="47"/>
        </w:numPr>
        <w:ind w:left="720" w:hanging="360"/>
        <w:rPr>
          <w:sz w:val="24"/>
          <w:szCs w:val="24"/>
        </w:rPr>
      </w:pPr>
      <w:r w:rsidDel="00000000" w:rsidR="00000000" w:rsidRPr="00000000">
        <w:rPr>
          <w:b w:val="1"/>
          <w:sz w:val="24"/>
          <w:szCs w:val="24"/>
          <w:rtl w:val="0"/>
        </w:rPr>
        <w:t xml:space="preserve">Local File:</w:t>
      </w:r>
      <w:r w:rsidDel="00000000" w:rsidR="00000000" w:rsidRPr="00000000">
        <w:rPr>
          <w:sz w:val="24"/>
          <w:szCs w:val="24"/>
          <w:rtl w:val="0"/>
        </w:rPr>
        <w:t xml:space="preserve"> Contains detailed information about specific intercompany transactions affecting the local taxpayer. It includes details about the related parties involved, the nature of the controlled transactions, transfer pricing analyses, and comparable data used to determine the arm's length prices.</w:t>
      </w:r>
    </w:p>
    <w:p w:rsidR="00000000" w:rsidDel="00000000" w:rsidP="00000000" w:rsidRDefault="00000000" w:rsidRPr="00000000" w14:paraId="000000F7">
      <w:pPr>
        <w:numPr>
          <w:ilvl w:val="0"/>
          <w:numId w:val="47"/>
        </w:numPr>
        <w:ind w:left="720" w:hanging="360"/>
        <w:rPr>
          <w:sz w:val="24"/>
          <w:szCs w:val="24"/>
        </w:rPr>
      </w:pPr>
      <w:r w:rsidDel="00000000" w:rsidR="00000000" w:rsidRPr="00000000">
        <w:rPr>
          <w:b w:val="1"/>
          <w:sz w:val="24"/>
          <w:szCs w:val="24"/>
          <w:rtl w:val="0"/>
        </w:rPr>
        <w:t xml:space="preserve">Country-by-Country Report (CbCR):</w:t>
      </w:r>
      <w:r w:rsidDel="00000000" w:rsidR="00000000" w:rsidRPr="00000000">
        <w:rPr>
          <w:sz w:val="24"/>
          <w:szCs w:val="24"/>
          <w:rtl w:val="0"/>
        </w:rPr>
        <w:t xml:space="preserve"> Provides aggregated financial and tax information for each jurisdiction in which the MNE operates. It includes details about the global allocation of income, taxes paid, and certain indicators of economic activity within the group. The CbCR aims to enhance transparency and provide tax authorities with a comprehensive view of the MNE’s global operations.</w:t>
      </w:r>
    </w:p>
    <w:p w:rsidR="00000000" w:rsidDel="00000000" w:rsidP="00000000" w:rsidRDefault="00000000" w:rsidRPr="00000000" w14:paraId="000000F8">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sz w:val="24"/>
          <w:szCs w:val="24"/>
          <w:rtl w:val="0"/>
        </w:rPr>
        <w:t xml:space="preserve">Applications and Compliance:</w:t>
      </w:r>
      <w:r w:rsidDel="00000000" w:rsidR="00000000" w:rsidRPr="00000000">
        <w:rPr>
          <w:rtl w:val="0"/>
        </w:rPr>
      </w:r>
    </w:p>
    <w:p w:rsidR="00000000" w:rsidDel="00000000" w:rsidP="00000000" w:rsidRDefault="00000000" w:rsidRPr="00000000" w14:paraId="000000F9">
      <w:pPr>
        <w:numPr>
          <w:ilvl w:val="0"/>
          <w:numId w:val="48"/>
        </w:numPr>
        <w:ind w:left="720" w:hanging="360"/>
        <w:rPr>
          <w:sz w:val="24"/>
          <w:szCs w:val="24"/>
        </w:rPr>
      </w:pPr>
      <w:r w:rsidDel="00000000" w:rsidR="00000000" w:rsidRPr="00000000">
        <w:rPr>
          <w:b w:val="1"/>
          <w:sz w:val="24"/>
          <w:szCs w:val="24"/>
          <w:rtl w:val="0"/>
        </w:rPr>
        <w:t xml:space="preserve">Transparency and Consistency:</w:t>
      </w:r>
      <w:r w:rsidDel="00000000" w:rsidR="00000000" w:rsidRPr="00000000">
        <w:rPr>
          <w:sz w:val="24"/>
          <w:szCs w:val="24"/>
          <w:rtl w:val="0"/>
        </w:rPr>
        <w:t xml:space="preserve"> The standardized documentation requirements promote transparency and consistency in transfer pricing practices, making it easier for tax authorities to assess compliance with the arm's length principle.</w:t>
      </w:r>
    </w:p>
    <w:p w:rsidR="00000000" w:rsidDel="00000000" w:rsidP="00000000" w:rsidRDefault="00000000" w:rsidRPr="00000000" w14:paraId="000000FA">
      <w:pPr>
        <w:numPr>
          <w:ilvl w:val="0"/>
          <w:numId w:val="48"/>
        </w:numPr>
        <w:ind w:left="720" w:hanging="360"/>
        <w:rPr>
          <w:sz w:val="24"/>
          <w:szCs w:val="24"/>
        </w:rPr>
      </w:pPr>
      <w:r w:rsidDel="00000000" w:rsidR="00000000" w:rsidRPr="00000000">
        <w:rPr>
          <w:b w:val="1"/>
          <w:sz w:val="24"/>
          <w:szCs w:val="24"/>
          <w:rtl w:val="0"/>
        </w:rPr>
        <w:t xml:space="preserve">Risk Assessment:</w:t>
      </w:r>
      <w:r w:rsidDel="00000000" w:rsidR="00000000" w:rsidRPr="00000000">
        <w:rPr>
          <w:sz w:val="24"/>
          <w:szCs w:val="24"/>
          <w:rtl w:val="0"/>
        </w:rPr>
        <w:t xml:space="preserve"> Detailed documentation helps tax authorities identify and assess transfer pricing risks, enabling more targeted and effective audits.</w:t>
      </w:r>
    </w:p>
    <w:p w:rsidR="00000000" w:rsidDel="00000000" w:rsidP="00000000" w:rsidRDefault="00000000" w:rsidRPr="00000000" w14:paraId="000000FB">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sz w:val="24"/>
          <w:szCs w:val="24"/>
          <w:rtl w:val="0"/>
        </w:rPr>
        <w:t xml:space="preserve">Challenges and Considerations:</w:t>
      </w:r>
      <w:r w:rsidDel="00000000" w:rsidR="00000000" w:rsidRPr="00000000">
        <w:rPr>
          <w:rtl w:val="0"/>
        </w:rPr>
      </w:r>
    </w:p>
    <w:p w:rsidR="00000000" w:rsidDel="00000000" w:rsidP="00000000" w:rsidRDefault="00000000" w:rsidRPr="00000000" w14:paraId="000000FC">
      <w:pPr>
        <w:numPr>
          <w:ilvl w:val="0"/>
          <w:numId w:val="49"/>
        </w:numPr>
        <w:ind w:left="720" w:hanging="360"/>
        <w:rPr>
          <w:sz w:val="24"/>
          <w:szCs w:val="24"/>
        </w:rPr>
      </w:pPr>
      <w:r w:rsidDel="00000000" w:rsidR="00000000" w:rsidRPr="00000000">
        <w:rPr>
          <w:b w:val="1"/>
          <w:sz w:val="24"/>
          <w:szCs w:val="24"/>
          <w:rtl w:val="0"/>
        </w:rPr>
        <w:t xml:space="preserve">Resource Intensity:</w:t>
      </w:r>
      <w:r w:rsidDel="00000000" w:rsidR="00000000" w:rsidRPr="00000000">
        <w:rPr>
          <w:sz w:val="24"/>
          <w:szCs w:val="24"/>
          <w:rtl w:val="0"/>
        </w:rPr>
        <w:t xml:space="preserve"> Creating and maintaining comprehensive documentation can be resource-intensive for MNEs, requiring significant time and expertise.</w:t>
      </w:r>
    </w:p>
    <w:p w:rsidR="00000000" w:rsidDel="00000000" w:rsidP="00000000" w:rsidRDefault="00000000" w:rsidRPr="00000000" w14:paraId="000000FD">
      <w:pPr>
        <w:numPr>
          <w:ilvl w:val="0"/>
          <w:numId w:val="49"/>
        </w:numPr>
        <w:ind w:left="720" w:hanging="360"/>
        <w:rPr>
          <w:sz w:val="24"/>
          <w:szCs w:val="24"/>
        </w:rPr>
      </w:pPr>
      <w:r w:rsidDel="00000000" w:rsidR="00000000" w:rsidRPr="00000000">
        <w:rPr>
          <w:b w:val="1"/>
          <w:sz w:val="24"/>
          <w:szCs w:val="24"/>
          <w:rtl w:val="0"/>
        </w:rPr>
        <w:t xml:space="preserve">Global Consistency:</w:t>
      </w:r>
      <w:r w:rsidDel="00000000" w:rsidR="00000000" w:rsidRPr="00000000">
        <w:rPr>
          <w:sz w:val="24"/>
          <w:szCs w:val="24"/>
          <w:rtl w:val="0"/>
        </w:rPr>
        <w:t xml:space="preserve"> Ensuring consistency across multiple jurisdictions with differing documentation requirements can be challenging.</w:t>
      </w:r>
    </w:p>
    <w:p w:rsidR="00000000" w:rsidDel="00000000" w:rsidP="00000000" w:rsidRDefault="00000000" w:rsidRPr="00000000" w14:paraId="000000FE">
      <w:pPr>
        <w:numPr>
          <w:ilvl w:val="0"/>
          <w:numId w:val="49"/>
        </w:numPr>
        <w:ind w:left="720" w:hanging="360"/>
        <w:rPr>
          <w:sz w:val="24"/>
          <w:szCs w:val="24"/>
        </w:rPr>
      </w:pPr>
      <w:r w:rsidDel="00000000" w:rsidR="00000000" w:rsidRPr="00000000">
        <w:rPr>
          <w:b w:val="1"/>
          <w:sz w:val="24"/>
          <w:szCs w:val="24"/>
          <w:rtl w:val="0"/>
        </w:rPr>
        <w:t xml:space="preserve">Regular Updates:</w:t>
      </w:r>
      <w:r w:rsidDel="00000000" w:rsidR="00000000" w:rsidRPr="00000000">
        <w:rPr>
          <w:sz w:val="24"/>
          <w:szCs w:val="24"/>
          <w:rtl w:val="0"/>
        </w:rPr>
        <w:t xml:space="preserve"> Documentation must be regularly updated to reflect changes in business operations, economic conditions, and regulatory requirements.</w:t>
      </w:r>
    </w:p>
    <w:p w:rsidR="00000000" w:rsidDel="00000000" w:rsidP="00000000" w:rsidRDefault="00000000" w:rsidRPr="00000000" w14:paraId="000000FF">
      <w:pPr>
        <w:rPr>
          <w:sz w:val="24"/>
          <w:szCs w:val="24"/>
        </w:rPr>
      </w:pPr>
      <w:r w:rsidDel="00000000" w:rsidR="00000000" w:rsidRPr="00000000">
        <w:rPr>
          <w:sz w:val="24"/>
          <w:szCs w:val="24"/>
          <w:rtl w:val="0"/>
        </w:rPr>
        <w:t xml:space="preserve">The documentation requirements outlined in the OECD guidelines are crucial for ensuring compliance with transfer pricing regulations and supporting the arm's length principle. Proper documentation provides a transparent and consistent basis for assessing transfer pricing practices, reducing the risk of disputes and adjustments.</w:t>
      </w:r>
    </w:p>
    <w:p w:rsidR="00000000" w:rsidDel="00000000" w:rsidP="00000000" w:rsidRDefault="00000000" w:rsidRPr="00000000" w14:paraId="00000100">
      <w:pPr>
        <w:rPr>
          <w:sz w:val="24"/>
          <w:szCs w:val="24"/>
        </w:rPr>
      </w:pPr>
      <w:r w:rsidDel="00000000" w:rsidR="00000000" w:rsidRPr="00000000">
        <w:rPr>
          <w:b w:val="1"/>
          <w:sz w:val="24"/>
          <w:szCs w:val="24"/>
          <w:rtl w:val="0"/>
        </w:rPr>
        <w:t xml:space="preserve">Analysis:</w:t>
      </w:r>
      <w:r w:rsidDel="00000000" w:rsidR="00000000" w:rsidRPr="00000000">
        <w:rPr>
          <w:sz w:val="24"/>
          <w:szCs w:val="24"/>
          <w:rtl w:val="0"/>
        </w:rPr>
        <w:t xml:space="preserve"> The OECD’s documentation requirements reflect the need for transparency and consistency in transfer pricing practices. By standardizing documentation across jurisdictions, the guidelines promote a uniform approach to assessing transfer pricing risks and compliance. However, the resource intensity of creating and maintaining comprehensive documentation poses challenges for MNEs. Ensuring that documentation is up-to-date and consistent across all jurisdictions is critical for effective compliance and risk management.</w:t>
      </w:r>
    </w:p>
    <w:p w:rsidR="00000000" w:rsidDel="00000000" w:rsidP="00000000" w:rsidRDefault="00000000" w:rsidRPr="00000000" w14:paraId="00000101">
      <w:pPr>
        <w:pStyle w:val="Heading2"/>
        <w:numPr>
          <w:ilvl w:val="0"/>
          <w:numId w:val="45"/>
        </w:numPr>
        <w:spacing w:after="0" w:before="240" w:line="278.00000000000006" w:lineRule="auto"/>
        <w:ind w:left="720" w:hanging="360"/>
        <w:rPr/>
      </w:pPr>
      <w:bookmarkStart w:colFirst="0" w:colLast="0" w:name="_heading=h.co7r8l6aau95" w:id="23"/>
      <w:bookmarkEnd w:id="23"/>
      <w:r w:rsidDel="00000000" w:rsidR="00000000" w:rsidRPr="00000000">
        <w:rPr>
          <w:rtl w:val="0"/>
        </w:rPr>
        <w:t xml:space="preserve">Annex to Chapter IV</w:t>
      </w:r>
    </w:p>
    <w:p w:rsidR="00000000" w:rsidDel="00000000" w:rsidP="00000000" w:rsidRDefault="00000000" w:rsidRPr="00000000" w14:paraId="00000102">
      <w:pPr>
        <w:spacing w:after="240" w:before="240" w:lineRule="auto"/>
        <w:ind w:left="0" w:firstLine="0"/>
        <w:rPr>
          <w:sz w:val="24"/>
          <w:szCs w:val="24"/>
        </w:rPr>
      </w:pPr>
      <w:r w:rsidDel="00000000" w:rsidR="00000000" w:rsidRPr="00000000">
        <w:rPr>
          <w:b w:val="1"/>
          <w:sz w:val="24"/>
          <w:szCs w:val="24"/>
          <w:rtl w:val="0"/>
        </w:rPr>
        <w:t xml:space="preserve">Chapter IV</w:t>
      </w:r>
      <w:r w:rsidDel="00000000" w:rsidR="00000000" w:rsidRPr="00000000">
        <w:rPr>
          <w:sz w:val="24"/>
          <w:szCs w:val="24"/>
          <w:rtl w:val="0"/>
        </w:rPr>
        <w:t xml:space="preserve"> deals with </w:t>
      </w:r>
      <w:r w:rsidDel="00000000" w:rsidR="00000000" w:rsidRPr="00000000">
        <w:rPr>
          <w:b w:val="1"/>
          <w:sz w:val="24"/>
          <w:szCs w:val="24"/>
          <w:rtl w:val="0"/>
        </w:rPr>
        <w:t xml:space="preserve">administrative approaches to avoid and resolve transfer pricing disputes</w:t>
      </w:r>
      <w:r w:rsidDel="00000000" w:rsidR="00000000" w:rsidRPr="00000000">
        <w:rPr>
          <w:sz w:val="24"/>
          <w:szCs w:val="24"/>
          <w:rtl w:val="0"/>
        </w:rPr>
        <w:t xml:space="preserve">—most notably through:</w:t>
      </w:r>
    </w:p>
    <w:p w:rsidR="00000000" w:rsidDel="00000000" w:rsidP="00000000" w:rsidRDefault="00000000" w:rsidRPr="00000000" w14:paraId="00000103">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Advance Pricing Arrangements (APAs)</w:t>
      </w:r>
    </w:p>
    <w:p w:rsidR="00000000" w:rsidDel="00000000" w:rsidP="00000000" w:rsidRDefault="00000000" w:rsidRPr="00000000" w14:paraId="00000104">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Mutual Agreement Procedures (MAPs)</w:t>
      </w:r>
    </w:p>
    <w:p w:rsidR="00000000" w:rsidDel="00000000" w:rsidP="00000000" w:rsidRDefault="00000000" w:rsidRPr="00000000" w14:paraId="00000105">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Safe harbors</w:t>
      </w:r>
    </w:p>
    <w:p w:rsidR="00000000" w:rsidDel="00000000" w:rsidP="00000000" w:rsidRDefault="00000000" w:rsidRPr="00000000" w14:paraId="00000106">
      <w:pPr>
        <w:spacing w:after="240" w:before="240" w:lineRule="auto"/>
        <w:ind w:left="0" w:firstLine="0"/>
        <w:rPr>
          <w:sz w:val="24"/>
          <w:szCs w:val="24"/>
        </w:rPr>
      </w:pPr>
      <w:r w:rsidDel="00000000" w:rsidR="00000000" w:rsidRPr="00000000">
        <w:rPr>
          <w:sz w:val="24"/>
          <w:szCs w:val="24"/>
          <w:rtl w:val="0"/>
        </w:rPr>
        <w:t xml:space="preserve">The aim is to reduce or eliminate double taxation and to enhance tax certainty by providing practical ways to prevent or settle transfer pricing disputes.</w:t>
      </w:r>
    </w:p>
    <w:p w:rsidR="00000000" w:rsidDel="00000000" w:rsidP="00000000" w:rsidRDefault="00000000" w:rsidRPr="00000000" w14:paraId="00000107">
      <w:pPr>
        <w:numPr>
          <w:ilvl w:val="1"/>
          <w:numId w:val="45"/>
        </w:numPr>
        <w:spacing w:after="200" w:before="240" w:line="278.00000000000006" w:lineRule="auto"/>
        <w:ind w:left="900" w:hanging="360"/>
        <w:jc w:val="both"/>
        <w:rPr>
          <w:b w:val="1"/>
        </w:rPr>
      </w:pPr>
      <w:r w:rsidDel="00000000" w:rsidR="00000000" w:rsidRPr="00000000">
        <w:rPr>
          <w:b w:val="1"/>
          <w:sz w:val="24"/>
          <w:szCs w:val="24"/>
          <w:rtl w:val="0"/>
        </w:rPr>
        <w:t xml:space="preserve">What the Annex Generally Covers</w:t>
      </w:r>
    </w:p>
    <w:p w:rsidR="00000000" w:rsidDel="00000000" w:rsidP="00000000" w:rsidRDefault="00000000" w:rsidRPr="00000000" w14:paraId="00000108">
      <w:pPr>
        <w:spacing w:after="240" w:before="0" w:lineRule="auto"/>
        <w:rPr>
          <w:sz w:val="24"/>
          <w:szCs w:val="24"/>
        </w:rPr>
      </w:pPr>
      <w:r w:rsidDel="00000000" w:rsidR="00000000" w:rsidRPr="00000000">
        <w:rPr>
          <w:sz w:val="24"/>
          <w:szCs w:val="24"/>
          <w:rtl w:val="0"/>
        </w:rPr>
        <w:t xml:space="preserve">The Annex to Chapter IV typically includes </w:t>
      </w:r>
      <w:r w:rsidDel="00000000" w:rsidR="00000000" w:rsidRPr="00000000">
        <w:rPr>
          <w:b w:val="1"/>
          <w:sz w:val="24"/>
          <w:szCs w:val="24"/>
          <w:rtl w:val="0"/>
        </w:rPr>
        <w:t xml:space="preserve">sample agreements, memoranda, or procedural guidance</w:t>
      </w:r>
      <w:r w:rsidDel="00000000" w:rsidR="00000000" w:rsidRPr="00000000">
        <w:rPr>
          <w:sz w:val="24"/>
          <w:szCs w:val="24"/>
          <w:rtl w:val="0"/>
        </w:rPr>
        <w:t xml:space="preserve"> related to dispute resolution and administrative approaches. This annex is where you can find concrete examples and templates that tax authorities and taxpayers might use in practice. Common elements include:</w:t>
      </w:r>
    </w:p>
    <w:p w:rsidR="00000000" w:rsidDel="00000000" w:rsidP="00000000" w:rsidRDefault="00000000" w:rsidRPr="00000000" w14:paraId="00000109">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90" w:right="0" w:hanging="360"/>
        <w:jc w:val="both"/>
        <w:rPr>
          <w:b w:val="1"/>
          <w:i w:val="1"/>
          <w:sz w:val="24"/>
          <w:szCs w:val="24"/>
        </w:rPr>
      </w:pPr>
      <w:r w:rsidDel="00000000" w:rsidR="00000000" w:rsidRPr="00000000">
        <w:rPr>
          <w:b w:val="1"/>
          <w:i w:val="1"/>
          <w:sz w:val="24"/>
          <w:szCs w:val="24"/>
          <w:rtl w:val="0"/>
        </w:rPr>
        <w:t xml:space="preserve">Sample Mutual Agreement Procedure (MAP) or APA Templates</w:t>
      </w:r>
    </w:p>
    <w:p w:rsidR="00000000" w:rsidDel="00000000" w:rsidP="00000000" w:rsidRDefault="00000000" w:rsidRPr="00000000" w14:paraId="0000010A">
      <w:pPr>
        <w:numPr>
          <w:ilvl w:val="0"/>
          <w:numId w:val="56"/>
        </w:numPr>
        <w:spacing w:after="0" w:afterAutospacing="0" w:before="200" w:beforeAutospacing="0" w:lineRule="auto"/>
        <w:ind w:left="720" w:hanging="360"/>
        <w:rPr>
          <w:sz w:val="24"/>
          <w:szCs w:val="24"/>
        </w:rPr>
      </w:pPr>
      <w:r w:rsidDel="00000000" w:rsidR="00000000" w:rsidRPr="00000000">
        <w:rPr>
          <w:sz w:val="24"/>
          <w:szCs w:val="24"/>
          <w:rtl w:val="0"/>
        </w:rPr>
        <w:t xml:space="preserve">Demonstrates the types of language and provisions that competent authorities often use to resolve double-taxation disputes or to agree on transfer pricing methods in advance.</w:t>
      </w:r>
    </w:p>
    <w:p w:rsidR="00000000" w:rsidDel="00000000" w:rsidP="00000000" w:rsidRDefault="00000000" w:rsidRPr="00000000" w14:paraId="0000010B">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Highlights key clauses, definitions, timelines, and the responsibilities of each party.</w:t>
      </w:r>
    </w:p>
    <w:p w:rsidR="00000000" w:rsidDel="00000000" w:rsidP="00000000" w:rsidRDefault="00000000" w:rsidRPr="00000000" w14:paraId="0000010C">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90" w:right="0" w:hanging="360"/>
        <w:jc w:val="both"/>
        <w:rPr>
          <w:b w:val="1"/>
          <w:i w:val="1"/>
          <w:sz w:val="24"/>
          <w:szCs w:val="24"/>
        </w:rPr>
      </w:pPr>
      <w:r w:rsidDel="00000000" w:rsidR="00000000" w:rsidRPr="00000000">
        <w:rPr>
          <w:b w:val="1"/>
          <w:i w:val="1"/>
          <w:sz w:val="24"/>
          <w:szCs w:val="24"/>
          <w:rtl w:val="0"/>
        </w:rPr>
        <w:t xml:space="preserve">Suggested Frameworks for Bilateral or Multilateral Negotiations</w:t>
      </w:r>
    </w:p>
    <w:p w:rsidR="00000000" w:rsidDel="00000000" w:rsidP="00000000" w:rsidRDefault="00000000" w:rsidRPr="00000000" w14:paraId="0000010D">
      <w:pPr>
        <w:numPr>
          <w:ilvl w:val="0"/>
          <w:numId w:val="1"/>
        </w:numPr>
        <w:spacing w:after="240" w:before="200" w:beforeAutospacing="0" w:lineRule="auto"/>
        <w:ind w:left="720" w:hanging="360"/>
        <w:rPr>
          <w:sz w:val="24"/>
          <w:szCs w:val="24"/>
        </w:rPr>
      </w:pPr>
      <w:r w:rsidDel="00000000" w:rsidR="00000000" w:rsidRPr="00000000">
        <w:rPr>
          <w:sz w:val="24"/>
          <w:szCs w:val="24"/>
          <w:rtl w:val="0"/>
        </w:rPr>
        <w:t xml:space="preserve">Sometimes, the Annex provides a framework for how two (or more) tax authorities might agree to a simplified or “safe harbor” transfer pricing arrangement covering specific transactions (e.g., low-risk distribution, routine services).</w:t>
      </w:r>
    </w:p>
    <w:p w:rsidR="00000000" w:rsidDel="00000000" w:rsidP="00000000" w:rsidRDefault="00000000" w:rsidRPr="00000000" w14:paraId="0000010E">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90" w:right="0" w:hanging="360"/>
        <w:jc w:val="both"/>
        <w:rPr>
          <w:b w:val="1"/>
          <w:i w:val="1"/>
          <w:sz w:val="24"/>
          <w:szCs w:val="24"/>
        </w:rPr>
      </w:pPr>
      <w:r w:rsidDel="00000000" w:rsidR="00000000" w:rsidRPr="00000000">
        <w:rPr>
          <w:b w:val="1"/>
          <w:i w:val="1"/>
          <w:sz w:val="24"/>
          <w:szCs w:val="24"/>
          <w:rtl w:val="0"/>
        </w:rPr>
        <w:t xml:space="preserve">Administrative Guidance &amp; Best Practices</w:t>
      </w:r>
    </w:p>
    <w:p w:rsidR="00000000" w:rsidDel="00000000" w:rsidP="00000000" w:rsidRDefault="00000000" w:rsidRPr="00000000" w14:paraId="0000010F">
      <w:pPr>
        <w:numPr>
          <w:ilvl w:val="0"/>
          <w:numId w:val="55"/>
        </w:numPr>
        <w:spacing w:after="0" w:afterAutospacing="0" w:before="200" w:beforeAutospacing="0" w:lineRule="auto"/>
        <w:ind w:left="720" w:hanging="360"/>
        <w:rPr>
          <w:sz w:val="24"/>
          <w:szCs w:val="24"/>
        </w:rPr>
      </w:pPr>
      <w:r w:rsidDel="00000000" w:rsidR="00000000" w:rsidRPr="00000000">
        <w:rPr>
          <w:sz w:val="24"/>
          <w:szCs w:val="24"/>
          <w:rtl w:val="0"/>
        </w:rPr>
        <w:t xml:space="preserve">Contains instructions or best practices for how tax administrations can cooperate more efficiently.</w:t>
      </w:r>
    </w:p>
    <w:p w:rsidR="00000000" w:rsidDel="00000000" w:rsidP="00000000" w:rsidRDefault="00000000" w:rsidRPr="00000000" w14:paraId="00000110">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Offers ideas about documentation, timelines, and dispute-resolution protocols.</w:t>
      </w:r>
    </w:p>
    <w:p w:rsidR="00000000" w:rsidDel="00000000" w:rsidP="00000000" w:rsidRDefault="00000000" w:rsidRPr="00000000" w14:paraId="00000111">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90" w:right="0" w:hanging="360"/>
        <w:jc w:val="both"/>
        <w:rPr>
          <w:b w:val="1"/>
          <w:i w:val="1"/>
          <w:sz w:val="24"/>
          <w:szCs w:val="24"/>
        </w:rPr>
      </w:pPr>
      <w:r w:rsidDel="00000000" w:rsidR="00000000" w:rsidRPr="00000000">
        <w:rPr>
          <w:b w:val="1"/>
          <w:i w:val="1"/>
          <w:sz w:val="24"/>
          <w:szCs w:val="24"/>
          <w:rtl w:val="0"/>
        </w:rPr>
        <w:t xml:space="preserve">Templates for Competent Authority Agreements</w:t>
      </w:r>
    </w:p>
    <w:p w:rsidR="00000000" w:rsidDel="00000000" w:rsidP="00000000" w:rsidRDefault="00000000" w:rsidRPr="00000000" w14:paraId="00000112">
      <w:pPr>
        <w:numPr>
          <w:ilvl w:val="0"/>
          <w:numId w:val="57"/>
        </w:numPr>
        <w:spacing w:after="0" w:afterAutospacing="0" w:before="200" w:beforeAutospacing="0" w:lineRule="auto"/>
        <w:ind w:left="720" w:hanging="360"/>
        <w:rPr>
          <w:sz w:val="24"/>
          <w:szCs w:val="24"/>
        </w:rPr>
      </w:pPr>
      <w:r w:rsidDel="00000000" w:rsidR="00000000" w:rsidRPr="00000000">
        <w:rPr>
          <w:sz w:val="24"/>
          <w:szCs w:val="24"/>
          <w:rtl w:val="0"/>
        </w:rPr>
        <w:t xml:space="preserve">These illustrate how two countries’ tax authorities might set out agreed principles for dealing with recurring or anticipated transfer pricing issues.</w:t>
      </w:r>
    </w:p>
    <w:p w:rsidR="00000000" w:rsidDel="00000000" w:rsidP="00000000" w:rsidRDefault="00000000" w:rsidRPr="00000000" w14:paraId="00000113">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Helps ensure both sides are aligned on the scope, methodology, and mechanics of how any adjustments will be made.</w:t>
      </w:r>
    </w:p>
    <w:p w:rsidR="00000000" w:rsidDel="00000000" w:rsidP="00000000" w:rsidRDefault="00000000" w:rsidRPr="00000000" w14:paraId="0000011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00" w:right="0" w:hanging="360"/>
        <w:jc w:val="both"/>
        <w:rPr>
          <w:b w:val="1"/>
        </w:rPr>
      </w:pPr>
      <w:r w:rsidDel="00000000" w:rsidR="00000000" w:rsidRPr="00000000">
        <w:rPr>
          <w:b w:val="1"/>
          <w:sz w:val="24"/>
          <w:szCs w:val="24"/>
          <w:rtl w:val="0"/>
        </w:rPr>
        <w:t xml:space="preserve">Practical Steps to Leverage the Annex</w:t>
      </w:r>
    </w:p>
    <w:p w:rsidR="00000000" w:rsidDel="00000000" w:rsidP="00000000" w:rsidRDefault="00000000" w:rsidRPr="00000000" w14:paraId="00000115">
      <w:pPr>
        <w:numPr>
          <w:ilvl w:val="0"/>
          <w:numId w:val="5"/>
        </w:numPr>
        <w:spacing w:after="0" w:afterAutospacing="0" w:before="20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Conduct a Self-Assessment:</w:t>
      </w:r>
      <w:r w:rsidDel="00000000" w:rsidR="00000000" w:rsidRPr="00000000">
        <w:rPr>
          <w:sz w:val="24"/>
          <w:szCs w:val="24"/>
          <w:rtl w:val="0"/>
        </w:rPr>
        <w:t xml:space="preserve"> Taxpayers seeking an APA or engaging in a MAP should evaluate their internal transfer pricing positions and documentation. Understanding how the Annex’s templates align with specific transactions can clarify which provisions may apply.</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Tailor the Templates:</w:t>
      </w:r>
      <w:r w:rsidDel="00000000" w:rsidR="00000000" w:rsidRPr="00000000">
        <w:rPr>
          <w:sz w:val="24"/>
          <w:szCs w:val="24"/>
          <w:rtl w:val="0"/>
        </w:rPr>
        <w:t xml:space="preserve"> While the Annex offers standardized approaches, taxpayers and tax authorities frequently need to adapt the language or scope to address unique facts, industries, or local legal requirements.</w:t>
      </w:r>
    </w:p>
    <w:p w:rsidR="00000000" w:rsidDel="00000000" w:rsidP="00000000" w:rsidRDefault="00000000" w:rsidRPr="00000000" w14:paraId="0000011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Coordinate with Stakeholders:</w:t>
      </w:r>
      <w:r w:rsidDel="00000000" w:rsidR="00000000" w:rsidRPr="00000000">
        <w:rPr>
          <w:sz w:val="24"/>
          <w:szCs w:val="24"/>
          <w:rtl w:val="0"/>
        </w:rPr>
        <w:t xml:space="preserve"> Successful adoption of the Annex’s guidance often requires collaboration across multiple functions—finance, legal, tax, and senior management. Ensuring early alignment of all stakeholders can facilitate a smoother negotiation process.</w:t>
      </w:r>
    </w:p>
    <w:p w:rsidR="00000000" w:rsidDel="00000000" w:rsidP="00000000" w:rsidRDefault="00000000" w:rsidRPr="00000000" w14:paraId="00000118">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200" w:afterAutospacing="0" w:before="240" w:line="278.00000000000006" w:lineRule="auto"/>
        <w:ind w:left="900" w:right="0" w:hanging="360"/>
        <w:jc w:val="both"/>
        <w:rPr>
          <w:b w:val="1"/>
        </w:rPr>
      </w:pPr>
      <w:r w:rsidDel="00000000" w:rsidR="00000000" w:rsidRPr="00000000">
        <w:rPr>
          <w:b w:val="1"/>
          <w:color w:val="000000"/>
          <w:sz w:val="24"/>
          <w:szCs w:val="24"/>
          <w:rtl w:val="0"/>
        </w:rPr>
        <w:t xml:space="preserve">Challenges and Considerations</w:t>
      </w:r>
    </w:p>
    <w:p w:rsidR="00000000" w:rsidDel="00000000" w:rsidP="00000000" w:rsidRDefault="00000000" w:rsidRPr="00000000" w14:paraId="00000119">
      <w:pPr>
        <w:numPr>
          <w:ilvl w:val="0"/>
          <w:numId w:val="2"/>
        </w:numPr>
        <w:spacing w:after="0" w:afterAutospacing="0" w:before="20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Complexity of Cross-Border Transactions:</w:t>
      </w:r>
      <w:r w:rsidDel="00000000" w:rsidR="00000000" w:rsidRPr="00000000">
        <w:rPr>
          <w:sz w:val="24"/>
          <w:szCs w:val="24"/>
          <w:rtl w:val="0"/>
        </w:rPr>
        <w:t xml:space="preserve"> The standardized frameworks in the Annex may not always fit highly complex or novel transactions. Parties must consider whether the templates need substantial customization.</w:t>
      </w:r>
    </w:p>
    <w:p w:rsidR="00000000" w:rsidDel="00000000" w:rsidP="00000000" w:rsidRDefault="00000000" w:rsidRPr="00000000" w14:paraId="000001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Varied Local Regulations:</w:t>
      </w:r>
      <w:r w:rsidDel="00000000" w:rsidR="00000000" w:rsidRPr="00000000">
        <w:rPr>
          <w:sz w:val="24"/>
          <w:szCs w:val="24"/>
          <w:rtl w:val="0"/>
        </w:rPr>
        <w:t xml:space="preserve"> Some jurisdictions might impose additional requirements or have interpretations that differ from the OECD’s guidance, potentially impacting the applicability of the Annex’s model agreements.</w:t>
      </w:r>
    </w:p>
    <w:p w:rsidR="00000000" w:rsidDel="00000000" w:rsidP="00000000" w:rsidRDefault="00000000" w:rsidRPr="00000000" w14:paraId="0000011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Resource Constraints:</w:t>
      </w:r>
      <w:r w:rsidDel="00000000" w:rsidR="00000000" w:rsidRPr="00000000">
        <w:rPr>
          <w:sz w:val="24"/>
          <w:szCs w:val="24"/>
          <w:rtl w:val="0"/>
        </w:rPr>
        <w:t xml:space="preserve"> Both tax administrations and taxpayers may face time and resource constraints when implementing the procedures or templates described in the Annex, leading to longer negotiation timelines for APAs or MAPs.</w:t>
      </w:r>
    </w:p>
    <w:p w:rsidR="00000000" w:rsidDel="00000000" w:rsidP="00000000" w:rsidRDefault="00000000" w:rsidRPr="00000000" w14:paraId="0000011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b w:val="1"/>
          <w:sz w:val="24"/>
          <w:szCs w:val="24"/>
          <w:rtl w:val="0"/>
        </w:rPr>
        <w:t xml:space="preserve">Strategic Use of Safe Harbors:</w:t>
      </w:r>
      <w:r w:rsidDel="00000000" w:rsidR="00000000" w:rsidRPr="00000000">
        <w:rPr>
          <w:sz w:val="24"/>
          <w:szCs w:val="24"/>
          <w:rtl w:val="0"/>
        </w:rPr>
        <w:t xml:space="preserve"> While safe harbors can reduce compliance burdens, they may not be available or advantageous in all countries. Evaluating the trade-offs between simplicity and accuracy is key.</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pStyle w:val="Heading1"/>
        <w:rPr/>
        <w:sectPr>
          <w:type w:val="nextPage"/>
          <w:pgSz w:h="16838" w:w="11906" w:orient="portrait"/>
          <w:pgMar w:bottom="1440" w:top="1440" w:left="1440" w:right="1440" w:header="708" w:footer="708"/>
        </w:sectPr>
      </w:pPr>
      <w:bookmarkStart w:colFirst="0" w:colLast="0" w:name="_heading=h.c9yyaohph8k5" w:id="24"/>
      <w:bookmarkEnd w:id="24"/>
      <w:r w:rsidDel="00000000" w:rsidR="00000000" w:rsidRPr="00000000">
        <w:rPr>
          <w:rtl w:val="0"/>
        </w:rPr>
      </w:r>
    </w:p>
    <w:p w:rsidR="00000000" w:rsidDel="00000000" w:rsidP="00000000" w:rsidRDefault="00000000" w:rsidRPr="00000000" w14:paraId="0000012C">
      <w:pPr>
        <w:pStyle w:val="Heading1"/>
        <w:jc w:val="left"/>
        <w:rPr/>
      </w:pPr>
      <w:bookmarkStart w:colFirst="0" w:colLast="0" w:name="_heading=h.2bn6wsx" w:id="25"/>
      <w:bookmarkEnd w:id="25"/>
      <w:r w:rsidDel="00000000" w:rsidR="00000000" w:rsidRPr="00000000">
        <w:rPr>
          <w:rtl w:val="0"/>
        </w:rPr>
        <w:t xml:space="preserve">E.4. RESOLUTION OF TRANSFER PRICING DISPUTES AND ADVANCE PRICING AGREEMENTS (APAS)</w:t>
      </w:r>
    </w:p>
    <w:p w:rsidR="00000000" w:rsidDel="00000000" w:rsidP="00000000" w:rsidRDefault="00000000" w:rsidRPr="00000000" w14:paraId="0000012D">
      <w:pPr>
        <w:rPr>
          <w:sz w:val="24"/>
          <w:szCs w:val="24"/>
        </w:rPr>
      </w:pPr>
      <w:r w:rsidDel="00000000" w:rsidR="00000000" w:rsidRPr="00000000">
        <w:rPr>
          <w:sz w:val="24"/>
          <w:szCs w:val="24"/>
          <w:rtl w:val="0"/>
        </w:rPr>
        <w:t xml:space="preserve">The resolution of transfer pricing disputes and the use of Advance Pricing Agreements (APAs) are vital aspects of the OECD Transfer Pricing Guidelines. These mechanisms provide a structured framework to address disagreements between taxpayers and tax authorities, ensuring adherence to the arm's length principle. This section explores various dispute resolution methods, the role of APAs, and their implications within the OECD guidelines, providing a detailed analysis of their application and impact.</w:t>
      </w:r>
    </w:p>
    <w:p w:rsidR="00000000" w:rsidDel="00000000" w:rsidP="00000000" w:rsidRDefault="00000000" w:rsidRPr="00000000" w14:paraId="0000012E">
      <w:pPr>
        <w:ind w:left="0" w:firstLine="0"/>
        <w:rPr>
          <w:b w:val="1"/>
        </w:rPr>
      </w:pPr>
      <w:r w:rsidDel="00000000" w:rsidR="00000000" w:rsidRPr="00000000">
        <w:rPr>
          <w:b w:val="1"/>
          <w:rtl w:val="0"/>
        </w:rPr>
        <w:t xml:space="preserve">Transfer Pricing Disputes</w:t>
      </w:r>
    </w:p>
    <w:p w:rsidR="00000000" w:rsidDel="00000000" w:rsidP="00000000" w:rsidRDefault="00000000" w:rsidRPr="00000000" w14:paraId="0000012F">
      <w:pPr>
        <w:rPr>
          <w:sz w:val="24"/>
          <w:szCs w:val="24"/>
        </w:rPr>
      </w:pPr>
      <w:r w:rsidDel="00000000" w:rsidR="00000000" w:rsidRPr="00000000">
        <w:rPr>
          <w:sz w:val="24"/>
          <w:szCs w:val="24"/>
          <w:rtl w:val="0"/>
        </w:rPr>
        <w:t xml:space="preserve">Transfer pricing disputes occur when tax authorities and taxpayers disagree on the appropriate arm's length price for intercompany transactions. These disputes can result in double taxation, increased compliance costs, and prolonged litigation. The OECD Transfer Pricing Guidelines offer several mechanisms to resolve these disputes efficiently and effectively.</w:t>
      </w:r>
    </w:p>
    <w:p w:rsidR="00000000" w:rsidDel="00000000" w:rsidP="00000000" w:rsidRDefault="00000000" w:rsidRPr="00000000" w14:paraId="00000130">
      <w:pPr>
        <w:pStyle w:val="Heading2"/>
        <w:numPr>
          <w:ilvl w:val="0"/>
          <w:numId w:val="41"/>
        </w:numPr>
        <w:spacing w:after="0" w:before="240" w:line="278.00000000000006" w:lineRule="auto"/>
        <w:ind w:left="720" w:hanging="360"/>
        <w:jc w:val="left"/>
        <w:rPr/>
      </w:pPr>
      <w:bookmarkStart w:colFirst="0" w:colLast="0" w:name="_heading=h.amuvo0q72fg6" w:id="26"/>
      <w:bookmarkEnd w:id="26"/>
      <w:r w:rsidDel="00000000" w:rsidR="00000000" w:rsidRPr="00000000">
        <w:rPr>
          <w:rtl w:val="0"/>
        </w:rPr>
        <w:t xml:space="preserve">Mutual Agreement Procedure (MAP)</w:t>
      </w:r>
    </w:p>
    <w:p w:rsidR="00000000" w:rsidDel="00000000" w:rsidP="00000000" w:rsidRDefault="00000000" w:rsidRPr="00000000" w14:paraId="00000131">
      <w:pPr>
        <w:rPr>
          <w:sz w:val="24"/>
          <w:szCs w:val="24"/>
        </w:rPr>
      </w:pPr>
      <w:r w:rsidDel="00000000" w:rsidR="00000000" w:rsidRPr="00000000">
        <w:rPr>
          <w:sz w:val="24"/>
          <w:szCs w:val="24"/>
          <w:rtl w:val="0"/>
        </w:rPr>
        <w:t xml:space="preserve">The Mutual Agreement Procedure (MAP) is a dispute resolution mechanism provided under tax treaties to resolve issues related to double taxation arising from transfer pricing adjustments. Chapter IV of the OECD Transfer Pricing Guidelines details the MAP process.</w:t>
      </w:r>
    </w:p>
    <w:p w:rsidR="00000000" w:rsidDel="00000000" w:rsidP="00000000" w:rsidRDefault="00000000" w:rsidRPr="00000000" w14:paraId="00000132">
      <w:pPr>
        <w:numPr>
          <w:ilvl w:val="1"/>
          <w:numId w:val="41"/>
        </w:numPr>
        <w:spacing w:after="0" w:before="240" w:line="278.00000000000006" w:lineRule="auto"/>
        <w:ind w:left="810" w:hanging="360"/>
        <w:rPr>
          <w:b w:val="1"/>
        </w:rPr>
      </w:pPr>
      <w:r w:rsidDel="00000000" w:rsidR="00000000" w:rsidRPr="00000000">
        <w:rPr>
          <w:b w:val="1"/>
          <w:rtl w:val="0"/>
        </w:rPr>
        <w:t xml:space="preserve">Key Features:</w:t>
      </w:r>
    </w:p>
    <w:p w:rsidR="00000000" w:rsidDel="00000000" w:rsidP="00000000" w:rsidRDefault="00000000" w:rsidRPr="00000000" w14:paraId="00000133">
      <w:pPr>
        <w:numPr>
          <w:ilvl w:val="0"/>
          <w:numId w:val="51"/>
        </w:numPr>
        <w:ind w:left="720" w:hanging="360"/>
        <w:rPr>
          <w:sz w:val="24"/>
          <w:szCs w:val="24"/>
        </w:rPr>
      </w:pPr>
      <w:r w:rsidDel="00000000" w:rsidR="00000000" w:rsidRPr="00000000">
        <w:rPr>
          <w:b w:val="1"/>
          <w:sz w:val="24"/>
          <w:szCs w:val="24"/>
          <w:rtl w:val="0"/>
        </w:rPr>
        <w:t xml:space="preserve">Bilateral Negotiations:</w:t>
      </w:r>
      <w:r w:rsidDel="00000000" w:rsidR="00000000" w:rsidRPr="00000000">
        <w:rPr>
          <w:sz w:val="24"/>
          <w:szCs w:val="24"/>
          <w:rtl w:val="0"/>
        </w:rPr>
        <w:t xml:space="preserve"> MAP involves negotiations between the competent authorities of the countries involved to reach a mutually agreeable solution. This bilateral approach ensures that both jurisdictions contribute to the resolution, promoting fairness and mutual respect.</w:t>
      </w:r>
    </w:p>
    <w:p w:rsidR="00000000" w:rsidDel="00000000" w:rsidP="00000000" w:rsidRDefault="00000000" w:rsidRPr="00000000" w14:paraId="00000134">
      <w:pPr>
        <w:numPr>
          <w:ilvl w:val="0"/>
          <w:numId w:val="51"/>
        </w:numPr>
        <w:ind w:left="720" w:hanging="360"/>
        <w:rPr>
          <w:sz w:val="24"/>
          <w:szCs w:val="24"/>
        </w:rPr>
      </w:pPr>
      <w:r w:rsidDel="00000000" w:rsidR="00000000" w:rsidRPr="00000000">
        <w:rPr>
          <w:b w:val="1"/>
          <w:sz w:val="24"/>
          <w:szCs w:val="24"/>
          <w:rtl w:val="0"/>
        </w:rPr>
        <w:t xml:space="preserve">Timeliness:</w:t>
      </w:r>
      <w:r w:rsidDel="00000000" w:rsidR="00000000" w:rsidRPr="00000000">
        <w:rPr>
          <w:sz w:val="24"/>
          <w:szCs w:val="24"/>
          <w:rtl w:val="0"/>
        </w:rPr>
        <w:t xml:space="preserve"> The OECD recommends resolving MAP cases within an average of 24 months to ensure timely resolution, providing certainty to taxpayers and reducing prolonged uncertainty.</w:t>
      </w:r>
    </w:p>
    <w:p w:rsidR="00000000" w:rsidDel="00000000" w:rsidP="00000000" w:rsidRDefault="00000000" w:rsidRPr="00000000" w14:paraId="0000013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sz w:val="24"/>
          <w:szCs w:val="24"/>
          <w:rtl w:val="0"/>
        </w:rPr>
        <w:t xml:space="preserve">Applications and Benefits:</w:t>
      </w:r>
      <w:r w:rsidDel="00000000" w:rsidR="00000000" w:rsidRPr="00000000">
        <w:rPr>
          <w:rtl w:val="0"/>
        </w:rPr>
      </w:r>
    </w:p>
    <w:p w:rsidR="00000000" w:rsidDel="00000000" w:rsidP="00000000" w:rsidRDefault="00000000" w:rsidRPr="00000000" w14:paraId="00000136">
      <w:pPr>
        <w:numPr>
          <w:ilvl w:val="0"/>
          <w:numId w:val="37"/>
        </w:numPr>
        <w:ind w:left="720" w:hanging="360"/>
        <w:rPr>
          <w:sz w:val="24"/>
          <w:szCs w:val="24"/>
        </w:rPr>
      </w:pPr>
      <w:r w:rsidDel="00000000" w:rsidR="00000000" w:rsidRPr="00000000">
        <w:rPr>
          <w:b w:val="1"/>
          <w:sz w:val="24"/>
          <w:szCs w:val="24"/>
          <w:rtl w:val="0"/>
        </w:rPr>
        <w:t xml:space="preserve">Avoiding Double Taxation:</w:t>
      </w:r>
      <w:r w:rsidDel="00000000" w:rsidR="00000000" w:rsidRPr="00000000">
        <w:rPr>
          <w:sz w:val="24"/>
          <w:szCs w:val="24"/>
          <w:rtl w:val="0"/>
        </w:rPr>
        <w:t xml:space="preserve"> MAP helps eliminate double taxation by allowing countries to agree on the appropriate allocation of profits, crucial for MNEs operating in multiple jurisdictions.</w:t>
      </w:r>
    </w:p>
    <w:p w:rsidR="00000000" w:rsidDel="00000000" w:rsidP="00000000" w:rsidRDefault="00000000" w:rsidRPr="00000000" w14:paraId="00000137">
      <w:pPr>
        <w:numPr>
          <w:ilvl w:val="0"/>
          <w:numId w:val="37"/>
        </w:numPr>
        <w:ind w:left="720" w:hanging="360"/>
        <w:rPr>
          <w:sz w:val="24"/>
          <w:szCs w:val="24"/>
        </w:rPr>
      </w:pPr>
      <w:r w:rsidDel="00000000" w:rsidR="00000000" w:rsidRPr="00000000">
        <w:rPr>
          <w:b w:val="1"/>
          <w:sz w:val="24"/>
          <w:szCs w:val="24"/>
          <w:rtl w:val="0"/>
        </w:rPr>
        <w:t xml:space="preserve">Improved Cooperation:</w:t>
      </w:r>
      <w:r w:rsidDel="00000000" w:rsidR="00000000" w:rsidRPr="00000000">
        <w:rPr>
          <w:sz w:val="24"/>
          <w:szCs w:val="24"/>
          <w:rtl w:val="0"/>
        </w:rPr>
        <w:t xml:space="preserve"> It promotes cooperation and communication between tax authorities, fostering a collaborative approach to dispute resolution.</w:t>
      </w:r>
    </w:p>
    <w:p w:rsidR="00000000" w:rsidDel="00000000" w:rsidP="00000000" w:rsidRDefault="00000000" w:rsidRPr="00000000" w14:paraId="0000013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Challenges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39">
      <w:pPr>
        <w:numPr>
          <w:ilvl w:val="0"/>
          <w:numId w:val="38"/>
        </w:numPr>
        <w:ind w:left="720" w:hanging="360"/>
        <w:rPr>
          <w:sz w:val="24"/>
          <w:szCs w:val="24"/>
        </w:rPr>
      </w:pPr>
      <w:r w:rsidDel="00000000" w:rsidR="00000000" w:rsidRPr="00000000">
        <w:rPr>
          <w:b w:val="1"/>
          <w:sz w:val="24"/>
          <w:szCs w:val="24"/>
          <w:rtl w:val="0"/>
        </w:rPr>
        <w:t xml:space="preserve">Lengthy Process:</w:t>
      </w:r>
      <w:r w:rsidDel="00000000" w:rsidR="00000000" w:rsidRPr="00000000">
        <w:rPr>
          <w:sz w:val="24"/>
          <w:szCs w:val="24"/>
          <w:rtl w:val="0"/>
        </w:rPr>
        <w:t xml:space="preserve"> Despite recommendations, MAP cases can take longer than expected, leading to taxpayer uncertainty. The complexity and need for detailed negotiations can contribute to delays.</w:t>
      </w:r>
    </w:p>
    <w:p w:rsidR="00000000" w:rsidDel="00000000" w:rsidP="00000000" w:rsidRDefault="00000000" w:rsidRPr="00000000" w14:paraId="0000013A">
      <w:pPr>
        <w:numPr>
          <w:ilvl w:val="0"/>
          <w:numId w:val="38"/>
        </w:numPr>
        <w:ind w:left="720" w:hanging="360"/>
        <w:rPr>
          <w:sz w:val="24"/>
          <w:szCs w:val="24"/>
        </w:rPr>
      </w:pPr>
      <w:r w:rsidDel="00000000" w:rsidR="00000000" w:rsidRPr="00000000">
        <w:rPr>
          <w:b w:val="1"/>
          <w:sz w:val="24"/>
          <w:szCs w:val="24"/>
          <w:rtl w:val="0"/>
        </w:rPr>
        <w:t xml:space="preserve">Resource Intensive:</w:t>
      </w:r>
      <w:r w:rsidDel="00000000" w:rsidR="00000000" w:rsidRPr="00000000">
        <w:rPr>
          <w:sz w:val="24"/>
          <w:szCs w:val="24"/>
          <w:rtl w:val="0"/>
        </w:rPr>
        <w:t xml:space="preserve"> The process requires significant resources and expertise from both tax authorities and taxpayers, challenging smaller tax administrations and businesses.</w:t>
      </w:r>
    </w:p>
    <w:p w:rsidR="00000000" w:rsidDel="00000000" w:rsidP="00000000" w:rsidRDefault="00000000" w:rsidRPr="00000000" w14:paraId="0000013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Analysis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The MAP mechanism is vital for resolving transfer pricing disputes and preventing double taxation. Its bilateral nature ensures both tax authorities have a stake in the resolution, promoting fairness and cooperation. However, its resource-intensive and sometimes lengthy nature highlights the need for streamlining and expediting MAP cases.</w:t>
      </w:r>
    </w:p>
    <w:p w:rsidR="00000000" w:rsidDel="00000000" w:rsidP="00000000" w:rsidRDefault="00000000" w:rsidRPr="00000000" w14:paraId="0000013D">
      <w:pPr>
        <w:pStyle w:val="Heading2"/>
        <w:numPr>
          <w:ilvl w:val="0"/>
          <w:numId w:val="41"/>
        </w:numPr>
        <w:spacing w:after="0" w:before="240" w:line="278.00000000000006" w:lineRule="auto"/>
        <w:ind w:left="720" w:hanging="360"/>
        <w:jc w:val="left"/>
        <w:rPr/>
      </w:pPr>
      <w:bookmarkStart w:colFirst="0" w:colLast="0" w:name="_heading=h.f8xtuan2i0x9" w:id="27"/>
      <w:bookmarkEnd w:id="27"/>
      <w:r w:rsidDel="00000000" w:rsidR="00000000" w:rsidRPr="00000000">
        <w:rPr>
          <w:rtl w:val="0"/>
        </w:rPr>
        <w:t xml:space="preserve">Arbitration</w:t>
      </w:r>
    </w:p>
    <w:p w:rsidR="00000000" w:rsidDel="00000000" w:rsidP="00000000" w:rsidRDefault="00000000" w:rsidRPr="00000000" w14:paraId="0000013E">
      <w:pPr>
        <w:rPr>
          <w:sz w:val="24"/>
          <w:szCs w:val="24"/>
        </w:rPr>
      </w:pPr>
      <w:r w:rsidDel="00000000" w:rsidR="00000000" w:rsidRPr="00000000">
        <w:rPr>
          <w:sz w:val="24"/>
          <w:szCs w:val="24"/>
          <w:rtl w:val="0"/>
        </w:rPr>
        <w:t xml:space="preserve">Arbitration extends the MAP process, involving a neutral third party making a binding decision if competent authorities cannot agree within a specified timeframe. The OECD Model Tax Convention includes provisions for arbitration to enhance MAP effectiveness.</w:t>
      </w:r>
    </w:p>
    <w:p w:rsidR="00000000" w:rsidDel="00000000" w:rsidP="00000000" w:rsidRDefault="00000000" w:rsidRPr="00000000" w14:paraId="0000013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sz w:val="24"/>
          <w:szCs w:val="24"/>
          <w:rtl w:val="0"/>
        </w:rPr>
        <w:t xml:space="preserve">Key Features:</w:t>
      </w:r>
      <w:r w:rsidDel="00000000" w:rsidR="00000000" w:rsidRPr="00000000">
        <w:rPr>
          <w:rtl w:val="0"/>
        </w:rPr>
      </w:r>
    </w:p>
    <w:p w:rsidR="00000000" w:rsidDel="00000000" w:rsidP="00000000" w:rsidRDefault="00000000" w:rsidRPr="00000000" w14:paraId="00000140">
      <w:pPr>
        <w:numPr>
          <w:ilvl w:val="0"/>
          <w:numId w:val="40"/>
        </w:numPr>
        <w:ind w:left="720" w:hanging="360"/>
        <w:rPr>
          <w:sz w:val="24"/>
          <w:szCs w:val="24"/>
        </w:rPr>
      </w:pPr>
      <w:r w:rsidDel="00000000" w:rsidR="00000000" w:rsidRPr="00000000">
        <w:rPr>
          <w:b w:val="1"/>
          <w:sz w:val="24"/>
          <w:szCs w:val="24"/>
          <w:rtl w:val="0"/>
        </w:rPr>
        <w:t xml:space="preserve">Binding Decision:</w:t>
      </w:r>
      <w:r w:rsidDel="00000000" w:rsidR="00000000" w:rsidRPr="00000000">
        <w:rPr>
          <w:sz w:val="24"/>
          <w:szCs w:val="24"/>
          <w:rtl w:val="0"/>
        </w:rPr>
        <w:t xml:space="preserve"> Arbitration results in a binding decision, providing certainty and finality to the dispute resolution process.</w:t>
      </w:r>
    </w:p>
    <w:p w:rsidR="00000000" w:rsidDel="00000000" w:rsidP="00000000" w:rsidRDefault="00000000" w:rsidRPr="00000000" w14:paraId="00000141">
      <w:pPr>
        <w:numPr>
          <w:ilvl w:val="0"/>
          <w:numId w:val="40"/>
        </w:numPr>
        <w:ind w:left="720" w:hanging="360"/>
        <w:rPr>
          <w:sz w:val="24"/>
          <w:szCs w:val="24"/>
        </w:rPr>
      </w:pPr>
      <w:r w:rsidDel="00000000" w:rsidR="00000000" w:rsidRPr="00000000">
        <w:rPr>
          <w:b w:val="1"/>
          <w:sz w:val="24"/>
          <w:szCs w:val="24"/>
          <w:rtl w:val="0"/>
        </w:rPr>
        <w:t xml:space="preserve">Impartiality:</w:t>
      </w:r>
      <w:r w:rsidDel="00000000" w:rsidR="00000000" w:rsidRPr="00000000">
        <w:rPr>
          <w:sz w:val="24"/>
          <w:szCs w:val="24"/>
          <w:rtl w:val="0"/>
        </w:rPr>
        <w:t xml:space="preserve"> A neutral arbitrator ensures an unbiased resolution of the dispute, crucial for maintaining process integrity and fair treatment.</w:t>
      </w:r>
    </w:p>
    <w:p w:rsidR="00000000" w:rsidDel="00000000" w:rsidP="00000000" w:rsidRDefault="00000000" w:rsidRPr="00000000" w14:paraId="0000014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Benefits:</w:t>
      </w:r>
      <w:r w:rsidDel="00000000" w:rsidR="00000000" w:rsidRPr="00000000">
        <w:rPr>
          <w:rtl w:val="0"/>
        </w:rPr>
      </w:r>
    </w:p>
    <w:p w:rsidR="00000000" w:rsidDel="00000000" w:rsidP="00000000" w:rsidRDefault="00000000" w:rsidRPr="00000000" w14:paraId="00000143">
      <w:pPr>
        <w:numPr>
          <w:ilvl w:val="0"/>
          <w:numId w:val="42"/>
        </w:numPr>
        <w:ind w:left="720" w:hanging="360"/>
        <w:rPr>
          <w:sz w:val="24"/>
          <w:szCs w:val="24"/>
        </w:rPr>
      </w:pPr>
      <w:r w:rsidDel="00000000" w:rsidR="00000000" w:rsidRPr="00000000">
        <w:rPr>
          <w:b w:val="1"/>
          <w:sz w:val="24"/>
          <w:szCs w:val="24"/>
          <w:rtl w:val="0"/>
        </w:rPr>
        <w:t xml:space="preserve">Timely Resolution:</w:t>
      </w:r>
      <w:r w:rsidDel="00000000" w:rsidR="00000000" w:rsidRPr="00000000">
        <w:rPr>
          <w:sz w:val="24"/>
          <w:szCs w:val="24"/>
          <w:rtl w:val="0"/>
        </w:rPr>
        <w:t xml:space="preserve"> Arbitration provides a time-bound resolution, reducing dispute duration and benefiting taxpayers needing certainty.</w:t>
      </w:r>
    </w:p>
    <w:p w:rsidR="00000000" w:rsidDel="00000000" w:rsidP="00000000" w:rsidRDefault="00000000" w:rsidRPr="00000000" w14:paraId="00000144">
      <w:pPr>
        <w:numPr>
          <w:ilvl w:val="0"/>
          <w:numId w:val="42"/>
        </w:numPr>
        <w:ind w:left="720" w:hanging="360"/>
        <w:rPr>
          <w:sz w:val="24"/>
          <w:szCs w:val="24"/>
        </w:rPr>
      </w:pPr>
      <w:r w:rsidDel="00000000" w:rsidR="00000000" w:rsidRPr="00000000">
        <w:rPr>
          <w:b w:val="1"/>
          <w:sz w:val="24"/>
          <w:szCs w:val="24"/>
          <w:rtl w:val="0"/>
        </w:rPr>
        <w:t xml:space="preserve">Certainty and Finality:</w:t>
      </w:r>
      <w:r w:rsidDel="00000000" w:rsidR="00000000" w:rsidRPr="00000000">
        <w:rPr>
          <w:sz w:val="24"/>
          <w:szCs w:val="24"/>
          <w:rtl w:val="0"/>
        </w:rPr>
        <w:t xml:space="preserve"> It offers a definitive outcome, providing clarity and stability for taxpayers, aiding in effective tax obligation management.</w:t>
      </w:r>
    </w:p>
    <w:p w:rsidR="00000000" w:rsidDel="00000000" w:rsidP="00000000" w:rsidRDefault="00000000" w:rsidRPr="00000000" w14:paraId="0000014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Challenges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46">
      <w:pPr>
        <w:numPr>
          <w:ilvl w:val="0"/>
          <w:numId w:val="43"/>
        </w:numPr>
        <w:ind w:left="720" w:hanging="360"/>
        <w:rPr>
          <w:sz w:val="24"/>
          <w:szCs w:val="24"/>
        </w:rPr>
      </w:pPr>
      <w:r w:rsidDel="00000000" w:rsidR="00000000" w:rsidRPr="00000000">
        <w:rPr>
          <w:b w:val="1"/>
          <w:sz w:val="24"/>
          <w:szCs w:val="24"/>
          <w:rtl w:val="0"/>
        </w:rPr>
        <w:t xml:space="preserve">Cost:</w:t>
      </w:r>
      <w:r w:rsidDel="00000000" w:rsidR="00000000" w:rsidRPr="00000000">
        <w:rPr>
          <w:sz w:val="24"/>
          <w:szCs w:val="24"/>
          <w:rtl w:val="0"/>
        </w:rPr>
        <w:t xml:space="preserve"> Arbitration can be costly due to external arbitrators and legal representation, posing a barrier for smaller businesses and tax administrations.</w:t>
      </w:r>
    </w:p>
    <w:p w:rsidR="00000000" w:rsidDel="00000000" w:rsidP="00000000" w:rsidRDefault="00000000" w:rsidRPr="00000000" w14:paraId="00000147">
      <w:pPr>
        <w:numPr>
          <w:ilvl w:val="0"/>
          <w:numId w:val="43"/>
        </w:numPr>
        <w:ind w:left="720" w:hanging="360"/>
        <w:rPr>
          <w:sz w:val="24"/>
          <w:szCs w:val="24"/>
        </w:rPr>
      </w:pPr>
      <w:r w:rsidDel="00000000" w:rsidR="00000000" w:rsidRPr="00000000">
        <w:rPr>
          <w:b w:val="1"/>
          <w:sz w:val="24"/>
          <w:szCs w:val="24"/>
          <w:rtl w:val="0"/>
        </w:rPr>
        <w:t xml:space="preserve">Complexity:</w:t>
      </w:r>
      <w:r w:rsidDel="00000000" w:rsidR="00000000" w:rsidRPr="00000000">
        <w:rPr>
          <w:sz w:val="24"/>
          <w:szCs w:val="24"/>
          <w:rtl w:val="0"/>
        </w:rPr>
        <w:t xml:space="preserve"> The process can be complex, requiring detailed preparation and evidence presentation, challenging parties lacking necessary expertise and resources.</w:t>
      </w:r>
    </w:p>
    <w:p w:rsidR="00000000" w:rsidDel="00000000" w:rsidP="00000000" w:rsidRDefault="00000000" w:rsidRPr="00000000" w14:paraId="0000014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Analysis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Arbitration provides a robust mechanism for resolving transfer pricing disputes when MAP negotiations fail. Its binding and impartial nature ensures fair and conclusive resolutions. However, the high costs and complexity highlight the need for careful consideration and preparation by all parties.</w:t>
      </w:r>
    </w:p>
    <w:p w:rsidR="00000000" w:rsidDel="00000000" w:rsidP="00000000" w:rsidRDefault="00000000" w:rsidRPr="00000000" w14:paraId="0000014A">
      <w:pPr>
        <w:pStyle w:val="Heading2"/>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pPr>
      <w:bookmarkStart w:colFirst="0" w:colLast="0" w:name="_heading=h.fvlklulkh0az" w:id="28"/>
      <w:bookmarkEnd w:id="28"/>
      <w:r w:rsidDel="00000000" w:rsidR="00000000" w:rsidRPr="00000000">
        <w:rPr>
          <w:rtl w:val="0"/>
        </w:rPr>
        <w:t xml:space="preserve">Advance Pricing Agreements (APAs)</w:t>
      </w:r>
    </w:p>
    <w:p w:rsidR="00000000" w:rsidDel="00000000" w:rsidP="00000000" w:rsidRDefault="00000000" w:rsidRPr="00000000" w14:paraId="0000014B">
      <w:pPr>
        <w:rPr>
          <w:sz w:val="24"/>
          <w:szCs w:val="24"/>
        </w:rPr>
      </w:pPr>
      <w:r w:rsidDel="00000000" w:rsidR="00000000" w:rsidRPr="00000000">
        <w:rPr>
          <w:sz w:val="24"/>
          <w:szCs w:val="24"/>
          <w:rtl w:val="0"/>
        </w:rPr>
        <w:t xml:space="preserve">Advance Pricing Agreements (APAs) are proactive tools allowing taxpayers and tax authorities to agree on the transfer pricing methodology for future transactions, providing certainty and reducing dispute risks by establishing clear guidelines in advance.</w:t>
      </w:r>
    </w:p>
    <w:p w:rsidR="00000000" w:rsidDel="00000000" w:rsidP="00000000" w:rsidRDefault="00000000" w:rsidRPr="00000000" w14:paraId="0000014C">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Types</w:t>
      </w:r>
      <w:r w:rsidDel="00000000" w:rsidR="00000000" w:rsidRPr="00000000">
        <w:rPr>
          <w:b w:val="1"/>
          <w:sz w:val="24"/>
          <w:szCs w:val="24"/>
          <w:rtl w:val="0"/>
        </w:rPr>
        <w:t xml:space="preserve"> of APAs:</w:t>
      </w:r>
      <w:r w:rsidDel="00000000" w:rsidR="00000000" w:rsidRPr="00000000">
        <w:rPr>
          <w:rtl w:val="0"/>
        </w:rPr>
      </w:r>
    </w:p>
    <w:p w:rsidR="00000000" w:rsidDel="00000000" w:rsidP="00000000" w:rsidRDefault="00000000" w:rsidRPr="00000000" w14:paraId="0000014D">
      <w:pPr>
        <w:numPr>
          <w:ilvl w:val="0"/>
          <w:numId w:val="44"/>
        </w:numPr>
        <w:ind w:left="720" w:hanging="360"/>
        <w:rPr>
          <w:sz w:val="24"/>
          <w:szCs w:val="24"/>
        </w:rPr>
      </w:pPr>
      <w:r w:rsidDel="00000000" w:rsidR="00000000" w:rsidRPr="00000000">
        <w:rPr>
          <w:b w:val="1"/>
          <w:sz w:val="24"/>
          <w:szCs w:val="24"/>
          <w:rtl w:val="0"/>
        </w:rPr>
        <w:t xml:space="preserve">Unilateral APAs:</w:t>
      </w:r>
      <w:r w:rsidDel="00000000" w:rsidR="00000000" w:rsidRPr="00000000">
        <w:rPr>
          <w:sz w:val="24"/>
          <w:szCs w:val="24"/>
          <w:rtl w:val="0"/>
        </w:rPr>
        <w:t xml:space="preserve"> Agreement between the taxpayer and a single tax authority, simpler and quicker but lacking protection against double taxation.</w:t>
      </w:r>
    </w:p>
    <w:p w:rsidR="00000000" w:rsidDel="00000000" w:rsidP="00000000" w:rsidRDefault="00000000" w:rsidRPr="00000000" w14:paraId="0000014E">
      <w:pPr>
        <w:numPr>
          <w:ilvl w:val="0"/>
          <w:numId w:val="44"/>
        </w:numPr>
        <w:ind w:left="720" w:hanging="360"/>
        <w:rPr>
          <w:sz w:val="24"/>
          <w:szCs w:val="24"/>
        </w:rPr>
      </w:pPr>
      <w:r w:rsidDel="00000000" w:rsidR="00000000" w:rsidRPr="00000000">
        <w:rPr>
          <w:b w:val="1"/>
          <w:sz w:val="24"/>
          <w:szCs w:val="24"/>
          <w:rtl w:val="0"/>
        </w:rPr>
        <w:t xml:space="preserve">Bilateral APAs:</w:t>
      </w:r>
      <w:r w:rsidDel="00000000" w:rsidR="00000000" w:rsidRPr="00000000">
        <w:rPr>
          <w:sz w:val="24"/>
          <w:szCs w:val="24"/>
          <w:rtl w:val="0"/>
        </w:rPr>
        <w:t xml:space="preserve"> Agreements between the taxpayer and two tax authorities, ensuring consistent transfer pricing treatment across jurisdictions, providing greater certainty and double taxation protection.</w:t>
      </w:r>
    </w:p>
    <w:p w:rsidR="00000000" w:rsidDel="00000000" w:rsidP="00000000" w:rsidRDefault="00000000" w:rsidRPr="00000000" w14:paraId="0000014F">
      <w:pPr>
        <w:numPr>
          <w:ilvl w:val="0"/>
          <w:numId w:val="44"/>
        </w:numPr>
        <w:ind w:left="720" w:hanging="360"/>
        <w:rPr>
          <w:sz w:val="24"/>
          <w:szCs w:val="24"/>
        </w:rPr>
      </w:pPr>
      <w:r w:rsidDel="00000000" w:rsidR="00000000" w:rsidRPr="00000000">
        <w:rPr>
          <w:b w:val="1"/>
          <w:sz w:val="24"/>
          <w:szCs w:val="24"/>
          <w:rtl w:val="0"/>
        </w:rPr>
        <w:t xml:space="preserve">Multilateral APAs:</w:t>
      </w:r>
      <w:r w:rsidDel="00000000" w:rsidR="00000000" w:rsidRPr="00000000">
        <w:rPr>
          <w:sz w:val="24"/>
          <w:szCs w:val="24"/>
          <w:rtl w:val="0"/>
        </w:rPr>
        <w:t xml:space="preserve"> Agreements between the taxpayer and multiple tax authorities, addressing complex multinational transactions, the most comprehensive but complex and time-consuming to negotiate.</w:t>
      </w:r>
    </w:p>
    <w:p w:rsidR="00000000" w:rsidDel="00000000" w:rsidP="00000000" w:rsidRDefault="00000000" w:rsidRPr="00000000" w14:paraId="0000015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Key</w:t>
      </w:r>
      <w:r w:rsidDel="00000000" w:rsidR="00000000" w:rsidRPr="00000000">
        <w:rPr>
          <w:b w:val="1"/>
          <w:sz w:val="24"/>
          <w:szCs w:val="24"/>
          <w:rtl w:val="0"/>
        </w:rPr>
        <w:t xml:space="preserve"> Features:</w:t>
      </w:r>
      <w:r w:rsidDel="00000000" w:rsidR="00000000" w:rsidRPr="00000000">
        <w:rPr>
          <w:rtl w:val="0"/>
        </w:rPr>
      </w:r>
    </w:p>
    <w:p w:rsidR="00000000" w:rsidDel="00000000" w:rsidP="00000000" w:rsidRDefault="00000000" w:rsidRPr="00000000" w14:paraId="00000151">
      <w:pPr>
        <w:numPr>
          <w:ilvl w:val="0"/>
          <w:numId w:val="14"/>
        </w:numPr>
        <w:ind w:left="720" w:hanging="360"/>
        <w:rPr>
          <w:sz w:val="24"/>
          <w:szCs w:val="24"/>
        </w:rPr>
      </w:pPr>
      <w:r w:rsidDel="00000000" w:rsidR="00000000" w:rsidRPr="00000000">
        <w:rPr>
          <w:b w:val="1"/>
          <w:sz w:val="24"/>
          <w:szCs w:val="24"/>
          <w:rtl w:val="0"/>
        </w:rPr>
        <w:t xml:space="preserve">Proactive Approach:</w:t>
      </w:r>
      <w:r w:rsidDel="00000000" w:rsidR="00000000" w:rsidRPr="00000000">
        <w:rPr>
          <w:sz w:val="24"/>
          <w:szCs w:val="24"/>
          <w:rtl w:val="0"/>
        </w:rPr>
        <w:t xml:space="preserve"> APAs are agreed upon before transactions, providing clarity and certainty for future tax periods, preventing disputes and aligning practices with the arm's length principle.</w:t>
      </w:r>
    </w:p>
    <w:p w:rsidR="00000000" w:rsidDel="00000000" w:rsidP="00000000" w:rsidRDefault="00000000" w:rsidRPr="00000000" w14:paraId="00000152">
      <w:pPr>
        <w:numPr>
          <w:ilvl w:val="0"/>
          <w:numId w:val="14"/>
        </w:numPr>
        <w:ind w:left="720" w:hanging="360"/>
        <w:rPr>
          <w:sz w:val="24"/>
          <w:szCs w:val="24"/>
        </w:rPr>
      </w:pPr>
      <w:r w:rsidDel="00000000" w:rsidR="00000000" w:rsidRPr="00000000">
        <w:rPr>
          <w:b w:val="1"/>
          <w:sz w:val="24"/>
          <w:szCs w:val="24"/>
          <w:rtl w:val="0"/>
        </w:rPr>
        <w:t xml:space="preserve">Tailored Solutions:</w:t>
      </w:r>
      <w:r w:rsidDel="00000000" w:rsidR="00000000" w:rsidRPr="00000000">
        <w:rPr>
          <w:sz w:val="24"/>
          <w:szCs w:val="24"/>
          <w:rtl w:val="0"/>
        </w:rPr>
        <w:t xml:space="preserve"> Customized to the taxpayer’s specific circumstances, considering transaction nature and economic context, ensuring appropriate and fair methodologies.</w:t>
      </w:r>
    </w:p>
    <w:p w:rsidR="00000000" w:rsidDel="00000000" w:rsidP="00000000" w:rsidRDefault="00000000" w:rsidRPr="00000000" w14:paraId="0000015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Applications</w:t>
      </w:r>
      <w:r w:rsidDel="00000000" w:rsidR="00000000" w:rsidRPr="00000000">
        <w:rPr>
          <w:b w:val="1"/>
          <w:sz w:val="24"/>
          <w:szCs w:val="24"/>
          <w:rtl w:val="0"/>
        </w:rPr>
        <w:t xml:space="preserve"> and Benefits:</w:t>
      </w:r>
      <w:r w:rsidDel="00000000" w:rsidR="00000000" w:rsidRPr="00000000">
        <w:rPr>
          <w:rtl w:val="0"/>
        </w:rPr>
      </w:r>
    </w:p>
    <w:p w:rsidR="00000000" w:rsidDel="00000000" w:rsidP="00000000" w:rsidRDefault="00000000" w:rsidRPr="00000000" w14:paraId="00000154">
      <w:pPr>
        <w:numPr>
          <w:ilvl w:val="0"/>
          <w:numId w:val="15"/>
        </w:numPr>
        <w:ind w:left="720" w:hanging="360"/>
        <w:rPr>
          <w:sz w:val="24"/>
          <w:szCs w:val="24"/>
        </w:rPr>
      </w:pPr>
      <w:r w:rsidDel="00000000" w:rsidR="00000000" w:rsidRPr="00000000">
        <w:rPr>
          <w:b w:val="1"/>
          <w:sz w:val="24"/>
          <w:szCs w:val="24"/>
          <w:rtl w:val="0"/>
        </w:rPr>
        <w:t xml:space="preserve">Certainty and Predictability:</w:t>
      </w:r>
      <w:r w:rsidDel="00000000" w:rsidR="00000000" w:rsidRPr="00000000">
        <w:rPr>
          <w:sz w:val="24"/>
          <w:szCs w:val="24"/>
          <w:rtl w:val="0"/>
        </w:rPr>
        <w:t xml:space="preserve"> APAs provide certainty regarding transfer pricing methodologies, reducing future dispute risks, valuable for complex and high-value intercompany transactions.</w:t>
      </w:r>
    </w:p>
    <w:p w:rsidR="00000000" w:rsidDel="00000000" w:rsidP="00000000" w:rsidRDefault="00000000" w:rsidRPr="00000000" w14:paraId="00000155">
      <w:pPr>
        <w:numPr>
          <w:ilvl w:val="0"/>
          <w:numId w:val="15"/>
        </w:numPr>
        <w:ind w:left="720" w:hanging="360"/>
        <w:rPr>
          <w:sz w:val="24"/>
          <w:szCs w:val="24"/>
        </w:rPr>
      </w:pPr>
      <w:r w:rsidDel="00000000" w:rsidR="00000000" w:rsidRPr="00000000">
        <w:rPr>
          <w:b w:val="1"/>
          <w:sz w:val="24"/>
          <w:szCs w:val="24"/>
          <w:rtl w:val="0"/>
        </w:rPr>
        <w:t xml:space="preserve">Enhanced Compliance:</w:t>
      </w:r>
      <w:r w:rsidDel="00000000" w:rsidR="00000000" w:rsidRPr="00000000">
        <w:rPr>
          <w:sz w:val="24"/>
          <w:szCs w:val="24"/>
          <w:rtl w:val="0"/>
        </w:rPr>
        <w:t xml:space="preserve"> Promotes compliance by establishing clear guidelines and expectations, helping businesses avoid costly audits and adjustments.</w:t>
      </w:r>
    </w:p>
    <w:p w:rsidR="00000000" w:rsidDel="00000000" w:rsidP="00000000" w:rsidRDefault="00000000" w:rsidRPr="00000000" w14:paraId="00000156">
      <w:pPr>
        <w:numPr>
          <w:ilvl w:val="0"/>
          <w:numId w:val="15"/>
        </w:numPr>
        <w:ind w:left="720" w:hanging="360"/>
        <w:rPr>
          <w:sz w:val="24"/>
          <w:szCs w:val="24"/>
        </w:rPr>
      </w:pPr>
      <w:r w:rsidDel="00000000" w:rsidR="00000000" w:rsidRPr="00000000">
        <w:rPr>
          <w:b w:val="1"/>
          <w:sz w:val="24"/>
          <w:szCs w:val="24"/>
          <w:rtl w:val="0"/>
        </w:rPr>
        <w:t xml:space="preserve">Improved Relations:</w:t>
      </w:r>
      <w:r w:rsidDel="00000000" w:rsidR="00000000" w:rsidRPr="00000000">
        <w:rPr>
          <w:sz w:val="24"/>
          <w:szCs w:val="24"/>
          <w:rtl w:val="0"/>
        </w:rPr>
        <w:t xml:space="preserve"> Fosters a cooperative relationship between taxpayers and tax authorities, encouraging dialogue and mutual understanding, leading to more effective tax administration.</w:t>
      </w:r>
    </w:p>
    <w:p w:rsidR="00000000" w:rsidDel="00000000" w:rsidP="00000000" w:rsidRDefault="00000000" w:rsidRPr="00000000" w14:paraId="0000015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Challenges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58">
      <w:pPr>
        <w:numPr>
          <w:ilvl w:val="0"/>
          <w:numId w:val="16"/>
        </w:numPr>
        <w:ind w:left="720" w:hanging="360"/>
        <w:rPr>
          <w:sz w:val="24"/>
          <w:szCs w:val="24"/>
        </w:rPr>
      </w:pPr>
      <w:r w:rsidDel="00000000" w:rsidR="00000000" w:rsidRPr="00000000">
        <w:rPr>
          <w:b w:val="1"/>
          <w:sz w:val="24"/>
          <w:szCs w:val="24"/>
          <w:rtl w:val="0"/>
        </w:rPr>
        <w:t xml:space="preserve">Resource Intensive:</w:t>
      </w:r>
      <w:r w:rsidDel="00000000" w:rsidR="00000000" w:rsidRPr="00000000">
        <w:rPr>
          <w:sz w:val="24"/>
          <w:szCs w:val="24"/>
          <w:rtl w:val="0"/>
        </w:rPr>
        <w:t xml:space="preserve"> Negotiating and finalizing an APA can be resource-intensive, requiring significant time and effort from both taxpayers and tax authorities, a barrier for smaller entities.</w:t>
      </w:r>
    </w:p>
    <w:p w:rsidR="00000000" w:rsidDel="00000000" w:rsidP="00000000" w:rsidRDefault="00000000" w:rsidRPr="00000000" w14:paraId="00000159">
      <w:pPr>
        <w:numPr>
          <w:ilvl w:val="0"/>
          <w:numId w:val="16"/>
        </w:numPr>
        <w:ind w:left="720" w:hanging="360"/>
        <w:rPr>
          <w:sz w:val="24"/>
          <w:szCs w:val="24"/>
        </w:rPr>
      </w:pPr>
      <w:r w:rsidDel="00000000" w:rsidR="00000000" w:rsidRPr="00000000">
        <w:rPr>
          <w:b w:val="1"/>
          <w:sz w:val="24"/>
          <w:szCs w:val="24"/>
          <w:rtl w:val="0"/>
        </w:rPr>
        <w:t xml:space="preserve">Cost:</w:t>
      </w:r>
      <w:r w:rsidDel="00000000" w:rsidR="00000000" w:rsidRPr="00000000">
        <w:rPr>
          <w:sz w:val="24"/>
          <w:szCs w:val="24"/>
          <w:rtl w:val="0"/>
        </w:rPr>
        <w:t xml:space="preserve"> The cost of obtaining an APA, including legal and advisory fees, can be substantial, needing a balance against certainty and reduced dispute risks.</w:t>
      </w:r>
    </w:p>
    <w:p w:rsidR="00000000" w:rsidDel="00000000" w:rsidP="00000000" w:rsidRDefault="00000000" w:rsidRPr="00000000" w14:paraId="0000015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Analysis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APAs represent a proactive, cooperative approach to managing transfer pricing risks. By providing certainty and reducing dispute risks, they offer significant benefits to taxpayers and tax authorities. However, their resource-intensive nature and costs necessitate careful consideration and planning, balancing certainty benefits against negotiation and maintenance efforts.</w:t>
      </w:r>
    </w:p>
    <w:p w:rsidR="00000000" w:rsidDel="00000000" w:rsidP="00000000" w:rsidRDefault="00000000" w:rsidRPr="00000000" w14:paraId="0000015C">
      <w:pPr>
        <w:pStyle w:val="Heading2"/>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pPr>
      <w:bookmarkStart w:colFirst="0" w:colLast="0" w:name="_heading=h.b8gwuzmnqdh0" w:id="29"/>
      <w:bookmarkEnd w:id="29"/>
      <w:r w:rsidDel="00000000" w:rsidR="00000000" w:rsidRPr="00000000">
        <w:rPr>
          <w:sz w:val="27"/>
          <w:szCs w:val="27"/>
          <w:rtl w:val="0"/>
        </w:rPr>
        <w:t xml:space="preserve">Implications</w:t>
      </w:r>
      <w:r w:rsidDel="00000000" w:rsidR="00000000" w:rsidRPr="00000000">
        <w:rPr>
          <w:rtl w:val="0"/>
        </w:rPr>
        <w:t xml:space="preserve"> of Dispute Resolution Mechanisms and APAs</w:t>
      </w:r>
    </w:p>
    <w:p w:rsidR="00000000" w:rsidDel="00000000" w:rsidP="00000000" w:rsidRDefault="00000000" w:rsidRPr="00000000" w14:paraId="0000015D">
      <w:pPr>
        <w:rPr>
          <w:sz w:val="24"/>
          <w:szCs w:val="24"/>
        </w:rPr>
      </w:pPr>
      <w:r w:rsidDel="00000000" w:rsidR="00000000" w:rsidRPr="00000000">
        <w:rPr>
          <w:sz w:val="24"/>
          <w:szCs w:val="24"/>
          <w:rtl w:val="0"/>
        </w:rPr>
        <w:t xml:space="preserve">Effective resolution of transfer pricing disputes and APAs have significant implications for taxpayers and tax authorities, promoting a stable, predictable transfer pricing environment, reducing double taxation risk, and enhancing compliance.</w:t>
      </w:r>
    </w:p>
    <w:p w:rsidR="00000000" w:rsidDel="00000000" w:rsidP="00000000" w:rsidRDefault="00000000" w:rsidRPr="00000000" w14:paraId="0000015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Promoting</w:t>
      </w:r>
      <w:r w:rsidDel="00000000" w:rsidR="00000000" w:rsidRPr="00000000">
        <w:rPr>
          <w:b w:val="1"/>
          <w:sz w:val="24"/>
          <w:szCs w:val="24"/>
          <w:rtl w:val="0"/>
        </w:rPr>
        <w:t xml:space="preserve"> Certainty and Stability</w:t>
      </w:r>
      <w:r w:rsidDel="00000000" w:rsidR="00000000" w:rsidRPr="00000000">
        <w:rPr>
          <w:rtl w:val="0"/>
        </w:rPr>
      </w:r>
    </w:p>
    <w:p w:rsidR="00000000" w:rsidDel="00000000" w:rsidP="00000000" w:rsidRDefault="00000000" w:rsidRPr="00000000" w14:paraId="0000015F">
      <w:pPr>
        <w:numPr>
          <w:ilvl w:val="0"/>
          <w:numId w:val="18"/>
        </w:numPr>
        <w:ind w:left="720" w:hanging="360"/>
        <w:rPr>
          <w:sz w:val="24"/>
          <w:szCs w:val="24"/>
        </w:rPr>
      </w:pPr>
      <w:r w:rsidDel="00000000" w:rsidR="00000000" w:rsidRPr="00000000">
        <w:rPr>
          <w:b w:val="1"/>
          <w:sz w:val="24"/>
          <w:szCs w:val="24"/>
          <w:rtl w:val="0"/>
        </w:rPr>
        <w:t xml:space="preserve">Reduced Double Taxation Risk:</w:t>
      </w:r>
      <w:r w:rsidDel="00000000" w:rsidR="00000000" w:rsidRPr="00000000">
        <w:rPr>
          <w:sz w:val="24"/>
          <w:szCs w:val="24"/>
          <w:rtl w:val="0"/>
        </w:rPr>
        <w:t xml:space="preserve"> Resolving disputes and establishing clear transfer pricing methodologies prevent double taxation, ensuring fair profit allocation, crucial for MNEs operating in multiple jurisdictions.</w:t>
      </w:r>
    </w:p>
    <w:p w:rsidR="00000000" w:rsidDel="00000000" w:rsidP="00000000" w:rsidRDefault="00000000" w:rsidRPr="00000000" w14:paraId="00000160">
      <w:pPr>
        <w:numPr>
          <w:ilvl w:val="0"/>
          <w:numId w:val="18"/>
        </w:numPr>
        <w:ind w:left="720" w:hanging="360"/>
        <w:rPr>
          <w:sz w:val="24"/>
          <w:szCs w:val="24"/>
        </w:rPr>
      </w:pPr>
      <w:r w:rsidDel="00000000" w:rsidR="00000000" w:rsidRPr="00000000">
        <w:rPr>
          <w:b w:val="1"/>
          <w:sz w:val="24"/>
          <w:szCs w:val="24"/>
          <w:rtl w:val="0"/>
        </w:rPr>
        <w:t xml:space="preserve">Increased Predictability:</w:t>
      </w:r>
      <w:r w:rsidDel="00000000" w:rsidR="00000000" w:rsidRPr="00000000">
        <w:rPr>
          <w:sz w:val="24"/>
          <w:szCs w:val="24"/>
          <w:rtl w:val="0"/>
        </w:rPr>
        <w:t xml:space="preserve"> APAs and effective dispute resolution mechanisms provide greater predictability, aiding taxpayers in confident tax planning and management, enhancing investment decisions and business planning.</w:t>
      </w:r>
    </w:p>
    <w:p w:rsidR="00000000" w:rsidDel="00000000" w:rsidP="00000000" w:rsidRDefault="00000000" w:rsidRPr="00000000" w14:paraId="00000161">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240" w:line="278.00000000000006" w:lineRule="auto"/>
        <w:ind w:left="990" w:right="0" w:hanging="360"/>
        <w:jc w:val="both"/>
        <w:rPr>
          <w:b w:val="1"/>
          <w:i w:val="1"/>
        </w:rPr>
      </w:pPr>
      <w:r w:rsidDel="00000000" w:rsidR="00000000" w:rsidRPr="00000000">
        <w:rPr>
          <w:b w:val="1"/>
          <w:i w:val="1"/>
          <w:rtl w:val="0"/>
        </w:rPr>
        <w:t xml:space="preserve">Analysis</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Certainty and predictability are vital for businesses in multiple jurisdictions. Double taxation risk can significantly impact financial health and decision-making. OECD guidelines help create a stable, predictable tax environment, essential for fostering investment and economic growth.</w:t>
      </w:r>
    </w:p>
    <w:p w:rsidR="00000000" w:rsidDel="00000000" w:rsidP="00000000" w:rsidRDefault="00000000" w:rsidRPr="00000000" w14:paraId="0000016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sz w:val="24"/>
          <w:szCs w:val="24"/>
          <w:rtl w:val="0"/>
        </w:rPr>
        <w:t xml:space="preserve">Fostering Cooperation and Dialogue</w:t>
      </w:r>
      <w:r w:rsidDel="00000000" w:rsidR="00000000" w:rsidRPr="00000000">
        <w:rPr>
          <w:rtl w:val="0"/>
        </w:rPr>
      </w:r>
    </w:p>
    <w:p w:rsidR="00000000" w:rsidDel="00000000" w:rsidP="00000000" w:rsidRDefault="00000000" w:rsidRPr="00000000" w14:paraId="00000164">
      <w:pPr>
        <w:numPr>
          <w:ilvl w:val="0"/>
          <w:numId w:val="28"/>
        </w:numPr>
        <w:ind w:left="720" w:hanging="360"/>
        <w:rPr>
          <w:sz w:val="24"/>
          <w:szCs w:val="24"/>
        </w:rPr>
      </w:pPr>
      <w:r w:rsidDel="00000000" w:rsidR="00000000" w:rsidRPr="00000000">
        <w:rPr>
          <w:b w:val="1"/>
          <w:sz w:val="24"/>
          <w:szCs w:val="24"/>
          <w:rtl w:val="0"/>
        </w:rPr>
        <w:t xml:space="preserve">Enhanced Communication:</w:t>
      </w:r>
      <w:r w:rsidDel="00000000" w:rsidR="00000000" w:rsidRPr="00000000">
        <w:rPr>
          <w:sz w:val="24"/>
          <w:szCs w:val="24"/>
          <w:rtl w:val="0"/>
        </w:rPr>
        <w:t xml:space="preserve"> MAP and APAs encourage open communication and cooperation between taxpayers and tax authorities, fostering a collaborative approach to transfer pricing, leading to more effective dispute resolution.</w:t>
      </w:r>
    </w:p>
    <w:p w:rsidR="00000000" w:rsidDel="00000000" w:rsidP="00000000" w:rsidRDefault="00000000" w:rsidRPr="00000000" w14:paraId="00000165">
      <w:pPr>
        <w:numPr>
          <w:ilvl w:val="0"/>
          <w:numId w:val="28"/>
        </w:numPr>
        <w:ind w:left="720" w:hanging="360"/>
        <w:rPr>
          <w:sz w:val="24"/>
          <w:szCs w:val="24"/>
        </w:rPr>
      </w:pPr>
      <w:r w:rsidDel="00000000" w:rsidR="00000000" w:rsidRPr="00000000">
        <w:rPr>
          <w:b w:val="1"/>
          <w:sz w:val="24"/>
          <w:szCs w:val="24"/>
          <w:rtl w:val="0"/>
        </w:rPr>
        <w:t xml:space="preserve">Mutual Understanding:</w:t>
      </w:r>
      <w:r w:rsidDel="00000000" w:rsidR="00000000" w:rsidRPr="00000000">
        <w:rPr>
          <w:sz w:val="24"/>
          <w:szCs w:val="24"/>
          <w:rtl w:val="0"/>
        </w:rPr>
        <w:t xml:space="preserve"> Promotes mutual understanding and trust, reducing adversarial audit and dispute nature, improving taxpayer and tax authority relationships, leading to better compliance and tax administration.</w:t>
      </w:r>
    </w:p>
    <w:p w:rsidR="00000000" w:rsidDel="00000000" w:rsidP="00000000" w:rsidRDefault="00000000" w:rsidRPr="00000000" w14:paraId="0000016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240" w:line="278.00000000000006" w:lineRule="auto"/>
        <w:ind w:left="990" w:right="0" w:hanging="360"/>
        <w:jc w:val="both"/>
        <w:rPr>
          <w:b w:val="1"/>
        </w:rPr>
      </w:pPr>
      <w:r w:rsidDel="00000000" w:rsidR="00000000" w:rsidRPr="00000000">
        <w:rPr>
          <w:b w:val="1"/>
          <w:i w:val="1"/>
          <w:rtl w:val="0"/>
        </w:rPr>
        <w:t xml:space="preserve">Analysis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Effective communication and cooperation are essential for resolving transfer pricing disputes. MAP and APAs provide structured dialogue and negotiation frameworks, building mutual understanding and trust, leading to efficient dispute resolution and improved compliance.</w:t>
      </w:r>
    </w:p>
    <w:p w:rsidR="00000000" w:rsidDel="00000000" w:rsidP="00000000" w:rsidRDefault="00000000" w:rsidRPr="00000000" w14:paraId="0000016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240" w:line="278.00000000000006" w:lineRule="auto"/>
        <w:ind w:left="810" w:right="0" w:hanging="360"/>
        <w:jc w:val="both"/>
        <w:rPr>
          <w:b w:val="1"/>
        </w:rPr>
      </w:pPr>
      <w:r w:rsidDel="00000000" w:rsidR="00000000" w:rsidRPr="00000000">
        <w:rPr>
          <w:b w:val="1"/>
          <w:rtl w:val="0"/>
        </w:rPr>
        <w:t xml:space="preserve">Resource</w:t>
      </w:r>
      <w:r w:rsidDel="00000000" w:rsidR="00000000" w:rsidRPr="00000000">
        <w:rPr>
          <w:b w:val="1"/>
          <w:sz w:val="24"/>
          <w:szCs w:val="24"/>
          <w:rtl w:val="0"/>
        </w:rPr>
        <w:t xml:space="preserve"> Allocation and Efficiency</w:t>
      </w:r>
      <w:r w:rsidDel="00000000" w:rsidR="00000000" w:rsidRPr="00000000">
        <w:rPr>
          <w:rtl w:val="0"/>
        </w:rPr>
      </w:r>
    </w:p>
    <w:p w:rsidR="00000000" w:rsidDel="00000000" w:rsidP="00000000" w:rsidRDefault="00000000" w:rsidRPr="00000000" w14:paraId="00000169">
      <w:pPr>
        <w:numPr>
          <w:ilvl w:val="0"/>
          <w:numId w:val="50"/>
        </w:numPr>
        <w:ind w:left="720" w:hanging="360"/>
        <w:rPr>
          <w:sz w:val="24"/>
          <w:szCs w:val="24"/>
        </w:rPr>
      </w:pPr>
      <w:r w:rsidDel="00000000" w:rsidR="00000000" w:rsidRPr="00000000">
        <w:rPr>
          <w:b w:val="1"/>
          <w:sz w:val="24"/>
          <w:szCs w:val="24"/>
          <w:rtl w:val="0"/>
        </w:rPr>
        <w:t xml:space="preserve">Efficient Resource Use:</w:t>
      </w:r>
      <w:r w:rsidDel="00000000" w:rsidR="00000000" w:rsidRPr="00000000">
        <w:rPr>
          <w:sz w:val="24"/>
          <w:szCs w:val="24"/>
          <w:rtl w:val="0"/>
        </w:rPr>
        <w:t xml:space="preserve"> Resolving disputes through MAP and arbitration or preventing disputes through APAs allows tax authorities to allocate resources more efficiently, focusing on high-risk, complex cases, enhancing tax administration effectiveness.</w:t>
      </w:r>
    </w:p>
    <w:p w:rsidR="00000000" w:rsidDel="00000000" w:rsidP="00000000" w:rsidRDefault="00000000" w:rsidRPr="00000000" w14:paraId="0000016A">
      <w:pPr>
        <w:numPr>
          <w:ilvl w:val="0"/>
          <w:numId w:val="50"/>
        </w:numPr>
        <w:ind w:left="720" w:hanging="360"/>
        <w:rPr>
          <w:sz w:val="24"/>
          <w:szCs w:val="24"/>
        </w:rPr>
      </w:pPr>
      <w:r w:rsidDel="00000000" w:rsidR="00000000" w:rsidRPr="00000000">
        <w:rPr>
          <w:b w:val="1"/>
          <w:sz w:val="24"/>
          <w:szCs w:val="24"/>
          <w:rtl w:val="0"/>
        </w:rPr>
        <w:t xml:space="preserve">Reduced Compliance Costs:</w:t>
      </w:r>
      <w:r w:rsidDel="00000000" w:rsidR="00000000" w:rsidRPr="00000000">
        <w:rPr>
          <w:sz w:val="24"/>
          <w:szCs w:val="24"/>
          <w:rtl w:val="0"/>
        </w:rPr>
        <w:t xml:space="preserve"> For taxpayers, these mechanisms reduce transfer pricing dispute costs, including legal fees, advisory costs, and potential tax adjustments, improving transfer pricing practices' efficiency and effectiveness.</w:t>
      </w:r>
    </w:p>
    <w:p w:rsidR="00000000" w:rsidDel="00000000" w:rsidP="00000000" w:rsidRDefault="00000000" w:rsidRPr="00000000" w14:paraId="0000016B">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240" w:line="278.00000000000006" w:lineRule="auto"/>
        <w:ind w:left="990" w:right="0" w:hanging="360"/>
        <w:jc w:val="both"/>
        <w:rPr>
          <w:b w:val="1"/>
        </w:rPr>
      </w:pPr>
      <w:r w:rsidDel="00000000" w:rsidR="00000000" w:rsidRPr="00000000">
        <w:rPr>
          <w:b w:val="1"/>
          <w:i w:val="1"/>
          <w:sz w:val="24"/>
          <w:szCs w:val="24"/>
          <w:rtl w:val="0"/>
        </w:rPr>
        <w:t xml:space="preserve">Analysis</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Efficient resource allocation is critical for taxpayers and tax authorities. Transfer pricing disputes' resource-intensive nature can strain tax administration capacity and increase business compliance costs. Effective dispute resolution mechanisms and proactive measures like APAs enhance resource efficiency and reduce compliance costs.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pStyle w:val="Heading1"/>
        <w:ind w:left="0" w:firstLine="0"/>
        <w:rPr/>
        <w:sectPr>
          <w:type w:val="nextPage"/>
          <w:pgSz w:h="16838" w:w="11906" w:orient="portrait"/>
          <w:pgMar w:bottom="1440" w:top="1440" w:left="1440" w:right="1440" w:header="708" w:footer="708"/>
        </w:sectPr>
      </w:pPr>
      <w:bookmarkStart w:colFirst="0" w:colLast="0" w:name="_heading=h.7m6r4tdwqw61" w:id="30"/>
      <w:bookmarkEnd w:id="30"/>
      <w:r w:rsidDel="00000000" w:rsidR="00000000" w:rsidRPr="00000000">
        <w:rPr>
          <w:rtl w:val="0"/>
        </w:rPr>
      </w:r>
    </w:p>
    <w:p w:rsidR="00000000" w:rsidDel="00000000" w:rsidP="00000000" w:rsidRDefault="00000000" w:rsidRPr="00000000" w14:paraId="0000017D">
      <w:pPr>
        <w:pStyle w:val="Heading1"/>
        <w:ind w:left="0" w:firstLine="0"/>
        <w:jc w:val="left"/>
        <w:rPr/>
      </w:pPr>
      <w:bookmarkStart w:colFirst="0" w:colLast="0" w:name="_heading=h.2p2csry" w:id="31"/>
      <w:bookmarkEnd w:id="31"/>
      <w:r w:rsidDel="00000000" w:rsidR="00000000" w:rsidRPr="00000000">
        <w:rPr>
          <w:rtl w:val="0"/>
        </w:rPr>
        <w:t xml:space="preserve">E.5. ATTRIBUTION OF PROFITS TO PERMANENT ESTABLISHMENTS</w:t>
      </w: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Permanent Establishments (PEs) have a profound impact on transfer pricing in multinational enterprises (MNEs). A PE creates a taxable presence in a country, making it subject to that jurisdiction’s corporate tax rules. In the context of transfer pricing, this presence introduces the requirement to allocate profits to the PE in accordance with the arm’s length principle, which ensures that tax authorities can assess the correct portion of profits attributable to the activities conducted within their jurisdiction.</w:t>
      </w:r>
    </w:p>
    <w:p w:rsidR="00000000" w:rsidDel="00000000" w:rsidP="00000000" w:rsidRDefault="00000000" w:rsidRPr="00000000" w14:paraId="0000017F">
      <w:pPr>
        <w:rPr>
          <w:sz w:val="24"/>
          <w:szCs w:val="24"/>
        </w:rPr>
      </w:pPr>
      <w:r w:rsidDel="00000000" w:rsidR="00000000" w:rsidRPr="00000000">
        <w:rPr>
          <w:sz w:val="24"/>
          <w:szCs w:val="24"/>
          <w:rtl w:val="0"/>
        </w:rPr>
        <w:t xml:space="preserve">PEs are fundamental in determining the allocation of profits, especially in a world where tax authorities are increasingly focused on ensuring that profits are taxed where value is created. The interaction between PEs and transfer pricing is a vital part of global tax compliance. This note explores the central importance of PEs in transfer pricing through detailed discussions on profit allocation, regulatory frameworks like the OECD's BEPS, and the associated compliance and documentation challenges.</w:t>
      </w:r>
    </w:p>
    <w:p w:rsidR="00000000" w:rsidDel="00000000" w:rsidP="00000000" w:rsidRDefault="00000000" w:rsidRPr="00000000" w14:paraId="00000180">
      <w:pPr>
        <w:pStyle w:val="Heading2"/>
        <w:numPr>
          <w:ilvl w:val="0"/>
          <w:numId w:val="4"/>
        </w:numPr>
        <w:spacing w:after="0" w:afterAutospacing="0"/>
        <w:ind w:left="720" w:hanging="360"/>
        <w:rPr/>
      </w:pPr>
      <w:bookmarkStart w:colFirst="0" w:colLast="0" w:name="_heading=h.3o7alnk" w:id="32"/>
      <w:bookmarkEnd w:id="32"/>
      <w:r w:rsidDel="00000000" w:rsidR="00000000" w:rsidRPr="00000000">
        <w:rPr>
          <w:rtl w:val="0"/>
        </w:rPr>
        <w:t xml:space="preserve">Role of Permanent Establishments in Transfer Pricing</w:t>
      </w:r>
    </w:p>
    <w:p w:rsidR="00000000" w:rsidDel="00000000" w:rsidP="00000000" w:rsidRDefault="00000000" w:rsidRPr="00000000" w14:paraId="00000181">
      <w:pPr>
        <w:numPr>
          <w:ilvl w:val="1"/>
          <w:numId w:val="4"/>
        </w:numPr>
        <w:spacing w:before="0" w:beforeAutospacing="0"/>
        <w:ind w:left="810" w:hanging="360"/>
        <w:rPr>
          <w:b w:val="1"/>
        </w:rPr>
      </w:pPr>
      <w:r w:rsidDel="00000000" w:rsidR="00000000" w:rsidRPr="00000000">
        <w:rPr>
          <w:b w:val="1"/>
          <w:rtl w:val="0"/>
        </w:rPr>
        <w:t xml:space="preserve">The Nexus Between PE and Transfer Pricing Obligations</w:t>
      </w:r>
    </w:p>
    <w:p w:rsidR="00000000" w:rsidDel="00000000" w:rsidP="00000000" w:rsidRDefault="00000000" w:rsidRPr="00000000" w14:paraId="00000182">
      <w:pPr>
        <w:rPr>
          <w:sz w:val="24"/>
          <w:szCs w:val="24"/>
        </w:rPr>
      </w:pPr>
      <w:r w:rsidDel="00000000" w:rsidR="00000000" w:rsidRPr="00000000">
        <w:rPr>
          <w:sz w:val="24"/>
          <w:szCs w:val="24"/>
          <w:rtl w:val="0"/>
        </w:rPr>
        <w:t xml:space="preserve">PEs are essential in the global tax landscape because they trigger the allocation of profit to a specific jurisdiction. This profit allocation is governed by transfer pricing principles to ensure that the MNE pays an appropriate level of tax in the country where the PE operates. When a PE is identified, the jurisdiction where it is located gains the right to tax the profits that are attributable to the economic activities undertaken by the PE.</w:t>
      </w:r>
    </w:p>
    <w:p w:rsidR="00000000" w:rsidDel="00000000" w:rsidP="00000000" w:rsidRDefault="00000000" w:rsidRPr="00000000" w14:paraId="00000183">
      <w:pPr>
        <w:rPr>
          <w:sz w:val="24"/>
          <w:szCs w:val="24"/>
        </w:rPr>
      </w:pPr>
      <w:r w:rsidDel="00000000" w:rsidR="00000000" w:rsidRPr="00000000">
        <w:rPr>
          <w:sz w:val="24"/>
          <w:szCs w:val="24"/>
          <w:rtl w:val="0"/>
        </w:rPr>
        <w:t xml:space="preserve">The importance of this connection between PE and transfer pricing cannot be overstated. Without a PE, an MNE may not have a taxable presence in a jurisdiction, even if it conducts business there. The presence of a PE, however, ensures that the jurisdiction has a legitimate claim to tax a share of the profits. The allocation process, which is governed by the arm’s length principle, ensures that the profits attributed to the PE reflect the economic activities carried out in that country. This prevents profit shifting and ensures a fair distribution of tax revenues across jurisdictions.</w:t>
      </w:r>
    </w:p>
    <w:p w:rsidR="00000000" w:rsidDel="00000000" w:rsidP="00000000" w:rsidRDefault="00000000" w:rsidRPr="00000000" w14:paraId="000001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PE and the Arm’s Length Principle</w:t>
      </w: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The arm’s length principle underpins the transfer pricing rules for PEs. It stipulates that the transactions between different parts of an MNE, including those involving a PE and other entities within the group, must be priced as if they were between independent, unrelated parties. This principle is critical for preventing profit shifting and ensuring that a PE’s profits are taxed in line with the economic activities it performs.</w:t>
      </w:r>
    </w:p>
    <w:p w:rsidR="00000000" w:rsidDel="00000000" w:rsidP="00000000" w:rsidRDefault="00000000" w:rsidRPr="00000000" w14:paraId="00000186">
      <w:pPr>
        <w:rPr>
          <w:sz w:val="24"/>
          <w:szCs w:val="24"/>
        </w:rPr>
      </w:pPr>
      <w:r w:rsidDel="00000000" w:rsidR="00000000" w:rsidRPr="00000000">
        <w:rPr>
          <w:sz w:val="24"/>
          <w:szCs w:val="24"/>
          <w:rtl w:val="0"/>
        </w:rPr>
        <w:t xml:space="preserve">Applying the arm’s length principle to PEs means that the MNE must carefully analyze the activities performed by the PE and determine the amount of profit that should be allocated to it. This is particularly important because PEs are often part of integrated global operations, where functions, risks, and assets may be shared across multiple jurisdictions. Ensuring that the profits attributed to a PE reflect its contributions to the MNE’s overall profitability is a complex but necessary task to maintain compliance with international tax rules.</w:t>
      </w:r>
    </w:p>
    <w:p w:rsidR="00000000" w:rsidDel="00000000" w:rsidP="00000000" w:rsidRDefault="00000000" w:rsidRPr="00000000" w14:paraId="00000187">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8.00000000000006" w:lineRule="auto"/>
        <w:ind w:left="720" w:right="0" w:hanging="360"/>
        <w:jc w:val="both"/>
        <w:rPr/>
      </w:pPr>
      <w:bookmarkStart w:colFirst="0" w:colLast="0" w:name="_heading=h.96sumplr3f" w:id="33"/>
      <w:bookmarkEnd w:id="33"/>
      <w:r w:rsidDel="00000000" w:rsidR="00000000" w:rsidRPr="00000000">
        <w:rPr>
          <w:rtl w:val="0"/>
        </w:rPr>
        <w:t xml:space="preserve">Profit Allocation to Permanent Establishments</w:t>
      </w:r>
    </w:p>
    <w:p w:rsidR="00000000" w:rsidDel="00000000" w:rsidP="00000000" w:rsidRDefault="00000000" w:rsidRPr="00000000" w14:paraId="000001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b w:val="1"/>
        </w:rPr>
      </w:pPr>
      <w:r w:rsidDel="00000000" w:rsidR="00000000" w:rsidRPr="00000000">
        <w:rPr>
          <w:b w:val="1"/>
          <w:sz w:val="24"/>
          <w:szCs w:val="24"/>
          <w:rtl w:val="0"/>
        </w:rPr>
        <w:t xml:space="preserve">Methods of Profit Allocation to PEs</w:t>
      </w: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The allocation of profits to a PE involves applying transfer pricing methods that reflect the value of the PE’s contribution to the MNE’s global business. The most commonly used methods for profit allocation to PEs include the Comparable Uncontrolled Price (CUP) method, the Cost-Plus method, the Resale Price method, Transactional Net Margin method, and the Profit Split method. Each method is chosen based on the specific activities performed by the PE, the nature of the transactions, and the availability of comparable data.</w:t>
      </w:r>
    </w:p>
    <w:p w:rsidR="00000000" w:rsidDel="00000000" w:rsidP="00000000" w:rsidRDefault="00000000" w:rsidRPr="00000000" w14:paraId="000001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Application of Transfer Pricing Methods to PEs</w:t>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The application of transfer pricing methods to PEs requires careful consideration of the functions performed by the PE, the assets it employs, and the risks it assumes. For example, if a PE is responsible for key decision-making or risk-taking functions, the profit attributed to the PE should reflect this contribution. Similarly, if a PE employs valuable intangibles, such as intellectual property, the profits attributed to it should reflect the value created by these intangibles.</w:t>
      </w:r>
    </w:p>
    <w:p w:rsidR="00000000" w:rsidDel="00000000" w:rsidP="00000000" w:rsidRDefault="00000000" w:rsidRPr="00000000" w14:paraId="0000018C">
      <w:pPr>
        <w:rPr>
          <w:sz w:val="24"/>
          <w:szCs w:val="24"/>
        </w:rPr>
      </w:pPr>
      <w:r w:rsidDel="00000000" w:rsidR="00000000" w:rsidRPr="00000000">
        <w:rPr>
          <w:sz w:val="24"/>
          <w:szCs w:val="24"/>
          <w:rtl w:val="0"/>
        </w:rPr>
        <w:t xml:space="preserve">A key factor in applying transfer pricing methods is the availability of comparable data. In some cases, it may be difficult to find reliable comparables for the PE’s transactions, especially if the PE is engaged in highly specialized activities or operates in a unique market. In these situations, the MNE must use more complex methods, such as the Profit Split method, to ensure that the profits allocated to the PE are in line with the arm’s length principle.</w:t>
      </w:r>
    </w:p>
    <w:p w:rsidR="00000000" w:rsidDel="00000000" w:rsidP="00000000" w:rsidRDefault="00000000" w:rsidRPr="00000000" w14:paraId="000001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Functional Analysis and the Allocation of Profits</w:t>
      </w: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A thorough functional analysis is crucial for determining how profits should be allocated to a PE. This analysis involves examining the PE’s functions, risks, and assets in detail to understand its role within the MNE. The analysis should cover both the PE’s day-to-day operations and its strategic contributions to the enterprise’s profitability.</w:t>
      </w:r>
    </w:p>
    <w:p w:rsidR="00000000" w:rsidDel="00000000" w:rsidP="00000000" w:rsidRDefault="00000000" w:rsidRPr="00000000" w14:paraId="0000018F">
      <w:pPr>
        <w:rPr>
          <w:sz w:val="24"/>
          <w:szCs w:val="24"/>
        </w:rPr>
      </w:pPr>
      <w:r w:rsidDel="00000000" w:rsidR="00000000" w:rsidRPr="00000000">
        <w:rPr>
          <w:sz w:val="24"/>
          <w:szCs w:val="24"/>
          <w:rtl w:val="0"/>
        </w:rPr>
        <w:t xml:space="preserve">The functional analysis forms the basis for selecting the most appropriate transfer pricing method and for determining the level of profit that should be allocated to the PE. For instance, if the PE performs significant risk-taking functions, such as managing supply chain risks or making strategic investment decisions, it should be allocated a higher proportion of the MNE’s profits compared to a PE that performs routine support functions.</w:t>
      </w:r>
    </w:p>
    <w:p w:rsidR="00000000" w:rsidDel="00000000" w:rsidP="00000000" w:rsidRDefault="00000000" w:rsidRPr="00000000" w14:paraId="00000190">
      <w:pPr>
        <w:rPr>
          <w:sz w:val="24"/>
          <w:szCs w:val="24"/>
        </w:rPr>
      </w:pPr>
      <w:r w:rsidDel="00000000" w:rsidR="00000000" w:rsidRPr="00000000">
        <w:rPr>
          <w:sz w:val="24"/>
          <w:szCs w:val="24"/>
          <w:rtl w:val="0"/>
        </w:rPr>
        <w:t xml:space="preserve">The allocation of profits to PEs must also take into account the “significant people functions” (SPFs) performed by the PE. SPFs refer to the key managerial and operational functions that create value within the enterprise. For example, if the PE’s staff are responsible for managing the MNE’s intellectual property or overseeing major strategic decisions, the profits allocated to the PE should reflect the value generated by these functions.</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8.00000000000006" w:lineRule="auto"/>
        <w:ind w:left="720" w:right="0" w:hanging="360"/>
        <w:jc w:val="both"/>
        <w:rPr/>
      </w:pPr>
      <w:bookmarkStart w:colFirst="0" w:colLast="0" w:name="_heading=h.k844wqot39rn" w:id="34"/>
      <w:bookmarkEnd w:id="34"/>
      <w:r w:rsidDel="00000000" w:rsidR="00000000" w:rsidRPr="00000000">
        <w:rPr>
          <w:rtl w:val="0"/>
        </w:rPr>
        <w:t xml:space="preserve">Regulatory Framework Impacting PEs and Transfer Pricing</w:t>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b w:val="1"/>
        </w:rPr>
      </w:pPr>
      <w:r w:rsidDel="00000000" w:rsidR="00000000" w:rsidRPr="00000000">
        <w:rPr>
          <w:b w:val="1"/>
          <w:sz w:val="24"/>
          <w:szCs w:val="24"/>
          <w:rtl w:val="0"/>
        </w:rPr>
        <w:t xml:space="preserve">Impact of BEPS on the Definition of PEs</w:t>
      </w: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The OECD’s Base Erosion and Profit Shifting (BEPS) initiative has had a significant impact on the definition and treatment of PEs in transfer pricing. One of the key objectives of the BEPS project was to prevent MNEs from artificially avoiding PE status in jurisdictions where they have substantial business activities. BEPS Action 7 specifically addresses this issue by broadening the definition of a PE to capture situations where an MNE is conducting significant business activities without having a formal PE under the previous rules.</w:t>
      </w:r>
    </w:p>
    <w:p w:rsidR="00000000" w:rsidDel="00000000" w:rsidP="00000000" w:rsidRDefault="00000000" w:rsidRPr="00000000" w14:paraId="00000195">
      <w:pPr>
        <w:rPr>
          <w:sz w:val="24"/>
          <w:szCs w:val="24"/>
        </w:rPr>
      </w:pPr>
      <w:r w:rsidDel="00000000" w:rsidR="00000000" w:rsidRPr="00000000">
        <w:rPr>
          <w:sz w:val="24"/>
          <w:szCs w:val="24"/>
          <w:rtl w:val="0"/>
        </w:rPr>
        <w:t xml:space="preserve">This expanded definition has important implications for transfer pricing because it increases the number of situations in which MNEs are required to allocate profits to PEs. MNEs that previously structured their operations to avoid creating a PE in high-tax jurisdictions may now find themselves subject to transfer pricing rules in these jurisdictions, increasing their tax compliance burdens.</w:t>
      </w:r>
    </w:p>
    <w:p w:rsidR="00000000" w:rsidDel="00000000" w:rsidP="00000000" w:rsidRDefault="00000000" w:rsidRPr="00000000" w14:paraId="000001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BEPS Action 7: Preventing the Artificial Avoidance of PE Status</w:t>
      </w: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BEPS Action 7 aimed to address strategies used by MNEs to avoid PE status, such as commissionaire arrangements and the use of dependent agents. A commissionaire arrangement involves a local entity selling goods on behalf of a foreign company, without taking legal ownership of the goods. Under traditional rules, these arrangements often did not create a PE. However, under BEPS Action 7, if the local entity plays a significant role in concluding contracts or managing substantial business activities on behalf of the foreign company, it may now trigger PE status.</w:t>
      </w:r>
    </w:p>
    <w:p w:rsidR="00000000" w:rsidDel="00000000" w:rsidP="00000000" w:rsidRDefault="00000000" w:rsidRPr="00000000" w14:paraId="00000198">
      <w:pPr>
        <w:rPr>
          <w:sz w:val="24"/>
          <w:szCs w:val="24"/>
        </w:rPr>
      </w:pPr>
      <w:r w:rsidDel="00000000" w:rsidR="00000000" w:rsidRPr="00000000">
        <w:rPr>
          <w:sz w:val="24"/>
          <w:szCs w:val="24"/>
          <w:rtl w:val="0"/>
        </w:rPr>
        <w:t xml:space="preserve">This change has expanded the range of activities that can give rise to a PE, forcing MNEs to re-evaluate their global structures and transfer pricing policies. The expanded PE definition under BEPS Action 7 means that MNEs must now allocate profits to a greater number of jurisdictions, particularly in cases where local entities are involved in significant value-creating activities.</w:t>
      </w:r>
    </w:p>
    <w:p w:rsidR="00000000" w:rsidDel="00000000" w:rsidP="00000000" w:rsidRDefault="00000000" w:rsidRPr="00000000" w14:paraId="000001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BEPS Action 8-10: Transfer Pricing Rules for Intangibles and Risk</w:t>
      </w: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In addition to addressing PE avoidance, BEPS Actions 8-10 introduced new guidelines for aligning transfer pricing outcomes with value creation, particularly in relation to intangibles, risks, and capital. These actions emphasize that profits should be attributed to PEs based on the economic substance of the activities performed there, rather than simply on the legal form of the arrangements.</w:t>
      </w:r>
    </w:p>
    <w:p w:rsidR="00000000" w:rsidDel="00000000" w:rsidP="00000000" w:rsidRDefault="00000000" w:rsidRPr="00000000" w14:paraId="0000019B">
      <w:pPr>
        <w:rPr>
          <w:sz w:val="24"/>
          <w:szCs w:val="24"/>
        </w:rPr>
      </w:pPr>
      <w:r w:rsidDel="00000000" w:rsidR="00000000" w:rsidRPr="00000000">
        <w:rPr>
          <w:sz w:val="24"/>
          <w:szCs w:val="24"/>
          <w:rtl w:val="0"/>
        </w:rPr>
        <w:t xml:space="preserve">For PEs, this means that the allocation of profits must reflect the real economic activities taking place in the jurisdiction. If a PE manages significant risks or controls key intangibles, the profits attributed to it should be higher. This approach prevents MNEs from shifting profits to low-tax jurisdictions through artificial arrangements and ensures that profits are taxed where value is actually created.</w:t>
      </w:r>
    </w:p>
    <w:p w:rsidR="00000000" w:rsidDel="00000000" w:rsidP="00000000" w:rsidRDefault="00000000" w:rsidRPr="00000000" w14:paraId="0000019C">
      <w:pPr>
        <w:pStyle w:val="Heading2"/>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8.00000000000006" w:lineRule="auto"/>
        <w:ind w:left="720" w:right="0" w:hanging="360"/>
        <w:jc w:val="both"/>
        <w:rPr/>
      </w:pPr>
      <w:bookmarkStart w:colFirst="0" w:colLast="0" w:name="_heading=h.5k8ew0vjjidh" w:id="35"/>
      <w:bookmarkEnd w:id="35"/>
      <w:r w:rsidDel="00000000" w:rsidR="00000000" w:rsidRPr="00000000">
        <w:rPr>
          <w:rtl w:val="0"/>
        </w:rPr>
        <w:t xml:space="preserve">Compliance and Documentation Requirements</w:t>
      </w:r>
    </w:p>
    <w:p w:rsidR="00000000" w:rsidDel="00000000" w:rsidP="00000000" w:rsidRDefault="00000000" w:rsidRPr="00000000" w14:paraId="000001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b w:val="1"/>
        </w:rPr>
      </w:pPr>
      <w:r w:rsidDel="00000000" w:rsidR="00000000" w:rsidRPr="00000000">
        <w:rPr>
          <w:b w:val="1"/>
          <w:sz w:val="24"/>
          <w:szCs w:val="24"/>
          <w:rtl w:val="0"/>
        </w:rPr>
        <w:t xml:space="preserve">Transfer Pricing Documentation for PEs</w:t>
      </w: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Transfer pricing documentation is essential for demonstrating that the profits attributed to a PE are in line with the arm’s length principle. Tax authorities in most jurisdictions require MNEs to maintain detailed documentation that supports their transfer pricing policies and profit allocations. For PEs, this documentation must include a thorough analysis of the functions performed, risks assumed, and assets used by the PE, as well as an explanation of how the profits were allocated.</w:t>
      </w:r>
    </w:p>
    <w:p w:rsidR="00000000" w:rsidDel="00000000" w:rsidP="00000000" w:rsidRDefault="00000000" w:rsidRPr="00000000" w14:paraId="0000019F">
      <w:pPr>
        <w:rPr>
          <w:sz w:val="24"/>
          <w:szCs w:val="24"/>
        </w:rPr>
      </w:pPr>
      <w:r w:rsidDel="00000000" w:rsidR="00000000" w:rsidRPr="00000000">
        <w:rPr>
          <w:sz w:val="24"/>
          <w:szCs w:val="24"/>
          <w:rtl w:val="0"/>
        </w:rPr>
        <w:t xml:space="preserve">The documentation requirements for PEs are particularly stringent because the activities of a PE are often closely integrated with the rest of the MNE. Tax authorities may scrutinize the allocation of profits to ensure that it accurately reflects the value created by the PE. Inadequate documentation can lead to challenges from tax authorities, resulting in audits, adjustments to the profit allocation, and potential penalties.</w:t>
      </w:r>
    </w:p>
    <w:p w:rsidR="00000000" w:rsidDel="00000000" w:rsidP="00000000" w:rsidRDefault="00000000" w:rsidRPr="00000000" w14:paraId="000001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sz w:val="24"/>
          <w:szCs w:val="24"/>
          <w:rtl w:val="0"/>
        </w:rPr>
        <w:t xml:space="preserve">Challenges of Consistent Compliance Across Jurisdictions</w:t>
      </w: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One of the most significant challenges for MNEs is maintaining consistent transfer pricing policies across multiple jurisdictions. Each jurisdiction may have its own rules for determining PE status and for allocating profits to PEs, leading to a complex web of tax obligations. MNEs must develop transfer pricing policies that are flexible enough to comply with the regulations in each jurisdiction while also ensuring that the overall approach is consistent with the arm’s length principle.</w:t>
      </w:r>
    </w:p>
    <w:p w:rsidR="00000000" w:rsidDel="00000000" w:rsidP="00000000" w:rsidRDefault="00000000" w:rsidRPr="00000000" w14:paraId="000001A2">
      <w:pPr>
        <w:rPr>
          <w:sz w:val="24"/>
          <w:szCs w:val="24"/>
        </w:rPr>
      </w:pPr>
      <w:r w:rsidDel="00000000" w:rsidR="00000000" w:rsidRPr="00000000">
        <w:rPr>
          <w:sz w:val="24"/>
          <w:szCs w:val="24"/>
          <w:rtl w:val="0"/>
        </w:rPr>
        <w:t xml:space="preserve">In practice, this means that MNEs need to have a centralized transfer pricing strategy that can be adapted to the specific requirements of each jurisdiction where they operate. This requires coordination between the MNE’s global tax team and local experts in each country to ensure that the profit allocations are defensible and compliant with local tax laws.</w:t>
      </w:r>
    </w:p>
    <w:p w:rsidR="00000000" w:rsidDel="00000000" w:rsidP="00000000" w:rsidRDefault="00000000" w:rsidRPr="00000000" w14:paraId="000001A3">
      <w:pPr>
        <w:rPr>
          <w:sz w:val="24"/>
          <w:szCs w:val="24"/>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4127" w:right="0" w:firstLine="379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right"/>
      <w:pPr>
        <w:ind w:left="720" w:hanging="360"/>
      </w:pPr>
      <w:rPr>
        <w:sz w:val="27"/>
        <w:szCs w:val="27"/>
        <w:u w:val="none"/>
      </w:rPr>
    </w:lvl>
    <w:lvl w:ilvl="1">
      <w:start w:val="1"/>
      <w:numFmt w:val="decimal"/>
      <w:lvlText w:val="%1.%2."/>
      <w:lvlJc w:val="right"/>
      <w:pPr>
        <w:ind w:left="90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spacing w:after="160" w:before="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before="240" w:line="278.00000000000006" w:lineRule="auto"/>
      <w:ind w:firstLine="1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78.00000000000006" w:lineRule="auto"/>
    </w:pPr>
    <w:rPr>
      <w:b w:val="1"/>
      <w:color w:val="000000"/>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280CC6"/>
    <w:pPr>
      <w:keepNext w:val="1"/>
      <w:keepLines w:val="1"/>
      <w:spacing w:after="0" w:before="240" w:line="278" w:lineRule="auto"/>
      <w:outlineLvl w:val="0"/>
    </w:pPr>
    <w:rPr>
      <w:rFonts w:asciiTheme="majorBidi" w:cstheme="majorBidi" w:eastAsiaTheme="majorEastAsia" w:hAnsiTheme="majorBidi"/>
      <w:b w:val="1"/>
      <w:bCs w:val="1"/>
      <w:color w:val="000000" w:themeColor="text1"/>
      <w:sz w:val="28"/>
      <w:szCs w:val="24"/>
      <w:lang w:val="en-NG"/>
    </w:rPr>
  </w:style>
  <w:style w:type="paragraph" w:styleId="Heading2">
    <w:name w:val="heading 2"/>
    <w:basedOn w:val="Normal"/>
    <w:next w:val="Normal"/>
    <w:link w:val="Heading2Char"/>
    <w:uiPriority w:val="9"/>
    <w:unhideWhenUsed w:val="1"/>
    <w:qFormat w:val="1"/>
    <w:rsid w:val="00226F28"/>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80CC6"/>
    <w:rPr>
      <w:rFonts w:asciiTheme="majorBidi" w:cstheme="majorBidi" w:eastAsiaTheme="majorEastAsia" w:hAnsiTheme="majorBidi"/>
      <w:b w:val="1"/>
      <w:bCs w:val="1"/>
      <w:color w:val="000000" w:themeColor="text1"/>
      <w:sz w:val="28"/>
      <w:szCs w:val="24"/>
      <w:lang w:val="en-NG"/>
    </w:rPr>
  </w:style>
  <w:style w:type="paragraph" w:styleId="Header">
    <w:name w:val="header"/>
    <w:basedOn w:val="Normal"/>
    <w:link w:val="HeaderChar"/>
    <w:uiPriority w:val="99"/>
    <w:unhideWhenUsed w:val="1"/>
    <w:rsid w:val="00972C6B"/>
    <w:pPr>
      <w:tabs>
        <w:tab w:val="center" w:pos="4513"/>
        <w:tab w:val="right" w:pos="9026"/>
      </w:tabs>
      <w:spacing w:after="0" w:line="240" w:lineRule="auto"/>
    </w:pPr>
  </w:style>
  <w:style w:type="character" w:styleId="HeaderChar" w:customStyle="1">
    <w:name w:val="Header Char"/>
    <w:basedOn w:val="DefaultParagraphFont"/>
    <w:link w:val="Header"/>
    <w:uiPriority w:val="99"/>
    <w:rsid w:val="00972C6B"/>
  </w:style>
  <w:style w:type="paragraph" w:styleId="Footer">
    <w:name w:val="footer"/>
    <w:basedOn w:val="Normal"/>
    <w:link w:val="FooterChar"/>
    <w:uiPriority w:val="99"/>
    <w:unhideWhenUsed w:val="1"/>
    <w:rsid w:val="00972C6B"/>
    <w:pPr>
      <w:tabs>
        <w:tab w:val="center" w:pos="4513"/>
        <w:tab w:val="right" w:pos="9026"/>
      </w:tabs>
      <w:spacing w:after="0" w:line="240" w:lineRule="auto"/>
    </w:pPr>
  </w:style>
  <w:style w:type="character" w:styleId="FooterChar" w:customStyle="1">
    <w:name w:val="Footer Char"/>
    <w:basedOn w:val="DefaultParagraphFont"/>
    <w:link w:val="Footer"/>
    <w:uiPriority w:val="99"/>
    <w:rsid w:val="00972C6B"/>
  </w:style>
  <w:style w:type="paragraph" w:styleId="TOCHeading">
    <w:name w:val="TOC Heading"/>
    <w:basedOn w:val="Heading1"/>
    <w:next w:val="Normal"/>
    <w:uiPriority w:val="39"/>
    <w:unhideWhenUsed w:val="1"/>
    <w:qFormat w:val="1"/>
    <w:rsid w:val="00972C6B"/>
    <w:pPr>
      <w:spacing w:line="259" w:lineRule="auto"/>
      <w:outlineLvl w:val="9"/>
    </w:pPr>
    <w:rPr>
      <w:rFonts w:asciiTheme="majorHAnsi" w:hAnsiTheme="majorHAnsi"/>
      <w:b w:val="0"/>
      <w:color w:val="2f5496" w:themeColor="accent1" w:themeShade="0000BF"/>
      <w:kern w:val="0"/>
      <w:sz w:val="32"/>
      <w:lang w:eastAsia="en-NG" w:val="en-NG"/>
    </w:rPr>
  </w:style>
  <w:style w:type="paragraph" w:styleId="TOC1">
    <w:name w:val="toc 1"/>
    <w:basedOn w:val="Normal"/>
    <w:next w:val="Normal"/>
    <w:autoRedefine w:val="1"/>
    <w:uiPriority w:val="39"/>
    <w:unhideWhenUsed w:val="1"/>
    <w:rsid w:val="00972C6B"/>
    <w:pPr>
      <w:spacing w:after="100"/>
    </w:pPr>
  </w:style>
  <w:style w:type="character" w:styleId="Hyperlink">
    <w:name w:val="Hyperlink"/>
    <w:basedOn w:val="DefaultParagraphFont"/>
    <w:uiPriority w:val="99"/>
    <w:unhideWhenUsed w:val="1"/>
    <w:rsid w:val="00972C6B"/>
    <w:rPr>
      <w:color w:val="0563c1" w:themeColor="hyperlink"/>
      <w:u w:val="single"/>
    </w:rPr>
  </w:style>
  <w:style w:type="character" w:styleId="Heading2Char" w:customStyle="1">
    <w:name w:val="Heading 2 Char"/>
    <w:basedOn w:val="DefaultParagraphFont"/>
    <w:link w:val="Heading2"/>
    <w:uiPriority w:val="9"/>
    <w:rsid w:val="00226F28"/>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Qr11BtFBgVmg/IcJNhjuYL9adw==">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2024-09-23T11:50:00Z</dcterms:created>
  <dc:creator>victory otamiri</dc:creator>
</cp:coreProperties>
</file>