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1"/>
        </w:numPr>
        <w:ind w:left="720" w:hanging="36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TYPES OF DOUBLE TAX CONVENTIONS (DTCs) AND NEGOTIATION OF DTCs</w:t>
      </w:r>
    </w:p>
    <w:p w:rsidR="00000000" w:rsidDel="00000000" w:rsidP="00000000" w:rsidRDefault="00000000" w:rsidRPr="00000000" w14:paraId="00000002">
      <w:pPr>
        <w:pStyle w:val="Heading1"/>
        <w:numPr>
          <w:ilvl w:val="0"/>
          <w:numId w:val="2"/>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Types of Double Tax Conventions (DTCs): Bilateral, Multilateral, and Limited</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Tax Conventions (DTCs) are international agreements designed to eliminate or mitigate the adverse effects of double taxation, which arises when the same income is taxed in more than one jurisdiction. DTCs provide clarity and predictability for taxpayers engaged in cross-border transactions and are instrumental in promoting international trade and investment. They establish rules governing taxation rights between contracting states and provide mechanisms for dispute resolution. This note explores the different types of DTCs—bilateral, multilateral, and limited—highlighting their scope, application, and practical implications with reference to legislative frameworks, case law, and academic commentary.</w:t>
      </w:r>
    </w:p>
    <w:p w:rsidR="00000000" w:rsidDel="00000000" w:rsidP="00000000" w:rsidRDefault="00000000" w:rsidRPr="00000000" w14:paraId="00000004">
      <w:pPr>
        <w:pStyle w:val="Heading2"/>
        <w:numPr>
          <w:ilvl w:val="1"/>
          <w:numId w:val="2"/>
        </w:numPr>
        <w:ind w:left="36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Bilateral Double Tax Conventions</w:t>
      </w:r>
    </w:p>
    <w:p w:rsidR="00000000" w:rsidDel="00000000" w:rsidP="00000000" w:rsidRDefault="00000000" w:rsidRPr="00000000" w14:paraId="0000000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Bilateral DTCs are the most common form of double tax agreements, concluded between two sovereign states. They are negotiated to allocate taxing rights and prevent double taxation on income and capital gains arising from cross-border transactions involving residents of the contracting states. The Organisation for Economic Co-operation and Development (OECD) Model Tax Convention serves as the foundation for most bilateral DTCs, supplemented by the United Nations Model Double Taxation Convention for developing countries.</w:t>
      </w:r>
    </w:p>
    <w:p w:rsidR="00000000" w:rsidDel="00000000" w:rsidP="00000000" w:rsidRDefault="00000000" w:rsidRPr="00000000" w14:paraId="0000000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bilateral treaties, taxing rights are distributed based on residency, source, or a combination of both. Article 4 of the OECD Model Tax Convention defines residency, while Articles 6–22 outline taxation rules for specific income types, such as business profits, dividends, interest, and royalties. </w:t>
      </w:r>
    </w:p>
    <w:p w:rsidR="00000000" w:rsidDel="00000000" w:rsidP="00000000" w:rsidRDefault="00000000" w:rsidRPr="00000000" w14:paraId="0000000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Bilateral DTCs are particularly effective in resolving disputes arising from conflicting domestic laws. For example, the case of </w:t>
      </w:r>
      <w:r w:rsidDel="00000000" w:rsidR="00000000" w:rsidRPr="00000000">
        <w:rPr>
          <w:rFonts w:ascii="Times New Roman" w:cs="Times New Roman" w:eastAsia="Times New Roman" w:hAnsi="Times New Roman"/>
          <w:b w:val="1"/>
          <w:rtl w:val="0"/>
        </w:rPr>
        <w:t xml:space="preserve">Philip Morris Asia Ltd v. Commonwealth of Australia [2015] PCA Case No. 2012-12</w:t>
      </w:r>
      <w:r w:rsidDel="00000000" w:rsidR="00000000" w:rsidRPr="00000000">
        <w:rPr>
          <w:rFonts w:ascii="Times New Roman" w:cs="Times New Roman" w:eastAsia="Times New Roman" w:hAnsi="Times New Roman"/>
          <w:rtl w:val="0"/>
        </w:rPr>
        <w:t xml:space="preserve"> addressed investor protections within bilateral agreements, showcasing their influence on investment arbitration.</w:t>
      </w:r>
    </w:p>
    <w:p w:rsidR="00000000" w:rsidDel="00000000" w:rsidP="00000000" w:rsidRDefault="00000000" w:rsidRPr="00000000" w14:paraId="00000008">
      <w:pPr>
        <w:pStyle w:val="Heading2"/>
        <w:numPr>
          <w:ilvl w:val="1"/>
          <w:numId w:val="2"/>
        </w:numPr>
        <w:ind w:left="36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Multilateral Double Tax Conventions</w:t>
      </w:r>
    </w:p>
    <w:p w:rsidR="00000000" w:rsidDel="00000000" w:rsidP="00000000" w:rsidRDefault="00000000" w:rsidRPr="00000000" w14:paraId="00000009">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Multilateral DTCs involve three or more states and are designed to address the complexities of taxation in a globalized economy. Unlike bilateral treaties, multilateral agreements harmonize tax rules across multiple jurisdictions, facilitating cooperation and minimizing compliance burdens for multinational enterprises.</w:t>
      </w:r>
    </w:p>
    <w:p w:rsidR="00000000" w:rsidDel="00000000" w:rsidP="00000000" w:rsidRDefault="00000000" w:rsidRPr="00000000" w14:paraId="0000000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prominent example of a multilateral DTC is the </w:t>
      </w:r>
      <w:r w:rsidDel="00000000" w:rsidR="00000000" w:rsidRPr="00000000">
        <w:rPr>
          <w:rFonts w:ascii="Times New Roman" w:cs="Times New Roman" w:eastAsia="Times New Roman" w:hAnsi="Times New Roman"/>
          <w:b w:val="1"/>
          <w:rtl w:val="0"/>
        </w:rPr>
        <w:t xml:space="preserve">Multilateral Convention to Implement Tax Treaty Related Measures to Prevent Base Erosion and Profit Shifting (BEPS)</w:t>
      </w:r>
      <w:r w:rsidDel="00000000" w:rsidR="00000000" w:rsidRPr="00000000">
        <w:rPr>
          <w:rFonts w:ascii="Times New Roman" w:cs="Times New Roman" w:eastAsia="Times New Roman" w:hAnsi="Times New Roman"/>
          <w:rtl w:val="0"/>
        </w:rPr>
        <w:t xml:space="preserve">, also known as the </w:t>
      </w:r>
      <w:r w:rsidDel="00000000" w:rsidR="00000000" w:rsidRPr="00000000">
        <w:rPr>
          <w:rFonts w:ascii="Times New Roman" w:cs="Times New Roman" w:eastAsia="Times New Roman" w:hAnsi="Times New Roman"/>
          <w:b w:val="1"/>
          <w:rtl w:val="0"/>
        </w:rPr>
        <w:t xml:space="preserve">Multilateral Instrument (MLI)</w:t>
      </w:r>
      <w:r w:rsidDel="00000000" w:rsidR="00000000" w:rsidRPr="00000000">
        <w:rPr>
          <w:rFonts w:ascii="Times New Roman" w:cs="Times New Roman" w:eastAsia="Times New Roman" w:hAnsi="Times New Roman"/>
          <w:rtl w:val="0"/>
        </w:rPr>
        <w:t xml:space="preserve">, which came into effect in 2018. The MLI allows jurisdictions to incorporate BEPS measures into existing bilateral treaties without renegotiating each agreement. It reflects the OECD’s commitment to curbing tax avoidance practices through hybrid mismatches, treaty abuse, and permanent establishment issues.</w:t>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Multilateral DTCs provide several advantages:</w:t>
      </w:r>
    </w:p>
    <w:p w:rsidR="00000000" w:rsidDel="00000000" w:rsidP="00000000" w:rsidRDefault="00000000" w:rsidRPr="00000000" w14:paraId="0000000C">
      <w:pPr>
        <w:numPr>
          <w:ilvl w:val="0"/>
          <w:numId w:val="7"/>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Unified Approach:</w:t>
      </w:r>
      <w:r w:rsidDel="00000000" w:rsidR="00000000" w:rsidRPr="00000000">
        <w:rPr>
          <w:rFonts w:ascii="Times New Roman" w:cs="Times New Roman" w:eastAsia="Times New Roman" w:hAnsi="Times New Roman"/>
          <w:rtl w:val="0"/>
        </w:rPr>
        <w:t xml:space="preserve"> They offer consistent rules for multiple jurisdictions, reducing administrative complexity.</w:t>
      </w:r>
    </w:p>
    <w:p w:rsidR="00000000" w:rsidDel="00000000" w:rsidP="00000000" w:rsidRDefault="00000000" w:rsidRPr="00000000" w14:paraId="0000000D">
      <w:pPr>
        <w:numPr>
          <w:ilvl w:val="0"/>
          <w:numId w:val="7"/>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Anti-Abuse Provisions:</w:t>
      </w:r>
      <w:r w:rsidDel="00000000" w:rsidR="00000000" w:rsidRPr="00000000">
        <w:rPr>
          <w:rFonts w:ascii="Times New Roman" w:cs="Times New Roman" w:eastAsia="Times New Roman" w:hAnsi="Times New Roman"/>
          <w:rtl w:val="0"/>
        </w:rPr>
        <w:t xml:space="preserve"> Measures such as the Principal Purpose Test (PPT) under the MLI prevent treaty shopping.</w:t>
      </w:r>
    </w:p>
    <w:p w:rsidR="00000000" w:rsidDel="00000000" w:rsidP="00000000" w:rsidRDefault="00000000" w:rsidRPr="00000000" w14:paraId="0000000E">
      <w:pPr>
        <w:numPr>
          <w:ilvl w:val="0"/>
          <w:numId w:val="7"/>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Flexibility and Scalability:</w:t>
      </w:r>
      <w:r w:rsidDel="00000000" w:rsidR="00000000" w:rsidRPr="00000000">
        <w:rPr>
          <w:rFonts w:ascii="Times New Roman" w:cs="Times New Roman" w:eastAsia="Times New Roman" w:hAnsi="Times New Roman"/>
          <w:rtl w:val="0"/>
        </w:rPr>
        <w:t xml:space="preserve"> Multilateral treaties can adapt to emerging tax challenges more efficiently than bilateral treaties.</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their benefits, multilateral DTCs may face implementation challenges due to differing national interpretations. Academic commentary by Reuven Avi-Yonah (2016) highlights that enforcing multilateral agreements requires careful integration into domestic laws to ensure effectiveness.</w:t>
      </w:r>
    </w:p>
    <w:p w:rsidR="00000000" w:rsidDel="00000000" w:rsidP="00000000" w:rsidRDefault="00000000" w:rsidRPr="00000000" w14:paraId="00000010">
      <w:pPr>
        <w:pStyle w:val="Heading2"/>
        <w:numPr>
          <w:ilvl w:val="1"/>
          <w:numId w:val="2"/>
        </w:numPr>
        <w:ind w:left="36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Limited Double Tax Conventions</w:t>
      </w:r>
    </w:p>
    <w:p w:rsidR="00000000" w:rsidDel="00000000" w:rsidP="00000000" w:rsidRDefault="00000000" w:rsidRPr="00000000" w14:paraId="00000011">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DTCs address specific income categories, transactions, or sectors rather than providing comprehensive coverage. These treaties are particularly useful for addressing issues related to shipping, air transport, and pensions.</w:t>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the </w:t>
      </w:r>
      <w:r w:rsidDel="00000000" w:rsidR="00000000" w:rsidRPr="00000000">
        <w:rPr>
          <w:rFonts w:ascii="Times New Roman" w:cs="Times New Roman" w:eastAsia="Times New Roman" w:hAnsi="Times New Roman"/>
          <w:b w:val="1"/>
          <w:rtl w:val="0"/>
        </w:rPr>
        <w:t xml:space="preserve">UK-Germany Agreement on Profits from Air Transport and Shipping (1969)</w:t>
      </w:r>
      <w:r w:rsidDel="00000000" w:rsidR="00000000" w:rsidRPr="00000000">
        <w:rPr>
          <w:rFonts w:ascii="Times New Roman" w:cs="Times New Roman" w:eastAsia="Times New Roman" w:hAnsi="Times New Roman"/>
          <w:rtl w:val="0"/>
        </w:rPr>
        <w:t xml:space="preserve"> allocates taxing rights exclusively to the state of residence for international shipping and air transport operations. Similarly, limited agreements between oil-producing countries often govern taxation of exploration and extraction activities, reflecting sector-specific considerations.</w:t>
      </w:r>
    </w:p>
    <w:p w:rsidR="00000000" w:rsidDel="00000000" w:rsidP="00000000" w:rsidRDefault="00000000" w:rsidRPr="00000000" w14:paraId="0000001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of limited DTCs include:</w:t>
      </w:r>
    </w:p>
    <w:p w:rsidR="00000000" w:rsidDel="00000000" w:rsidP="00000000" w:rsidRDefault="00000000" w:rsidRPr="00000000" w14:paraId="00000014">
      <w:pPr>
        <w:numPr>
          <w:ilvl w:val="0"/>
          <w:numId w:val="8"/>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Narrow Scope:</w:t>
      </w:r>
      <w:r w:rsidDel="00000000" w:rsidR="00000000" w:rsidRPr="00000000">
        <w:rPr>
          <w:rFonts w:ascii="Times New Roman" w:cs="Times New Roman" w:eastAsia="Times New Roman" w:hAnsi="Times New Roman"/>
          <w:rtl w:val="0"/>
        </w:rPr>
        <w:t xml:space="preserve"> Unlike comprehensive agreements, they focus on specific income types or sectors.</w:t>
      </w:r>
    </w:p>
    <w:p w:rsidR="00000000" w:rsidDel="00000000" w:rsidP="00000000" w:rsidRDefault="00000000" w:rsidRPr="00000000" w14:paraId="00000015">
      <w:pPr>
        <w:numPr>
          <w:ilvl w:val="0"/>
          <w:numId w:val="8"/>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Industry-Specific Rules:</w:t>
      </w:r>
      <w:r w:rsidDel="00000000" w:rsidR="00000000" w:rsidRPr="00000000">
        <w:rPr>
          <w:rFonts w:ascii="Times New Roman" w:cs="Times New Roman" w:eastAsia="Times New Roman" w:hAnsi="Times New Roman"/>
          <w:rtl w:val="0"/>
        </w:rPr>
        <w:t xml:space="preserve"> Limited DTCs cater to industries with unique tax requirements, such as aviation and natural resources.</w:t>
      </w:r>
    </w:p>
    <w:p w:rsidR="00000000" w:rsidDel="00000000" w:rsidP="00000000" w:rsidRDefault="00000000" w:rsidRPr="00000000" w14:paraId="00000016">
      <w:pPr>
        <w:numPr>
          <w:ilvl w:val="0"/>
          <w:numId w:val="8"/>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Simplified Negotiations:</w:t>
      </w:r>
      <w:r w:rsidDel="00000000" w:rsidR="00000000" w:rsidRPr="00000000">
        <w:rPr>
          <w:rFonts w:ascii="Times New Roman" w:cs="Times New Roman" w:eastAsia="Times New Roman" w:hAnsi="Times New Roman"/>
          <w:rtl w:val="0"/>
        </w:rPr>
        <w:t xml:space="preserve"> Their limited scope allows faster negotiation and implementation.</w:t>
      </w:r>
    </w:p>
    <w:p w:rsidR="00000000" w:rsidDel="00000000" w:rsidP="00000000" w:rsidRDefault="00000000" w:rsidRPr="00000000" w14:paraId="0000001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limited DTCs are practical for resolving sector-specific disputes, their narrow application limits broader tax cooperation. As noted in Baker’s </w:t>
      </w:r>
      <w:r w:rsidDel="00000000" w:rsidR="00000000" w:rsidRPr="00000000">
        <w:rPr>
          <w:rFonts w:ascii="Times New Roman" w:cs="Times New Roman" w:eastAsia="Times New Roman" w:hAnsi="Times New Roman"/>
          <w:b w:val="1"/>
          <w:rtl w:val="0"/>
        </w:rPr>
        <w:t xml:space="preserve">Double Tax Conventions and International Tax Law (2014)</w:t>
      </w:r>
      <w:r w:rsidDel="00000000" w:rsidR="00000000" w:rsidRPr="00000000">
        <w:rPr>
          <w:rFonts w:ascii="Times New Roman" w:cs="Times New Roman" w:eastAsia="Times New Roman" w:hAnsi="Times New Roman"/>
          <w:rtl w:val="0"/>
        </w:rPr>
        <w:t xml:space="preserve">, limited treaties often serve as interim solutions until broader bilateral or multilateral agreements are negotiated.</w:t>
      </w:r>
    </w:p>
    <w:p w:rsidR="00000000" w:rsidDel="00000000" w:rsidP="00000000" w:rsidRDefault="00000000" w:rsidRPr="00000000" w14:paraId="00000018">
      <w:pPr>
        <w:pStyle w:val="Heading1"/>
        <w:numPr>
          <w:ilvl w:val="0"/>
          <w:numId w:val="2"/>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Negotiation of Double Tax Conventions (DTCs): Bilateral, Multilateral, and Limited</w:t>
      </w:r>
    </w:p>
    <w:p w:rsidR="00000000" w:rsidDel="00000000" w:rsidP="00000000" w:rsidRDefault="00000000" w:rsidRPr="00000000" w14:paraId="00000019">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Negotiating Double Tax Conventions (DTCs) involves discussions that balance economic interests, policy objectives, and legal frameworks. These negotiations establish mechanisms for allocating taxing rights and resolving disputes while addressing challenges posed by differing domestic laws. This process includes drafting, technical analysis, and ratification procedures, often influenced by international guidelines and model conventions. </w:t>
      </w:r>
    </w:p>
    <w:p w:rsidR="00000000" w:rsidDel="00000000" w:rsidP="00000000" w:rsidRDefault="00000000" w:rsidRPr="00000000" w14:paraId="0000001A">
      <w:pPr>
        <w:pStyle w:val="Heading2"/>
        <w:numPr>
          <w:ilvl w:val="1"/>
          <w:numId w:val="2"/>
        </w:numPr>
        <w:ind w:left="36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Negotiation of Bilateral DTCs </w:t>
      </w:r>
    </w:p>
    <w:p w:rsidR="00000000" w:rsidDel="00000000" w:rsidP="00000000" w:rsidRDefault="00000000" w:rsidRPr="00000000" w14:paraId="0000001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Bilateral DTCs are negotiated between two states and are the most common type of tax agreements. The process involves several stages:</w:t>
      </w:r>
    </w:p>
    <w:p w:rsidR="00000000" w:rsidDel="00000000" w:rsidP="00000000" w:rsidRDefault="00000000" w:rsidRPr="00000000" w14:paraId="0000001C">
      <w:pPr>
        <w:numPr>
          <w:ilvl w:val="0"/>
          <w:numId w:val="3"/>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Preliminary Discussions:</w:t>
      </w:r>
      <w:r w:rsidDel="00000000" w:rsidR="00000000" w:rsidRPr="00000000">
        <w:rPr>
          <w:rFonts w:ascii="Times New Roman" w:cs="Times New Roman" w:eastAsia="Times New Roman" w:hAnsi="Times New Roman"/>
          <w:rtl w:val="0"/>
        </w:rPr>
        <w:t xml:space="preserve"> Negotiations typically begin with informal talks to identify areas of concern, economic ties, and mutual interests. The OECD Model Tax Convention and UN Model Tax Convention often serve as templates for drafting agreements.</w:t>
      </w:r>
    </w:p>
    <w:p w:rsidR="00000000" w:rsidDel="00000000" w:rsidP="00000000" w:rsidRDefault="00000000" w:rsidRPr="00000000" w14:paraId="0000001D">
      <w:pPr>
        <w:numPr>
          <w:ilvl w:val="0"/>
          <w:numId w:val="3"/>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Drafting and Consultation:</w:t>
      </w:r>
      <w:r w:rsidDel="00000000" w:rsidR="00000000" w:rsidRPr="00000000">
        <w:rPr>
          <w:rFonts w:ascii="Times New Roman" w:cs="Times New Roman" w:eastAsia="Times New Roman" w:hAnsi="Times New Roman"/>
          <w:rtl w:val="0"/>
        </w:rPr>
        <w:t xml:space="preserve"> Drafting involves input from tax authorities, legal experts, and policymakers. Provisions addressing residency (Article 4), permanent establishments (Article 5), and taxation of dividends, interest, and royalties (Articles 10–12) are discussed in detail.</w:t>
      </w:r>
    </w:p>
    <w:p w:rsidR="00000000" w:rsidDel="00000000" w:rsidP="00000000" w:rsidRDefault="00000000" w:rsidRPr="00000000" w14:paraId="0000001E">
      <w:pPr>
        <w:numPr>
          <w:ilvl w:val="0"/>
          <w:numId w:val="3"/>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Technical Analysis:</w:t>
      </w:r>
      <w:r w:rsidDel="00000000" w:rsidR="00000000" w:rsidRPr="00000000">
        <w:rPr>
          <w:rFonts w:ascii="Times New Roman" w:cs="Times New Roman" w:eastAsia="Times New Roman" w:hAnsi="Times New Roman"/>
          <w:rtl w:val="0"/>
        </w:rPr>
        <w:t xml:space="preserve"> Negotiators examine differences between domestic tax laws and potential conflicts. The OECD’s Commentary on the Model Tax Convention often guides this analysis. For example, in </w:t>
      </w:r>
      <w:r w:rsidDel="00000000" w:rsidR="00000000" w:rsidRPr="00000000">
        <w:rPr>
          <w:rFonts w:ascii="Times New Roman" w:cs="Times New Roman" w:eastAsia="Times New Roman" w:hAnsi="Times New Roman"/>
          <w:b w:val="1"/>
          <w:rtl w:val="0"/>
        </w:rPr>
        <w:t xml:space="preserve">Commerzbank AG v. UK Inspector of Taxes [1990] STC 285</w:t>
      </w:r>
      <w:r w:rsidDel="00000000" w:rsidR="00000000" w:rsidRPr="00000000">
        <w:rPr>
          <w:rFonts w:ascii="Times New Roman" w:cs="Times New Roman" w:eastAsia="Times New Roman" w:hAnsi="Times New Roman"/>
          <w:rtl w:val="0"/>
        </w:rPr>
        <w:t xml:space="preserve">, the interpretation of treaty provisions was influenced by OECD Commentary.</w:t>
      </w:r>
    </w:p>
    <w:p w:rsidR="00000000" w:rsidDel="00000000" w:rsidP="00000000" w:rsidRDefault="00000000" w:rsidRPr="00000000" w14:paraId="0000001F">
      <w:pPr>
        <w:numPr>
          <w:ilvl w:val="0"/>
          <w:numId w:val="3"/>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Negotiation Rounds:</w:t>
      </w:r>
      <w:r w:rsidDel="00000000" w:rsidR="00000000" w:rsidRPr="00000000">
        <w:rPr>
          <w:rFonts w:ascii="Times New Roman" w:cs="Times New Roman" w:eastAsia="Times New Roman" w:hAnsi="Times New Roman"/>
          <w:rtl w:val="0"/>
        </w:rPr>
        <w:t xml:space="preserve"> Formal meetings involve exchanging proposals and resolving disputes. Key negotiation issues often include withholding tax rates, capital gains taxation, and anti-abuse provisions. The influence of domestic politics and economic considerations may lead to prolonged discussions.</w:t>
      </w:r>
    </w:p>
    <w:p w:rsidR="00000000" w:rsidDel="00000000" w:rsidP="00000000" w:rsidRDefault="00000000" w:rsidRPr="00000000" w14:paraId="00000020">
      <w:pPr>
        <w:numPr>
          <w:ilvl w:val="0"/>
          <w:numId w:val="3"/>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Ratification and Implementation:</w:t>
      </w:r>
      <w:r w:rsidDel="00000000" w:rsidR="00000000" w:rsidRPr="00000000">
        <w:rPr>
          <w:rFonts w:ascii="Times New Roman" w:cs="Times New Roman" w:eastAsia="Times New Roman" w:hAnsi="Times New Roman"/>
          <w:rtl w:val="0"/>
        </w:rPr>
        <w:t xml:space="preserve"> Once finalized, treaties undergo ratification by legislative bodies in each jurisdiction. In the UK, implementation is governed by the </w:t>
      </w:r>
      <w:r w:rsidDel="00000000" w:rsidR="00000000" w:rsidRPr="00000000">
        <w:rPr>
          <w:rFonts w:ascii="Times New Roman" w:cs="Times New Roman" w:eastAsia="Times New Roman" w:hAnsi="Times New Roman"/>
          <w:b w:val="1"/>
          <w:rtl w:val="0"/>
        </w:rPr>
        <w:t xml:space="preserve">Taxation (International and Other Provisions) Act 2010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pStyle w:val="Heading2"/>
        <w:numPr>
          <w:ilvl w:val="1"/>
          <w:numId w:val="2"/>
        </w:numPr>
        <w:ind w:left="36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Negotiation of Multilateral DTCs </w:t>
      </w:r>
    </w:p>
    <w:p w:rsidR="00000000" w:rsidDel="00000000" w:rsidP="00000000" w:rsidRDefault="00000000" w:rsidRPr="00000000" w14:paraId="0000002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Multilateral DTCs are negotiated among multiple states to establish uniform tax rules and address global challenges such as base erosion and profit shifting (BEPS). The negotiation process for multilateral treaties is more complex due to the diversity of participating states and their domestic tax systems.</w:t>
      </w:r>
    </w:p>
    <w:p w:rsidR="00000000" w:rsidDel="00000000" w:rsidP="00000000" w:rsidRDefault="00000000" w:rsidRPr="00000000" w14:paraId="00000023">
      <w:pPr>
        <w:numPr>
          <w:ilvl w:val="0"/>
          <w:numId w:val="4"/>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Global Coordination:</w:t>
      </w:r>
      <w:r w:rsidDel="00000000" w:rsidR="00000000" w:rsidRPr="00000000">
        <w:rPr>
          <w:rFonts w:ascii="Times New Roman" w:cs="Times New Roman" w:eastAsia="Times New Roman" w:hAnsi="Times New Roman"/>
          <w:rtl w:val="0"/>
        </w:rPr>
        <w:t xml:space="preserve"> Multilateral treaties require coordination through international organizations like the OECD or the United Nations. The </w:t>
      </w:r>
      <w:r w:rsidDel="00000000" w:rsidR="00000000" w:rsidRPr="00000000">
        <w:rPr>
          <w:rFonts w:ascii="Times New Roman" w:cs="Times New Roman" w:eastAsia="Times New Roman" w:hAnsi="Times New Roman"/>
          <w:b w:val="1"/>
          <w:rtl w:val="0"/>
        </w:rPr>
        <w:t xml:space="preserve">Multilateral Instrument (MLI)</w:t>
      </w:r>
      <w:r w:rsidDel="00000000" w:rsidR="00000000" w:rsidRPr="00000000">
        <w:rPr>
          <w:rFonts w:ascii="Times New Roman" w:cs="Times New Roman" w:eastAsia="Times New Roman" w:hAnsi="Times New Roman"/>
          <w:rtl w:val="0"/>
        </w:rPr>
        <w:t xml:space="preserve"> under the BEPS framework is a prime example. Negotiations involved over 100 jurisdictions, focusing on hybrid mismatches, treaty abuse, and permanent establishment rules.</w:t>
      </w:r>
    </w:p>
    <w:p w:rsidR="00000000" w:rsidDel="00000000" w:rsidP="00000000" w:rsidRDefault="00000000" w:rsidRPr="00000000" w14:paraId="00000024">
      <w:pPr>
        <w:numPr>
          <w:ilvl w:val="0"/>
          <w:numId w:val="4"/>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Framework Development:</w:t>
      </w:r>
      <w:r w:rsidDel="00000000" w:rsidR="00000000" w:rsidRPr="00000000">
        <w:rPr>
          <w:rFonts w:ascii="Times New Roman" w:cs="Times New Roman" w:eastAsia="Times New Roman" w:hAnsi="Times New Roman"/>
          <w:rtl w:val="0"/>
        </w:rPr>
        <w:t xml:space="preserve"> Drafting committees work on a unified framework, incorporating provisions applicable to all participants. For instance, the MLI introduced the Principal Purpose Test (PPT) to prevent treaty shopping, as outlined in </w:t>
      </w:r>
      <w:r w:rsidDel="00000000" w:rsidR="00000000" w:rsidRPr="00000000">
        <w:rPr>
          <w:rFonts w:ascii="Times New Roman" w:cs="Times New Roman" w:eastAsia="Times New Roman" w:hAnsi="Times New Roman"/>
          <w:b w:val="1"/>
          <w:rtl w:val="0"/>
        </w:rPr>
        <w:t xml:space="preserve">OECD Action 6 Final Report (2015)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numPr>
          <w:ilvl w:val="0"/>
          <w:numId w:val="4"/>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Negotiation Rounds and Reservations:</w:t>
      </w:r>
      <w:r w:rsidDel="00000000" w:rsidR="00000000" w:rsidRPr="00000000">
        <w:rPr>
          <w:rFonts w:ascii="Times New Roman" w:cs="Times New Roman" w:eastAsia="Times New Roman" w:hAnsi="Times New Roman"/>
          <w:rtl w:val="0"/>
        </w:rPr>
        <w:t xml:space="preserve"> Multilateral negotiations often involve reservation clauses allowing states to opt out of specific provisions. This flexibility addresses diverse legal systems and economic policies.</w:t>
      </w:r>
    </w:p>
    <w:p w:rsidR="00000000" w:rsidDel="00000000" w:rsidP="00000000" w:rsidRDefault="00000000" w:rsidRPr="00000000" w14:paraId="00000026">
      <w:pPr>
        <w:numPr>
          <w:ilvl w:val="0"/>
          <w:numId w:val="4"/>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Ratification and Implementation:</w:t>
      </w:r>
      <w:r w:rsidDel="00000000" w:rsidR="00000000" w:rsidRPr="00000000">
        <w:rPr>
          <w:rFonts w:ascii="Times New Roman" w:cs="Times New Roman" w:eastAsia="Times New Roman" w:hAnsi="Times New Roman"/>
          <w:rtl w:val="0"/>
        </w:rPr>
        <w:t xml:space="preserve"> Multilateral treaties typically include protocols for domestic implementation. In </w:t>
      </w:r>
      <w:r w:rsidDel="00000000" w:rsidR="00000000" w:rsidRPr="00000000">
        <w:rPr>
          <w:rFonts w:ascii="Times New Roman" w:cs="Times New Roman" w:eastAsia="Times New Roman" w:hAnsi="Times New Roman"/>
          <w:b w:val="1"/>
          <w:rtl w:val="0"/>
        </w:rPr>
        <w:t xml:space="preserve">Canada v. Crown Forest Industries Ltd [1995] 2 SCR 802</w:t>
      </w:r>
      <w:r w:rsidDel="00000000" w:rsidR="00000000" w:rsidRPr="00000000">
        <w:rPr>
          <w:rFonts w:ascii="Times New Roman" w:cs="Times New Roman" w:eastAsia="Times New Roman" w:hAnsi="Times New Roman"/>
          <w:rtl w:val="0"/>
        </w:rPr>
        <w:t xml:space="preserve">, the court underscored the importance of adhering to domestic legislative frameworks for treaty enforcement.</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Multilateral negotiations highlight the shift toward global tax governance. Academic studies, including Avi-Yonah’s </w:t>
      </w:r>
      <w:r w:rsidDel="00000000" w:rsidR="00000000" w:rsidRPr="00000000">
        <w:rPr>
          <w:rFonts w:ascii="Times New Roman" w:cs="Times New Roman" w:eastAsia="Times New Roman" w:hAnsi="Times New Roman"/>
          <w:b w:val="1"/>
          <w:rtl w:val="0"/>
        </w:rPr>
        <w:t xml:space="preserve">International Tax as International Law (2007)</w:t>
      </w:r>
      <w:r w:rsidDel="00000000" w:rsidR="00000000" w:rsidRPr="00000000">
        <w:rPr>
          <w:rFonts w:ascii="Times New Roman" w:cs="Times New Roman" w:eastAsia="Times New Roman" w:hAnsi="Times New Roman"/>
          <w:rtl w:val="0"/>
        </w:rPr>
        <w:t xml:space="preserve">, suggest that multilateral treaties enhance cooperation but face challenges related to sovereignty and enforcement.</w:t>
      </w:r>
    </w:p>
    <w:p w:rsidR="00000000" w:rsidDel="00000000" w:rsidP="00000000" w:rsidRDefault="00000000" w:rsidRPr="00000000" w14:paraId="00000028">
      <w:pPr>
        <w:pStyle w:val="Heading2"/>
        <w:numPr>
          <w:ilvl w:val="1"/>
          <w:numId w:val="2"/>
        </w:numPr>
        <w:ind w:left="36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Negotiation of Limited DTCs </w:t>
      </w:r>
    </w:p>
    <w:p w:rsidR="00000000" w:rsidDel="00000000" w:rsidP="00000000" w:rsidRDefault="00000000" w:rsidRPr="00000000" w14:paraId="00000029">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DTCs address specific sectors or income categories, such as shipping, air transport, and pensions. The negotiation process for these agreements is streamlined but still requires technical expertise.</w:t>
      </w:r>
    </w:p>
    <w:p w:rsidR="00000000" w:rsidDel="00000000" w:rsidP="00000000" w:rsidRDefault="00000000" w:rsidRPr="00000000" w14:paraId="0000002A">
      <w:pPr>
        <w:numPr>
          <w:ilvl w:val="0"/>
          <w:numId w:val="5"/>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Sector-Specific Focus:</w:t>
      </w:r>
      <w:r w:rsidDel="00000000" w:rsidR="00000000" w:rsidRPr="00000000">
        <w:rPr>
          <w:rFonts w:ascii="Times New Roman" w:cs="Times New Roman" w:eastAsia="Times New Roman" w:hAnsi="Times New Roman"/>
          <w:rtl w:val="0"/>
        </w:rPr>
        <w:t xml:space="preserve"> Negotiations often involve industry representatives to address practical issues. For instance, the </w:t>
      </w:r>
      <w:r w:rsidDel="00000000" w:rsidR="00000000" w:rsidRPr="00000000">
        <w:rPr>
          <w:rFonts w:ascii="Times New Roman" w:cs="Times New Roman" w:eastAsia="Times New Roman" w:hAnsi="Times New Roman"/>
          <w:b w:val="1"/>
          <w:rtl w:val="0"/>
        </w:rPr>
        <w:t xml:space="preserve">UK-Germany Agreement on Profits from Air Transport and Shipping (1969)</w:t>
      </w:r>
      <w:r w:rsidDel="00000000" w:rsidR="00000000" w:rsidRPr="00000000">
        <w:rPr>
          <w:rFonts w:ascii="Times New Roman" w:cs="Times New Roman" w:eastAsia="Times New Roman" w:hAnsi="Times New Roman"/>
          <w:rtl w:val="0"/>
        </w:rPr>
        <w:t xml:space="preserve"> was designed to simplify taxation for international carriers.</w:t>
      </w:r>
    </w:p>
    <w:p w:rsidR="00000000" w:rsidDel="00000000" w:rsidP="00000000" w:rsidRDefault="00000000" w:rsidRPr="00000000" w14:paraId="0000002B">
      <w:pPr>
        <w:numPr>
          <w:ilvl w:val="0"/>
          <w:numId w:val="5"/>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Targeted Provisions:</w:t>
      </w:r>
      <w:r w:rsidDel="00000000" w:rsidR="00000000" w:rsidRPr="00000000">
        <w:rPr>
          <w:rFonts w:ascii="Times New Roman" w:cs="Times New Roman" w:eastAsia="Times New Roman" w:hAnsi="Times New Roman"/>
          <w:rtl w:val="0"/>
        </w:rPr>
        <w:t xml:space="preserve"> Limited treaties prioritize provisions relevant to the sector. Negotiators ensure compatibility with broader bilateral or multilateral treaties. For example, limited treaties governing oil exploration typically include provisions for cost recovery and profit-sharing arrangements.</w:t>
      </w:r>
    </w:p>
    <w:p w:rsidR="00000000" w:rsidDel="00000000" w:rsidP="00000000" w:rsidRDefault="00000000" w:rsidRPr="00000000" w14:paraId="0000002C">
      <w:pPr>
        <w:numPr>
          <w:ilvl w:val="0"/>
          <w:numId w:val="5"/>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Simplified Negotiation Process:</w:t>
      </w:r>
      <w:r w:rsidDel="00000000" w:rsidR="00000000" w:rsidRPr="00000000">
        <w:rPr>
          <w:rFonts w:ascii="Times New Roman" w:cs="Times New Roman" w:eastAsia="Times New Roman" w:hAnsi="Times New Roman"/>
          <w:rtl w:val="0"/>
        </w:rPr>
        <w:t xml:space="preserve"> Limited scope allows faster negotiations, but complexities arise when integrating these treaties into existing tax frameworks. As noted in Harris’s </w:t>
      </w:r>
      <w:r w:rsidDel="00000000" w:rsidR="00000000" w:rsidRPr="00000000">
        <w:rPr>
          <w:rFonts w:ascii="Times New Roman" w:cs="Times New Roman" w:eastAsia="Times New Roman" w:hAnsi="Times New Roman"/>
          <w:b w:val="1"/>
          <w:rtl w:val="0"/>
        </w:rPr>
        <w:t xml:space="preserve">International Tax Law (2016)</w:t>
      </w:r>
      <w:r w:rsidDel="00000000" w:rsidR="00000000" w:rsidRPr="00000000">
        <w:rPr>
          <w:rFonts w:ascii="Times New Roman" w:cs="Times New Roman" w:eastAsia="Times New Roman" w:hAnsi="Times New Roman"/>
          <w:rtl w:val="0"/>
        </w:rPr>
        <w:t xml:space="preserve">, limited treaties often require supplementary agreements to address enforcement gaps.</w:t>
      </w:r>
    </w:p>
    <w:p w:rsidR="00000000" w:rsidDel="00000000" w:rsidP="00000000" w:rsidRDefault="00000000" w:rsidRPr="00000000" w14:paraId="0000002D">
      <w:pPr>
        <w:numPr>
          <w:ilvl w:val="0"/>
          <w:numId w:val="5"/>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Implementation Challenges:</w:t>
      </w:r>
      <w:r w:rsidDel="00000000" w:rsidR="00000000" w:rsidRPr="00000000">
        <w:rPr>
          <w:rFonts w:ascii="Times New Roman" w:cs="Times New Roman" w:eastAsia="Times New Roman" w:hAnsi="Times New Roman"/>
          <w:rtl w:val="0"/>
        </w:rPr>
        <w:t xml:space="preserve"> Enforcement depends on sector-specific rules. Courts, as in </w:t>
      </w:r>
      <w:r w:rsidDel="00000000" w:rsidR="00000000" w:rsidRPr="00000000">
        <w:rPr>
          <w:rFonts w:ascii="Times New Roman" w:cs="Times New Roman" w:eastAsia="Times New Roman" w:hAnsi="Times New Roman"/>
          <w:b w:val="1"/>
          <w:rtl w:val="0"/>
        </w:rPr>
        <w:t xml:space="preserve">Furniss v. Dawson [1984] AC 474</w:t>
      </w:r>
      <w:r w:rsidDel="00000000" w:rsidR="00000000" w:rsidRPr="00000000">
        <w:rPr>
          <w:rFonts w:ascii="Times New Roman" w:cs="Times New Roman" w:eastAsia="Times New Roman" w:hAnsi="Times New Roman"/>
          <w:rtl w:val="0"/>
        </w:rPr>
        <w:t xml:space="preserve">, have emphasized the need for clear interpretations when disputes arise.</w:t>
      </w:r>
    </w:p>
    <w:p w:rsidR="00000000" w:rsidDel="00000000" w:rsidP="00000000" w:rsidRDefault="00000000" w:rsidRPr="00000000" w14:paraId="0000002E">
      <w:pPr>
        <w:pStyle w:val="Heading2"/>
        <w:numPr>
          <w:ilvl w:val="1"/>
          <w:numId w:val="2"/>
        </w:numPr>
        <w:ind w:left="36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Practical Considerations in DTC Negotiations </w:t>
      </w:r>
    </w:p>
    <w:p w:rsidR="00000000" w:rsidDel="00000000" w:rsidP="00000000" w:rsidRDefault="00000000" w:rsidRPr="00000000" w14:paraId="0000002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Negotiators must balance legal, economic, and political considerations. Key factors influencing negotiations include:</w:t>
      </w:r>
    </w:p>
    <w:p w:rsidR="00000000" w:rsidDel="00000000" w:rsidP="00000000" w:rsidRDefault="00000000" w:rsidRPr="00000000" w14:paraId="00000030">
      <w:pPr>
        <w:numPr>
          <w:ilvl w:val="0"/>
          <w:numId w:val="6"/>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Economic Relationships:</w:t>
      </w:r>
      <w:r w:rsidDel="00000000" w:rsidR="00000000" w:rsidRPr="00000000">
        <w:rPr>
          <w:rFonts w:ascii="Times New Roman" w:cs="Times New Roman" w:eastAsia="Times New Roman" w:hAnsi="Times New Roman"/>
          <w:rtl w:val="0"/>
        </w:rPr>
        <w:t xml:space="preserve"> Strong trade and investment ties often drive the need for DTCs. Negotiators assess economic dependencies and future growth prospects. This requires analyzing existing trade volumes, bilateral investment flows, and potential areas for economic expansion. Tax treaties may prioritize these relationships to foster economic cooperation and minimize trade barriers.</w:t>
      </w:r>
    </w:p>
    <w:p w:rsidR="00000000" w:rsidDel="00000000" w:rsidP="00000000" w:rsidRDefault="00000000" w:rsidRPr="00000000" w14:paraId="00000031">
      <w:pPr>
        <w:numPr>
          <w:ilvl w:val="0"/>
          <w:numId w:val="6"/>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Tax Policy Objectives:</w:t>
      </w:r>
      <w:r w:rsidDel="00000000" w:rsidR="00000000" w:rsidRPr="00000000">
        <w:rPr>
          <w:rFonts w:ascii="Times New Roman" w:cs="Times New Roman" w:eastAsia="Times New Roman" w:hAnsi="Times New Roman"/>
          <w:rtl w:val="0"/>
        </w:rPr>
        <w:t xml:space="preserve"> Provisions reflect national tax policies, including incentives for foreign investment and anti-abuse measures. Negotiators aim to strike a balance between providing tax relief to foreign investors and protecting the domestic tax base. The design of rules related to withholding taxes, profit attribution, and transfer pricing aligns with broader policy goals such as economic growth and tax fairness.</w:t>
      </w:r>
    </w:p>
    <w:p w:rsidR="00000000" w:rsidDel="00000000" w:rsidP="00000000" w:rsidRDefault="00000000" w:rsidRPr="00000000" w14:paraId="00000032">
      <w:pPr>
        <w:numPr>
          <w:ilvl w:val="0"/>
          <w:numId w:val="6"/>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Administrative Capacity:</w:t>
      </w:r>
      <w:r w:rsidDel="00000000" w:rsidR="00000000" w:rsidRPr="00000000">
        <w:rPr>
          <w:rFonts w:ascii="Times New Roman" w:cs="Times New Roman" w:eastAsia="Times New Roman" w:hAnsi="Times New Roman"/>
          <w:rtl w:val="0"/>
        </w:rPr>
        <w:t xml:space="preserve"> Developing countries may face challenges in implementing complex treaties. The UN Model provides simplified alternatives to address capacity constraints. Negotiators from developing nations often emphasize administrative simplicity, ensuring compliance mechanisms can be effectively implemented without excessive costs or expertise.</w:t>
      </w:r>
    </w:p>
    <w:p w:rsidR="00000000" w:rsidDel="00000000" w:rsidP="00000000" w:rsidRDefault="00000000" w:rsidRPr="00000000" w14:paraId="00000033">
      <w:pPr>
        <w:numPr>
          <w:ilvl w:val="0"/>
          <w:numId w:val="6"/>
        </w:numPr>
        <w:spacing w:after="28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Interpretation and Dispute Resolution:</w:t>
      </w:r>
      <w:r w:rsidDel="00000000" w:rsidR="00000000" w:rsidRPr="00000000">
        <w:rPr>
          <w:rFonts w:ascii="Times New Roman" w:cs="Times New Roman" w:eastAsia="Times New Roman" w:hAnsi="Times New Roman"/>
          <w:rtl w:val="0"/>
        </w:rPr>
        <w:t xml:space="preserve"> Treaties incorporate MAP and arbitration clauses to resolve disputes, as outlined in </w:t>
      </w:r>
      <w:r w:rsidDel="00000000" w:rsidR="00000000" w:rsidRPr="00000000">
        <w:rPr>
          <w:rFonts w:ascii="Times New Roman" w:cs="Times New Roman" w:eastAsia="Times New Roman" w:hAnsi="Times New Roman"/>
          <w:b w:val="1"/>
          <w:rtl w:val="0"/>
        </w:rPr>
        <w:t xml:space="preserve">BEPS Action 14</w:t>
      </w:r>
      <w:r w:rsidDel="00000000" w:rsidR="00000000" w:rsidRPr="00000000">
        <w:rPr>
          <w:rFonts w:ascii="Times New Roman" w:cs="Times New Roman" w:eastAsia="Times New Roman" w:hAnsi="Times New Roman"/>
          <w:rtl w:val="0"/>
        </w:rPr>
        <w:t xml:space="preserve">. Dispute resolution mechanisms provide clarity on ambiguous provisions, enhance taxpayer confidence, and mitigate risks of double taxation. Arbitrators must consider international case law and OECD commentaries, ensuring interpretations align with established precedents.</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E5AC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5E5AC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5E5AC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5E5AC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5E5AC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5E5AC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E5AC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E5AC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E5AC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E5AC2"/>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5E5AC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E5AC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5E5AC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5E5AC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5E5AC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E5AC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E5AC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E5AC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E5AC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E5AC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5E5AC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E5AC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E5AC2"/>
    <w:rPr>
      <w:i w:val="1"/>
      <w:iCs w:val="1"/>
      <w:color w:val="404040" w:themeColor="text1" w:themeTint="0000BF"/>
    </w:rPr>
  </w:style>
  <w:style w:type="paragraph" w:styleId="ListParagraph">
    <w:name w:val="List Paragraph"/>
    <w:basedOn w:val="Normal"/>
    <w:uiPriority w:val="34"/>
    <w:qFormat w:val="1"/>
    <w:rsid w:val="005E5AC2"/>
    <w:pPr>
      <w:ind w:left="720"/>
      <w:contextualSpacing w:val="1"/>
    </w:pPr>
  </w:style>
  <w:style w:type="character" w:styleId="IntenseEmphasis">
    <w:name w:val="Intense Emphasis"/>
    <w:basedOn w:val="DefaultParagraphFont"/>
    <w:uiPriority w:val="21"/>
    <w:qFormat w:val="1"/>
    <w:rsid w:val="005E5AC2"/>
    <w:rPr>
      <w:i w:val="1"/>
      <w:iCs w:val="1"/>
      <w:color w:val="0f4761" w:themeColor="accent1" w:themeShade="0000BF"/>
    </w:rPr>
  </w:style>
  <w:style w:type="paragraph" w:styleId="IntenseQuote">
    <w:name w:val="Intense Quote"/>
    <w:basedOn w:val="Normal"/>
    <w:next w:val="Normal"/>
    <w:link w:val="IntenseQuoteChar"/>
    <w:uiPriority w:val="30"/>
    <w:qFormat w:val="1"/>
    <w:rsid w:val="005E5AC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E5AC2"/>
    <w:rPr>
      <w:i w:val="1"/>
      <w:iCs w:val="1"/>
      <w:color w:val="0f4761" w:themeColor="accent1" w:themeShade="0000BF"/>
    </w:rPr>
  </w:style>
  <w:style w:type="character" w:styleId="IntenseReference">
    <w:name w:val="Intense Reference"/>
    <w:basedOn w:val="DefaultParagraphFont"/>
    <w:uiPriority w:val="32"/>
    <w:qFormat w:val="1"/>
    <w:rsid w:val="005E5AC2"/>
    <w:rPr>
      <w:b w:val="1"/>
      <w:bCs w:val="1"/>
      <w:smallCaps w:val="1"/>
      <w:color w:val="0f4761" w:themeColor="accent1" w:themeShade="0000BF"/>
      <w:spacing w:val="5"/>
    </w:rPr>
  </w:style>
  <w:style w:type="paragraph" w:styleId="NormalWeb">
    <w:name w:val="Normal (Web)"/>
    <w:basedOn w:val="Normal"/>
    <w:uiPriority w:val="99"/>
    <w:semiHidden w:val="1"/>
    <w:unhideWhenUsed w:val="1"/>
    <w:rsid w:val="005E5AC2"/>
    <w:pPr>
      <w:spacing w:after="100" w:afterAutospacing="1" w:before="100" w:beforeAutospacing="1" w:line="240" w:lineRule="auto"/>
    </w:pPr>
    <w:rPr>
      <w:rFonts w:ascii="Times New Roman" w:cs="Times New Roman" w:eastAsia="Times New Roman" w:hAnsi="Times New Roman"/>
    </w:rPr>
  </w:style>
  <w:style w:type="character" w:styleId="Strong">
    <w:name w:val="Strong"/>
    <w:basedOn w:val="DefaultParagraphFont"/>
    <w:uiPriority w:val="22"/>
    <w:qFormat w:val="1"/>
    <w:rsid w:val="005E5AC2"/>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5mwfikbIkTkY8CQSbxDAiwQ1w==">CgMxLjA4AHIhMVlZVGRQelJEaE53cFlYSjVpd083Zm1PTG9aZHhtTlpZ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2025-01-03T15:03:00Z</dcterms:created>
  <dc:creator>Munachiso Ogu-Jude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76e9564e-acb7-48a3-85ed-3a35ffbaefec</vt:lpwstr>
  </property>
</Properties>
</file>