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1"/>
        <w:keepLines w:val="1"/>
        <w:pBdr>
          <w:top w:space="0" w:sz="0" w:val="nil"/>
          <w:left w:space="0" w:sz="0" w:val="nil"/>
          <w:bottom w:space="0" w:sz="0" w:val="nil"/>
          <w:right w:space="0" w:sz="0" w:val="nil"/>
          <w:between w:space="0" w:sz="0" w:val="nil"/>
        </w:pBdr>
        <w:spacing w:after="0" w:before="240" w:lineRule="auto"/>
        <w:jc w:val="both"/>
        <w:rPr>
          <w:rFonts w:ascii="Times New Roman" w:cs="Times New Roman" w:eastAsia="Times New Roman" w:hAnsi="Times New Roman"/>
          <w:color w:val="2f5496"/>
          <w:sz w:val="32"/>
          <w:szCs w:val="32"/>
        </w:rPr>
      </w:pPr>
      <w:r w:rsidDel="00000000" w:rsidR="00000000" w:rsidRPr="00000000">
        <w:rPr>
          <w:rFonts w:ascii="Times New Roman" w:cs="Times New Roman" w:eastAsia="Times New Roman" w:hAnsi="Times New Roman"/>
          <w:color w:val="2f5496"/>
          <w:sz w:val="32"/>
          <w:szCs w:val="32"/>
          <w:rtl w:val="0"/>
        </w:rPr>
        <w:t xml:space="preserve">Contents</w:t>
      </w:r>
    </w:p>
    <w:sdt>
      <w:sdtPr>
        <w:id w:val="-1241355900"/>
        <w:docPartObj>
          <w:docPartGallery w:val="Table of Contents"/>
          <w:docPartUnique w:val="1"/>
        </w:docPartObj>
      </w:sdtPr>
      <w:sdtContent>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gjdgxs">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C.1. THE OECD MODEL TAX CONVENTION (OECD MTC) AND THE COMMENTARIES TO THE OECD MTC – THE WORK OF THE OECD COMMITTEE ON FISCAL AFFAIRS</w:t>
            </w:r>
          </w:hyperlink>
          <w:hyperlink w:anchor="_heading=h.gjdgxs">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ab/>
              <w:t xml:space="preserve">2</w:t>
            </w:r>
          </w:hyperlink>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016"/>
            </w:tabs>
            <w:spacing w:after="100" w:before="0" w:line="259" w:lineRule="auto"/>
            <w:ind w:left="22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30j0zll">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1.</w:t>
              <w:tab/>
              <w:t xml:space="preserve">The Format and Structure of a DTC</w:t>
              <w:tab/>
              <w:t xml:space="preserve">2</w:t>
            </w:r>
          </w:hyperlink>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016"/>
            </w:tabs>
            <w:spacing w:after="100" w:before="0" w:line="259" w:lineRule="auto"/>
            <w:ind w:left="22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1fob9te">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2.</w:t>
              <w:tab/>
              <w:t xml:space="preserve">The Commentaries</w:t>
              <w:tab/>
              <w:t xml:space="preserve">4</w:t>
            </w:r>
          </w:hyperlink>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3znysh7">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C.2. THE UN MODEL DOUBLE TAXATION CONVENTION 2021 (UN MTC)</w:t>
            </w:r>
          </w:hyperlink>
          <w:hyperlink w:anchor="_heading=h.3znysh7">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016"/>
            </w:tabs>
            <w:spacing w:after="100" w:before="0" w:line="259" w:lineRule="auto"/>
            <w:ind w:left="22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2et92p0">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1.</w:t>
              <w:tab/>
              <w:t xml:space="preserve">The UN MTC: Format and Structure</w:t>
              <w:tab/>
              <w:t xml:space="preserve">8</w:t>
            </w:r>
          </w:hyperlink>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016"/>
            </w:tabs>
            <w:spacing w:after="100" w:before="0" w:line="259" w:lineRule="auto"/>
            <w:ind w:left="22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tyjcwt">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2.</w:t>
              <w:tab/>
              <w:t xml:space="preserve">General comparison with the OECD MTC</w:t>
              <w:tab/>
              <w:t xml:space="preserve">9</w:t>
            </w:r>
          </w:hyperlink>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3dy6vkm">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C.3. SPECIFIC STATES’ MODELS: THE US MTC; THE DUTCH MTC</w:t>
            </w:r>
          </w:hyperlink>
          <w:hyperlink w:anchor="_heading=h.3dy6vkm">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ab/>
              <w:t xml:space="preserve">11</w:t>
            </w:r>
          </w:hyperlink>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016"/>
            </w:tabs>
            <w:spacing w:after="100" w:before="0" w:line="259" w:lineRule="auto"/>
            <w:ind w:left="22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1t3h5sf">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1.</w:t>
              <w:tab/>
              <w:t xml:space="preserve">The US Model Tax Convention (US MTC)</w:t>
              <w:tab/>
              <w:t xml:space="preserve">12</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016"/>
            </w:tabs>
            <w:spacing w:after="100" w:before="0" w:line="259" w:lineRule="auto"/>
            <w:ind w:left="22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4d34og8">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2.</w:t>
              <w:tab/>
              <w:t xml:space="preserve">The Dutch Model Tax Convention (Dutch MTC)</w:t>
              <w:tab/>
              <w:t xml:space="preserve">13</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016"/>
            </w:tabs>
            <w:spacing w:after="100" w:before="0" w:line="259" w:lineRule="auto"/>
            <w:ind w:left="22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2s8eyo1">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3.</w:t>
              <w:tab/>
              <w:t xml:space="preserve">Comparative Analysis</w:t>
              <w:tab/>
              <w:t xml:space="preserve">14</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17dp8vu">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C.4. THE MULTILATERAL CONVENTION TO IMPLEMENT TAX TREATY RELATED MEASURES TO PREVENT BEPS (MLI)</w:t>
            </w:r>
          </w:hyperlink>
          <w:hyperlink w:anchor="_heading=h.17dp8vu">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ab/>
              <w:t xml:space="preserve">14</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016"/>
            </w:tabs>
            <w:spacing w:after="100" w:before="0" w:line="259" w:lineRule="auto"/>
            <w:ind w:left="22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3rdcrjn">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1.</w:t>
              <w:tab/>
              <w:t xml:space="preserve">Structure and Format of the MLI</w:t>
              <w:tab/>
              <w:t xml:space="preserve">15</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720"/>
              <w:tab w:val="right" w:leader="dot" w:pos="9016"/>
            </w:tabs>
            <w:spacing w:after="100" w:before="0" w:line="259" w:lineRule="auto"/>
            <w:ind w:left="220" w:right="0" w:firstLine="0"/>
            <w:jc w:val="left"/>
            <w:rPr>
              <w:rFonts w:ascii="Times New Roman" w:cs="Times New Roman" w:eastAsia="Times New Roman" w:hAnsi="Times New Roman"/>
              <w:i w:val="0"/>
              <w:smallCaps w:val="0"/>
              <w:strike w:val="0"/>
              <w:color w:val="000000"/>
              <w:sz w:val="24"/>
              <w:szCs w:val="24"/>
              <w:u w:val="none"/>
              <w:shd w:fill="auto" w:val="clear"/>
              <w:vertAlign w:val="baseline"/>
            </w:rPr>
          </w:pPr>
          <w:hyperlink w:anchor="_heading=h.26in1rg">
            <w:r w:rsidDel="00000000" w:rsidR="00000000" w:rsidRPr="00000000">
              <w:rPr>
                <w:rFonts w:ascii="Times New Roman" w:cs="Times New Roman" w:eastAsia="Times New Roman" w:hAnsi="Times New Roman"/>
                <w:i w:val="0"/>
                <w:smallCaps w:val="0"/>
                <w:strike w:val="0"/>
                <w:color w:val="000000"/>
                <w:sz w:val="24"/>
                <w:szCs w:val="24"/>
                <w:u w:val="none"/>
                <w:shd w:fill="auto" w:val="clear"/>
                <w:vertAlign w:val="baseline"/>
                <w:rtl w:val="0"/>
              </w:rPr>
              <w:t xml:space="preserve">2.</w:t>
              <w:tab/>
              <w:t xml:space="preserve">Using the MLI as an International Taxation Tool</w:t>
              <w:tab/>
              <w:t xml:space="preserve">17</w:t>
            </w:r>
          </w:hyperlink>
          <w:r w:rsidDel="00000000" w:rsidR="00000000" w:rsidRPr="00000000">
            <w:rPr>
              <w:rtl w:val="0"/>
            </w:rPr>
          </w:r>
        </w:p>
        <w:p w:rsidR="00000000" w:rsidDel="00000000" w:rsidP="00000000" w:rsidRDefault="00000000" w:rsidRPr="00000000" w14:paraId="0000000F">
          <w:pPr>
            <w:widowControl w:val="0"/>
            <w:tabs>
              <w:tab w:val="right" w:leader="none" w:pos="12000"/>
            </w:tabs>
            <w:spacing w:after="0" w:before="60" w:line="240" w:lineRule="auto"/>
            <w:jc w:val="both"/>
            <w:rPr>
              <w:rFonts w:ascii="Times New Roman" w:cs="Times New Roman" w:eastAsia="Times New Roman" w:hAnsi="Times New Roman"/>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0">
      <w:pPr>
        <w:widowControl w:val="0"/>
        <w:tabs>
          <w:tab w:val="right" w:leader="none" w:pos="12000"/>
        </w:tabs>
        <w:spacing w:after="0" w:before="60" w:line="240" w:lineRule="auto"/>
        <w:jc w:val="both"/>
        <w:rPr>
          <w:rFonts w:ascii="Times New Roman" w:cs="Times New Roman" w:eastAsia="Times New Roman" w:hAnsi="Times New Roman"/>
          <w:b w:val="1"/>
          <w:sz w:val="30"/>
          <w:szCs w:val="30"/>
          <w:u w:val="single"/>
        </w:rPr>
      </w:pPr>
      <w:r w:rsidDel="00000000" w:rsidR="00000000" w:rsidRPr="00000000">
        <w:rPr>
          <w:rtl w:val="0"/>
        </w:rPr>
      </w:r>
    </w:p>
    <w:p w:rsidR="00000000" w:rsidDel="00000000" w:rsidP="00000000" w:rsidRDefault="00000000" w:rsidRPr="00000000" w14:paraId="00000011">
      <w:pPr>
        <w:widowControl w:val="0"/>
        <w:tabs>
          <w:tab w:val="right" w:leader="none" w:pos="12000"/>
        </w:tabs>
        <w:spacing w:after="0" w:before="60" w:line="240" w:lineRule="auto"/>
        <w:jc w:val="both"/>
        <w:rPr>
          <w:rFonts w:ascii="Times New Roman" w:cs="Times New Roman" w:eastAsia="Times New Roman" w:hAnsi="Times New Roman"/>
          <w:b w:val="1"/>
          <w:sz w:val="30"/>
          <w:szCs w:val="30"/>
          <w:u w:val="single"/>
        </w:rPr>
      </w:pPr>
      <w:r w:rsidDel="00000000" w:rsidR="00000000" w:rsidRPr="00000000">
        <w:rPr>
          <w:rtl w:val="0"/>
        </w:rPr>
      </w:r>
    </w:p>
    <w:p w:rsidR="00000000" w:rsidDel="00000000" w:rsidP="00000000" w:rsidRDefault="00000000" w:rsidRPr="00000000" w14:paraId="00000012">
      <w:pPr>
        <w:widowControl w:val="0"/>
        <w:tabs>
          <w:tab w:val="right" w:leader="none" w:pos="12000"/>
        </w:tabs>
        <w:spacing w:after="0" w:before="60" w:line="240" w:lineRule="auto"/>
        <w:jc w:val="both"/>
        <w:rPr>
          <w:rFonts w:ascii="Times New Roman" w:cs="Times New Roman" w:eastAsia="Times New Roman" w:hAnsi="Times New Roman"/>
          <w:b w:val="1"/>
          <w:sz w:val="30"/>
          <w:szCs w:val="30"/>
          <w:u w:val="single"/>
        </w:rPr>
      </w:pPr>
      <w:r w:rsidDel="00000000" w:rsidR="00000000" w:rsidRPr="00000000">
        <w:rPr>
          <w:rtl w:val="0"/>
        </w:rPr>
      </w:r>
    </w:p>
    <w:p w:rsidR="00000000" w:rsidDel="00000000" w:rsidP="00000000" w:rsidRDefault="00000000" w:rsidRPr="00000000" w14:paraId="00000013">
      <w:pPr>
        <w:widowControl w:val="0"/>
        <w:tabs>
          <w:tab w:val="right" w:leader="none" w:pos="12000"/>
        </w:tabs>
        <w:spacing w:after="0" w:before="60" w:line="240" w:lineRule="auto"/>
        <w:jc w:val="both"/>
        <w:rPr>
          <w:rFonts w:ascii="Times New Roman" w:cs="Times New Roman" w:eastAsia="Times New Roman" w:hAnsi="Times New Roman"/>
          <w:b w:val="1"/>
          <w:sz w:val="30"/>
          <w:szCs w:val="30"/>
          <w:u w:val="single"/>
        </w:rPr>
      </w:pPr>
      <w:r w:rsidDel="00000000" w:rsidR="00000000" w:rsidRPr="00000000">
        <w:rPr>
          <w:rtl w:val="0"/>
        </w:rPr>
      </w:r>
    </w:p>
    <w:p w:rsidR="00000000" w:rsidDel="00000000" w:rsidP="00000000" w:rsidRDefault="00000000" w:rsidRPr="00000000" w14:paraId="00000014">
      <w:pPr>
        <w:widowControl w:val="0"/>
        <w:tabs>
          <w:tab w:val="right" w:leader="none" w:pos="12000"/>
        </w:tabs>
        <w:spacing w:after="0" w:before="60" w:line="240" w:lineRule="auto"/>
        <w:jc w:val="both"/>
        <w:rPr>
          <w:rFonts w:ascii="Times New Roman" w:cs="Times New Roman" w:eastAsia="Times New Roman" w:hAnsi="Times New Roman"/>
          <w:b w:val="1"/>
          <w:sz w:val="30"/>
          <w:szCs w:val="30"/>
          <w:u w:val="single"/>
        </w:rPr>
      </w:pPr>
      <w:r w:rsidDel="00000000" w:rsidR="00000000" w:rsidRPr="00000000">
        <w:rPr>
          <w:rtl w:val="0"/>
        </w:rPr>
      </w:r>
    </w:p>
    <w:p w:rsidR="00000000" w:rsidDel="00000000" w:rsidP="00000000" w:rsidRDefault="00000000" w:rsidRPr="00000000" w14:paraId="00000015">
      <w:pPr>
        <w:widowControl w:val="0"/>
        <w:tabs>
          <w:tab w:val="right" w:leader="none" w:pos="12000"/>
        </w:tabs>
        <w:spacing w:after="0" w:before="60" w:line="240" w:lineRule="auto"/>
        <w:jc w:val="both"/>
        <w:rPr>
          <w:rFonts w:ascii="Times New Roman" w:cs="Times New Roman" w:eastAsia="Times New Roman" w:hAnsi="Times New Roman"/>
          <w:b w:val="1"/>
          <w:sz w:val="30"/>
          <w:szCs w:val="30"/>
          <w:u w:val="single"/>
        </w:rPr>
      </w:pPr>
      <w:r w:rsidDel="00000000" w:rsidR="00000000" w:rsidRPr="00000000">
        <w:rPr>
          <w:rtl w:val="0"/>
        </w:rPr>
      </w:r>
    </w:p>
    <w:p w:rsidR="00000000" w:rsidDel="00000000" w:rsidP="00000000" w:rsidRDefault="00000000" w:rsidRPr="00000000" w14:paraId="00000016">
      <w:pPr>
        <w:widowControl w:val="0"/>
        <w:tabs>
          <w:tab w:val="right" w:leader="none" w:pos="12000"/>
        </w:tabs>
        <w:spacing w:after="0" w:before="60" w:line="240" w:lineRule="auto"/>
        <w:jc w:val="both"/>
        <w:rPr>
          <w:rFonts w:ascii="Times New Roman" w:cs="Times New Roman" w:eastAsia="Times New Roman" w:hAnsi="Times New Roman"/>
          <w:b w:val="1"/>
          <w:sz w:val="30"/>
          <w:szCs w:val="30"/>
          <w:u w:val="single"/>
        </w:rPr>
      </w:pPr>
      <w:r w:rsidDel="00000000" w:rsidR="00000000" w:rsidRPr="00000000">
        <w:rPr>
          <w:rtl w:val="0"/>
        </w:rPr>
      </w:r>
    </w:p>
    <w:p w:rsidR="00000000" w:rsidDel="00000000" w:rsidP="00000000" w:rsidRDefault="00000000" w:rsidRPr="00000000" w14:paraId="00000017">
      <w:pPr>
        <w:widowControl w:val="0"/>
        <w:tabs>
          <w:tab w:val="right" w:leader="none" w:pos="12000"/>
        </w:tabs>
        <w:spacing w:after="0" w:before="60" w:line="240" w:lineRule="auto"/>
        <w:jc w:val="both"/>
        <w:rPr>
          <w:rFonts w:ascii="Times New Roman" w:cs="Times New Roman" w:eastAsia="Times New Roman" w:hAnsi="Times New Roman"/>
          <w:b w:val="1"/>
          <w:sz w:val="30"/>
          <w:szCs w:val="30"/>
          <w:u w:val="single"/>
        </w:rPr>
      </w:pPr>
      <w:r w:rsidDel="00000000" w:rsidR="00000000" w:rsidRPr="00000000">
        <w:rPr>
          <w:rtl w:val="0"/>
        </w:rPr>
      </w:r>
    </w:p>
    <w:p w:rsidR="00000000" w:rsidDel="00000000" w:rsidP="00000000" w:rsidRDefault="00000000" w:rsidRPr="00000000" w14:paraId="00000018">
      <w:pPr>
        <w:widowControl w:val="0"/>
        <w:tabs>
          <w:tab w:val="right" w:leader="none" w:pos="12000"/>
        </w:tabs>
        <w:spacing w:after="0" w:before="60" w:line="240" w:lineRule="auto"/>
        <w:jc w:val="both"/>
        <w:rPr>
          <w:rFonts w:ascii="Times New Roman" w:cs="Times New Roman" w:eastAsia="Times New Roman" w:hAnsi="Times New Roman"/>
          <w:b w:val="1"/>
          <w:sz w:val="30"/>
          <w:szCs w:val="30"/>
          <w:u w:val="single"/>
        </w:rPr>
      </w:pPr>
      <w:r w:rsidDel="00000000" w:rsidR="00000000" w:rsidRPr="00000000">
        <w:rPr>
          <w:rtl w:val="0"/>
        </w:rPr>
      </w:r>
    </w:p>
    <w:p w:rsidR="00000000" w:rsidDel="00000000" w:rsidP="00000000" w:rsidRDefault="00000000" w:rsidRPr="00000000" w14:paraId="00000019">
      <w:pPr>
        <w:widowControl w:val="0"/>
        <w:tabs>
          <w:tab w:val="right" w:leader="none" w:pos="12000"/>
        </w:tabs>
        <w:spacing w:after="0" w:before="60" w:line="240" w:lineRule="auto"/>
        <w:jc w:val="both"/>
        <w:rPr>
          <w:rFonts w:ascii="Times New Roman" w:cs="Times New Roman" w:eastAsia="Times New Roman" w:hAnsi="Times New Roman"/>
          <w:b w:val="1"/>
          <w:sz w:val="30"/>
          <w:szCs w:val="30"/>
          <w:u w:val="single"/>
        </w:rPr>
      </w:pPr>
      <w:r w:rsidDel="00000000" w:rsidR="00000000" w:rsidRPr="00000000">
        <w:rPr>
          <w:rtl w:val="0"/>
        </w:rPr>
      </w:r>
    </w:p>
    <w:p w:rsidR="00000000" w:rsidDel="00000000" w:rsidP="00000000" w:rsidRDefault="00000000" w:rsidRPr="00000000" w14:paraId="0000001A">
      <w:pPr>
        <w:widowControl w:val="0"/>
        <w:tabs>
          <w:tab w:val="right" w:leader="none" w:pos="12000"/>
        </w:tabs>
        <w:spacing w:after="0" w:before="60" w:line="240" w:lineRule="auto"/>
        <w:jc w:val="both"/>
        <w:rPr>
          <w:rFonts w:ascii="Times New Roman" w:cs="Times New Roman" w:eastAsia="Times New Roman" w:hAnsi="Times New Roman"/>
          <w:b w:val="1"/>
          <w:sz w:val="30"/>
          <w:szCs w:val="30"/>
          <w:u w:val="single"/>
        </w:rPr>
      </w:pPr>
      <w:r w:rsidDel="00000000" w:rsidR="00000000" w:rsidRPr="00000000">
        <w:rPr>
          <w:rtl w:val="0"/>
        </w:rPr>
      </w:r>
    </w:p>
    <w:p w:rsidR="00000000" w:rsidDel="00000000" w:rsidP="00000000" w:rsidRDefault="00000000" w:rsidRPr="00000000" w14:paraId="0000001B">
      <w:pPr>
        <w:widowControl w:val="0"/>
        <w:tabs>
          <w:tab w:val="right" w:leader="none" w:pos="12000"/>
        </w:tabs>
        <w:spacing w:after="0" w:before="60" w:line="240" w:lineRule="auto"/>
        <w:jc w:val="both"/>
        <w:rPr>
          <w:rFonts w:ascii="Times New Roman" w:cs="Times New Roman" w:eastAsia="Times New Roman" w:hAnsi="Times New Roman"/>
          <w:b w:val="1"/>
          <w:sz w:val="30"/>
          <w:szCs w:val="30"/>
          <w:u w:val="single"/>
        </w:rPr>
      </w:pPr>
      <w:r w:rsidDel="00000000" w:rsidR="00000000" w:rsidRPr="00000000">
        <w:rPr>
          <w:rtl w:val="0"/>
        </w:rPr>
      </w:r>
    </w:p>
    <w:p w:rsidR="00000000" w:rsidDel="00000000" w:rsidP="00000000" w:rsidRDefault="00000000" w:rsidRPr="00000000" w14:paraId="0000001C">
      <w:pPr>
        <w:widowControl w:val="0"/>
        <w:tabs>
          <w:tab w:val="right" w:leader="none" w:pos="12000"/>
        </w:tabs>
        <w:spacing w:after="0" w:before="60" w:line="240" w:lineRule="auto"/>
        <w:jc w:val="both"/>
        <w:rPr>
          <w:rFonts w:ascii="Times New Roman" w:cs="Times New Roman" w:eastAsia="Times New Roman" w:hAnsi="Times New Roman"/>
          <w:b w:val="1"/>
          <w:sz w:val="30"/>
          <w:szCs w:val="30"/>
          <w:u w:val="single"/>
        </w:rPr>
      </w:pPr>
      <w:r w:rsidDel="00000000" w:rsidR="00000000" w:rsidRPr="00000000">
        <w:rPr>
          <w:rtl w:val="0"/>
        </w:rPr>
      </w:r>
    </w:p>
    <w:p w:rsidR="00000000" w:rsidDel="00000000" w:rsidP="00000000" w:rsidRDefault="00000000" w:rsidRPr="00000000" w14:paraId="0000001D">
      <w:pPr>
        <w:widowControl w:val="0"/>
        <w:tabs>
          <w:tab w:val="right" w:leader="none" w:pos="12000"/>
        </w:tabs>
        <w:spacing w:after="0" w:before="60" w:line="240" w:lineRule="auto"/>
        <w:jc w:val="both"/>
        <w:rPr>
          <w:rFonts w:ascii="Times New Roman" w:cs="Times New Roman" w:eastAsia="Times New Roman" w:hAnsi="Times New Roman"/>
          <w:b w:val="1"/>
          <w:sz w:val="30"/>
          <w:szCs w:val="30"/>
          <w:u w:val="single"/>
        </w:rPr>
      </w:pPr>
      <w:r w:rsidDel="00000000" w:rsidR="00000000" w:rsidRPr="00000000">
        <w:rPr>
          <w:rtl w:val="0"/>
        </w:rPr>
      </w:r>
    </w:p>
    <w:p w:rsidR="00000000" w:rsidDel="00000000" w:rsidP="00000000" w:rsidRDefault="00000000" w:rsidRPr="00000000" w14:paraId="0000001E">
      <w:pPr>
        <w:widowControl w:val="0"/>
        <w:tabs>
          <w:tab w:val="right" w:leader="none" w:pos="12000"/>
        </w:tabs>
        <w:spacing w:after="0" w:before="60" w:line="240" w:lineRule="auto"/>
        <w:jc w:val="both"/>
        <w:rPr>
          <w:rFonts w:ascii="Times New Roman" w:cs="Times New Roman" w:eastAsia="Times New Roman" w:hAnsi="Times New Roman"/>
          <w:b w:val="1"/>
          <w:sz w:val="30"/>
          <w:szCs w:val="30"/>
          <w:u w:val="single"/>
        </w:rPr>
      </w:pPr>
      <w:r w:rsidDel="00000000" w:rsidR="00000000" w:rsidRPr="00000000">
        <w:rPr>
          <w:rtl w:val="0"/>
        </w:rPr>
      </w:r>
    </w:p>
    <w:p w:rsidR="00000000" w:rsidDel="00000000" w:rsidP="00000000" w:rsidRDefault="00000000" w:rsidRPr="00000000" w14:paraId="0000001F">
      <w:pPr>
        <w:widowControl w:val="0"/>
        <w:tabs>
          <w:tab w:val="right" w:leader="none" w:pos="12000"/>
        </w:tabs>
        <w:spacing w:after="0" w:before="60" w:line="240" w:lineRule="auto"/>
        <w:jc w:val="both"/>
        <w:rPr>
          <w:rFonts w:ascii="Times New Roman" w:cs="Times New Roman" w:eastAsia="Times New Roman" w:hAnsi="Times New Roman"/>
          <w:b w:val="1"/>
          <w:sz w:val="30"/>
          <w:szCs w:val="30"/>
          <w:u w:val="single"/>
        </w:rPr>
      </w:pPr>
      <w:r w:rsidDel="00000000" w:rsidR="00000000" w:rsidRPr="00000000">
        <w:rPr>
          <w:rtl w:val="0"/>
        </w:rPr>
      </w:r>
    </w:p>
    <w:p w:rsidR="00000000" w:rsidDel="00000000" w:rsidP="00000000" w:rsidRDefault="00000000" w:rsidRPr="00000000" w14:paraId="00000020">
      <w:pPr>
        <w:pStyle w:val="Title"/>
        <w:jc w:val="center"/>
        <w:rPr>
          <w:rFonts w:ascii="Times New Roman" w:cs="Times New Roman" w:eastAsia="Times New Roman" w:hAnsi="Times New Roman"/>
          <w:sz w:val="32"/>
          <w:szCs w:val="32"/>
        </w:rPr>
      </w:pPr>
      <w:r w:rsidDel="00000000" w:rsidR="00000000" w:rsidRPr="00000000">
        <w:rPr>
          <w:rFonts w:ascii="Times New Roman" w:cs="Times New Roman" w:eastAsia="Times New Roman" w:hAnsi="Times New Roman"/>
          <w:sz w:val="32"/>
          <w:szCs w:val="32"/>
          <w:rtl w:val="0"/>
        </w:rPr>
        <w:t xml:space="preserve">C. FORMAT AND STRUCTURE OF A DTC</w:t>
      </w:r>
    </w:p>
    <w:p w:rsidR="00000000" w:rsidDel="00000000" w:rsidP="00000000" w:rsidRDefault="00000000" w:rsidRPr="00000000" w14:paraId="00000021">
      <w:pPr>
        <w:jc w:val="both"/>
        <w:rPr>
          <w:rFonts w:ascii="Times New Roman" w:cs="Times New Roman" w:eastAsia="Times New Roman" w:hAnsi="Times New Roman"/>
          <w:b w:val="1"/>
          <w:sz w:val="28"/>
          <w:szCs w:val="28"/>
          <w:u w:val="single"/>
        </w:rPr>
      </w:pPr>
      <w:r w:rsidDel="00000000" w:rsidR="00000000" w:rsidRPr="00000000">
        <w:rPr>
          <w:rtl w:val="0"/>
        </w:rPr>
      </w:r>
    </w:p>
    <w:p w:rsidR="00000000" w:rsidDel="00000000" w:rsidP="00000000" w:rsidRDefault="00000000" w:rsidRPr="00000000" w14:paraId="00000022">
      <w:pPr>
        <w:pStyle w:val="Heading1"/>
        <w:jc w:val="both"/>
        <w:rPr/>
      </w:pPr>
      <w:bookmarkStart w:colFirst="0" w:colLast="0" w:name="_heading=h.gjdgxs" w:id="0"/>
      <w:bookmarkEnd w:id="0"/>
      <w:r w:rsidDel="00000000" w:rsidR="00000000" w:rsidRPr="00000000">
        <w:rPr>
          <w:rtl w:val="0"/>
        </w:rPr>
        <w:t xml:space="preserve">C.1. THE OECD MODEL TAX CONVENTION (OECD MTC) AND THE COMMENTARIES TO THE OECD MTC – THE WORK OF THE OECD COMMITTEE ON FISCAL AFFAIRS</w:t>
      </w:r>
    </w:p>
    <w:p w:rsidR="00000000" w:rsidDel="00000000" w:rsidP="00000000" w:rsidRDefault="00000000" w:rsidRPr="00000000" w14:paraId="00000023">
      <w:pPr>
        <w:pStyle w:val="Heading2"/>
        <w:numPr>
          <w:ilvl w:val="0"/>
          <w:numId w:val="11"/>
        </w:numPr>
        <w:ind w:left="360" w:hanging="360"/>
        <w:jc w:val="both"/>
        <w:rPr>
          <w:rFonts w:ascii="Times New Roman" w:cs="Times New Roman" w:eastAsia="Times New Roman" w:hAnsi="Times New Roman"/>
          <w:sz w:val="27"/>
          <w:szCs w:val="27"/>
        </w:rPr>
      </w:pPr>
      <w:bookmarkStart w:colFirst="0" w:colLast="0" w:name="_heading=h.30j0zll" w:id="1"/>
      <w:bookmarkEnd w:id="1"/>
      <w:r w:rsidDel="00000000" w:rsidR="00000000" w:rsidRPr="00000000">
        <w:rPr>
          <w:rFonts w:ascii="Times New Roman" w:cs="Times New Roman" w:eastAsia="Times New Roman" w:hAnsi="Times New Roman"/>
          <w:sz w:val="27"/>
          <w:szCs w:val="27"/>
          <w:rtl w:val="0"/>
        </w:rPr>
        <w:t xml:space="preserve">The Format and Structure of a DTC</w:t>
      </w:r>
    </w:p>
    <w:p w:rsidR="00000000" w:rsidDel="00000000" w:rsidP="00000000" w:rsidRDefault="00000000" w:rsidRPr="00000000" w14:paraId="0000002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OECD Model Tax Convention (MTC) is a comprehensive framework used as a reference in the negotiation and application of bilateral tax treaties. It consists of seven chapters, each addressing different aspects of international taxation and tax treaty provisions. Below is a detailed overview of these chapters:</w:t>
      </w:r>
    </w:p>
    <w:p w:rsidR="00000000" w:rsidDel="00000000" w:rsidP="00000000" w:rsidRDefault="00000000" w:rsidRPr="00000000" w14:paraId="00000025">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59" w:lineRule="auto"/>
        <w:ind w:left="720" w:right="0" w:hanging="72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Chapter I: Scope of the Convention</w:t>
      </w:r>
    </w:p>
    <w:p w:rsidR="00000000" w:rsidDel="00000000" w:rsidP="00000000" w:rsidRDefault="00000000" w:rsidRPr="00000000" w14:paraId="00000026">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160" w:before="0" w:line="259" w:lineRule="auto"/>
        <w:ind w:left="720" w:right="0" w:hanging="720"/>
        <w:jc w:val="both"/>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Articles 1-2</w:t>
      </w:r>
    </w:p>
    <w:p w:rsidR="00000000" w:rsidDel="00000000" w:rsidP="00000000" w:rsidRDefault="00000000" w:rsidRPr="00000000" w14:paraId="0000002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defines the scope of the convention, establishing the persons and taxes covered.</w:t>
      </w:r>
    </w:p>
    <w:p w:rsidR="00000000" w:rsidDel="00000000" w:rsidP="00000000" w:rsidRDefault="00000000" w:rsidRPr="00000000" w14:paraId="00000028">
      <w:pPr>
        <w:numPr>
          <w:ilvl w:val="0"/>
          <w:numId w:val="3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Article 1: Persons Covered</w:t>
      </w:r>
      <w:r w:rsidDel="00000000" w:rsidR="00000000" w:rsidRPr="00000000">
        <w:rPr>
          <w:rFonts w:ascii="Times New Roman" w:cs="Times New Roman" w:eastAsia="Times New Roman" w:hAnsi="Times New Roman"/>
          <w:sz w:val="24"/>
          <w:szCs w:val="24"/>
          <w:rtl w:val="0"/>
        </w:rPr>
        <w:t xml:space="preserve"> - Specifies that the convention applies to persons who are residents of one or both of the contracting states.</w:t>
      </w:r>
    </w:p>
    <w:p w:rsidR="00000000" w:rsidDel="00000000" w:rsidP="00000000" w:rsidRDefault="00000000" w:rsidRPr="00000000" w14:paraId="00000029">
      <w:pPr>
        <w:numPr>
          <w:ilvl w:val="0"/>
          <w:numId w:val="3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Article 2: Taxes Covered</w:t>
      </w:r>
      <w:r w:rsidDel="00000000" w:rsidR="00000000" w:rsidRPr="00000000">
        <w:rPr>
          <w:rFonts w:ascii="Times New Roman" w:cs="Times New Roman" w:eastAsia="Times New Roman" w:hAnsi="Times New Roman"/>
          <w:sz w:val="24"/>
          <w:szCs w:val="24"/>
          <w:rtl w:val="0"/>
        </w:rPr>
        <w:t xml:space="preserve"> - Lists the types of taxes covered by the convention, typically income and capital taxes.</w:t>
      </w:r>
    </w:p>
    <w:p w:rsidR="00000000" w:rsidDel="00000000" w:rsidP="00000000" w:rsidRDefault="00000000" w:rsidRPr="00000000" w14:paraId="0000002A">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59" w:lineRule="auto"/>
        <w:ind w:left="720" w:right="0" w:hanging="72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Chapter II: Definitions</w:t>
      </w:r>
    </w:p>
    <w:p w:rsidR="00000000" w:rsidDel="00000000" w:rsidP="00000000" w:rsidRDefault="00000000" w:rsidRPr="00000000" w14:paraId="0000002B">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160" w:before="0" w:line="259" w:lineRule="auto"/>
        <w:ind w:left="720" w:right="0" w:hanging="720"/>
        <w:jc w:val="both"/>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Articles 3-5</w:t>
      </w:r>
    </w:p>
    <w:p w:rsidR="00000000" w:rsidDel="00000000" w:rsidP="00000000" w:rsidRDefault="00000000" w:rsidRPr="00000000" w14:paraId="0000002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provides definitions for key terms used throughout the convention to ensure clarity and consistency.</w:t>
      </w:r>
    </w:p>
    <w:p w:rsidR="00000000" w:rsidDel="00000000" w:rsidP="00000000" w:rsidRDefault="00000000" w:rsidRPr="00000000" w14:paraId="0000002D">
      <w:pPr>
        <w:numPr>
          <w:ilvl w:val="0"/>
          <w:numId w:val="3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Article 3: General Definitions</w:t>
      </w:r>
      <w:r w:rsidDel="00000000" w:rsidR="00000000" w:rsidRPr="00000000">
        <w:rPr>
          <w:rFonts w:ascii="Times New Roman" w:cs="Times New Roman" w:eastAsia="Times New Roman" w:hAnsi="Times New Roman"/>
          <w:sz w:val="24"/>
          <w:szCs w:val="24"/>
          <w:rtl w:val="0"/>
        </w:rPr>
        <w:t xml:space="preserve"> - Defines important terms such as "person," "company," "enterprise," "international traffic," and others.</w:t>
      </w:r>
    </w:p>
    <w:p w:rsidR="00000000" w:rsidDel="00000000" w:rsidP="00000000" w:rsidRDefault="00000000" w:rsidRPr="00000000" w14:paraId="0000002E">
      <w:pPr>
        <w:numPr>
          <w:ilvl w:val="0"/>
          <w:numId w:val="3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Article 4: Resident</w:t>
      </w:r>
      <w:r w:rsidDel="00000000" w:rsidR="00000000" w:rsidRPr="00000000">
        <w:rPr>
          <w:rFonts w:ascii="Times New Roman" w:cs="Times New Roman" w:eastAsia="Times New Roman" w:hAnsi="Times New Roman"/>
          <w:sz w:val="24"/>
          <w:szCs w:val="24"/>
          <w:rtl w:val="0"/>
        </w:rPr>
        <w:t xml:space="preserve"> - Defines the concept of residency for the purposes of the convention, which is crucial for determining the applicability of treaty benefits.</w:t>
      </w:r>
    </w:p>
    <w:p w:rsidR="00000000" w:rsidDel="00000000" w:rsidP="00000000" w:rsidRDefault="00000000" w:rsidRPr="00000000" w14:paraId="0000002F">
      <w:pPr>
        <w:numPr>
          <w:ilvl w:val="0"/>
          <w:numId w:val="3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Article 5: Permanent Establishment (PE)</w:t>
      </w:r>
      <w:r w:rsidDel="00000000" w:rsidR="00000000" w:rsidRPr="00000000">
        <w:rPr>
          <w:rFonts w:ascii="Times New Roman" w:cs="Times New Roman" w:eastAsia="Times New Roman" w:hAnsi="Times New Roman"/>
          <w:sz w:val="24"/>
          <w:szCs w:val="24"/>
          <w:rtl w:val="0"/>
        </w:rPr>
        <w:t xml:space="preserve"> - Defines what constitutes a permanent establishment, a concept central to allocating taxing rights between states.</w:t>
      </w:r>
    </w:p>
    <w:p w:rsidR="00000000" w:rsidDel="00000000" w:rsidP="00000000" w:rsidRDefault="00000000" w:rsidRPr="00000000" w14:paraId="00000030">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59" w:lineRule="auto"/>
        <w:ind w:left="720" w:right="0" w:hanging="72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Chapter III: Taxation of Income</w:t>
      </w:r>
    </w:p>
    <w:p w:rsidR="00000000" w:rsidDel="00000000" w:rsidP="00000000" w:rsidRDefault="00000000" w:rsidRPr="00000000" w14:paraId="00000031">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160" w:before="0" w:line="259" w:lineRule="auto"/>
        <w:ind w:left="720" w:right="0" w:hanging="720"/>
        <w:jc w:val="both"/>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Articles 6-21</w:t>
      </w:r>
    </w:p>
    <w:p w:rsidR="00000000" w:rsidDel="00000000" w:rsidP="00000000" w:rsidRDefault="00000000" w:rsidRPr="00000000" w14:paraId="0000003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allocates taxing rights between the contracting states for various types of income.</w:t>
      </w:r>
    </w:p>
    <w:p w:rsidR="00000000" w:rsidDel="00000000" w:rsidP="00000000" w:rsidRDefault="00000000" w:rsidRPr="00000000" w14:paraId="00000033">
      <w:pPr>
        <w:numPr>
          <w:ilvl w:val="0"/>
          <w:numId w:val="3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Article 6: Income from Immovable Property</w:t>
      </w:r>
      <w:r w:rsidDel="00000000" w:rsidR="00000000" w:rsidRPr="00000000">
        <w:rPr>
          <w:rFonts w:ascii="Times New Roman" w:cs="Times New Roman" w:eastAsia="Times New Roman" w:hAnsi="Times New Roman"/>
          <w:sz w:val="24"/>
          <w:szCs w:val="24"/>
          <w:rtl w:val="0"/>
        </w:rPr>
        <w:t xml:space="preserve"> - Grants taxing rights on income from immovable property to the state where the property is located.</w:t>
      </w:r>
    </w:p>
    <w:p w:rsidR="00000000" w:rsidDel="00000000" w:rsidP="00000000" w:rsidRDefault="00000000" w:rsidRPr="00000000" w14:paraId="00000034">
      <w:pPr>
        <w:numPr>
          <w:ilvl w:val="0"/>
          <w:numId w:val="3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Articles 7-21: Various Types of Income</w:t>
      </w:r>
      <w:r w:rsidDel="00000000" w:rsidR="00000000" w:rsidRPr="00000000">
        <w:rPr>
          <w:rFonts w:ascii="Times New Roman" w:cs="Times New Roman" w:eastAsia="Times New Roman" w:hAnsi="Times New Roman"/>
          <w:sz w:val="24"/>
          <w:szCs w:val="24"/>
          <w:rtl w:val="0"/>
        </w:rPr>
        <w:t xml:space="preserve"> - Cover the taxation of different types of income, such as:</w:t>
      </w:r>
    </w:p>
    <w:p w:rsidR="00000000" w:rsidDel="00000000" w:rsidP="00000000" w:rsidRDefault="00000000" w:rsidRPr="00000000" w14:paraId="0000003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business profits (Article 7), </w:t>
      </w:r>
    </w:p>
    <w:p w:rsidR="00000000" w:rsidDel="00000000" w:rsidP="00000000" w:rsidRDefault="00000000" w:rsidRPr="00000000" w14:paraId="0000003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shipping and air transport (Article 8), </w:t>
      </w:r>
    </w:p>
    <w:p w:rsidR="00000000" w:rsidDel="00000000" w:rsidP="00000000" w:rsidRDefault="00000000" w:rsidRPr="00000000" w14:paraId="0000003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associated enterprises (Article 9), </w:t>
      </w:r>
    </w:p>
    <w:p w:rsidR="00000000" w:rsidDel="00000000" w:rsidP="00000000" w:rsidRDefault="00000000" w:rsidRPr="00000000" w14:paraId="00000038">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dividends (Article 10), </w:t>
      </w:r>
    </w:p>
    <w:p w:rsidR="00000000" w:rsidDel="00000000" w:rsidP="00000000" w:rsidRDefault="00000000" w:rsidRPr="00000000" w14:paraId="00000039">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interest (Article 11), </w:t>
      </w:r>
    </w:p>
    <w:p w:rsidR="00000000" w:rsidDel="00000000" w:rsidP="00000000" w:rsidRDefault="00000000" w:rsidRPr="00000000" w14:paraId="0000003A">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royalties (Article 12), </w:t>
      </w:r>
    </w:p>
    <w:p w:rsidR="00000000" w:rsidDel="00000000" w:rsidP="00000000" w:rsidRDefault="00000000" w:rsidRPr="00000000" w14:paraId="0000003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capital gains (Article 13), </w:t>
      </w:r>
    </w:p>
    <w:p w:rsidR="00000000" w:rsidDel="00000000" w:rsidP="00000000" w:rsidRDefault="00000000" w:rsidRPr="00000000" w14:paraId="0000003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income from employment (Article 15), </w:t>
      </w:r>
    </w:p>
    <w:p w:rsidR="00000000" w:rsidDel="00000000" w:rsidP="00000000" w:rsidRDefault="00000000" w:rsidRPr="00000000" w14:paraId="0000003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directors' fees (Article 16), </w:t>
      </w:r>
    </w:p>
    <w:p w:rsidR="00000000" w:rsidDel="00000000" w:rsidP="00000000" w:rsidRDefault="00000000" w:rsidRPr="00000000" w14:paraId="0000003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artists and sportspersons (Article 17), </w:t>
      </w:r>
    </w:p>
    <w:p w:rsidR="00000000" w:rsidDel="00000000" w:rsidP="00000000" w:rsidRDefault="00000000" w:rsidRPr="00000000" w14:paraId="0000003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pensions (Article 18), </w:t>
      </w:r>
    </w:p>
    <w:p w:rsidR="00000000" w:rsidDel="00000000" w:rsidP="00000000" w:rsidRDefault="00000000" w:rsidRPr="00000000" w14:paraId="00000040">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government service (Article 19), </w:t>
      </w:r>
    </w:p>
    <w:p w:rsidR="00000000" w:rsidDel="00000000" w:rsidP="00000000" w:rsidRDefault="00000000" w:rsidRPr="00000000" w14:paraId="0000004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students (Article 20), and </w:t>
      </w:r>
    </w:p>
    <w:p w:rsidR="00000000" w:rsidDel="00000000" w:rsidP="00000000" w:rsidRDefault="00000000" w:rsidRPr="00000000" w14:paraId="00000042">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other income (Article 21).</w:t>
      </w:r>
    </w:p>
    <w:p w:rsidR="00000000" w:rsidDel="00000000" w:rsidP="00000000" w:rsidRDefault="00000000" w:rsidRPr="00000000" w14:paraId="00000043">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59" w:lineRule="auto"/>
        <w:ind w:left="720" w:right="0" w:hanging="72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Chapter IV: Taxation of Capital</w:t>
      </w:r>
    </w:p>
    <w:p w:rsidR="00000000" w:rsidDel="00000000" w:rsidP="00000000" w:rsidRDefault="00000000" w:rsidRPr="00000000" w14:paraId="00000044">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160" w:before="0" w:line="259" w:lineRule="auto"/>
        <w:ind w:left="720" w:right="0" w:hanging="720"/>
        <w:jc w:val="both"/>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Article 22</w:t>
      </w:r>
    </w:p>
    <w:p w:rsidR="00000000" w:rsidDel="00000000" w:rsidP="00000000" w:rsidRDefault="00000000" w:rsidRPr="00000000" w14:paraId="0000004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single article chapter addresses the taxation of capital, which is less commonly included in treaties compared to income taxation.</w:t>
      </w:r>
    </w:p>
    <w:p w:rsidR="00000000" w:rsidDel="00000000" w:rsidP="00000000" w:rsidRDefault="00000000" w:rsidRPr="00000000" w14:paraId="00000046">
      <w:pPr>
        <w:numPr>
          <w:ilvl w:val="0"/>
          <w:numId w:val="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Article 22: Capital</w:t>
      </w:r>
      <w:r w:rsidDel="00000000" w:rsidR="00000000" w:rsidRPr="00000000">
        <w:rPr>
          <w:rFonts w:ascii="Times New Roman" w:cs="Times New Roman" w:eastAsia="Times New Roman" w:hAnsi="Times New Roman"/>
          <w:sz w:val="24"/>
          <w:szCs w:val="24"/>
          <w:rtl w:val="0"/>
        </w:rPr>
        <w:t xml:space="preserve"> - Allocates taxing rights over capital, with rules mirroring those for income from immovable property.</w:t>
      </w:r>
    </w:p>
    <w:p w:rsidR="00000000" w:rsidDel="00000000" w:rsidP="00000000" w:rsidRDefault="00000000" w:rsidRPr="00000000" w14:paraId="00000047">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59" w:lineRule="auto"/>
        <w:ind w:left="720" w:right="0" w:hanging="72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Chapter V: Methods for Elimination of Double Taxation</w:t>
      </w:r>
    </w:p>
    <w:p w:rsidR="00000000" w:rsidDel="00000000" w:rsidP="00000000" w:rsidRDefault="00000000" w:rsidRPr="00000000" w14:paraId="00000048">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160" w:before="0" w:line="259" w:lineRule="auto"/>
        <w:ind w:left="720" w:right="0" w:hanging="720"/>
        <w:jc w:val="both"/>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Articles 23A and 23B</w:t>
      </w:r>
    </w:p>
    <w:p w:rsidR="00000000" w:rsidDel="00000000" w:rsidP="00000000" w:rsidRDefault="00000000" w:rsidRPr="00000000" w14:paraId="0000004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provides methods to eliminate double taxation, a core objective of tax treaties.</w:t>
      </w:r>
    </w:p>
    <w:p w:rsidR="00000000" w:rsidDel="00000000" w:rsidP="00000000" w:rsidRDefault="00000000" w:rsidRPr="00000000" w14:paraId="0000004A">
      <w:pPr>
        <w:numPr>
          <w:ilvl w:val="0"/>
          <w:numId w:val="1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Article 23A: Exemption Method</w:t>
      </w:r>
      <w:r w:rsidDel="00000000" w:rsidR="00000000" w:rsidRPr="00000000">
        <w:rPr>
          <w:rFonts w:ascii="Times New Roman" w:cs="Times New Roman" w:eastAsia="Times New Roman" w:hAnsi="Times New Roman"/>
          <w:sz w:val="24"/>
          <w:szCs w:val="24"/>
          <w:rtl w:val="0"/>
        </w:rPr>
        <w:t xml:space="preserve"> - Outlines the exemption method for avoiding double taxation.</w:t>
      </w:r>
    </w:p>
    <w:p w:rsidR="00000000" w:rsidDel="00000000" w:rsidP="00000000" w:rsidRDefault="00000000" w:rsidRPr="00000000" w14:paraId="0000004B">
      <w:pPr>
        <w:numPr>
          <w:ilvl w:val="0"/>
          <w:numId w:val="1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Article 23B: Credit Method</w:t>
      </w:r>
      <w:r w:rsidDel="00000000" w:rsidR="00000000" w:rsidRPr="00000000">
        <w:rPr>
          <w:rFonts w:ascii="Times New Roman" w:cs="Times New Roman" w:eastAsia="Times New Roman" w:hAnsi="Times New Roman"/>
          <w:sz w:val="24"/>
          <w:szCs w:val="24"/>
          <w:rtl w:val="0"/>
        </w:rPr>
        <w:t xml:space="preserve"> - Details the credit method, where tax paid in one state is credited against the tax liability in the other state.</w:t>
      </w:r>
    </w:p>
    <w:p w:rsidR="00000000" w:rsidDel="00000000" w:rsidP="00000000" w:rsidRDefault="00000000" w:rsidRPr="00000000" w14:paraId="0000004C">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59" w:lineRule="auto"/>
        <w:ind w:left="720" w:right="0" w:hanging="72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Chapter VI: Special Provisions</w:t>
      </w:r>
    </w:p>
    <w:p w:rsidR="00000000" w:rsidDel="00000000" w:rsidP="00000000" w:rsidRDefault="00000000" w:rsidRPr="00000000" w14:paraId="0000004D">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160" w:before="0" w:line="259" w:lineRule="auto"/>
        <w:ind w:left="720" w:right="0" w:hanging="720"/>
        <w:jc w:val="both"/>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Articles 24-28</w:t>
      </w:r>
    </w:p>
    <w:p w:rsidR="00000000" w:rsidDel="00000000" w:rsidP="00000000" w:rsidRDefault="00000000" w:rsidRPr="00000000" w14:paraId="0000004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chapter contains provisions that address specific situations and support the proper application of the convention.</w:t>
      </w:r>
    </w:p>
    <w:p w:rsidR="00000000" w:rsidDel="00000000" w:rsidP="00000000" w:rsidRDefault="00000000" w:rsidRPr="00000000" w14:paraId="0000004F">
      <w:pPr>
        <w:numPr>
          <w:ilvl w:val="0"/>
          <w:numId w:val="2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Article 24: Non-Discrimination</w:t>
      </w:r>
      <w:r w:rsidDel="00000000" w:rsidR="00000000" w:rsidRPr="00000000">
        <w:rPr>
          <w:rFonts w:ascii="Times New Roman" w:cs="Times New Roman" w:eastAsia="Times New Roman" w:hAnsi="Times New Roman"/>
          <w:sz w:val="24"/>
          <w:szCs w:val="24"/>
          <w:rtl w:val="0"/>
        </w:rPr>
        <w:t xml:space="preserve"> - Ensures that nationals of a contracting state are not subjected to discriminatory taxation in the other state.</w:t>
      </w:r>
    </w:p>
    <w:p w:rsidR="00000000" w:rsidDel="00000000" w:rsidP="00000000" w:rsidRDefault="00000000" w:rsidRPr="00000000" w14:paraId="00000050">
      <w:pPr>
        <w:numPr>
          <w:ilvl w:val="0"/>
          <w:numId w:val="2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Article 25: Mutual Agreement Procedure (MAP)</w:t>
      </w:r>
      <w:r w:rsidDel="00000000" w:rsidR="00000000" w:rsidRPr="00000000">
        <w:rPr>
          <w:rFonts w:ascii="Times New Roman" w:cs="Times New Roman" w:eastAsia="Times New Roman" w:hAnsi="Times New Roman"/>
          <w:sz w:val="24"/>
          <w:szCs w:val="24"/>
          <w:rtl w:val="0"/>
        </w:rPr>
        <w:t xml:space="preserve"> - Establishes a mechanism for resolving disputes arising from the application of the convention.</w:t>
      </w:r>
    </w:p>
    <w:p w:rsidR="00000000" w:rsidDel="00000000" w:rsidP="00000000" w:rsidRDefault="00000000" w:rsidRPr="00000000" w14:paraId="00000051">
      <w:pPr>
        <w:numPr>
          <w:ilvl w:val="0"/>
          <w:numId w:val="2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Article 26: Exchange of Information</w:t>
      </w:r>
      <w:r w:rsidDel="00000000" w:rsidR="00000000" w:rsidRPr="00000000">
        <w:rPr>
          <w:rFonts w:ascii="Times New Roman" w:cs="Times New Roman" w:eastAsia="Times New Roman" w:hAnsi="Times New Roman"/>
          <w:sz w:val="24"/>
          <w:szCs w:val="24"/>
          <w:rtl w:val="0"/>
        </w:rPr>
        <w:t xml:space="preserve"> - Provides for the exchange of information between contracting states to combat tax evasion.</w:t>
      </w:r>
    </w:p>
    <w:p w:rsidR="00000000" w:rsidDel="00000000" w:rsidP="00000000" w:rsidRDefault="00000000" w:rsidRPr="00000000" w14:paraId="00000052">
      <w:pPr>
        <w:numPr>
          <w:ilvl w:val="0"/>
          <w:numId w:val="2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Article 27: Assistance in the Collection of Taxes</w:t>
      </w:r>
      <w:r w:rsidDel="00000000" w:rsidR="00000000" w:rsidRPr="00000000">
        <w:rPr>
          <w:rFonts w:ascii="Times New Roman" w:cs="Times New Roman" w:eastAsia="Times New Roman" w:hAnsi="Times New Roman"/>
          <w:sz w:val="24"/>
          <w:szCs w:val="24"/>
          <w:rtl w:val="0"/>
        </w:rPr>
        <w:t xml:space="preserve"> - Allows for mutual assistance in the collection of taxes.</w:t>
      </w:r>
    </w:p>
    <w:p w:rsidR="00000000" w:rsidDel="00000000" w:rsidP="00000000" w:rsidRDefault="00000000" w:rsidRPr="00000000" w14:paraId="00000053">
      <w:pPr>
        <w:numPr>
          <w:ilvl w:val="0"/>
          <w:numId w:val="2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Article 28: Members of Diplomatic Missions and Consular Posts</w:t>
      </w:r>
      <w:r w:rsidDel="00000000" w:rsidR="00000000" w:rsidRPr="00000000">
        <w:rPr>
          <w:rFonts w:ascii="Times New Roman" w:cs="Times New Roman" w:eastAsia="Times New Roman" w:hAnsi="Times New Roman"/>
          <w:sz w:val="24"/>
          <w:szCs w:val="24"/>
          <w:rtl w:val="0"/>
        </w:rPr>
        <w:t xml:space="preserve"> - Clarifies the tax treatment of diplomatic and consular staff.</w:t>
      </w:r>
    </w:p>
    <w:p w:rsidR="00000000" w:rsidDel="00000000" w:rsidP="00000000" w:rsidRDefault="00000000" w:rsidRPr="00000000" w14:paraId="00000054">
      <w:pPr>
        <w:numPr>
          <w:ilvl w:val="0"/>
          <w:numId w:val="2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Article 29: Entitlement to Benefits</w:t>
      </w:r>
      <w:r w:rsidDel="00000000" w:rsidR="00000000" w:rsidRPr="00000000">
        <w:rPr>
          <w:rFonts w:ascii="Times New Roman" w:cs="Times New Roman" w:eastAsia="Times New Roman" w:hAnsi="Times New Roman"/>
          <w:sz w:val="24"/>
          <w:szCs w:val="24"/>
          <w:rtl w:val="0"/>
        </w:rPr>
        <w:t xml:space="preserve"> - Ensures that only qualified persons benefit from the treaty provisions.</w:t>
      </w:r>
    </w:p>
    <w:p w:rsidR="00000000" w:rsidDel="00000000" w:rsidP="00000000" w:rsidRDefault="00000000" w:rsidRPr="00000000" w14:paraId="00000055">
      <w:pPr>
        <w:numPr>
          <w:ilvl w:val="0"/>
          <w:numId w:val="22"/>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Article 30:</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4"/>
          <w:szCs w:val="24"/>
          <w:rtl w:val="0"/>
        </w:rPr>
        <w:t xml:space="preserve">Territorial extension</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59" w:lineRule="auto"/>
        <w:ind w:left="720" w:right="0" w:hanging="72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Chapter VII: Final Provisions</w:t>
      </w:r>
    </w:p>
    <w:p w:rsidR="00000000" w:rsidDel="00000000" w:rsidP="00000000" w:rsidRDefault="00000000" w:rsidRPr="00000000" w14:paraId="00000057">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160" w:before="0" w:line="259" w:lineRule="auto"/>
        <w:ind w:left="720" w:right="0" w:hanging="720"/>
        <w:jc w:val="both"/>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Articles 31-32</w:t>
      </w:r>
    </w:p>
    <w:p w:rsidR="00000000" w:rsidDel="00000000" w:rsidP="00000000" w:rsidRDefault="00000000" w:rsidRPr="00000000" w14:paraId="0000005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final chapter includes provisions related to the implementation and interpretation of the convention.</w:t>
      </w:r>
    </w:p>
    <w:p w:rsidR="00000000" w:rsidDel="00000000" w:rsidP="00000000" w:rsidRDefault="00000000" w:rsidRPr="00000000" w14:paraId="00000059">
      <w:pPr>
        <w:numPr>
          <w:ilvl w:val="0"/>
          <w:numId w:val="3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Article 31: Entry into Force</w:t>
      </w:r>
      <w:r w:rsidDel="00000000" w:rsidR="00000000" w:rsidRPr="00000000">
        <w:rPr>
          <w:rFonts w:ascii="Times New Roman" w:cs="Times New Roman" w:eastAsia="Times New Roman" w:hAnsi="Times New Roman"/>
          <w:sz w:val="24"/>
          <w:szCs w:val="24"/>
          <w:rtl w:val="0"/>
        </w:rPr>
        <w:t xml:space="preserve"> - Sets out the procedures for the convention to come into force.</w:t>
      </w:r>
    </w:p>
    <w:p w:rsidR="00000000" w:rsidDel="00000000" w:rsidP="00000000" w:rsidRDefault="00000000" w:rsidRPr="00000000" w14:paraId="0000005A">
      <w:pPr>
        <w:numPr>
          <w:ilvl w:val="0"/>
          <w:numId w:val="3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Article 32: Termination</w:t>
      </w:r>
      <w:r w:rsidDel="00000000" w:rsidR="00000000" w:rsidRPr="00000000">
        <w:rPr>
          <w:rFonts w:ascii="Times New Roman" w:cs="Times New Roman" w:eastAsia="Times New Roman" w:hAnsi="Times New Roman"/>
          <w:sz w:val="24"/>
          <w:szCs w:val="24"/>
          <w:rtl w:val="0"/>
        </w:rPr>
        <w:t xml:space="preserve"> - Provides the conditions under which the convention may be terminated.</w:t>
      </w:r>
    </w:p>
    <w:p w:rsidR="00000000" w:rsidDel="00000000" w:rsidP="00000000" w:rsidRDefault="00000000" w:rsidRPr="00000000" w14:paraId="0000005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chapter of the OECD MTC plays a critical role in establishing a clear and consistent framework for the application of international tax rules, aiming to promote fairness, prevent double taxation, and combat tax evasion.</w:t>
      </w:r>
    </w:p>
    <w:p w:rsidR="00000000" w:rsidDel="00000000" w:rsidP="00000000" w:rsidRDefault="00000000" w:rsidRPr="00000000" w14:paraId="0000005C">
      <w:pPr>
        <w:pStyle w:val="Heading2"/>
        <w:numPr>
          <w:ilvl w:val="0"/>
          <w:numId w:val="11"/>
        </w:numPr>
        <w:ind w:left="360" w:hanging="360"/>
        <w:jc w:val="both"/>
        <w:rPr>
          <w:rFonts w:ascii="Times New Roman" w:cs="Times New Roman" w:eastAsia="Times New Roman" w:hAnsi="Times New Roman"/>
          <w:sz w:val="27"/>
          <w:szCs w:val="27"/>
        </w:rPr>
      </w:pPr>
      <w:bookmarkStart w:colFirst="0" w:colLast="0" w:name="_heading=h.1fob9te" w:id="2"/>
      <w:bookmarkEnd w:id="2"/>
      <w:r w:rsidDel="00000000" w:rsidR="00000000" w:rsidRPr="00000000">
        <w:rPr>
          <w:rFonts w:ascii="Times New Roman" w:cs="Times New Roman" w:eastAsia="Times New Roman" w:hAnsi="Times New Roman"/>
          <w:sz w:val="27"/>
          <w:szCs w:val="27"/>
          <w:rtl w:val="0"/>
        </w:rPr>
        <w:t xml:space="preserve">The Commentaries</w:t>
      </w:r>
    </w:p>
    <w:p w:rsidR="00000000" w:rsidDel="00000000" w:rsidP="00000000" w:rsidRDefault="00000000" w:rsidRPr="00000000" w14:paraId="0000005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Commentaries on Double Tax Conventions (DTCs) are essential resources for interpreting and applying provisions within tax treaties. These commentaries, often issued by international organizations such as the Organisation for Economic Co-operation and Development (OECD) or the United Nations (UN), provide explanatory guidance on the purpose, scope, and application of individual treaty articles. They also address ambiguities and clarify technical terms, thereby promoting consistency and reducing disputes between tax authorities and taxpayers.</w:t>
      </w:r>
    </w:p>
    <w:p w:rsidR="00000000" w:rsidDel="00000000" w:rsidP="00000000" w:rsidRDefault="00000000" w:rsidRPr="00000000" w14:paraId="0000005E">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160" w:before="0" w:line="259" w:lineRule="auto"/>
        <w:ind w:left="720" w:right="0" w:hanging="72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Structure of DTC Commentaries</w:t>
      </w:r>
    </w:p>
    <w:p w:rsidR="00000000" w:rsidDel="00000000" w:rsidP="00000000" w:rsidRDefault="00000000" w:rsidRPr="00000000" w14:paraId="0000005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OECD Model Tax Convention on Income and on Capital is supplemented by an extensive commentary that explains the articles contained within the model. The structure and format of these commentaries are methodically designed to ensure clarity, consistency, and practical application. The key elements include:</w:t>
      </w:r>
    </w:p>
    <w:p w:rsidR="00000000" w:rsidDel="00000000" w:rsidP="00000000" w:rsidRDefault="00000000" w:rsidRPr="00000000" w14:paraId="00000060">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160" w:before="0" w:line="259" w:lineRule="auto"/>
        <w:ind w:left="720" w:right="0" w:hanging="720"/>
        <w:jc w:val="both"/>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Article-by-Article Explanation</w:t>
      </w:r>
    </w:p>
    <w:p w:rsidR="00000000" w:rsidDel="00000000" w:rsidP="00000000" w:rsidRDefault="00000000" w:rsidRPr="00000000" w14:paraId="00000061">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commentaries follow the sequence of the articles in the OECD Model Tax Convention. Each article is addressed in detail, providing explanations on the rationale, scope, and practical implementation of the provisions.</w:t>
      </w:r>
    </w:p>
    <w:p w:rsidR="00000000" w:rsidDel="00000000" w:rsidP="00000000" w:rsidRDefault="00000000" w:rsidRPr="00000000" w14:paraId="00000062">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Specific terms and phrases within the articles are defined to ensure consistency in interpretation across jurisdictions.</w:t>
      </w:r>
    </w:p>
    <w:p w:rsidR="00000000" w:rsidDel="00000000" w:rsidP="00000000" w:rsidRDefault="00000000" w:rsidRPr="00000000" w14:paraId="00000063">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160" w:before="0" w:line="259" w:lineRule="auto"/>
        <w:ind w:left="720" w:right="0" w:hanging="720"/>
        <w:jc w:val="both"/>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Historical Context and Purpose</w:t>
      </w:r>
    </w:p>
    <w:p w:rsidR="00000000" w:rsidDel="00000000" w:rsidP="00000000" w:rsidRDefault="00000000" w:rsidRPr="00000000" w14:paraId="00000064">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Commentaries often include background information to explain the purpose and evolution of specific provisions. This historical context is crucial for understanding legislative intent.</w:t>
      </w:r>
    </w:p>
    <w:p w:rsidR="00000000" w:rsidDel="00000000" w:rsidP="00000000" w:rsidRDefault="00000000" w:rsidRPr="00000000" w14:paraId="00000065">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Changes introduced in various updates are documented, enabling users to trace the evolution of a provision and its relevance over time.</w:t>
      </w:r>
    </w:p>
    <w:p w:rsidR="00000000" w:rsidDel="00000000" w:rsidP="00000000" w:rsidRDefault="00000000" w:rsidRPr="00000000" w14:paraId="00000066">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160" w:before="0" w:line="259" w:lineRule="auto"/>
        <w:ind w:left="720" w:right="0" w:hanging="720"/>
        <w:jc w:val="both"/>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Examples and Illustrations</w:t>
      </w:r>
    </w:p>
    <w:p w:rsidR="00000000" w:rsidDel="00000000" w:rsidP="00000000" w:rsidRDefault="00000000" w:rsidRPr="00000000" w14:paraId="00000067">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Practical examples are included to demonstrate the application of treaty provisions in specific scenarios. These examples are essential for clarifying ambiguous terms and providing guidance to practitioners.</w:t>
      </w:r>
    </w:p>
    <w:p w:rsidR="00000000" w:rsidDel="00000000" w:rsidP="00000000" w:rsidRDefault="00000000" w:rsidRPr="00000000" w14:paraId="00000068">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160" w:before="0" w:line="259" w:lineRule="auto"/>
        <w:ind w:left="720" w:right="0" w:hanging="720"/>
        <w:jc w:val="both"/>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Reservations and Observations</w:t>
      </w:r>
    </w:p>
    <w:p w:rsidR="00000000" w:rsidDel="00000000" w:rsidP="00000000" w:rsidRDefault="00000000" w:rsidRPr="00000000" w14:paraId="00000069">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OECD provides a mechanism for countries to record reservations and observations on specific provisions.</w:t>
      </w:r>
    </w:p>
    <w:p w:rsidR="00000000" w:rsidDel="00000000" w:rsidP="00000000" w:rsidRDefault="00000000" w:rsidRPr="00000000" w14:paraId="0000006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Reservations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reflect situations where a member country disagrees with the OECD Model or intends to deviate from it when negotiating treaties.</w:t>
      </w:r>
    </w:p>
    <w:p w:rsidR="00000000" w:rsidDel="00000000" w:rsidP="00000000" w:rsidRDefault="00000000" w:rsidRPr="00000000" w14:paraId="0000006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Observations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highlight areas where a country may interpret a provision differently without explicitly departing from it.</w:t>
      </w:r>
    </w:p>
    <w:p w:rsidR="00000000" w:rsidDel="00000000" w:rsidP="00000000" w:rsidRDefault="00000000" w:rsidRPr="00000000" w14:paraId="0000006C">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160" w:before="0" w:line="259" w:lineRule="auto"/>
        <w:ind w:left="720" w:right="0" w:hanging="720"/>
        <w:jc w:val="both"/>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Positions of Non-Members</w:t>
      </w:r>
    </w:p>
    <w:p w:rsidR="00000000" w:rsidDel="00000000" w:rsidP="00000000" w:rsidRDefault="00000000" w:rsidRPr="00000000" w14:paraId="0000006D">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commentary includes the views of non-member economies, allowing for broader inclusivity in the interpretation process.</w:t>
      </w:r>
    </w:p>
    <w:p w:rsidR="00000000" w:rsidDel="00000000" w:rsidP="00000000" w:rsidRDefault="00000000" w:rsidRPr="00000000" w14:paraId="0000006E">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positions help reflect the diversity of global tax systems and ensure that non-OECD countries can adapt the OECD Model to their specific needs.</w:t>
      </w:r>
    </w:p>
    <w:p w:rsidR="00000000" w:rsidDel="00000000" w:rsidP="00000000" w:rsidRDefault="00000000" w:rsidRPr="00000000" w14:paraId="0000006F">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160" w:before="0" w:line="259" w:lineRule="auto"/>
        <w:ind w:left="720" w:right="0" w:hanging="720"/>
        <w:jc w:val="both"/>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Cross-References and Annotations</w:t>
      </w:r>
    </w:p>
    <w:p w:rsidR="00000000" w:rsidDel="00000000" w:rsidP="00000000" w:rsidRDefault="00000000" w:rsidRPr="00000000" w14:paraId="00000070">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References to related provisions, prior interpretations, and relevant case law are included to provide a comprehensive analytical framework.</w:t>
      </w:r>
    </w:p>
    <w:p w:rsidR="00000000" w:rsidDel="00000000" w:rsidP="00000000" w:rsidRDefault="00000000" w:rsidRPr="00000000" w14:paraId="00000071">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Annotations link commentaries to the OECD Transfer Pricing Guidelines and other related documents.</w:t>
      </w:r>
    </w:p>
    <w:p w:rsidR="00000000" w:rsidDel="00000000" w:rsidP="00000000" w:rsidRDefault="00000000" w:rsidRPr="00000000" w14:paraId="00000072">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59" w:lineRule="auto"/>
        <w:ind w:left="720" w:right="0" w:hanging="72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Positions of Members and Non-Members</w:t>
      </w:r>
    </w:p>
    <w:p w:rsidR="00000000" w:rsidDel="00000000" w:rsidP="00000000" w:rsidRDefault="00000000" w:rsidRPr="00000000" w14:paraId="00000073">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160" w:before="0" w:line="259" w:lineRule="auto"/>
        <w:ind w:left="720" w:right="0" w:hanging="720"/>
        <w:jc w:val="both"/>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Positions of OECD Member Countries</w:t>
      </w:r>
    </w:p>
    <w:p w:rsidR="00000000" w:rsidDel="00000000" w:rsidP="00000000" w:rsidRDefault="00000000" w:rsidRPr="00000000" w14:paraId="00000074">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OECD member countries generally adhere to the Model Tax Convention and its commentaries but retain the flexibility to include reservations and observations. These positions are formalized through a transparent process and published alongside the commentaries to inform users of deviations.</w:t>
      </w:r>
    </w:p>
    <w:p w:rsidR="00000000" w:rsidDel="00000000" w:rsidP="00000000" w:rsidRDefault="00000000" w:rsidRPr="00000000" w14:paraId="00000075">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features include:</w:t>
      </w:r>
    </w:p>
    <w:p w:rsidR="00000000" w:rsidDel="00000000" w:rsidP="00000000" w:rsidRDefault="00000000" w:rsidRPr="00000000" w14:paraId="00000076">
      <w:pPr>
        <w:numPr>
          <w:ilvl w:val="0"/>
          <w:numId w:val="14"/>
        </w:numPr>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Reservations:</w:t>
      </w:r>
      <w:r w:rsidDel="00000000" w:rsidR="00000000" w:rsidRPr="00000000">
        <w:rPr>
          <w:rFonts w:ascii="Times New Roman" w:cs="Times New Roman" w:eastAsia="Times New Roman" w:hAnsi="Times New Roman"/>
          <w:sz w:val="24"/>
          <w:szCs w:val="24"/>
          <w:rtl w:val="0"/>
        </w:rPr>
        <w:t xml:space="preserve"> Member states may enter reservations if they disagree with certain provisions or if their domestic tax laws necessitate modifications.</w:t>
      </w:r>
    </w:p>
    <w:p w:rsidR="00000000" w:rsidDel="00000000" w:rsidP="00000000" w:rsidRDefault="00000000" w:rsidRPr="00000000" w14:paraId="00000077">
      <w:pPr>
        <w:numPr>
          <w:ilvl w:val="1"/>
          <w:numId w:val="15"/>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example, some members may reserve the right to tax certain types of income differently, such as pensions or royalties.</w:t>
      </w:r>
    </w:p>
    <w:p w:rsidR="00000000" w:rsidDel="00000000" w:rsidP="00000000" w:rsidRDefault="00000000" w:rsidRPr="00000000" w14:paraId="00000078">
      <w:pPr>
        <w:numPr>
          <w:ilvl w:val="0"/>
          <w:numId w:val="14"/>
        </w:numPr>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Observations:</w:t>
      </w:r>
      <w:r w:rsidDel="00000000" w:rsidR="00000000" w:rsidRPr="00000000">
        <w:rPr>
          <w:rFonts w:ascii="Times New Roman" w:cs="Times New Roman" w:eastAsia="Times New Roman" w:hAnsi="Times New Roman"/>
          <w:sz w:val="24"/>
          <w:szCs w:val="24"/>
          <w:rtl w:val="0"/>
        </w:rPr>
        <w:t xml:space="preserve"> Observations allow members to signal different interpretations without diverging significantly from the model.</w:t>
      </w:r>
    </w:p>
    <w:p w:rsidR="00000000" w:rsidDel="00000000" w:rsidP="00000000" w:rsidRDefault="00000000" w:rsidRPr="00000000" w14:paraId="00000079">
      <w:pPr>
        <w:numPr>
          <w:ilvl w:val="1"/>
          <w:numId w:val="15"/>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observations often clarify procedural matters, administrative practices, or the definitions of terms.</w:t>
      </w:r>
    </w:p>
    <w:p w:rsidR="00000000" w:rsidDel="00000000" w:rsidP="00000000" w:rsidRDefault="00000000" w:rsidRPr="00000000" w14:paraId="0000007A">
      <w:pPr>
        <w:numPr>
          <w:ilvl w:val="0"/>
          <w:numId w:val="14"/>
        </w:numPr>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Consensus-Based Approach:</w:t>
      </w:r>
      <w:r w:rsidDel="00000000" w:rsidR="00000000" w:rsidRPr="00000000">
        <w:rPr>
          <w:rFonts w:ascii="Times New Roman" w:cs="Times New Roman" w:eastAsia="Times New Roman" w:hAnsi="Times New Roman"/>
          <w:sz w:val="24"/>
          <w:szCs w:val="24"/>
          <w:rtl w:val="0"/>
        </w:rPr>
        <w:t xml:space="preserve"> Members typically work towards consensus in adopting amendments to the commentary, ensuring alignment with international best practices. This approach enhances the credibility and authority of the OECD commentaries.</w:t>
      </w:r>
    </w:p>
    <w:p w:rsidR="00000000" w:rsidDel="00000000" w:rsidP="00000000" w:rsidRDefault="00000000" w:rsidRPr="00000000" w14:paraId="0000007B">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160" w:before="0" w:line="259" w:lineRule="auto"/>
        <w:ind w:left="720" w:right="0" w:hanging="720"/>
        <w:jc w:val="both"/>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Positions of Non-Member Countries</w:t>
      </w:r>
    </w:p>
    <w:p w:rsidR="00000000" w:rsidDel="00000000" w:rsidP="00000000" w:rsidRDefault="00000000" w:rsidRPr="00000000" w14:paraId="0000007C">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Non-member countries are increasingly influenced by OECD commentaries due to their widespread adoption and credibility. However, they often adapt the model to suit their domestic policies and economic circumstances.</w:t>
      </w:r>
    </w:p>
    <w:p w:rsidR="00000000" w:rsidDel="00000000" w:rsidP="00000000" w:rsidRDefault="00000000" w:rsidRPr="00000000" w14:paraId="0000007D">
      <w:pPr>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Key aspects include:</w:t>
      </w:r>
    </w:p>
    <w:p w:rsidR="00000000" w:rsidDel="00000000" w:rsidP="00000000" w:rsidRDefault="00000000" w:rsidRPr="00000000" w14:paraId="0000007E">
      <w:pPr>
        <w:numPr>
          <w:ilvl w:val="0"/>
          <w:numId w:val="14"/>
        </w:numPr>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Participation in OECD Discussions:</w:t>
      </w:r>
      <w:r w:rsidDel="00000000" w:rsidR="00000000" w:rsidRPr="00000000">
        <w:rPr>
          <w:rtl w:val="0"/>
        </w:rPr>
      </w:r>
    </w:p>
    <w:p w:rsidR="00000000" w:rsidDel="00000000" w:rsidP="00000000" w:rsidRDefault="00000000" w:rsidRPr="00000000" w14:paraId="0000007F">
      <w:pPr>
        <w:numPr>
          <w:ilvl w:val="1"/>
          <w:numId w:val="15"/>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Non-members can participate as observers in OECD discussions, enabling their views to be considered during revisions.</w:t>
      </w:r>
    </w:p>
    <w:p w:rsidR="00000000" w:rsidDel="00000000" w:rsidP="00000000" w:rsidRDefault="00000000" w:rsidRPr="00000000" w14:paraId="00000080">
      <w:pPr>
        <w:numPr>
          <w:ilvl w:val="1"/>
          <w:numId w:val="15"/>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Emerging economies, such as Brazil, China, and India, have contributed perspectives on key issues like permanent establishments and transfer pricing.</w:t>
      </w:r>
    </w:p>
    <w:p w:rsidR="00000000" w:rsidDel="00000000" w:rsidP="00000000" w:rsidRDefault="00000000" w:rsidRPr="00000000" w14:paraId="00000081">
      <w:pPr>
        <w:numPr>
          <w:ilvl w:val="0"/>
          <w:numId w:val="14"/>
        </w:numPr>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UN Model Tax Convention Influence:</w:t>
      </w:r>
      <w:r w:rsidDel="00000000" w:rsidR="00000000" w:rsidRPr="00000000">
        <w:rPr>
          <w:rtl w:val="0"/>
        </w:rPr>
      </w:r>
    </w:p>
    <w:p w:rsidR="00000000" w:rsidDel="00000000" w:rsidP="00000000" w:rsidRDefault="00000000" w:rsidRPr="00000000" w14:paraId="00000082">
      <w:pPr>
        <w:numPr>
          <w:ilvl w:val="1"/>
          <w:numId w:val="15"/>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Non-members often prefer the UN Model Tax Convention, which emphasizes source-based taxation, aligning better with the interests of developing countries.</w:t>
      </w:r>
    </w:p>
    <w:p w:rsidR="00000000" w:rsidDel="00000000" w:rsidP="00000000" w:rsidRDefault="00000000" w:rsidRPr="00000000" w14:paraId="00000083">
      <w:pPr>
        <w:numPr>
          <w:ilvl w:val="1"/>
          <w:numId w:val="15"/>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Despite this preference, many non-members adopt OECD commentaries with modifications, reflecting a hybrid approach.</w:t>
      </w:r>
    </w:p>
    <w:p w:rsidR="00000000" w:rsidDel="00000000" w:rsidP="00000000" w:rsidRDefault="00000000" w:rsidRPr="00000000" w14:paraId="00000084">
      <w:pPr>
        <w:numPr>
          <w:ilvl w:val="0"/>
          <w:numId w:val="14"/>
        </w:numPr>
        <w:ind w:left="108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Inclusivity through BEPS Initiative:</w:t>
      </w:r>
      <w:r w:rsidDel="00000000" w:rsidR="00000000" w:rsidRPr="00000000">
        <w:rPr>
          <w:rtl w:val="0"/>
        </w:rPr>
      </w:r>
    </w:p>
    <w:p w:rsidR="00000000" w:rsidDel="00000000" w:rsidP="00000000" w:rsidRDefault="00000000" w:rsidRPr="00000000" w14:paraId="00000085">
      <w:pPr>
        <w:numPr>
          <w:ilvl w:val="1"/>
          <w:numId w:val="15"/>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Base Erosion and Profit Shifting (BEPS) project has increased the participation of non-members in global tax governance.</w:t>
      </w:r>
    </w:p>
    <w:p w:rsidR="00000000" w:rsidDel="00000000" w:rsidP="00000000" w:rsidRDefault="00000000" w:rsidRPr="00000000" w14:paraId="00000086">
      <w:pPr>
        <w:numPr>
          <w:ilvl w:val="1"/>
          <w:numId w:val="15"/>
        </w:numPr>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countries have contributed to shaping commentaries related to anti-abuse rules and hybrid mismatch arrangements.</w:t>
      </w:r>
    </w:p>
    <w:p w:rsidR="00000000" w:rsidDel="00000000" w:rsidP="00000000" w:rsidRDefault="00000000" w:rsidRPr="00000000" w14:paraId="00000087">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160" w:before="0" w:line="259" w:lineRule="auto"/>
        <w:ind w:left="720" w:right="0" w:hanging="72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Role of the OECD Committee on Fiscal Affairs</w:t>
      </w:r>
    </w:p>
    <w:p w:rsidR="00000000" w:rsidDel="00000000" w:rsidP="00000000" w:rsidRDefault="00000000" w:rsidRPr="00000000" w14:paraId="0000008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OECD Committee on Fiscal Affairs (CFA) plays a critical role in maintaining and updating the Model Tax Convention and its commentaries. Its functions include:</w:t>
      </w:r>
    </w:p>
    <w:p w:rsidR="00000000" w:rsidDel="00000000" w:rsidP="00000000" w:rsidRDefault="00000000" w:rsidRPr="00000000" w14:paraId="00000089">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259" w:lineRule="auto"/>
        <w:ind w:left="720" w:right="0" w:hanging="720"/>
        <w:jc w:val="both"/>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Development and Review of Commentaries:</w:t>
      </w:r>
    </w:p>
    <w:p w:rsidR="00000000" w:rsidDel="00000000" w:rsidP="00000000" w:rsidRDefault="00000000" w:rsidRPr="00000000" w14:paraId="0000008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CFA oversees periodic updates to reflect changes in international tax practices, court decisions, and economic developments.</w:t>
      </w:r>
    </w:p>
    <w:p w:rsidR="00000000" w:rsidDel="00000000" w:rsidP="00000000" w:rsidRDefault="00000000" w:rsidRPr="00000000" w14:paraId="0000008B">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Revisions ensure that commentaries remain relevant and responsive to evolving tax challenges.</w:t>
      </w:r>
    </w:p>
    <w:p w:rsidR="00000000" w:rsidDel="00000000" w:rsidP="00000000" w:rsidRDefault="00000000" w:rsidRPr="00000000" w14:paraId="0000008C">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259" w:lineRule="auto"/>
        <w:ind w:left="720" w:right="0" w:hanging="720"/>
        <w:jc w:val="both"/>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Coordination with Working Parties:</w:t>
      </w:r>
    </w:p>
    <w:p w:rsidR="00000000" w:rsidDel="00000000" w:rsidP="00000000" w:rsidRDefault="00000000" w:rsidRPr="00000000" w14:paraId="0000008D">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CFA collaborates with specialized working parties, such as Working Party 1 on Tax Conventions, to address technical issues and draft recommendations.</w:t>
      </w:r>
    </w:p>
    <w:p w:rsidR="00000000" w:rsidDel="00000000" w:rsidP="00000000" w:rsidRDefault="00000000" w:rsidRPr="00000000" w14:paraId="0000008E">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259" w:lineRule="auto"/>
        <w:ind w:left="720" w:right="0" w:hanging="720"/>
        <w:jc w:val="both"/>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Consultation with Stakeholders:</w:t>
      </w:r>
    </w:p>
    <w:p w:rsidR="00000000" w:rsidDel="00000000" w:rsidP="00000000" w:rsidRDefault="00000000" w:rsidRPr="00000000" w14:paraId="0000008F">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Public consultations involving tax authorities, businesses, and professional organizations are conducted to gather input before finalizing updates.</w:t>
      </w:r>
    </w:p>
    <w:p w:rsidR="00000000" w:rsidDel="00000000" w:rsidP="00000000" w:rsidRDefault="00000000" w:rsidRPr="00000000" w14:paraId="0000009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inclusive approach promotes transparency and consensus.</w:t>
      </w:r>
    </w:p>
    <w:p w:rsidR="00000000" w:rsidDel="00000000" w:rsidP="00000000" w:rsidRDefault="00000000" w:rsidRPr="00000000" w14:paraId="00000091">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259" w:lineRule="auto"/>
        <w:ind w:left="720" w:right="0" w:hanging="720"/>
        <w:jc w:val="both"/>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Integration of BEPS Measures:</w:t>
      </w:r>
    </w:p>
    <w:p w:rsidR="00000000" w:rsidDel="00000000" w:rsidP="00000000" w:rsidRDefault="00000000" w:rsidRPr="00000000" w14:paraId="0000009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CFA has integrated BEPS recommendations into the commentaries, addressing issues like treaty abuse, permanent establishments, and transfer pricing.</w:t>
      </w:r>
    </w:p>
    <w:p w:rsidR="00000000" w:rsidDel="00000000" w:rsidP="00000000" w:rsidRDefault="00000000" w:rsidRPr="00000000" w14:paraId="00000093">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59"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integration supports global efforts to curb tax avoidance and improve tax transparency.</w:t>
      </w:r>
    </w:p>
    <w:p w:rsidR="00000000" w:rsidDel="00000000" w:rsidP="00000000" w:rsidRDefault="00000000" w:rsidRPr="00000000" w14:paraId="00000094">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259" w:lineRule="auto"/>
        <w:ind w:left="720" w:right="0" w:hanging="720"/>
        <w:jc w:val="both"/>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Capacity Building and Technical Assistance:</w:t>
      </w:r>
    </w:p>
    <w:p w:rsidR="00000000" w:rsidDel="00000000" w:rsidP="00000000" w:rsidRDefault="00000000" w:rsidRPr="00000000" w14:paraId="00000095">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160" w:before="0" w:line="259" w:lineRule="auto"/>
        <w:ind w:left="108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CFA provides training and technical assistance to non-member countries, helping them interpret and implement DTCs effectively.</w:t>
      </w:r>
    </w:p>
    <w:p w:rsidR="00000000" w:rsidDel="00000000" w:rsidP="00000000" w:rsidRDefault="00000000" w:rsidRPr="00000000" w14:paraId="0000009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4">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6">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7">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pStyle w:val="Heading1"/>
        <w:jc w:val="both"/>
        <w:rPr/>
      </w:pPr>
      <w:bookmarkStart w:colFirst="0" w:colLast="0" w:name="_heading=h.3znysh7" w:id="3"/>
      <w:bookmarkEnd w:id="3"/>
      <w:r w:rsidDel="00000000" w:rsidR="00000000" w:rsidRPr="00000000">
        <w:rPr>
          <w:rtl w:val="0"/>
        </w:rPr>
        <w:t xml:space="preserve">C.2. THE UN MODEL DOUBLE TAXATION CONVENTION 2021 (UN MTC)</w:t>
      </w:r>
    </w:p>
    <w:p w:rsidR="00000000" w:rsidDel="00000000" w:rsidP="00000000" w:rsidRDefault="00000000" w:rsidRPr="00000000" w14:paraId="000000A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United Nations Model Double Taxation Convention between Developed and Developing Countries (UN MTC) 2021 aims to assist in the negotiation of tax treaties between developed and developing countries. The primary purpose of these treaties is to eliminate double taxation, prevent tax evasion, and foster economic cooperation among nations. The format and structure of the UN MTC are designed to accommodate the specific needs and interests of developing countries, offering a balanced approach to income allocation between source and residence countries.</w:t>
      </w:r>
    </w:p>
    <w:p w:rsidR="00000000" w:rsidDel="00000000" w:rsidP="00000000" w:rsidRDefault="00000000" w:rsidRPr="00000000" w14:paraId="000000AB">
      <w:pPr>
        <w:pStyle w:val="Heading2"/>
        <w:numPr>
          <w:ilvl w:val="0"/>
          <w:numId w:val="17"/>
        </w:numPr>
        <w:ind w:left="360" w:hanging="360"/>
        <w:rPr>
          <w:rFonts w:ascii="Times New Roman" w:cs="Times New Roman" w:eastAsia="Times New Roman" w:hAnsi="Times New Roman"/>
          <w:sz w:val="27"/>
          <w:szCs w:val="27"/>
        </w:rPr>
      </w:pPr>
      <w:bookmarkStart w:colFirst="0" w:colLast="0" w:name="_heading=h.2et92p0" w:id="4"/>
      <w:bookmarkEnd w:id="4"/>
      <w:r w:rsidDel="00000000" w:rsidR="00000000" w:rsidRPr="00000000">
        <w:rPr>
          <w:rFonts w:ascii="Times New Roman" w:cs="Times New Roman" w:eastAsia="Times New Roman" w:hAnsi="Times New Roman"/>
          <w:sz w:val="27"/>
          <w:szCs w:val="27"/>
          <w:rtl w:val="0"/>
        </w:rPr>
        <w:t xml:space="preserve">The UN MTC: Format and Structure</w:t>
      </w:r>
    </w:p>
    <w:p w:rsidR="00000000" w:rsidDel="00000000" w:rsidP="00000000" w:rsidRDefault="00000000" w:rsidRPr="00000000" w14:paraId="000000AC">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160" w:before="0" w:line="259" w:lineRule="auto"/>
        <w:ind w:left="36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Format of the UN MTC</w:t>
      </w:r>
      <w:r w:rsidDel="00000000" w:rsidR="00000000" w:rsidRPr="00000000">
        <w:rPr>
          <w:rtl w:val="0"/>
        </w:rPr>
      </w:r>
    </w:p>
    <w:p w:rsidR="00000000" w:rsidDel="00000000" w:rsidP="00000000" w:rsidRDefault="00000000" w:rsidRPr="00000000" w14:paraId="000000A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 MTC is organized systematically to provide a comprehensive framework for tax treaties. The format includes:</w:t>
      </w:r>
    </w:p>
    <w:p w:rsidR="00000000" w:rsidDel="00000000" w:rsidP="00000000" w:rsidRDefault="00000000" w:rsidRPr="00000000" w14:paraId="000000A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Preamble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Preamble sets the stage, stating the objectives of the treaty, such as the elimination of double taxation and the prevention of tax evasion.</w:t>
      </w:r>
    </w:p>
    <w:p w:rsidR="00000000" w:rsidDel="00000000" w:rsidP="00000000" w:rsidRDefault="00000000" w:rsidRPr="00000000" w14:paraId="000000A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Chapters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Convention is divided into distinct chapters, each addressing specific areas of taxation.</w:t>
      </w:r>
    </w:p>
    <w:p w:rsidR="00000000" w:rsidDel="00000000" w:rsidP="00000000" w:rsidRDefault="00000000" w:rsidRPr="00000000" w14:paraId="000000B0">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Articles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Each chapter contains several articles that detail the rules and provisions governing specific types of income and taxation issues.</w:t>
      </w:r>
    </w:p>
    <w:p w:rsidR="00000000" w:rsidDel="00000000" w:rsidP="00000000" w:rsidRDefault="00000000" w:rsidRPr="00000000" w14:paraId="000000B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Commentaries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Detailed commentaries accompany each article, providing interpretations, explanations, and guidance for application.</w:t>
      </w:r>
    </w:p>
    <w:p w:rsidR="00000000" w:rsidDel="00000000" w:rsidP="00000000" w:rsidRDefault="00000000" w:rsidRPr="00000000" w14:paraId="000000B2">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160" w:before="0" w:line="259"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Structure of the UN MTC</w:t>
      </w:r>
    </w:p>
    <w:p w:rsidR="00000000" w:rsidDel="00000000" w:rsidP="00000000" w:rsidRDefault="00000000" w:rsidRPr="00000000" w14:paraId="000000B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structure of the UN MTC is methodically organized into chapters and articles, covering various aspects of international taxation:</w:t>
      </w:r>
    </w:p>
    <w:p w:rsidR="00000000" w:rsidDel="00000000" w:rsidP="00000000" w:rsidRDefault="00000000" w:rsidRPr="00000000" w14:paraId="000000B4">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0" w:before="0" w:line="259" w:lineRule="auto"/>
        <w:ind w:left="720" w:right="0" w:hanging="72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Chapter I: Scope of the Convention</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Article 1: Persons Covered</w:t>
      </w:r>
    </w:p>
    <w:p w:rsidR="00000000" w:rsidDel="00000000" w:rsidP="00000000" w:rsidRDefault="00000000" w:rsidRPr="00000000" w14:paraId="000000B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Article 2: Taxes Covered</w:t>
      </w:r>
    </w:p>
    <w:p w:rsidR="00000000" w:rsidDel="00000000" w:rsidP="00000000" w:rsidRDefault="00000000" w:rsidRPr="00000000" w14:paraId="000000B7">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0" w:before="0" w:line="259" w:lineRule="auto"/>
        <w:ind w:left="720" w:right="0" w:hanging="720"/>
        <w:jc w:val="both"/>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Chapter II: Definitions</w:t>
      </w:r>
    </w:p>
    <w:p w:rsidR="00000000" w:rsidDel="00000000" w:rsidP="00000000" w:rsidRDefault="00000000" w:rsidRPr="00000000" w14:paraId="000000B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Article 3: General Definitions</w:t>
      </w:r>
    </w:p>
    <w:p w:rsidR="00000000" w:rsidDel="00000000" w:rsidP="00000000" w:rsidRDefault="00000000" w:rsidRPr="00000000" w14:paraId="000000B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Article 4: Resident</w:t>
      </w:r>
    </w:p>
    <w:p w:rsidR="00000000" w:rsidDel="00000000" w:rsidP="00000000" w:rsidRDefault="00000000" w:rsidRPr="00000000" w14:paraId="000000B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Article 5: Permanent Establishment</w:t>
      </w:r>
    </w:p>
    <w:p w:rsidR="00000000" w:rsidDel="00000000" w:rsidP="00000000" w:rsidRDefault="00000000" w:rsidRPr="00000000" w14:paraId="000000BB">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0" w:before="0" w:line="259" w:lineRule="auto"/>
        <w:ind w:left="720" w:right="0" w:hanging="720"/>
        <w:jc w:val="both"/>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Chapter III: Taxation of Income</w:t>
      </w:r>
    </w:p>
    <w:p w:rsidR="00000000" w:rsidDel="00000000" w:rsidP="00000000" w:rsidRDefault="00000000" w:rsidRPr="00000000" w14:paraId="000000B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Article 6: Income from immovable property </w:t>
      </w:r>
    </w:p>
    <w:p w:rsidR="00000000" w:rsidDel="00000000" w:rsidP="00000000" w:rsidRDefault="00000000" w:rsidRPr="00000000" w14:paraId="000000BD">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Article 7: Business profits </w:t>
      </w:r>
    </w:p>
    <w:p w:rsidR="00000000" w:rsidDel="00000000" w:rsidP="00000000" w:rsidRDefault="00000000" w:rsidRPr="00000000" w14:paraId="000000BE">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Article 8: International shipping and air transport </w:t>
      </w:r>
    </w:p>
    <w:p w:rsidR="00000000" w:rsidDel="00000000" w:rsidP="00000000" w:rsidRDefault="00000000" w:rsidRPr="00000000" w14:paraId="000000B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Article 9: Associated enterprises </w:t>
      </w:r>
    </w:p>
    <w:p w:rsidR="00000000" w:rsidDel="00000000" w:rsidP="00000000" w:rsidRDefault="00000000" w:rsidRPr="00000000" w14:paraId="000000C0">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Article 10: Dividends </w:t>
      </w:r>
    </w:p>
    <w:p w:rsidR="00000000" w:rsidDel="00000000" w:rsidP="00000000" w:rsidRDefault="00000000" w:rsidRPr="00000000" w14:paraId="000000C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Article 11: Interest </w:t>
      </w:r>
    </w:p>
    <w:p w:rsidR="00000000" w:rsidDel="00000000" w:rsidP="00000000" w:rsidRDefault="00000000" w:rsidRPr="00000000" w14:paraId="000000C2">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Article 12: Royalties </w:t>
      </w:r>
    </w:p>
    <w:p w:rsidR="00000000" w:rsidDel="00000000" w:rsidP="00000000" w:rsidRDefault="00000000" w:rsidRPr="00000000" w14:paraId="000000C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Article 12A: Fees for technical services </w:t>
      </w:r>
    </w:p>
    <w:p w:rsidR="00000000" w:rsidDel="00000000" w:rsidP="00000000" w:rsidRDefault="00000000" w:rsidRPr="00000000" w14:paraId="000000C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Article 12B: Income from automated digital services </w:t>
      </w:r>
    </w:p>
    <w:p w:rsidR="00000000" w:rsidDel="00000000" w:rsidP="00000000" w:rsidRDefault="00000000" w:rsidRPr="00000000" w14:paraId="000000C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Article 13: Capital gains </w:t>
      </w:r>
    </w:p>
    <w:p w:rsidR="00000000" w:rsidDel="00000000" w:rsidP="00000000" w:rsidRDefault="00000000" w:rsidRPr="00000000" w14:paraId="000000C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Article 14: Independent personal services </w:t>
      </w:r>
    </w:p>
    <w:p w:rsidR="00000000" w:rsidDel="00000000" w:rsidP="00000000" w:rsidRDefault="00000000" w:rsidRPr="00000000" w14:paraId="000000C7">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Article 15: Dependent personal services </w:t>
      </w:r>
    </w:p>
    <w:p w:rsidR="00000000" w:rsidDel="00000000" w:rsidP="00000000" w:rsidRDefault="00000000" w:rsidRPr="00000000" w14:paraId="000000C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Article 16: Directors’ fees and remuneration of top-level managerial officials</w:t>
      </w:r>
    </w:p>
    <w:p w:rsidR="00000000" w:rsidDel="00000000" w:rsidP="00000000" w:rsidRDefault="00000000" w:rsidRPr="00000000" w14:paraId="000000C9">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Article 17: Artistes and sportspersons </w:t>
      </w:r>
    </w:p>
    <w:p w:rsidR="00000000" w:rsidDel="00000000" w:rsidP="00000000" w:rsidRDefault="00000000" w:rsidRPr="00000000" w14:paraId="000000C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Article 18: Pensions and social security payments </w:t>
      </w:r>
    </w:p>
    <w:p w:rsidR="00000000" w:rsidDel="00000000" w:rsidP="00000000" w:rsidRDefault="00000000" w:rsidRPr="00000000" w14:paraId="000000C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Article 19: Government service </w:t>
      </w:r>
    </w:p>
    <w:p w:rsidR="00000000" w:rsidDel="00000000" w:rsidP="00000000" w:rsidRDefault="00000000" w:rsidRPr="00000000" w14:paraId="000000C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Article 20: Students</w:t>
      </w:r>
    </w:p>
    <w:p w:rsidR="00000000" w:rsidDel="00000000" w:rsidP="00000000" w:rsidRDefault="00000000" w:rsidRPr="00000000" w14:paraId="000000CD">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Article 21: Other income </w:t>
      </w:r>
    </w:p>
    <w:p w:rsidR="00000000" w:rsidDel="00000000" w:rsidP="00000000" w:rsidRDefault="00000000" w:rsidRPr="00000000" w14:paraId="000000CE">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0" w:before="0" w:line="259" w:lineRule="auto"/>
        <w:ind w:left="720" w:right="0" w:hanging="720"/>
        <w:jc w:val="both"/>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Chapter IV: Taxation of Capital</w:t>
      </w:r>
    </w:p>
    <w:p w:rsidR="00000000" w:rsidDel="00000000" w:rsidP="00000000" w:rsidRDefault="00000000" w:rsidRPr="00000000" w14:paraId="000000C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Article 22: Capital</w:t>
      </w:r>
    </w:p>
    <w:p w:rsidR="00000000" w:rsidDel="00000000" w:rsidP="00000000" w:rsidRDefault="00000000" w:rsidRPr="00000000" w14:paraId="000000D0">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0" w:before="0" w:line="259" w:lineRule="auto"/>
        <w:ind w:left="720" w:right="0" w:hanging="720"/>
        <w:jc w:val="both"/>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Chapter V: Methods for Elimination of Double Taxation</w:t>
      </w:r>
    </w:p>
    <w:p w:rsidR="00000000" w:rsidDel="00000000" w:rsidP="00000000" w:rsidRDefault="00000000" w:rsidRPr="00000000" w14:paraId="000000D1">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Article 23: Methods for Elimination of Double Taxation</w:t>
      </w:r>
    </w:p>
    <w:p w:rsidR="00000000" w:rsidDel="00000000" w:rsidP="00000000" w:rsidRDefault="00000000" w:rsidRPr="00000000" w14:paraId="000000D2">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0" w:before="0" w:line="259" w:lineRule="auto"/>
        <w:ind w:left="720" w:right="0" w:hanging="720"/>
        <w:jc w:val="both"/>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Chapter VI: Special Provisions</w:t>
      </w:r>
    </w:p>
    <w:p w:rsidR="00000000" w:rsidDel="00000000" w:rsidP="00000000" w:rsidRDefault="00000000" w:rsidRPr="00000000" w14:paraId="000000D3">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Article 24: Non-discrimination </w:t>
      </w:r>
    </w:p>
    <w:p w:rsidR="00000000" w:rsidDel="00000000" w:rsidP="00000000" w:rsidRDefault="00000000" w:rsidRPr="00000000" w14:paraId="000000D4">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Article 25: Mutual agreement procedure </w:t>
      </w:r>
    </w:p>
    <w:p w:rsidR="00000000" w:rsidDel="00000000" w:rsidP="00000000" w:rsidRDefault="00000000" w:rsidRPr="00000000" w14:paraId="000000D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Article 26: Exchange of information </w:t>
      </w:r>
    </w:p>
    <w:p w:rsidR="00000000" w:rsidDel="00000000" w:rsidP="00000000" w:rsidRDefault="00000000" w:rsidRPr="00000000" w14:paraId="000000D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Article 27: Assistance in the collection of taxes</w:t>
      </w:r>
    </w:p>
    <w:p w:rsidR="00000000" w:rsidDel="00000000" w:rsidP="00000000" w:rsidRDefault="00000000" w:rsidRPr="00000000" w14:paraId="000000D7">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Article 28: Members of diplomatic missions and consular posts </w:t>
      </w:r>
    </w:p>
    <w:p w:rsidR="00000000" w:rsidDel="00000000" w:rsidP="00000000" w:rsidRDefault="00000000" w:rsidRPr="00000000" w14:paraId="000000D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59" w:lineRule="auto"/>
        <w:ind w:left="720" w:right="0" w:hanging="36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Article 29: Entitlement to benefits </w:t>
      </w:r>
    </w:p>
    <w:p w:rsidR="00000000" w:rsidDel="00000000" w:rsidP="00000000" w:rsidRDefault="00000000" w:rsidRPr="00000000" w14:paraId="000000D9">
      <w:pPr>
        <w:keepNext w:val="0"/>
        <w:keepLines w:val="0"/>
        <w:pageBreakBefore w:val="0"/>
        <w:widowControl w:val="1"/>
        <w:numPr>
          <w:ilvl w:val="2"/>
          <w:numId w:val="17"/>
        </w:numPr>
        <w:pBdr>
          <w:top w:space="0" w:sz="0" w:val="nil"/>
          <w:left w:space="0" w:sz="0" w:val="nil"/>
          <w:bottom w:space="0" w:sz="0" w:val="nil"/>
          <w:right w:space="0" w:sz="0" w:val="nil"/>
          <w:between w:space="0" w:sz="0" w:val="nil"/>
        </w:pBdr>
        <w:shd w:fill="auto" w:val="clear"/>
        <w:spacing w:after="0" w:before="0" w:line="259" w:lineRule="auto"/>
        <w:ind w:left="720" w:right="0" w:hanging="720"/>
        <w:jc w:val="both"/>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Chapter VII: Final Provisions</w:t>
      </w:r>
    </w:p>
    <w:p w:rsidR="00000000" w:rsidDel="00000000" w:rsidP="00000000" w:rsidRDefault="00000000" w:rsidRPr="00000000" w14:paraId="000000D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Articles 30 to 31: Entry into force and termination.</w:t>
      </w:r>
    </w:p>
    <w:p w:rsidR="00000000" w:rsidDel="00000000" w:rsidP="00000000" w:rsidRDefault="00000000" w:rsidRPr="00000000" w14:paraId="000000DB">
      <w:pPr>
        <w:pStyle w:val="Heading2"/>
        <w:numPr>
          <w:ilvl w:val="0"/>
          <w:numId w:val="17"/>
        </w:numPr>
        <w:ind w:left="360" w:hanging="360"/>
        <w:rPr>
          <w:rFonts w:ascii="Times New Roman" w:cs="Times New Roman" w:eastAsia="Times New Roman" w:hAnsi="Times New Roman"/>
          <w:sz w:val="27"/>
          <w:szCs w:val="27"/>
        </w:rPr>
      </w:pPr>
      <w:bookmarkStart w:colFirst="0" w:colLast="0" w:name="_heading=h.tyjcwt" w:id="5"/>
      <w:bookmarkEnd w:id="5"/>
      <w:r w:rsidDel="00000000" w:rsidR="00000000" w:rsidRPr="00000000">
        <w:rPr>
          <w:rFonts w:ascii="Times New Roman" w:cs="Times New Roman" w:eastAsia="Times New Roman" w:hAnsi="Times New Roman"/>
          <w:sz w:val="27"/>
          <w:szCs w:val="27"/>
          <w:rtl w:val="0"/>
        </w:rPr>
        <w:t xml:space="preserve">General comparison with the OECD MTC</w:t>
      </w:r>
    </w:p>
    <w:p w:rsidR="00000000" w:rsidDel="00000000" w:rsidP="00000000" w:rsidRDefault="00000000" w:rsidRPr="00000000" w14:paraId="000000D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 MTC and the OECD Model Tax Convention (OECD MTC) share the common goal of eliminating double taxation and preventing tax evasion. However, they differ in several aspects, reflecting their distinct purposes and the interests of the countries they primarily serve.</w:t>
      </w:r>
    </w:p>
    <w:p w:rsidR="00000000" w:rsidDel="00000000" w:rsidP="00000000" w:rsidRDefault="00000000" w:rsidRPr="00000000" w14:paraId="000000DD">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160" w:before="0" w:line="259"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Committee</w:t>
      </w:r>
    </w:p>
    <w:p w:rsidR="00000000" w:rsidDel="00000000" w:rsidP="00000000" w:rsidRDefault="00000000" w:rsidRPr="00000000" w14:paraId="000000D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UN MTC</w:t>
      </w:r>
      <w:r w:rsidDel="00000000" w:rsidR="00000000" w:rsidRPr="00000000">
        <w:rPr>
          <w:rFonts w:ascii="Times New Roman" w:cs="Times New Roman" w:eastAsia="Times New Roman" w:hAnsi="Times New Roman"/>
          <w:sz w:val="24"/>
          <w:szCs w:val="24"/>
          <w:rtl w:val="0"/>
        </w:rPr>
        <w:t xml:space="preserve">: The UN MTC is developed by the United Nations Committee of Experts on International Cooperation in Tax Matters. This committee comprises experts from various countries, with a significant representation from developing nations. The focus is on addressing the specific needs and challenges faced by developing countries in international taxation.</w:t>
      </w:r>
    </w:p>
    <w:p w:rsidR="00000000" w:rsidDel="00000000" w:rsidP="00000000" w:rsidRDefault="00000000" w:rsidRPr="00000000" w14:paraId="000000D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OECD MTC</w:t>
      </w:r>
      <w:r w:rsidDel="00000000" w:rsidR="00000000" w:rsidRPr="00000000">
        <w:rPr>
          <w:rFonts w:ascii="Times New Roman" w:cs="Times New Roman" w:eastAsia="Times New Roman" w:hAnsi="Times New Roman"/>
          <w:sz w:val="24"/>
          <w:szCs w:val="24"/>
          <w:rtl w:val="0"/>
        </w:rPr>
        <w:t xml:space="preserve">: The OECD MTC is developed by the OECD Committee on Fiscal Affairs, which primarily represents the interests of developed countries. The committee includes representatives from OECD member countries, which are predominantly high-income nations.</w:t>
      </w:r>
    </w:p>
    <w:p w:rsidR="00000000" w:rsidDel="00000000" w:rsidP="00000000" w:rsidRDefault="00000000" w:rsidRPr="00000000" w14:paraId="000000E0">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160" w:before="0" w:line="259"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Purpose</w:t>
      </w:r>
    </w:p>
    <w:p w:rsidR="00000000" w:rsidDel="00000000" w:rsidP="00000000" w:rsidRDefault="00000000" w:rsidRPr="00000000" w14:paraId="000000E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UN MTC</w:t>
      </w:r>
      <w:r w:rsidDel="00000000" w:rsidR="00000000" w:rsidRPr="00000000">
        <w:rPr>
          <w:rFonts w:ascii="Times New Roman" w:cs="Times New Roman" w:eastAsia="Times New Roman" w:hAnsi="Times New Roman"/>
          <w:sz w:val="24"/>
          <w:szCs w:val="24"/>
          <w:rtl w:val="0"/>
        </w:rPr>
        <w:t xml:space="preserve">: The primary purpose of the UN MTC is to provide a balanced approach to tax treaty negotiations between developed and developing countries. It emphasizes the interests of source countries (usually developing countries) by granting them greater taxing rights compared to the OECD MTC.</w:t>
      </w:r>
    </w:p>
    <w:p w:rsidR="00000000" w:rsidDel="00000000" w:rsidP="00000000" w:rsidRDefault="00000000" w:rsidRPr="00000000" w14:paraId="000000E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OECD MTC</w:t>
      </w:r>
      <w:r w:rsidDel="00000000" w:rsidR="00000000" w:rsidRPr="00000000">
        <w:rPr>
          <w:rFonts w:ascii="Times New Roman" w:cs="Times New Roman" w:eastAsia="Times New Roman" w:hAnsi="Times New Roman"/>
          <w:sz w:val="24"/>
          <w:szCs w:val="24"/>
          <w:rtl w:val="0"/>
        </w:rPr>
        <w:t xml:space="preserve">: The OECD MTC aims to provide a comprehensive framework for tax treaties that facilitates international trade and investment. It generally favors the interests of residence countries (usually developed countries) by limiting the taxing rights of source countries.</w:t>
      </w:r>
    </w:p>
    <w:p w:rsidR="00000000" w:rsidDel="00000000" w:rsidP="00000000" w:rsidRDefault="00000000" w:rsidRPr="00000000" w14:paraId="000000E3">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160" w:before="0" w:line="259"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Popularity</w:t>
      </w:r>
    </w:p>
    <w:p w:rsidR="00000000" w:rsidDel="00000000" w:rsidP="00000000" w:rsidRDefault="00000000" w:rsidRPr="00000000" w14:paraId="000000E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 MTC is widely used by developing countries in their tax treaty negotiations. It provides a framework that better aligns with their economic interests and fiscal policies. On the other hand, the OECD MTC is the most widely used model for tax treaties globally. It is preferred by developed countries and multinational corporations due to its emphasis on minimizing double taxation and preventing tax evasion.</w:t>
      </w:r>
    </w:p>
    <w:p w:rsidR="00000000" w:rsidDel="00000000" w:rsidP="00000000" w:rsidRDefault="00000000" w:rsidRPr="00000000" w14:paraId="000000E5">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160" w:before="0" w:line="259"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Differences in Articles with the OECD MTC</w:t>
      </w:r>
    </w:p>
    <w:p w:rsidR="00000000" w:rsidDel="00000000" w:rsidP="00000000" w:rsidRDefault="00000000" w:rsidRPr="00000000" w14:paraId="000000E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 MTC and the OECD MTC contain several differences in specific articles, reflecting their distinct approaches to international taxation. Some key differences include:</w:t>
      </w:r>
    </w:p>
    <w:p w:rsidR="00000000" w:rsidDel="00000000" w:rsidP="00000000" w:rsidRDefault="00000000" w:rsidRPr="00000000" w14:paraId="000000E7">
      <w:pPr>
        <w:keepNext w:val="0"/>
        <w:keepLines w:val="0"/>
        <w:pageBreakBefore w:val="0"/>
        <w:widowControl w:val="1"/>
        <w:numPr>
          <w:ilvl w:val="2"/>
          <w:numId w:val="19"/>
        </w:numPr>
        <w:pBdr>
          <w:top w:space="0" w:sz="0" w:val="nil"/>
          <w:left w:space="0" w:sz="0" w:val="nil"/>
          <w:bottom w:space="0" w:sz="0" w:val="nil"/>
          <w:right w:space="0" w:sz="0" w:val="nil"/>
          <w:between w:space="0" w:sz="0" w:val="nil"/>
        </w:pBdr>
        <w:shd w:fill="auto" w:val="clear"/>
        <w:spacing w:after="160" w:before="0" w:line="259" w:lineRule="auto"/>
        <w:ind w:left="720" w:right="0" w:hanging="720"/>
        <w:jc w:val="both"/>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Article 5 (Permanent Establishment):</w:t>
      </w:r>
    </w:p>
    <w:p w:rsidR="00000000" w:rsidDel="00000000" w:rsidP="00000000" w:rsidRDefault="00000000" w:rsidRPr="00000000" w14:paraId="000000E8">
      <w:pPr>
        <w:numPr>
          <w:ilvl w:val="0"/>
          <w:numId w:val="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 MTC includes provisions that expand the definition of a permanent establishment, granting source countries greater taxing rights. For example, it includes a service permanent establishment clause, which is not present in the OECD MTC.</w:t>
      </w:r>
    </w:p>
    <w:p w:rsidR="00000000" w:rsidDel="00000000" w:rsidP="00000000" w:rsidRDefault="00000000" w:rsidRPr="00000000" w14:paraId="000000E9">
      <w:pPr>
        <w:numPr>
          <w:ilvl w:val="0"/>
          <w:numId w:val="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OECD MTC has a more restrictive definition of a permanent establishment, focusing on physical presence and specific activities.</w:t>
      </w:r>
    </w:p>
    <w:p w:rsidR="00000000" w:rsidDel="00000000" w:rsidP="00000000" w:rsidRDefault="00000000" w:rsidRPr="00000000" w14:paraId="000000EA">
      <w:pPr>
        <w:keepNext w:val="0"/>
        <w:keepLines w:val="0"/>
        <w:pageBreakBefore w:val="0"/>
        <w:widowControl w:val="1"/>
        <w:numPr>
          <w:ilvl w:val="2"/>
          <w:numId w:val="19"/>
        </w:numPr>
        <w:pBdr>
          <w:top w:space="0" w:sz="0" w:val="nil"/>
          <w:left w:space="0" w:sz="0" w:val="nil"/>
          <w:bottom w:space="0" w:sz="0" w:val="nil"/>
          <w:right w:space="0" w:sz="0" w:val="nil"/>
          <w:between w:space="0" w:sz="0" w:val="nil"/>
        </w:pBdr>
        <w:shd w:fill="auto" w:val="clear"/>
        <w:spacing w:after="160" w:before="0" w:line="259" w:lineRule="auto"/>
        <w:ind w:left="720" w:right="0" w:hanging="720"/>
        <w:jc w:val="both"/>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Article 7 (Business Profits):</w:t>
      </w:r>
    </w:p>
    <w:p w:rsidR="00000000" w:rsidDel="00000000" w:rsidP="00000000" w:rsidRDefault="00000000" w:rsidRPr="00000000" w14:paraId="000000EB">
      <w:pPr>
        <w:numPr>
          <w:ilvl w:val="0"/>
          <w:numId w:val="7"/>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 MTC allows for a broader attribution of profits to a permanent establishment, giving source countries more taxing rights.</w:t>
      </w:r>
    </w:p>
    <w:p w:rsidR="00000000" w:rsidDel="00000000" w:rsidP="00000000" w:rsidRDefault="00000000" w:rsidRPr="00000000" w14:paraId="000000EC">
      <w:pPr>
        <w:numPr>
          <w:ilvl w:val="0"/>
          <w:numId w:val="7"/>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OECD MTC follows a more limited approach, attributing profits based on the functions, assets, and risks associated with the permanent establishment.</w:t>
      </w:r>
    </w:p>
    <w:p w:rsidR="00000000" w:rsidDel="00000000" w:rsidP="00000000" w:rsidRDefault="00000000" w:rsidRPr="00000000" w14:paraId="000000ED">
      <w:pPr>
        <w:keepNext w:val="0"/>
        <w:keepLines w:val="0"/>
        <w:pageBreakBefore w:val="0"/>
        <w:widowControl w:val="1"/>
        <w:numPr>
          <w:ilvl w:val="2"/>
          <w:numId w:val="19"/>
        </w:numPr>
        <w:pBdr>
          <w:top w:space="0" w:sz="0" w:val="nil"/>
          <w:left w:space="0" w:sz="0" w:val="nil"/>
          <w:bottom w:space="0" w:sz="0" w:val="nil"/>
          <w:right w:space="0" w:sz="0" w:val="nil"/>
          <w:between w:space="0" w:sz="0" w:val="nil"/>
        </w:pBdr>
        <w:shd w:fill="auto" w:val="clear"/>
        <w:spacing w:after="160" w:before="0" w:line="259" w:lineRule="auto"/>
        <w:ind w:left="720" w:right="0" w:hanging="720"/>
        <w:jc w:val="both"/>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Article 12 (Royalties) and Article 12 (B) </w:t>
      </w:r>
    </w:p>
    <w:p w:rsidR="00000000" w:rsidDel="00000000" w:rsidP="00000000" w:rsidRDefault="00000000" w:rsidRPr="00000000" w14:paraId="000000EE">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Article 12 of the UN MTC is separated into two parts. Part A deals with technical services, while Part B deals with the income from automated digital services. This is a unique feature of the UN model which is not found in the OECD MTC. </w:t>
      </w:r>
    </w:p>
    <w:p w:rsidR="00000000" w:rsidDel="00000000" w:rsidP="00000000" w:rsidRDefault="00000000" w:rsidRPr="00000000" w14:paraId="000000EF">
      <w:pPr>
        <w:numPr>
          <w:ilvl w:val="0"/>
          <w:numId w:val="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Additionally, in terms of the allocation of tax sharing rights, Article 12 deviates from the provision in the OECD MTC which allocates income solely to the resident state. The UN MTC permits the source state to tax. </w:t>
      </w:r>
    </w:p>
    <w:p w:rsidR="00000000" w:rsidDel="00000000" w:rsidP="00000000" w:rsidRDefault="00000000" w:rsidRPr="00000000" w14:paraId="000000F0">
      <w:pPr>
        <w:keepNext w:val="0"/>
        <w:keepLines w:val="0"/>
        <w:pageBreakBefore w:val="0"/>
        <w:widowControl w:val="1"/>
        <w:numPr>
          <w:ilvl w:val="2"/>
          <w:numId w:val="19"/>
        </w:numPr>
        <w:pBdr>
          <w:top w:space="0" w:sz="0" w:val="nil"/>
          <w:left w:space="0" w:sz="0" w:val="nil"/>
          <w:bottom w:space="0" w:sz="0" w:val="nil"/>
          <w:right w:space="0" w:sz="0" w:val="nil"/>
          <w:between w:space="0" w:sz="0" w:val="nil"/>
        </w:pBdr>
        <w:shd w:fill="auto" w:val="clear"/>
        <w:spacing w:after="160" w:before="0" w:line="259" w:lineRule="auto"/>
        <w:ind w:left="720" w:right="0" w:hanging="720"/>
        <w:jc w:val="both"/>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Article 14: Independent Personal Services</w:t>
      </w:r>
    </w:p>
    <w:p w:rsidR="00000000" w:rsidDel="00000000" w:rsidP="00000000" w:rsidRDefault="00000000" w:rsidRPr="00000000" w14:paraId="000000F1">
      <w:pPr>
        <w:numPr>
          <w:ilvl w:val="0"/>
          <w:numId w:val="3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UN MTC</w:t>
      </w:r>
      <w:r w:rsidDel="00000000" w:rsidR="00000000" w:rsidRPr="00000000">
        <w:rPr>
          <w:rFonts w:ascii="Times New Roman" w:cs="Times New Roman" w:eastAsia="Times New Roman" w:hAnsi="Times New Roman"/>
          <w:sz w:val="24"/>
          <w:szCs w:val="24"/>
          <w:rtl w:val="0"/>
        </w:rPr>
        <w:t xml:space="preserve">: Article 14 of the UN MTC provides specific rules for the taxation of income from independent personal services. It grants source countries the right to tax such income if the individual has a fixed base regularly available in the source country, or if the individual stays in the source country for a certain period.</w:t>
      </w:r>
    </w:p>
    <w:p w:rsidR="00000000" w:rsidDel="00000000" w:rsidP="00000000" w:rsidRDefault="00000000" w:rsidRPr="00000000" w14:paraId="000000F2">
      <w:pPr>
        <w:numPr>
          <w:ilvl w:val="0"/>
          <w:numId w:val="3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OECD MTC</w:t>
      </w:r>
      <w:r w:rsidDel="00000000" w:rsidR="00000000" w:rsidRPr="00000000">
        <w:rPr>
          <w:rFonts w:ascii="Times New Roman" w:cs="Times New Roman" w:eastAsia="Times New Roman" w:hAnsi="Times New Roman"/>
          <w:sz w:val="24"/>
          <w:szCs w:val="24"/>
          <w:rtl w:val="0"/>
        </w:rPr>
        <w:t xml:space="preserve">: The OECD MTC eliminated Article 14, consolidating the rules for independent personal services under Article 7 (Business Profits). This approach generally favors residence countries by limiting the taxing rights of source countries.</w:t>
      </w:r>
    </w:p>
    <w:p w:rsidR="00000000" w:rsidDel="00000000" w:rsidP="00000000" w:rsidRDefault="00000000" w:rsidRPr="00000000" w14:paraId="000000F3">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160" w:before="0" w:line="259"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Position of Members and Non-Members in Commentaries</w:t>
      </w:r>
    </w:p>
    <w:p w:rsidR="00000000" w:rsidDel="00000000" w:rsidP="00000000" w:rsidRDefault="00000000" w:rsidRPr="00000000" w14:paraId="000000F4">
      <w:pPr>
        <w:numPr>
          <w:ilvl w:val="0"/>
          <w:numId w:val="3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UN MTC</w:t>
      </w:r>
      <w:r w:rsidDel="00000000" w:rsidR="00000000" w:rsidRPr="00000000">
        <w:rPr>
          <w:rFonts w:ascii="Times New Roman" w:cs="Times New Roman" w:eastAsia="Times New Roman" w:hAnsi="Times New Roman"/>
          <w:sz w:val="24"/>
          <w:szCs w:val="24"/>
          <w:rtl w:val="0"/>
        </w:rPr>
        <w:t xml:space="preserve">: The commentaries of the UN MTC do not include the positions of its members or non-members. The focus is on providing general guidance and explanations for the provisions within the convention, aiming for a clear and straightforward interpretation that can be universally applied.</w:t>
      </w:r>
    </w:p>
    <w:p w:rsidR="00000000" w:rsidDel="00000000" w:rsidP="00000000" w:rsidRDefault="00000000" w:rsidRPr="00000000" w14:paraId="000000F5">
      <w:pPr>
        <w:numPr>
          <w:ilvl w:val="0"/>
          <w:numId w:val="3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OECD MTC</w:t>
      </w:r>
      <w:r w:rsidDel="00000000" w:rsidR="00000000" w:rsidRPr="00000000">
        <w:rPr>
          <w:rFonts w:ascii="Times New Roman" w:cs="Times New Roman" w:eastAsia="Times New Roman" w:hAnsi="Times New Roman"/>
          <w:sz w:val="24"/>
          <w:szCs w:val="24"/>
          <w:rtl w:val="0"/>
        </w:rPr>
        <w:t xml:space="preserve">: The commentaries of the OECD MTC include positions for both members and non-members. These positions reflect the differing views and interpretations of various countries regarding specific provisions of the convention. This inclusion helps to clarify how different countries might apply the rules and offers insights into the negotiation process and potential areas of dispute.</w:t>
      </w:r>
    </w:p>
    <w:p w:rsidR="00000000" w:rsidDel="00000000" w:rsidP="00000000" w:rsidRDefault="00000000" w:rsidRPr="00000000" w14:paraId="000000F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D">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E">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F">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1">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2">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3">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4">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5">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6">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7">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8">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A">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B">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C">
      <w:pPr>
        <w:pStyle w:val="Heading1"/>
        <w:jc w:val="both"/>
        <w:rPr/>
      </w:pPr>
      <w:bookmarkStart w:colFirst="0" w:colLast="0" w:name="_heading=h.3dy6vkm" w:id="6"/>
      <w:bookmarkEnd w:id="6"/>
      <w:r w:rsidDel="00000000" w:rsidR="00000000" w:rsidRPr="00000000">
        <w:rPr>
          <w:rtl w:val="0"/>
        </w:rPr>
        <w:t xml:space="preserve">C.3. SPECIFIC STATES’ MODELS: THE US MTC; THE DUTCH MTC</w:t>
      </w:r>
    </w:p>
    <w:p w:rsidR="00000000" w:rsidDel="00000000" w:rsidP="00000000" w:rsidRDefault="00000000" w:rsidRPr="00000000" w14:paraId="0000010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United States Model Tax Convention (US MTC) and the Dutch Model Tax Convention (Dutch MTC) are frameworks guiding bilateral tax treaties involving the United States and the Netherlands, respectively. Both these models, while influenced by the OECD Model Tax Convention (OECD MTC), exhibit unique characteristics reflecting the fiscal policies and economic priorities of their respective countries. This discussion provides a detailed comparison of the format and structure of the US MTC and the Dutch MTC with the OECD MTC, highlighting the similarities and differences and examining the reasons behind these distinctions.</w:t>
      </w:r>
    </w:p>
    <w:p w:rsidR="00000000" w:rsidDel="00000000" w:rsidP="00000000" w:rsidRDefault="00000000" w:rsidRPr="00000000" w14:paraId="0000010E">
      <w:pPr>
        <w:pStyle w:val="Heading2"/>
        <w:numPr>
          <w:ilvl w:val="0"/>
          <w:numId w:val="30"/>
        </w:numPr>
        <w:ind w:left="360" w:hanging="360"/>
        <w:rPr>
          <w:rFonts w:ascii="Times New Roman" w:cs="Times New Roman" w:eastAsia="Times New Roman" w:hAnsi="Times New Roman"/>
          <w:sz w:val="27"/>
          <w:szCs w:val="27"/>
        </w:rPr>
      </w:pPr>
      <w:bookmarkStart w:colFirst="0" w:colLast="0" w:name="_heading=h.1t3h5sf" w:id="7"/>
      <w:bookmarkEnd w:id="7"/>
      <w:r w:rsidDel="00000000" w:rsidR="00000000" w:rsidRPr="00000000">
        <w:rPr>
          <w:rFonts w:ascii="Times New Roman" w:cs="Times New Roman" w:eastAsia="Times New Roman" w:hAnsi="Times New Roman"/>
          <w:sz w:val="27"/>
          <w:szCs w:val="27"/>
          <w:rtl w:val="0"/>
        </w:rPr>
        <w:t xml:space="preserve">The US Model Tax Convention (US MTC)</w:t>
      </w:r>
    </w:p>
    <w:p w:rsidR="00000000" w:rsidDel="00000000" w:rsidP="00000000" w:rsidRDefault="00000000" w:rsidRPr="00000000" w14:paraId="0000010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 MTC is designed to reflect the United States' fiscal policies and priorities in international taxation. It is characterized by provisions that aim to protect the US tax base and ensure reciprocal tax treatment for US and foreign taxpayers. The format and structure of the US MTC are similar to the OECD MTC but with notable differences.</w:t>
      </w:r>
    </w:p>
    <w:p w:rsidR="00000000" w:rsidDel="00000000" w:rsidP="00000000" w:rsidRDefault="00000000" w:rsidRPr="00000000" w14:paraId="00000110">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160" w:before="0" w:line="259" w:lineRule="auto"/>
        <w:ind w:left="720" w:right="0" w:hanging="72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Format and Structure</w:t>
      </w:r>
    </w:p>
    <w:p w:rsidR="00000000" w:rsidDel="00000000" w:rsidP="00000000" w:rsidRDefault="00000000" w:rsidRPr="00000000" w14:paraId="0000011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 MTC, like the OECD MTC, is organized into chapters and articles, each addressing specific areas of international taxation. Key sections include:</w:t>
      </w:r>
    </w:p>
    <w:p w:rsidR="00000000" w:rsidDel="00000000" w:rsidP="00000000" w:rsidRDefault="00000000" w:rsidRPr="00000000" w14:paraId="00000112">
      <w:pPr>
        <w:numPr>
          <w:ilvl w:val="0"/>
          <w:numId w:val="9"/>
        </w:numPr>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Scope and Definitions</w:t>
      </w:r>
      <w:r w:rsidDel="00000000" w:rsidR="00000000" w:rsidRPr="00000000">
        <w:rPr>
          <w:rFonts w:ascii="Times New Roman" w:cs="Times New Roman" w:eastAsia="Times New Roman" w:hAnsi="Times New Roman"/>
          <w:sz w:val="24"/>
          <w:szCs w:val="24"/>
          <w:rtl w:val="0"/>
        </w:rPr>
        <w:t xml:space="preserve">: This section includes articles defining terms such as "resident," "permanent establishment," and "income." The definitions are broadly consistent with the OECD MTC but with some US-specific adjustments.</w:t>
      </w:r>
      <w:r w:rsidDel="00000000" w:rsidR="00000000" w:rsidRPr="00000000">
        <w:rPr>
          <w:rtl w:val="0"/>
        </w:rPr>
      </w:r>
    </w:p>
    <w:p w:rsidR="00000000" w:rsidDel="00000000" w:rsidP="00000000" w:rsidRDefault="00000000" w:rsidRPr="00000000" w14:paraId="00000113">
      <w:pPr>
        <w:numPr>
          <w:ilvl w:val="0"/>
          <w:numId w:val="9"/>
        </w:numPr>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Allocation of Taxing Rights</w:t>
      </w:r>
      <w:r w:rsidDel="00000000" w:rsidR="00000000" w:rsidRPr="00000000">
        <w:rPr>
          <w:rFonts w:ascii="Times New Roman" w:cs="Times New Roman" w:eastAsia="Times New Roman" w:hAnsi="Times New Roman"/>
          <w:sz w:val="24"/>
          <w:szCs w:val="24"/>
          <w:rtl w:val="0"/>
        </w:rPr>
        <w:t xml:space="preserve">: Articles in this section delineate the allocation of taxing rights between the US and the treaty partner. This includes provisions on business profits, dividends, interest, royalties, and capital gains.</w:t>
      </w:r>
      <w:r w:rsidDel="00000000" w:rsidR="00000000" w:rsidRPr="00000000">
        <w:rPr>
          <w:rtl w:val="0"/>
        </w:rPr>
      </w:r>
    </w:p>
    <w:p w:rsidR="00000000" w:rsidDel="00000000" w:rsidP="00000000" w:rsidRDefault="00000000" w:rsidRPr="00000000" w14:paraId="00000114">
      <w:pPr>
        <w:numPr>
          <w:ilvl w:val="0"/>
          <w:numId w:val="9"/>
        </w:numPr>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Elimination of Double Taxation</w:t>
      </w:r>
      <w:r w:rsidDel="00000000" w:rsidR="00000000" w:rsidRPr="00000000">
        <w:rPr>
          <w:rFonts w:ascii="Times New Roman" w:cs="Times New Roman" w:eastAsia="Times New Roman" w:hAnsi="Times New Roman"/>
          <w:sz w:val="24"/>
          <w:szCs w:val="24"/>
          <w:rtl w:val="0"/>
        </w:rPr>
        <w:t xml:space="preserve">: The US MTC provides mechanisms for the elimination of double taxation, primarily through the foreign tax credit method, reflecting the US domestic tax law.</w:t>
      </w:r>
      <w:r w:rsidDel="00000000" w:rsidR="00000000" w:rsidRPr="00000000">
        <w:rPr>
          <w:rtl w:val="0"/>
        </w:rPr>
      </w:r>
    </w:p>
    <w:p w:rsidR="00000000" w:rsidDel="00000000" w:rsidP="00000000" w:rsidRDefault="00000000" w:rsidRPr="00000000" w14:paraId="00000115">
      <w:pPr>
        <w:numPr>
          <w:ilvl w:val="0"/>
          <w:numId w:val="9"/>
        </w:numPr>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Special Provisions</w:t>
      </w:r>
      <w:r w:rsidDel="00000000" w:rsidR="00000000" w:rsidRPr="00000000">
        <w:rPr>
          <w:rFonts w:ascii="Times New Roman" w:cs="Times New Roman" w:eastAsia="Times New Roman" w:hAnsi="Times New Roman"/>
          <w:sz w:val="24"/>
          <w:szCs w:val="24"/>
          <w:rtl w:val="0"/>
        </w:rPr>
        <w:t xml:space="preserve">: This section includes articles addressing issues such as anti-abuse rules, mutual agreement procedures, and exchange of information.</w:t>
      </w:r>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160" w:before="0" w:line="259" w:lineRule="auto"/>
        <w:ind w:left="720" w:right="0" w:hanging="72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Key Differences with the OECD MTC</w:t>
      </w:r>
    </w:p>
    <w:p w:rsidR="00000000" w:rsidDel="00000000" w:rsidP="00000000" w:rsidRDefault="00000000" w:rsidRPr="00000000" w14:paraId="00000117">
      <w:pPr>
        <w:numPr>
          <w:ilvl w:val="0"/>
          <w:numId w:val="8"/>
        </w:numPr>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Limitation on Benefits (LOB) Provision</w:t>
      </w:r>
      <w:r w:rsidDel="00000000" w:rsidR="00000000" w:rsidRPr="00000000">
        <w:rPr>
          <w:rFonts w:ascii="Times New Roman" w:cs="Times New Roman" w:eastAsia="Times New Roman" w:hAnsi="Times New Roman"/>
          <w:sz w:val="24"/>
          <w:szCs w:val="24"/>
          <w:rtl w:val="0"/>
        </w:rPr>
        <w:t xml:space="preserve">: One of the most distinctive features of the US MTC is the detailed LOB article, designed to prevent treaty shopping. This provision is more elaborate than the corresponding provisions in the OECD MTC, reflecting the US focus on protecting its tax base from abuse.</w:t>
      </w:r>
      <w:r w:rsidDel="00000000" w:rsidR="00000000" w:rsidRPr="00000000">
        <w:rPr>
          <w:rtl w:val="0"/>
        </w:rPr>
      </w:r>
    </w:p>
    <w:p w:rsidR="00000000" w:rsidDel="00000000" w:rsidP="00000000" w:rsidRDefault="00000000" w:rsidRPr="00000000" w14:paraId="00000118">
      <w:pPr>
        <w:numPr>
          <w:ilvl w:val="0"/>
          <w:numId w:val="8"/>
        </w:numPr>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Savings Clause</w:t>
      </w:r>
      <w:r w:rsidDel="00000000" w:rsidR="00000000" w:rsidRPr="00000000">
        <w:rPr>
          <w:rFonts w:ascii="Times New Roman" w:cs="Times New Roman" w:eastAsia="Times New Roman" w:hAnsi="Times New Roman"/>
          <w:sz w:val="24"/>
          <w:szCs w:val="24"/>
          <w:rtl w:val="0"/>
        </w:rPr>
        <w:t xml:space="preserve">: The US MTC includes a "savings clause," which preserves the right of the US to tax its citizens and residents as if the treaty had not come into effect, with certain exceptions. This clause is not present in the OECD MTC.</w:t>
      </w:r>
      <w:r w:rsidDel="00000000" w:rsidR="00000000" w:rsidRPr="00000000">
        <w:rPr>
          <w:rtl w:val="0"/>
        </w:rPr>
      </w:r>
    </w:p>
    <w:p w:rsidR="00000000" w:rsidDel="00000000" w:rsidP="00000000" w:rsidRDefault="00000000" w:rsidRPr="00000000" w14:paraId="00000119">
      <w:pPr>
        <w:numPr>
          <w:ilvl w:val="0"/>
          <w:numId w:val="8"/>
        </w:numPr>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Permanent Establishment (PE) Rules</w:t>
      </w:r>
      <w:r w:rsidDel="00000000" w:rsidR="00000000" w:rsidRPr="00000000">
        <w:rPr>
          <w:rFonts w:ascii="Times New Roman" w:cs="Times New Roman" w:eastAsia="Times New Roman" w:hAnsi="Times New Roman"/>
          <w:sz w:val="24"/>
          <w:szCs w:val="24"/>
          <w:rtl w:val="0"/>
        </w:rPr>
        <w:t xml:space="preserve">: While the PE definition in the US MTC is broadly similar to the OECD MTC, the US model includes additional provisions, such as the "service PE" rule, which extends the concept of PE to include services provided by employees or other personnel.</w:t>
      </w:r>
      <w:r w:rsidDel="00000000" w:rsidR="00000000" w:rsidRPr="00000000">
        <w:rPr>
          <w:rtl w:val="0"/>
        </w:rPr>
      </w:r>
    </w:p>
    <w:p w:rsidR="00000000" w:rsidDel="00000000" w:rsidP="00000000" w:rsidRDefault="00000000" w:rsidRPr="00000000" w14:paraId="0000011A">
      <w:pPr>
        <w:numPr>
          <w:ilvl w:val="0"/>
          <w:numId w:val="8"/>
        </w:numPr>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Treatment of Pensions and Social Security</w:t>
      </w:r>
      <w:r w:rsidDel="00000000" w:rsidR="00000000" w:rsidRPr="00000000">
        <w:rPr>
          <w:rFonts w:ascii="Times New Roman" w:cs="Times New Roman" w:eastAsia="Times New Roman" w:hAnsi="Times New Roman"/>
          <w:sz w:val="24"/>
          <w:szCs w:val="24"/>
          <w:rtl w:val="0"/>
        </w:rPr>
        <w:t xml:space="preserve">: The US MTC includes detailed provisions on the taxation of pensions and social security benefits, reflecting the importance of these income streams for US taxpayers abroad.</w:t>
      </w:r>
      <w:r w:rsidDel="00000000" w:rsidR="00000000" w:rsidRPr="00000000">
        <w:rPr>
          <w:rtl w:val="0"/>
        </w:rPr>
      </w:r>
    </w:p>
    <w:p w:rsidR="00000000" w:rsidDel="00000000" w:rsidP="00000000" w:rsidRDefault="00000000" w:rsidRPr="00000000" w14:paraId="0000011B">
      <w:pPr>
        <w:pStyle w:val="Heading2"/>
        <w:numPr>
          <w:ilvl w:val="0"/>
          <w:numId w:val="30"/>
        </w:numPr>
        <w:ind w:left="360" w:hanging="360"/>
        <w:rPr>
          <w:rFonts w:ascii="Times New Roman" w:cs="Times New Roman" w:eastAsia="Times New Roman" w:hAnsi="Times New Roman"/>
          <w:sz w:val="27"/>
          <w:szCs w:val="27"/>
        </w:rPr>
      </w:pPr>
      <w:bookmarkStart w:colFirst="0" w:colLast="0" w:name="_heading=h.4d34og8" w:id="8"/>
      <w:bookmarkEnd w:id="8"/>
      <w:r w:rsidDel="00000000" w:rsidR="00000000" w:rsidRPr="00000000">
        <w:rPr>
          <w:rFonts w:ascii="Times New Roman" w:cs="Times New Roman" w:eastAsia="Times New Roman" w:hAnsi="Times New Roman"/>
          <w:sz w:val="27"/>
          <w:szCs w:val="27"/>
          <w:rtl w:val="0"/>
        </w:rPr>
        <w:t xml:space="preserve">The Dutch Model Tax Convention (Dutch MTC)</w:t>
      </w:r>
    </w:p>
    <w:p w:rsidR="00000000" w:rsidDel="00000000" w:rsidP="00000000" w:rsidRDefault="00000000" w:rsidRPr="00000000" w14:paraId="0000011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Dutch MTC is tailored to the Netherlands' economic environment and tax policy objectives. It emphasizes promoting international trade and investment, given the Netherlands' position as a major global trading hub. The format and structure of the Dutch MTC align closely with the OECD MTC, with certain unique elements reflecting Dutch fiscal policies.</w:t>
      </w:r>
    </w:p>
    <w:p w:rsidR="00000000" w:rsidDel="00000000" w:rsidP="00000000" w:rsidRDefault="00000000" w:rsidRPr="00000000" w14:paraId="0000011D">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Format and Structure</w:t>
      </w:r>
    </w:p>
    <w:p w:rsidR="00000000" w:rsidDel="00000000" w:rsidP="00000000" w:rsidRDefault="00000000" w:rsidRPr="00000000" w14:paraId="0000011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Dutch MTC follows a format similar to the OECD MTC, with chapters and articles addressing key areas of international taxation:</w:t>
      </w:r>
    </w:p>
    <w:p w:rsidR="00000000" w:rsidDel="00000000" w:rsidP="00000000" w:rsidRDefault="00000000" w:rsidRPr="00000000" w14:paraId="0000011F">
      <w:pPr>
        <w:numPr>
          <w:ilvl w:val="0"/>
          <w:numId w:val="10"/>
        </w:numPr>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Scope and Definitions</w:t>
      </w:r>
      <w:r w:rsidDel="00000000" w:rsidR="00000000" w:rsidRPr="00000000">
        <w:rPr>
          <w:rFonts w:ascii="Times New Roman" w:cs="Times New Roman" w:eastAsia="Times New Roman" w:hAnsi="Times New Roman"/>
          <w:sz w:val="24"/>
          <w:szCs w:val="24"/>
          <w:rtl w:val="0"/>
        </w:rPr>
        <w:t xml:space="preserve">: This section includes definitions of key terms, aligning closely with the OECD MTC but with specific adjustments to reflect Dutch tax law.</w:t>
      </w:r>
      <w:r w:rsidDel="00000000" w:rsidR="00000000" w:rsidRPr="00000000">
        <w:rPr>
          <w:rtl w:val="0"/>
        </w:rPr>
      </w:r>
    </w:p>
    <w:p w:rsidR="00000000" w:rsidDel="00000000" w:rsidP="00000000" w:rsidRDefault="00000000" w:rsidRPr="00000000" w14:paraId="00000120">
      <w:pPr>
        <w:numPr>
          <w:ilvl w:val="0"/>
          <w:numId w:val="10"/>
        </w:numPr>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Allocation of Taxing Rights</w:t>
      </w:r>
      <w:r w:rsidDel="00000000" w:rsidR="00000000" w:rsidRPr="00000000">
        <w:rPr>
          <w:rFonts w:ascii="Times New Roman" w:cs="Times New Roman" w:eastAsia="Times New Roman" w:hAnsi="Times New Roman"/>
          <w:sz w:val="24"/>
          <w:szCs w:val="24"/>
          <w:rtl w:val="0"/>
        </w:rPr>
        <w:t xml:space="preserve">: Articles in this section cover the allocation of taxing rights over various types of income, including business profits, dividends, interest, royalties, and capital gains. The approach is similar to the OECD MTC, promoting clarity and consistency.</w:t>
      </w:r>
      <w:r w:rsidDel="00000000" w:rsidR="00000000" w:rsidRPr="00000000">
        <w:rPr>
          <w:rtl w:val="0"/>
        </w:rPr>
      </w:r>
    </w:p>
    <w:p w:rsidR="00000000" w:rsidDel="00000000" w:rsidP="00000000" w:rsidRDefault="00000000" w:rsidRPr="00000000" w14:paraId="00000121">
      <w:pPr>
        <w:numPr>
          <w:ilvl w:val="0"/>
          <w:numId w:val="10"/>
        </w:numPr>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Elimination of Double Taxation</w:t>
      </w:r>
      <w:r w:rsidDel="00000000" w:rsidR="00000000" w:rsidRPr="00000000">
        <w:rPr>
          <w:rFonts w:ascii="Times New Roman" w:cs="Times New Roman" w:eastAsia="Times New Roman" w:hAnsi="Times New Roman"/>
          <w:sz w:val="24"/>
          <w:szCs w:val="24"/>
          <w:rtl w:val="0"/>
        </w:rPr>
        <w:t xml:space="preserve">: The Dutch MTC provides for the elimination of double taxation primarily through the exemption method, with provisions for the credit method in certain cases. This reflects the Netherlands' commitment to minimizing double taxation for its residents.</w:t>
      </w:r>
      <w:r w:rsidDel="00000000" w:rsidR="00000000" w:rsidRPr="00000000">
        <w:rPr>
          <w:rtl w:val="0"/>
        </w:rPr>
      </w:r>
    </w:p>
    <w:p w:rsidR="00000000" w:rsidDel="00000000" w:rsidP="00000000" w:rsidRDefault="00000000" w:rsidRPr="00000000" w14:paraId="00000122">
      <w:pPr>
        <w:numPr>
          <w:ilvl w:val="0"/>
          <w:numId w:val="10"/>
        </w:numPr>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Special Provisions</w:t>
      </w:r>
      <w:r w:rsidDel="00000000" w:rsidR="00000000" w:rsidRPr="00000000">
        <w:rPr>
          <w:rFonts w:ascii="Times New Roman" w:cs="Times New Roman" w:eastAsia="Times New Roman" w:hAnsi="Times New Roman"/>
          <w:sz w:val="24"/>
          <w:szCs w:val="24"/>
          <w:rtl w:val="0"/>
        </w:rPr>
        <w:t xml:space="preserve">: This section includes articles on anti-abuse rules, mutual agreement procedures, and exchange of information, in line with OECD guidelines.</w:t>
      </w:r>
      <w:r w:rsidDel="00000000" w:rsidR="00000000" w:rsidRPr="00000000">
        <w:rPr>
          <w:rtl w:val="0"/>
        </w:rPr>
      </w:r>
    </w:p>
    <w:p w:rsidR="00000000" w:rsidDel="00000000" w:rsidP="00000000" w:rsidRDefault="00000000" w:rsidRPr="00000000" w14:paraId="00000123">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Key Differences with the OECD MTC</w:t>
      </w:r>
    </w:p>
    <w:p w:rsidR="00000000" w:rsidDel="00000000" w:rsidP="00000000" w:rsidRDefault="00000000" w:rsidRPr="00000000" w14:paraId="00000124">
      <w:pPr>
        <w:numPr>
          <w:ilvl w:val="0"/>
          <w:numId w:val="3"/>
        </w:numPr>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Participation Exemption</w:t>
      </w:r>
      <w:r w:rsidDel="00000000" w:rsidR="00000000" w:rsidRPr="00000000">
        <w:rPr>
          <w:rFonts w:ascii="Times New Roman" w:cs="Times New Roman" w:eastAsia="Times New Roman" w:hAnsi="Times New Roman"/>
          <w:sz w:val="24"/>
          <w:szCs w:val="24"/>
          <w:rtl w:val="0"/>
        </w:rPr>
        <w:t xml:space="preserve">: The Dutch MTC incorporates the Dutch participation exemption regime, which exempts certain types of income, such as dividends and capital gains from substantial shareholdings, from Dutch tax. This provision is unique to the Dutch tax system and is not found in the OECD MTC.</w:t>
      </w:r>
      <w:r w:rsidDel="00000000" w:rsidR="00000000" w:rsidRPr="00000000">
        <w:rPr>
          <w:rtl w:val="0"/>
        </w:rPr>
      </w:r>
    </w:p>
    <w:p w:rsidR="00000000" w:rsidDel="00000000" w:rsidP="00000000" w:rsidRDefault="00000000" w:rsidRPr="00000000" w14:paraId="00000125">
      <w:pPr>
        <w:numPr>
          <w:ilvl w:val="0"/>
          <w:numId w:val="3"/>
        </w:numPr>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Anti-Abuse Provisions</w:t>
      </w:r>
      <w:r w:rsidDel="00000000" w:rsidR="00000000" w:rsidRPr="00000000">
        <w:rPr>
          <w:rFonts w:ascii="Times New Roman" w:cs="Times New Roman" w:eastAsia="Times New Roman" w:hAnsi="Times New Roman"/>
          <w:sz w:val="24"/>
          <w:szCs w:val="24"/>
          <w:rtl w:val="0"/>
        </w:rPr>
        <w:t xml:space="preserve">: While the Dutch MTC includes anti-abuse rules similar to those in the OECD MTC, it also reflects specific Dutch anti-abuse measures, such as the principal purpose test (PPT) and other treaty shopping deterrents.</w:t>
      </w:r>
      <w:r w:rsidDel="00000000" w:rsidR="00000000" w:rsidRPr="00000000">
        <w:rPr>
          <w:rtl w:val="0"/>
        </w:rPr>
      </w:r>
    </w:p>
    <w:p w:rsidR="00000000" w:rsidDel="00000000" w:rsidP="00000000" w:rsidRDefault="00000000" w:rsidRPr="00000000" w14:paraId="00000126">
      <w:pPr>
        <w:numPr>
          <w:ilvl w:val="0"/>
          <w:numId w:val="3"/>
        </w:numPr>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Hybrid Mismatches</w:t>
      </w:r>
      <w:r w:rsidDel="00000000" w:rsidR="00000000" w:rsidRPr="00000000">
        <w:rPr>
          <w:rFonts w:ascii="Times New Roman" w:cs="Times New Roman" w:eastAsia="Times New Roman" w:hAnsi="Times New Roman"/>
          <w:sz w:val="24"/>
          <w:szCs w:val="24"/>
          <w:rtl w:val="0"/>
        </w:rPr>
        <w:t xml:space="preserve">: The Dutch MTC includes provisions addressing hybrid mismatches, reflecting the Netherlands' proactive stance on preventing tax base erosion and profit shifting. These provisions go beyond the OECD MTC's recommendations, demonstrating Dutch leadership in international tax reform.</w:t>
      </w:r>
      <w:r w:rsidDel="00000000" w:rsidR="00000000" w:rsidRPr="00000000">
        <w:rPr>
          <w:rtl w:val="0"/>
        </w:rPr>
      </w:r>
    </w:p>
    <w:p w:rsidR="00000000" w:rsidDel="00000000" w:rsidP="00000000" w:rsidRDefault="00000000" w:rsidRPr="00000000" w14:paraId="00000127">
      <w:pPr>
        <w:numPr>
          <w:ilvl w:val="0"/>
          <w:numId w:val="3"/>
        </w:numPr>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Mutual Agreement Procedure (MAP)</w:t>
      </w:r>
      <w:r w:rsidDel="00000000" w:rsidR="00000000" w:rsidRPr="00000000">
        <w:rPr>
          <w:rFonts w:ascii="Times New Roman" w:cs="Times New Roman" w:eastAsia="Times New Roman" w:hAnsi="Times New Roman"/>
          <w:sz w:val="24"/>
          <w:szCs w:val="24"/>
          <w:rtl w:val="0"/>
        </w:rPr>
        <w:t xml:space="preserve">: The Dutch MTC places a strong emphasis on MAP to resolve disputes arising from the interpretation or application of the treaty. This reflects the Netherlands' commitment to providing certainty and stability for taxpayers.</w:t>
      </w:r>
      <w:r w:rsidDel="00000000" w:rsidR="00000000" w:rsidRPr="00000000">
        <w:rPr>
          <w:rtl w:val="0"/>
        </w:rPr>
      </w:r>
    </w:p>
    <w:p w:rsidR="00000000" w:rsidDel="00000000" w:rsidP="00000000" w:rsidRDefault="00000000" w:rsidRPr="00000000" w14:paraId="00000128">
      <w:pPr>
        <w:pStyle w:val="Heading2"/>
        <w:numPr>
          <w:ilvl w:val="0"/>
          <w:numId w:val="30"/>
        </w:numPr>
        <w:ind w:left="360" w:hanging="360"/>
        <w:rPr>
          <w:rFonts w:ascii="Times New Roman" w:cs="Times New Roman" w:eastAsia="Times New Roman" w:hAnsi="Times New Roman"/>
          <w:sz w:val="27"/>
          <w:szCs w:val="27"/>
        </w:rPr>
      </w:pPr>
      <w:bookmarkStart w:colFirst="0" w:colLast="0" w:name="_heading=h.2s8eyo1" w:id="9"/>
      <w:bookmarkEnd w:id="9"/>
      <w:r w:rsidDel="00000000" w:rsidR="00000000" w:rsidRPr="00000000">
        <w:rPr>
          <w:rFonts w:ascii="Times New Roman" w:cs="Times New Roman" w:eastAsia="Times New Roman" w:hAnsi="Times New Roman"/>
          <w:sz w:val="27"/>
          <w:szCs w:val="27"/>
          <w:rtl w:val="0"/>
        </w:rPr>
        <w:t xml:space="preserve">Comparative Analysis</w:t>
      </w:r>
    </w:p>
    <w:p w:rsidR="00000000" w:rsidDel="00000000" w:rsidP="00000000" w:rsidRDefault="00000000" w:rsidRPr="00000000" w14:paraId="0000012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US MTC and the Dutch MTC share a common goal with the OECD MTC: to eliminate double taxation and prevent tax evasion. However, the specific provisions and emphases reflect the distinct fiscal policies and economic priorities of the United States and the Netherlands.</w:t>
      </w:r>
    </w:p>
    <w:p w:rsidR="00000000" w:rsidDel="00000000" w:rsidP="00000000" w:rsidRDefault="00000000" w:rsidRPr="00000000" w14:paraId="0000012A">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Similarities</w:t>
      </w:r>
    </w:p>
    <w:p w:rsidR="00000000" w:rsidDel="00000000" w:rsidP="00000000" w:rsidRDefault="00000000" w:rsidRPr="00000000" w14:paraId="0000012B">
      <w:pPr>
        <w:numPr>
          <w:ilvl w:val="0"/>
          <w:numId w:val="2"/>
        </w:numPr>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General Structure</w:t>
      </w:r>
      <w:r w:rsidDel="00000000" w:rsidR="00000000" w:rsidRPr="00000000">
        <w:rPr>
          <w:rFonts w:ascii="Times New Roman" w:cs="Times New Roman" w:eastAsia="Times New Roman" w:hAnsi="Times New Roman"/>
          <w:sz w:val="24"/>
          <w:szCs w:val="24"/>
          <w:rtl w:val="0"/>
        </w:rPr>
        <w:t xml:space="preserve">: All three models follow a similar structure, with chapters and articles addressing scope, definitions, allocation of taxing rights, elimination of double taxation, special provisions, and administrative provisions.</w:t>
      </w:r>
      <w:r w:rsidDel="00000000" w:rsidR="00000000" w:rsidRPr="00000000">
        <w:rPr>
          <w:rtl w:val="0"/>
        </w:rPr>
      </w:r>
    </w:p>
    <w:p w:rsidR="00000000" w:rsidDel="00000000" w:rsidP="00000000" w:rsidRDefault="00000000" w:rsidRPr="00000000" w14:paraId="0000012C">
      <w:pPr>
        <w:numPr>
          <w:ilvl w:val="0"/>
          <w:numId w:val="2"/>
        </w:numPr>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Allocation of Taxing Rights</w:t>
      </w:r>
      <w:r w:rsidDel="00000000" w:rsidR="00000000" w:rsidRPr="00000000">
        <w:rPr>
          <w:rFonts w:ascii="Times New Roman" w:cs="Times New Roman" w:eastAsia="Times New Roman" w:hAnsi="Times New Roman"/>
          <w:sz w:val="24"/>
          <w:szCs w:val="24"/>
          <w:rtl w:val="0"/>
        </w:rPr>
        <w:t xml:space="preserve">: The allocation of taxing rights over various types of income (business profits, dividends, interest, royalties, and capital gains) is broadly consistent across all three models, promoting clarity and reducing the risk of double taxation.</w:t>
      </w:r>
      <w:r w:rsidDel="00000000" w:rsidR="00000000" w:rsidRPr="00000000">
        <w:rPr>
          <w:rtl w:val="0"/>
        </w:rPr>
      </w:r>
    </w:p>
    <w:p w:rsidR="00000000" w:rsidDel="00000000" w:rsidP="00000000" w:rsidRDefault="00000000" w:rsidRPr="00000000" w14:paraId="0000012D">
      <w:pPr>
        <w:numPr>
          <w:ilvl w:val="0"/>
          <w:numId w:val="2"/>
        </w:numPr>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Anti-Abuse Measures</w:t>
      </w:r>
      <w:r w:rsidDel="00000000" w:rsidR="00000000" w:rsidRPr="00000000">
        <w:rPr>
          <w:rFonts w:ascii="Times New Roman" w:cs="Times New Roman" w:eastAsia="Times New Roman" w:hAnsi="Times New Roman"/>
          <w:sz w:val="24"/>
          <w:szCs w:val="24"/>
          <w:rtl w:val="0"/>
        </w:rPr>
        <w:t xml:space="preserve">: All three models include provisions to prevent treaty abuse, reflecting a common commitment to combating tax avoidance and ensuring the integrity of the tax treaty network.</w:t>
      </w:r>
      <w:r w:rsidDel="00000000" w:rsidR="00000000" w:rsidRPr="00000000">
        <w:rPr>
          <w:rtl w:val="0"/>
        </w:rPr>
      </w:r>
    </w:p>
    <w:p w:rsidR="00000000" w:rsidDel="00000000" w:rsidP="00000000" w:rsidRDefault="00000000" w:rsidRPr="00000000" w14:paraId="0000012E">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160" w:before="0" w:line="259" w:lineRule="auto"/>
        <w:ind w:left="3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Differences</w:t>
      </w:r>
    </w:p>
    <w:p w:rsidR="00000000" w:rsidDel="00000000" w:rsidP="00000000" w:rsidRDefault="00000000" w:rsidRPr="00000000" w14:paraId="0000012F">
      <w:pPr>
        <w:numPr>
          <w:ilvl w:val="0"/>
          <w:numId w:val="4"/>
        </w:numPr>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Specific Provisions</w:t>
      </w:r>
      <w:r w:rsidDel="00000000" w:rsidR="00000000" w:rsidRPr="00000000">
        <w:rPr>
          <w:rFonts w:ascii="Times New Roman" w:cs="Times New Roman" w:eastAsia="Times New Roman" w:hAnsi="Times New Roman"/>
          <w:sz w:val="24"/>
          <w:szCs w:val="24"/>
          <w:rtl w:val="0"/>
        </w:rPr>
        <w:t xml:space="preserve">: The US MTC includes unique provisions such as the LOB article and the savings clause, reflecting US priorities in protecting its tax base and ensuring reciprocal treatment. The Dutch MTC includes the participation exemption and detailed hybrid mismatch provisions, aligning with Dutch tax policy objectives.</w:t>
      </w:r>
      <w:r w:rsidDel="00000000" w:rsidR="00000000" w:rsidRPr="00000000">
        <w:rPr>
          <w:rtl w:val="0"/>
        </w:rPr>
      </w:r>
    </w:p>
    <w:p w:rsidR="00000000" w:rsidDel="00000000" w:rsidP="00000000" w:rsidRDefault="00000000" w:rsidRPr="00000000" w14:paraId="00000130">
      <w:pPr>
        <w:numPr>
          <w:ilvl w:val="0"/>
          <w:numId w:val="4"/>
        </w:numPr>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Methods of Elimination of Double Taxation</w:t>
      </w:r>
      <w:r w:rsidDel="00000000" w:rsidR="00000000" w:rsidRPr="00000000">
        <w:rPr>
          <w:rFonts w:ascii="Times New Roman" w:cs="Times New Roman" w:eastAsia="Times New Roman" w:hAnsi="Times New Roman"/>
          <w:sz w:val="24"/>
          <w:szCs w:val="24"/>
          <w:rtl w:val="0"/>
        </w:rPr>
        <w:t xml:space="preserve">: The US MTC primarily uses the foreign tax credit method, while the Dutch MTC emphasizes the exemption method. This reflects the different domestic tax systems and policy preferences of the United States and the Netherlands.</w:t>
      </w:r>
      <w:r w:rsidDel="00000000" w:rsidR="00000000" w:rsidRPr="00000000">
        <w:rPr>
          <w:rtl w:val="0"/>
        </w:rPr>
      </w:r>
    </w:p>
    <w:p w:rsidR="00000000" w:rsidDel="00000000" w:rsidP="00000000" w:rsidRDefault="00000000" w:rsidRPr="00000000" w14:paraId="00000131">
      <w:pPr>
        <w:numPr>
          <w:ilvl w:val="0"/>
          <w:numId w:val="4"/>
        </w:numPr>
        <w:ind w:left="720" w:hanging="360"/>
        <w:jc w:val="both"/>
        <w:rPr>
          <w:sz w:val="24"/>
          <w:szCs w:val="24"/>
        </w:rPr>
      </w:pPr>
      <w:r w:rsidDel="00000000" w:rsidR="00000000" w:rsidRPr="00000000">
        <w:rPr>
          <w:rFonts w:ascii="Times New Roman" w:cs="Times New Roman" w:eastAsia="Times New Roman" w:hAnsi="Times New Roman"/>
          <w:b w:val="1"/>
          <w:sz w:val="24"/>
          <w:szCs w:val="24"/>
          <w:rtl w:val="0"/>
        </w:rPr>
        <w:t xml:space="preserve">Focus on Economic Interests</w:t>
      </w:r>
      <w:r w:rsidDel="00000000" w:rsidR="00000000" w:rsidRPr="00000000">
        <w:rPr>
          <w:rFonts w:ascii="Times New Roman" w:cs="Times New Roman" w:eastAsia="Times New Roman" w:hAnsi="Times New Roman"/>
          <w:sz w:val="24"/>
          <w:szCs w:val="24"/>
          <w:rtl w:val="0"/>
        </w:rPr>
        <w:t xml:space="preserve">: The Dutch MTC includes provisions that promote international trade and investment, reflecting the Netherlands' status as a major global trading hub. The US MTC includes provisions that protect US economic interests, such as the detailed LOB article and the taxation of US citizens and residents abroad.</w:t>
      </w:r>
      <w:r w:rsidDel="00000000" w:rsidR="00000000" w:rsidRPr="00000000">
        <w:rPr>
          <w:rtl w:val="0"/>
        </w:rPr>
      </w:r>
    </w:p>
    <w:p w:rsidR="00000000" w:rsidDel="00000000" w:rsidP="00000000" w:rsidRDefault="00000000" w:rsidRPr="00000000" w14:paraId="00000132">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3">
      <w:pPr>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34">
      <w:pPr>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35">
      <w:pPr>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36">
      <w:pPr>
        <w:pStyle w:val="Heading1"/>
        <w:jc w:val="both"/>
        <w:rPr/>
      </w:pPr>
      <w:bookmarkStart w:colFirst="0" w:colLast="0" w:name="_heading=h.17dp8vu" w:id="10"/>
      <w:bookmarkEnd w:id="10"/>
      <w:r w:rsidDel="00000000" w:rsidR="00000000" w:rsidRPr="00000000">
        <w:rPr>
          <w:rtl w:val="0"/>
        </w:rPr>
        <w:t xml:space="preserve">C.4. THE MULTILATERAL CONVENTION TO IMPLEMENT TAX TREATY RELATED MEASURES TO PREVENT BEPS (MLI)</w:t>
      </w:r>
    </w:p>
    <w:p w:rsidR="00000000" w:rsidDel="00000000" w:rsidP="00000000" w:rsidRDefault="00000000" w:rsidRPr="00000000" w14:paraId="0000013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Multilateral Instrument (MLI) represents an important development in international tax law, serving as a tool to swiftly implement tax treaty-related measures developed under the OECD/G20 Base Erosion and Profit Shifting (BEPS) project. The primary goal of the MLI is to address tax avoidance strategies, improve tax transparency, and modernize existing bilateral tax treaties without requiring lengthy renegotiations. The MLI achieves this by allowing jurisdictions to adopt specific provisions aimed at neutralizing loopholes exploited for base erosion and profit shifting.</w:t>
      </w:r>
    </w:p>
    <w:p w:rsidR="00000000" w:rsidDel="00000000" w:rsidP="00000000" w:rsidRDefault="00000000" w:rsidRPr="00000000" w14:paraId="0000013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document provides a comprehensive analysis of the MLI’s structure and format, guiding users on how to utilize it effectively as an international taxation tool. The focus will be on explaining the provisions and their implications while emphasizing practical steps for tax practitioners and policymakers.</w:t>
      </w:r>
    </w:p>
    <w:p w:rsidR="00000000" w:rsidDel="00000000" w:rsidP="00000000" w:rsidRDefault="00000000" w:rsidRPr="00000000" w14:paraId="00000139">
      <w:pPr>
        <w:pStyle w:val="Heading2"/>
        <w:numPr>
          <w:ilvl w:val="0"/>
          <w:numId w:val="29"/>
        </w:numPr>
        <w:ind w:left="360" w:hanging="360"/>
        <w:rPr>
          <w:rFonts w:ascii="Times New Roman" w:cs="Times New Roman" w:eastAsia="Times New Roman" w:hAnsi="Times New Roman"/>
          <w:sz w:val="27"/>
          <w:szCs w:val="27"/>
        </w:rPr>
      </w:pPr>
      <w:bookmarkStart w:colFirst="0" w:colLast="0" w:name="_heading=h.3rdcrjn" w:id="11"/>
      <w:bookmarkEnd w:id="11"/>
      <w:r w:rsidDel="00000000" w:rsidR="00000000" w:rsidRPr="00000000">
        <w:rPr>
          <w:rFonts w:ascii="Times New Roman" w:cs="Times New Roman" w:eastAsia="Times New Roman" w:hAnsi="Times New Roman"/>
          <w:sz w:val="27"/>
          <w:szCs w:val="27"/>
          <w:rtl w:val="0"/>
        </w:rPr>
        <w:t xml:space="preserve">Structure and Format of the MLI </w:t>
      </w:r>
    </w:p>
    <w:p w:rsidR="00000000" w:rsidDel="00000000" w:rsidP="00000000" w:rsidRDefault="00000000" w:rsidRPr="00000000" w14:paraId="0000013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MLI is divided into seven parts, each addressing a distinct aspect of tax treaty modifications. Its structure ensures jurisdictions can adopt provisions that suit their specific tax systems and treaty networks, maintaining flexibility and adaptability. Below is a detailed breakdown of its components.</w:t>
      </w:r>
    </w:p>
    <w:p w:rsidR="00000000" w:rsidDel="00000000" w:rsidP="00000000" w:rsidRDefault="00000000" w:rsidRPr="00000000" w14:paraId="0000013B">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spacing w:after="160" w:before="0" w:line="259"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Part I - Scope and Interpretation of Terms</w:t>
      </w:r>
    </w:p>
    <w:p w:rsidR="00000000" w:rsidDel="00000000" w:rsidP="00000000" w:rsidRDefault="00000000" w:rsidRPr="00000000" w14:paraId="0000013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Articles 1-2</w:t>
      </w:r>
      <w:r w:rsidDel="00000000" w:rsidR="00000000" w:rsidRPr="00000000">
        <w:rPr>
          <w:rFonts w:ascii="Times New Roman" w:cs="Times New Roman" w:eastAsia="Times New Roman" w:hAnsi="Times New Roman"/>
          <w:sz w:val="24"/>
          <w:szCs w:val="24"/>
          <w:rtl w:val="0"/>
        </w:rPr>
        <w:t xml:space="preserve"> establish the scope of the MLI and define critical terms. Key highlights include:</w:t>
      </w:r>
    </w:p>
    <w:p w:rsidR="00000000" w:rsidDel="00000000" w:rsidP="00000000" w:rsidRDefault="00000000" w:rsidRPr="00000000" w14:paraId="0000013D">
      <w:pPr>
        <w:numPr>
          <w:ilvl w:val="0"/>
          <w:numId w:val="2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Covered Tax Agreement (CTA):</w:t>
      </w:r>
      <w:r w:rsidDel="00000000" w:rsidR="00000000" w:rsidRPr="00000000">
        <w:rPr>
          <w:rFonts w:ascii="Times New Roman" w:cs="Times New Roman" w:eastAsia="Times New Roman" w:hAnsi="Times New Roman"/>
          <w:sz w:val="24"/>
          <w:szCs w:val="24"/>
          <w:rtl w:val="0"/>
        </w:rPr>
        <w:t xml:space="preserve"> Refers to existing treaties that will be modified by the MLI.</w:t>
      </w:r>
    </w:p>
    <w:p w:rsidR="00000000" w:rsidDel="00000000" w:rsidP="00000000" w:rsidRDefault="00000000" w:rsidRPr="00000000" w14:paraId="0000013E">
      <w:pPr>
        <w:numPr>
          <w:ilvl w:val="0"/>
          <w:numId w:val="2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Parties and Signatories:</w:t>
      </w:r>
      <w:r w:rsidDel="00000000" w:rsidR="00000000" w:rsidRPr="00000000">
        <w:rPr>
          <w:rFonts w:ascii="Times New Roman" w:cs="Times New Roman" w:eastAsia="Times New Roman" w:hAnsi="Times New Roman"/>
          <w:sz w:val="24"/>
          <w:szCs w:val="24"/>
          <w:rtl w:val="0"/>
        </w:rPr>
        <w:t xml:space="preserve"> Distinguishes between jurisdictions that have signed the MLI and those where it is in force.</w:t>
      </w:r>
    </w:p>
    <w:p w:rsidR="00000000" w:rsidDel="00000000" w:rsidP="00000000" w:rsidRDefault="00000000" w:rsidRPr="00000000" w14:paraId="0000013F">
      <w:pPr>
        <w:numPr>
          <w:ilvl w:val="0"/>
          <w:numId w:val="21"/>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Interpretative Provisions:</w:t>
      </w:r>
      <w:r w:rsidDel="00000000" w:rsidR="00000000" w:rsidRPr="00000000">
        <w:rPr>
          <w:rFonts w:ascii="Times New Roman" w:cs="Times New Roman" w:eastAsia="Times New Roman" w:hAnsi="Times New Roman"/>
          <w:sz w:val="24"/>
          <w:szCs w:val="24"/>
          <w:rtl w:val="0"/>
        </w:rPr>
        <w:t xml:space="preserve"> Ensures that undefined terms in the MLI default to meanings in the relevant CTA.</w:t>
      </w:r>
    </w:p>
    <w:p w:rsidR="00000000" w:rsidDel="00000000" w:rsidP="00000000" w:rsidRDefault="00000000" w:rsidRPr="00000000" w14:paraId="0000014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establishes the foundation for how the MLI integrates with and modifies pre-existing treaties.</w:t>
      </w:r>
    </w:p>
    <w:p w:rsidR="00000000" w:rsidDel="00000000" w:rsidP="00000000" w:rsidRDefault="00000000" w:rsidRPr="00000000" w14:paraId="00000141">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spacing w:after="160" w:before="0" w:line="259"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Part II - Hybrid Mismatches</w:t>
      </w:r>
    </w:p>
    <w:p w:rsidR="00000000" w:rsidDel="00000000" w:rsidP="00000000" w:rsidRDefault="00000000" w:rsidRPr="00000000" w14:paraId="0000014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Articles 3-5</w:t>
      </w:r>
      <w:r w:rsidDel="00000000" w:rsidR="00000000" w:rsidRPr="00000000">
        <w:rPr>
          <w:rFonts w:ascii="Times New Roman" w:cs="Times New Roman" w:eastAsia="Times New Roman" w:hAnsi="Times New Roman"/>
          <w:sz w:val="24"/>
          <w:szCs w:val="24"/>
          <w:rtl w:val="0"/>
        </w:rPr>
        <w:t xml:space="preserve"> target hybrid mismatch arrangements that exploit tax differences between jurisdictions. The focus here is on preventing tax advantages arising from differences in the characterization of entities or instruments.</w:t>
      </w:r>
    </w:p>
    <w:p w:rsidR="00000000" w:rsidDel="00000000" w:rsidP="00000000" w:rsidRDefault="00000000" w:rsidRPr="00000000" w14:paraId="00000143">
      <w:pPr>
        <w:numPr>
          <w:ilvl w:val="0"/>
          <w:numId w:val="2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Article 3 - Transparent Entities:</w:t>
      </w:r>
      <w:r w:rsidDel="00000000" w:rsidR="00000000" w:rsidRPr="00000000">
        <w:rPr>
          <w:rFonts w:ascii="Times New Roman" w:cs="Times New Roman" w:eastAsia="Times New Roman" w:hAnsi="Times New Roman"/>
          <w:sz w:val="24"/>
          <w:szCs w:val="24"/>
          <w:rtl w:val="0"/>
        </w:rPr>
        <w:t xml:space="preserve"> Ensures that income derived through fiscally transparent entities is taxed based on jurisdictional rules.</w:t>
      </w:r>
    </w:p>
    <w:p w:rsidR="00000000" w:rsidDel="00000000" w:rsidP="00000000" w:rsidRDefault="00000000" w:rsidRPr="00000000" w14:paraId="00000144">
      <w:pPr>
        <w:numPr>
          <w:ilvl w:val="0"/>
          <w:numId w:val="2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Article 4 - Dual Resident Entities:</w:t>
      </w:r>
      <w:r w:rsidDel="00000000" w:rsidR="00000000" w:rsidRPr="00000000">
        <w:rPr>
          <w:rFonts w:ascii="Times New Roman" w:cs="Times New Roman" w:eastAsia="Times New Roman" w:hAnsi="Times New Roman"/>
          <w:sz w:val="24"/>
          <w:szCs w:val="24"/>
          <w:rtl w:val="0"/>
        </w:rPr>
        <w:t xml:space="preserve"> Addresses conflicts in residency by requiring mutual agreement procedures (MAP) to determine the residence for treaty purposes.</w:t>
      </w:r>
    </w:p>
    <w:p w:rsidR="00000000" w:rsidDel="00000000" w:rsidP="00000000" w:rsidRDefault="00000000" w:rsidRPr="00000000" w14:paraId="00000145">
      <w:pPr>
        <w:numPr>
          <w:ilvl w:val="0"/>
          <w:numId w:val="23"/>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Article 5 - Elimination of Double Taxation:</w:t>
      </w:r>
      <w:r w:rsidDel="00000000" w:rsidR="00000000" w:rsidRPr="00000000">
        <w:rPr>
          <w:rFonts w:ascii="Times New Roman" w:cs="Times New Roman" w:eastAsia="Times New Roman" w:hAnsi="Times New Roman"/>
          <w:sz w:val="24"/>
          <w:szCs w:val="24"/>
          <w:rtl w:val="0"/>
        </w:rPr>
        <w:t xml:space="preserve"> Provides three options (A, B, and C) for relieving double taxation. Jurisdictions can adopt their preferred method for eliminating double taxation while avoiding the creation of double non-taxation scenarios.</w:t>
      </w:r>
    </w:p>
    <w:p w:rsidR="00000000" w:rsidDel="00000000" w:rsidP="00000000" w:rsidRDefault="00000000" w:rsidRPr="00000000" w14:paraId="0000014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part aims to prevent tax base erosion caused by mismatches in treatment across jurisdictions.</w:t>
      </w:r>
    </w:p>
    <w:p w:rsidR="00000000" w:rsidDel="00000000" w:rsidP="00000000" w:rsidRDefault="00000000" w:rsidRPr="00000000" w14:paraId="00000147">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spacing w:after="160" w:before="0" w:line="259"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Part III - Treaty Abuse</w:t>
      </w:r>
    </w:p>
    <w:p w:rsidR="00000000" w:rsidDel="00000000" w:rsidP="00000000" w:rsidRDefault="00000000" w:rsidRPr="00000000" w14:paraId="0000014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Articles 6-11</w:t>
      </w:r>
      <w:r w:rsidDel="00000000" w:rsidR="00000000" w:rsidRPr="00000000">
        <w:rPr>
          <w:rFonts w:ascii="Times New Roman" w:cs="Times New Roman" w:eastAsia="Times New Roman" w:hAnsi="Times New Roman"/>
          <w:sz w:val="24"/>
          <w:szCs w:val="24"/>
          <w:rtl w:val="0"/>
        </w:rPr>
        <w:t xml:space="preserve"> combat treaty abuse and artificial arrangements designed to exploit tax treaties. These provisions include:</w:t>
      </w:r>
    </w:p>
    <w:p w:rsidR="00000000" w:rsidDel="00000000" w:rsidP="00000000" w:rsidRDefault="00000000" w:rsidRPr="00000000" w14:paraId="00000149">
      <w:pPr>
        <w:numPr>
          <w:ilvl w:val="0"/>
          <w:numId w:val="2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Article 6 - Preamble Modification:</w:t>
      </w:r>
      <w:r w:rsidDel="00000000" w:rsidR="00000000" w:rsidRPr="00000000">
        <w:rPr>
          <w:rFonts w:ascii="Times New Roman" w:cs="Times New Roman" w:eastAsia="Times New Roman" w:hAnsi="Times New Roman"/>
          <w:sz w:val="24"/>
          <w:szCs w:val="24"/>
          <w:rtl w:val="0"/>
        </w:rPr>
        <w:t xml:space="preserve"> Updates treaty preambles to emphasize the intent to prevent tax evasion and avoidance.</w:t>
      </w:r>
    </w:p>
    <w:p w:rsidR="00000000" w:rsidDel="00000000" w:rsidP="00000000" w:rsidRDefault="00000000" w:rsidRPr="00000000" w14:paraId="0000014A">
      <w:pPr>
        <w:numPr>
          <w:ilvl w:val="0"/>
          <w:numId w:val="2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Article 7 - Principal Purpose Test (PPT):</w:t>
      </w:r>
      <w:r w:rsidDel="00000000" w:rsidR="00000000" w:rsidRPr="00000000">
        <w:rPr>
          <w:rFonts w:ascii="Times New Roman" w:cs="Times New Roman" w:eastAsia="Times New Roman" w:hAnsi="Times New Roman"/>
          <w:sz w:val="24"/>
          <w:szCs w:val="24"/>
          <w:rtl w:val="0"/>
        </w:rPr>
        <w:t xml:space="preserve"> Introduces a broad anti-abuse rule denying treaty benefits when a principal purpose of a transaction is to obtain such benefits.</w:t>
      </w:r>
    </w:p>
    <w:p w:rsidR="00000000" w:rsidDel="00000000" w:rsidP="00000000" w:rsidRDefault="00000000" w:rsidRPr="00000000" w14:paraId="0000014B">
      <w:pPr>
        <w:numPr>
          <w:ilvl w:val="0"/>
          <w:numId w:val="2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Articles 8-9 - Dividend and Capital Gains Rules:</w:t>
      </w:r>
      <w:r w:rsidDel="00000000" w:rsidR="00000000" w:rsidRPr="00000000">
        <w:rPr>
          <w:rFonts w:ascii="Times New Roman" w:cs="Times New Roman" w:eastAsia="Times New Roman" w:hAnsi="Times New Roman"/>
          <w:sz w:val="24"/>
          <w:szCs w:val="24"/>
          <w:rtl w:val="0"/>
        </w:rPr>
        <w:t xml:space="preserve"> Prevent abuse through dividend transfers and gains from the alienation of immovable property.</w:t>
      </w:r>
    </w:p>
    <w:p w:rsidR="00000000" w:rsidDel="00000000" w:rsidP="00000000" w:rsidRDefault="00000000" w:rsidRPr="00000000" w14:paraId="0000014C">
      <w:pPr>
        <w:numPr>
          <w:ilvl w:val="0"/>
          <w:numId w:val="24"/>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Article 10 - Anti-abuse Rule for Permanent Establishments (PEs):</w:t>
      </w:r>
      <w:r w:rsidDel="00000000" w:rsidR="00000000" w:rsidRPr="00000000">
        <w:rPr>
          <w:rFonts w:ascii="Times New Roman" w:cs="Times New Roman" w:eastAsia="Times New Roman" w:hAnsi="Times New Roman"/>
          <w:sz w:val="24"/>
          <w:szCs w:val="24"/>
          <w:rtl w:val="0"/>
        </w:rPr>
        <w:t xml:space="preserve"> Targets arrangements that artificially avoid creating PEs in third jurisdictions.</w:t>
      </w:r>
    </w:p>
    <w:p w:rsidR="00000000" w:rsidDel="00000000" w:rsidP="00000000" w:rsidRDefault="00000000" w:rsidRPr="00000000" w14:paraId="0000014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rules provide strong anti-abuse safeguards, aligning treaty practices with BEPS recommendations.</w:t>
      </w:r>
    </w:p>
    <w:p w:rsidR="00000000" w:rsidDel="00000000" w:rsidP="00000000" w:rsidRDefault="00000000" w:rsidRPr="00000000" w14:paraId="0000014E">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spacing w:after="160" w:before="0" w:line="259"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Part IV - Avoidance of Permanent Establishment Status</w:t>
      </w:r>
    </w:p>
    <w:p w:rsidR="00000000" w:rsidDel="00000000" w:rsidP="00000000" w:rsidRDefault="00000000" w:rsidRPr="00000000" w14:paraId="0000014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Articles 12-15</w:t>
      </w:r>
      <w:r w:rsidDel="00000000" w:rsidR="00000000" w:rsidRPr="00000000">
        <w:rPr>
          <w:rFonts w:ascii="Times New Roman" w:cs="Times New Roman" w:eastAsia="Times New Roman" w:hAnsi="Times New Roman"/>
          <w:sz w:val="24"/>
          <w:szCs w:val="24"/>
          <w:rtl w:val="0"/>
        </w:rPr>
        <w:t xml:space="preserve"> address schemes used to artificially avoid PE status, ensuring appropriate taxation rights.</w:t>
      </w:r>
    </w:p>
    <w:p w:rsidR="00000000" w:rsidDel="00000000" w:rsidP="00000000" w:rsidRDefault="00000000" w:rsidRPr="00000000" w14:paraId="00000150">
      <w:pPr>
        <w:numPr>
          <w:ilvl w:val="0"/>
          <w:numId w:val="2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Article 12 - Commissionaire Arrangements:</w:t>
      </w:r>
      <w:r w:rsidDel="00000000" w:rsidR="00000000" w:rsidRPr="00000000">
        <w:rPr>
          <w:rFonts w:ascii="Times New Roman" w:cs="Times New Roman" w:eastAsia="Times New Roman" w:hAnsi="Times New Roman"/>
          <w:sz w:val="24"/>
          <w:szCs w:val="24"/>
          <w:rtl w:val="0"/>
        </w:rPr>
        <w:t xml:space="preserve"> Modifies PE definitions to include situations where agents habitually conclude contracts.</w:t>
      </w:r>
    </w:p>
    <w:p w:rsidR="00000000" w:rsidDel="00000000" w:rsidP="00000000" w:rsidRDefault="00000000" w:rsidRPr="00000000" w14:paraId="00000151">
      <w:pPr>
        <w:numPr>
          <w:ilvl w:val="0"/>
          <w:numId w:val="2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Article 13 - Specific Activity Exemptions:</w:t>
      </w:r>
      <w:r w:rsidDel="00000000" w:rsidR="00000000" w:rsidRPr="00000000">
        <w:rPr>
          <w:rFonts w:ascii="Times New Roman" w:cs="Times New Roman" w:eastAsia="Times New Roman" w:hAnsi="Times New Roman"/>
          <w:sz w:val="24"/>
          <w:szCs w:val="24"/>
          <w:rtl w:val="0"/>
        </w:rPr>
        <w:t xml:space="preserve"> Narrows exemptions for activities deemed "preparatory or auxiliary" to prevent misuse.</w:t>
      </w:r>
    </w:p>
    <w:p w:rsidR="00000000" w:rsidDel="00000000" w:rsidP="00000000" w:rsidRDefault="00000000" w:rsidRPr="00000000" w14:paraId="00000152">
      <w:pPr>
        <w:numPr>
          <w:ilvl w:val="0"/>
          <w:numId w:val="2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Article 14 - Splitting-up of Contracts:</w:t>
      </w:r>
      <w:r w:rsidDel="00000000" w:rsidR="00000000" w:rsidRPr="00000000">
        <w:rPr>
          <w:rFonts w:ascii="Times New Roman" w:cs="Times New Roman" w:eastAsia="Times New Roman" w:hAnsi="Times New Roman"/>
          <w:sz w:val="24"/>
          <w:szCs w:val="24"/>
          <w:rtl w:val="0"/>
        </w:rPr>
        <w:t xml:space="preserve"> Combats strategies where contracts are split to avoid PE thresholds.</w:t>
      </w:r>
    </w:p>
    <w:p w:rsidR="00000000" w:rsidDel="00000000" w:rsidP="00000000" w:rsidRDefault="00000000" w:rsidRPr="00000000" w14:paraId="00000153">
      <w:pPr>
        <w:numPr>
          <w:ilvl w:val="0"/>
          <w:numId w:val="25"/>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Article 15 - Closely Related Persons:</w:t>
      </w:r>
      <w:r w:rsidDel="00000000" w:rsidR="00000000" w:rsidRPr="00000000">
        <w:rPr>
          <w:rFonts w:ascii="Times New Roman" w:cs="Times New Roman" w:eastAsia="Times New Roman" w:hAnsi="Times New Roman"/>
          <w:sz w:val="24"/>
          <w:szCs w:val="24"/>
          <w:rtl w:val="0"/>
        </w:rPr>
        <w:t xml:space="preserve"> Defines relationships between entities to prevent abuse of PE exemptions.</w:t>
      </w:r>
    </w:p>
    <w:p w:rsidR="00000000" w:rsidDel="00000000" w:rsidP="00000000" w:rsidRDefault="00000000" w:rsidRPr="00000000" w14:paraId="0000015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section modernizes the concept of PE to close loopholes and align with modern business practices.</w:t>
      </w:r>
    </w:p>
    <w:p w:rsidR="00000000" w:rsidDel="00000000" w:rsidP="00000000" w:rsidRDefault="00000000" w:rsidRPr="00000000" w14:paraId="00000155">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spacing w:after="160" w:before="0" w:line="259"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Part V - Improving Dispute Resolution</w:t>
      </w:r>
    </w:p>
    <w:p w:rsidR="00000000" w:rsidDel="00000000" w:rsidP="00000000" w:rsidRDefault="00000000" w:rsidRPr="00000000" w14:paraId="0000015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Articles 16-17</w:t>
      </w:r>
      <w:r w:rsidDel="00000000" w:rsidR="00000000" w:rsidRPr="00000000">
        <w:rPr>
          <w:rFonts w:ascii="Times New Roman" w:cs="Times New Roman" w:eastAsia="Times New Roman" w:hAnsi="Times New Roman"/>
          <w:sz w:val="24"/>
          <w:szCs w:val="24"/>
          <w:rtl w:val="0"/>
        </w:rPr>
        <w:t xml:space="preserve"> enhance mechanisms for resolving disputes arising from tax treaty interpretation and application.</w:t>
      </w:r>
    </w:p>
    <w:p w:rsidR="00000000" w:rsidDel="00000000" w:rsidP="00000000" w:rsidRDefault="00000000" w:rsidRPr="00000000" w14:paraId="00000157">
      <w:pPr>
        <w:numPr>
          <w:ilvl w:val="0"/>
          <w:numId w:val="2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Article 16 - Mutual Agreement Procedure (MAP):</w:t>
      </w:r>
      <w:r w:rsidDel="00000000" w:rsidR="00000000" w:rsidRPr="00000000">
        <w:rPr>
          <w:rFonts w:ascii="Times New Roman" w:cs="Times New Roman" w:eastAsia="Times New Roman" w:hAnsi="Times New Roman"/>
          <w:sz w:val="24"/>
          <w:szCs w:val="24"/>
          <w:rtl w:val="0"/>
        </w:rPr>
        <w:t xml:space="preserve"> Allows taxpayers to resolve disputes through competent authorities of jurisdictions, overriding domestic remedies.</w:t>
      </w:r>
    </w:p>
    <w:p w:rsidR="00000000" w:rsidDel="00000000" w:rsidP="00000000" w:rsidRDefault="00000000" w:rsidRPr="00000000" w14:paraId="00000158">
      <w:pPr>
        <w:numPr>
          <w:ilvl w:val="0"/>
          <w:numId w:val="26"/>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Article 17 - Corresponding Adjustments:</w:t>
      </w:r>
      <w:r w:rsidDel="00000000" w:rsidR="00000000" w:rsidRPr="00000000">
        <w:rPr>
          <w:rFonts w:ascii="Times New Roman" w:cs="Times New Roman" w:eastAsia="Times New Roman" w:hAnsi="Times New Roman"/>
          <w:sz w:val="24"/>
          <w:szCs w:val="24"/>
          <w:rtl w:val="0"/>
        </w:rPr>
        <w:t xml:space="preserve"> Facilitates cross-border adjustments for transfer pricing discrepancies.</w:t>
      </w:r>
    </w:p>
    <w:p w:rsidR="00000000" w:rsidDel="00000000" w:rsidP="00000000" w:rsidRDefault="00000000" w:rsidRPr="00000000" w14:paraId="0000015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articles strengthen dispute resolution frameworks, promoting consistency and fairness in treaty application.</w:t>
      </w:r>
    </w:p>
    <w:p w:rsidR="00000000" w:rsidDel="00000000" w:rsidP="00000000" w:rsidRDefault="00000000" w:rsidRPr="00000000" w14:paraId="0000015A">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spacing w:after="160" w:before="0" w:line="259"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Part VI - Arbitration</w:t>
      </w:r>
    </w:p>
    <w:p w:rsidR="00000000" w:rsidDel="00000000" w:rsidP="00000000" w:rsidRDefault="00000000" w:rsidRPr="00000000" w14:paraId="0000015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Articles 18-26</w:t>
      </w:r>
      <w:r w:rsidDel="00000000" w:rsidR="00000000" w:rsidRPr="00000000">
        <w:rPr>
          <w:rFonts w:ascii="Times New Roman" w:cs="Times New Roman" w:eastAsia="Times New Roman" w:hAnsi="Times New Roman"/>
          <w:sz w:val="24"/>
          <w:szCs w:val="24"/>
          <w:rtl w:val="0"/>
        </w:rPr>
        <w:t xml:space="preserve"> introduce binding arbitration as a mechanism to resolve disputes that cannot be settled through MAP.</w:t>
      </w:r>
    </w:p>
    <w:p w:rsidR="00000000" w:rsidDel="00000000" w:rsidP="00000000" w:rsidRDefault="00000000" w:rsidRPr="00000000" w14:paraId="0000015C">
      <w:pPr>
        <w:numPr>
          <w:ilvl w:val="0"/>
          <w:numId w:val="27"/>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Article 19 - Mandatory Binding Arbitration:</w:t>
      </w:r>
      <w:r w:rsidDel="00000000" w:rsidR="00000000" w:rsidRPr="00000000">
        <w:rPr>
          <w:rFonts w:ascii="Times New Roman" w:cs="Times New Roman" w:eastAsia="Times New Roman" w:hAnsi="Times New Roman"/>
          <w:sz w:val="24"/>
          <w:szCs w:val="24"/>
          <w:rtl w:val="0"/>
        </w:rPr>
        <w:t xml:space="preserve"> Ensures unresolved cases are settled through arbitration, offering certainty and timeliness.</w:t>
      </w:r>
    </w:p>
    <w:p w:rsidR="00000000" w:rsidDel="00000000" w:rsidP="00000000" w:rsidRDefault="00000000" w:rsidRPr="00000000" w14:paraId="0000015D">
      <w:pPr>
        <w:numPr>
          <w:ilvl w:val="0"/>
          <w:numId w:val="27"/>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Article 20 - Appointment of Arbitrators:</w:t>
      </w:r>
      <w:r w:rsidDel="00000000" w:rsidR="00000000" w:rsidRPr="00000000">
        <w:rPr>
          <w:rFonts w:ascii="Times New Roman" w:cs="Times New Roman" w:eastAsia="Times New Roman" w:hAnsi="Times New Roman"/>
          <w:sz w:val="24"/>
          <w:szCs w:val="24"/>
          <w:rtl w:val="0"/>
        </w:rPr>
        <w:t xml:space="preserve"> Establishes rules for appointing impartial arbitrators.</w:t>
      </w:r>
    </w:p>
    <w:p w:rsidR="00000000" w:rsidDel="00000000" w:rsidP="00000000" w:rsidRDefault="00000000" w:rsidRPr="00000000" w14:paraId="0000015E">
      <w:pPr>
        <w:numPr>
          <w:ilvl w:val="0"/>
          <w:numId w:val="27"/>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Article 21 - Confidentiality Rules:</w:t>
      </w:r>
      <w:r w:rsidDel="00000000" w:rsidR="00000000" w:rsidRPr="00000000">
        <w:rPr>
          <w:rFonts w:ascii="Times New Roman" w:cs="Times New Roman" w:eastAsia="Times New Roman" w:hAnsi="Times New Roman"/>
          <w:sz w:val="24"/>
          <w:szCs w:val="24"/>
          <w:rtl w:val="0"/>
        </w:rPr>
        <w:t xml:space="preserve"> Safeguards sensitive information disclosed during arbitration.</w:t>
      </w:r>
    </w:p>
    <w:p w:rsidR="00000000" w:rsidDel="00000000" w:rsidP="00000000" w:rsidRDefault="00000000" w:rsidRPr="00000000" w14:paraId="0000015F">
      <w:pPr>
        <w:numPr>
          <w:ilvl w:val="0"/>
          <w:numId w:val="27"/>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Article 25 - Cost Sharing:</w:t>
      </w:r>
      <w:r w:rsidDel="00000000" w:rsidR="00000000" w:rsidRPr="00000000">
        <w:rPr>
          <w:rFonts w:ascii="Times New Roman" w:cs="Times New Roman" w:eastAsia="Times New Roman" w:hAnsi="Times New Roman"/>
          <w:sz w:val="24"/>
          <w:szCs w:val="24"/>
          <w:rtl w:val="0"/>
        </w:rPr>
        <w:t xml:space="preserve"> Details cost-sharing arrangements between jurisdictions.</w:t>
      </w:r>
    </w:p>
    <w:p w:rsidR="00000000" w:rsidDel="00000000" w:rsidP="00000000" w:rsidRDefault="00000000" w:rsidRPr="00000000" w14:paraId="0000016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part addresses the shortcomings of traditional MAPs by offering an effective alternative to prolonged disputes.</w:t>
      </w:r>
    </w:p>
    <w:p w:rsidR="00000000" w:rsidDel="00000000" w:rsidP="00000000" w:rsidRDefault="00000000" w:rsidRPr="00000000" w14:paraId="00000161">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spacing w:after="160" w:before="0" w:line="259"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Part VII - Final Provisions</w:t>
      </w:r>
    </w:p>
    <w:p w:rsidR="00000000" w:rsidDel="00000000" w:rsidP="00000000" w:rsidRDefault="00000000" w:rsidRPr="00000000" w14:paraId="0000016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Articles 27-39</w:t>
      </w:r>
      <w:r w:rsidDel="00000000" w:rsidR="00000000" w:rsidRPr="00000000">
        <w:rPr>
          <w:rFonts w:ascii="Times New Roman" w:cs="Times New Roman" w:eastAsia="Times New Roman" w:hAnsi="Times New Roman"/>
          <w:sz w:val="24"/>
          <w:szCs w:val="24"/>
          <w:rtl w:val="0"/>
        </w:rPr>
        <w:t xml:space="preserve"> cover administrative provisions, including:</w:t>
      </w:r>
    </w:p>
    <w:p w:rsidR="00000000" w:rsidDel="00000000" w:rsidP="00000000" w:rsidRDefault="00000000" w:rsidRPr="00000000" w14:paraId="00000163">
      <w:pPr>
        <w:numPr>
          <w:ilvl w:val="0"/>
          <w:numId w:val="28"/>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Signature and Ratification (Article 27):</w:t>
      </w:r>
      <w:r w:rsidDel="00000000" w:rsidR="00000000" w:rsidRPr="00000000">
        <w:rPr>
          <w:rFonts w:ascii="Times New Roman" w:cs="Times New Roman" w:eastAsia="Times New Roman" w:hAnsi="Times New Roman"/>
          <w:sz w:val="24"/>
          <w:szCs w:val="24"/>
          <w:rtl w:val="0"/>
        </w:rPr>
        <w:t xml:space="preserve"> Establishes procedures for becoming a signatory.</w:t>
      </w:r>
    </w:p>
    <w:p w:rsidR="00000000" w:rsidDel="00000000" w:rsidP="00000000" w:rsidRDefault="00000000" w:rsidRPr="00000000" w14:paraId="00000164">
      <w:pPr>
        <w:numPr>
          <w:ilvl w:val="0"/>
          <w:numId w:val="28"/>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Reservations (Article 28):</w:t>
      </w:r>
      <w:r w:rsidDel="00000000" w:rsidR="00000000" w:rsidRPr="00000000">
        <w:rPr>
          <w:rFonts w:ascii="Times New Roman" w:cs="Times New Roman" w:eastAsia="Times New Roman" w:hAnsi="Times New Roman"/>
          <w:sz w:val="24"/>
          <w:szCs w:val="24"/>
          <w:rtl w:val="0"/>
        </w:rPr>
        <w:t xml:space="preserve"> Allows jurisdictions to opt out of certain provisions.</w:t>
      </w:r>
    </w:p>
    <w:p w:rsidR="00000000" w:rsidDel="00000000" w:rsidP="00000000" w:rsidRDefault="00000000" w:rsidRPr="00000000" w14:paraId="00000165">
      <w:pPr>
        <w:numPr>
          <w:ilvl w:val="0"/>
          <w:numId w:val="28"/>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Notifications (Article 29):</w:t>
      </w:r>
      <w:r w:rsidDel="00000000" w:rsidR="00000000" w:rsidRPr="00000000">
        <w:rPr>
          <w:rFonts w:ascii="Times New Roman" w:cs="Times New Roman" w:eastAsia="Times New Roman" w:hAnsi="Times New Roman"/>
          <w:sz w:val="24"/>
          <w:szCs w:val="24"/>
          <w:rtl w:val="0"/>
        </w:rPr>
        <w:t xml:space="preserve"> Provides a mechanism to update agreements.</w:t>
      </w:r>
    </w:p>
    <w:p w:rsidR="00000000" w:rsidDel="00000000" w:rsidP="00000000" w:rsidRDefault="00000000" w:rsidRPr="00000000" w14:paraId="00000166">
      <w:pPr>
        <w:numPr>
          <w:ilvl w:val="0"/>
          <w:numId w:val="28"/>
        </w:numPr>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Withdrawal (Article 37):</w:t>
      </w:r>
      <w:r w:rsidDel="00000000" w:rsidR="00000000" w:rsidRPr="00000000">
        <w:rPr>
          <w:rFonts w:ascii="Times New Roman" w:cs="Times New Roman" w:eastAsia="Times New Roman" w:hAnsi="Times New Roman"/>
          <w:sz w:val="24"/>
          <w:szCs w:val="24"/>
          <w:rtl w:val="0"/>
        </w:rPr>
        <w:t xml:space="preserve"> Allows jurisdictions to exit the MLI.</w:t>
      </w:r>
    </w:p>
    <w:p w:rsidR="00000000" w:rsidDel="00000000" w:rsidP="00000000" w:rsidRDefault="00000000" w:rsidRPr="00000000" w14:paraId="0000016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provisions provide the legal framework for adopting, applying, and withdrawing from the MLI.</w:t>
      </w:r>
    </w:p>
    <w:p w:rsidR="00000000" w:rsidDel="00000000" w:rsidP="00000000" w:rsidRDefault="00000000" w:rsidRPr="00000000" w14:paraId="00000168">
      <w:pPr>
        <w:pStyle w:val="Heading2"/>
        <w:numPr>
          <w:ilvl w:val="0"/>
          <w:numId w:val="29"/>
        </w:numPr>
        <w:ind w:left="360" w:hanging="360"/>
        <w:rPr>
          <w:rFonts w:ascii="Times New Roman" w:cs="Times New Roman" w:eastAsia="Times New Roman" w:hAnsi="Times New Roman"/>
          <w:sz w:val="27"/>
          <w:szCs w:val="27"/>
        </w:rPr>
      </w:pPr>
      <w:bookmarkStart w:colFirst="0" w:colLast="0" w:name="_heading=h.26in1rg" w:id="12"/>
      <w:bookmarkEnd w:id="12"/>
      <w:r w:rsidDel="00000000" w:rsidR="00000000" w:rsidRPr="00000000">
        <w:rPr>
          <w:rFonts w:ascii="Times New Roman" w:cs="Times New Roman" w:eastAsia="Times New Roman" w:hAnsi="Times New Roman"/>
          <w:sz w:val="27"/>
          <w:szCs w:val="27"/>
          <w:rtl w:val="0"/>
        </w:rPr>
        <w:t xml:space="preserve">Using the MLI as an International Taxation Tool</w:t>
      </w:r>
    </w:p>
    <w:p w:rsidR="00000000" w:rsidDel="00000000" w:rsidP="00000000" w:rsidRDefault="00000000" w:rsidRPr="00000000" w14:paraId="00000169">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spacing w:after="160" w:before="0" w:line="259"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Identifying Covered Tax Agreements (CTAs)</w:t>
      </w:r>
    </w:p>
    <w:p w:rsidR="00000000" w:rsidDel="00000000" w:rsidP="00000000" w:rsidRDefault="00000000" w:rsidRPr="00000000" w14:paraId="0000016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Identifying Covered Tax Agreements (CTAs) under the Multilateral Instrument (MLI) is the foundational step in applying its provisions. CTAs refer to pre-existing bilateral tax treaties that are eligible for modification under the MLI framework. The process begins with verifying whether a jurisdiction has listed a specific treaty as a CTA through notifications to the OECD Depositary. This public database maintains detailed records, providing transparency about the agreements covered and the modifications applied. Practitioners must closely review these notifications to confirm whether both parties to a bilateral treaty have agreed to treat it as a CTA. Furthermore, they should analyze any amendments or reservations attached to the agreement, ensuring that all updates are accounted for. Understanding CTAs is critical because it determines the applicability of the MLI provisions and highlights areas where specific rules, such as hybrid mismatch arrangements or permanent establishment regulations, may have been modified. Failure to identify a CTA correctly can lead to compliance issues, making thorough examination and validation a vital step in utilizing the MLI effectively.</w:t>
      </w:r>
    </w:p>
    <w:p w:rsidR="00000000" w:rsidDel="00000000" w:rsidP="00000000" w:rsidRDefault="00000000" w:rsidRPr="00000000" w14:paraId="0000016B">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spacing w:after="160" w:before="0" w:line="259"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Assessing Applicability and Reservations</w:t>
      </w:r>
    </w:p>
    <w:p w:rsidR="00000000" w:rsidDel="00000000" w:rsidP="00000000" w:rsidRDefault="00000000" w:rsidRPr="00000000" w14:paraId="0000016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Assessing the applicability of the Multilateral Instrument (MLI) and understanding jurisdiction-specific reservations is a critical aspect of implementing its provisions. The MLI allows jurisdictions to modify their bilateral tax treaties to address Base Erosion and Profit Shifting (BEPS) issues, but its application varies depending on reservations filed under Article 28. These reservations enable jurisdictions to opt out of certain provisions, either partially or entirely, to preserve pre-existing treaty arrangements that may already address specific BEPS concerns. Practitioners must carefully review the reservations filed by each jurisdiction to determine which provisions are applicable and which are excluded. Additionally, Article 26 on compatibility provisions plays a vital role in identifying overlaps or conflicts between the MLI and existing treaty clauses. By analyzing these aspects, tax practitioners can ensure compliance and avoid misinterpretations that may arise from inconsistent or conflicting provisions. The careful evaluation of reservations ensures that MLI modifications align with jurisdictional preferences and treaty networks, safeguarding the intended outcomes of the BEPS measures.</w:t>
      </w:r>
    </w:p>
    <w:p w:rsidR="00000000" w:rsidDel="00000000" w:rsidP="00000000" w:rsidRDefault="00000000" w:rsidRPr="00000000" w14:paraId="0000016D">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spacing w:after="160" w:before="0" w:line="259"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Evaluating Specific Provisions</w:t>
      </w:r>
    </w:p>
    <w:p w:rsidR="00000000" w:rsidDel="00000000" w:rsidP="00000000" w:rsidRDefault="00000000" w:rsidRPr="00000000" w14:paraId="0000016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Evaluating specific provisions under the Multilateral Instrument (MLI) requires a detailed analysis of its impact on bilateral tax treaties. The MLI introduces targeted rules to address hybrid mismatches, prevent treaty abuse, and combat artificial avoidance of permanent establishment (PE) status. Hybrid mismatches, covered in Articles 3-5, focus on neutralizing tax advantages resulting from differences in entity characterization and residency rules. These provisions ensure alignment in cross-border taxation and reduce gaps that enable double non-taxation. Similarly, Article 7 establishes the Principal Purpose Test (PPT) to determine whether transactions are structured primarily to obtain treaty benefits, effectively denying benefits if the main intent is tax avoidance. Furthermore, Articles 12-15 modernize the PE definition, capturing arrangements that artificially avoid PE recognition, such as commissionaire arrangements and contract-splitting tactics. Tax practitioners must thoroughly review these provisions, ensuring that modifications align with jurisdictional objectives while addressing compliance challenges posed by complex international tax structures.</w:t>
      </w:r>
    </w:p>
    <w:p w:rsidR="00000000" w:rsidDel="00000000" w:rsidP="00000000" w:rsidRDefault="00000000" w:rsidRPr="00000000" w14:paraId="0000016F">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spacing w:after="160" w:before="0" w:line="259"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Enhancing Dispute Resolution</w:t>
      </w:r>
    </w:p>
    <w:p w:rsidR="00000000" w:rsidDel="00000000" w:rsidP="00000000" w:rsidRDefault="00000000" w:rsidRPr="00000000" w14:paraId="0000017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Enhancing dispute resolution mechanisms under the Multilateral Instrument (MLI) is critical for ensuring smooth cross-border tax administration. The MLI strengthens dispute resolution frameworks by introducing the Mutual Agreement Procedure (MAP) in Article 16, which enables taxpayers to present their cases to competent authorities in either jurisdiction for resolution. This provision allows disputes to be resolved without requiring domestic legal remedies, streamlining the process and reducing administrative burdens. Additionally, the MLI introduces mandatory binding arbitration under Articles 18-26 to address cases that cannot be resolved through MAP. Arbitration provides taxpayers with certainty and timeliness by ensuring unresolved disputes are settled fairly and efficiently. These mechanisms enhance transparency, promote consistency in treaty interpretation, and reduce the risk of double taxation, ultimately fostering greater confidence in international tax compliance.</w:t>
      </w:r>
    </w:p>
    <w:p w:rsidR="00000000" w:rsidDel="00000000" w:rsidP="00000000" w:rsidRDefault="00000000" w:rsidRPr="00000000" w14:paraId="00000171">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spacing w:after="160" w:before="0" w:line="259" w:lineRule="auto"/>
        <w:ind w:left="360" w:right="0" w:hanging="360"/>
        <w:jc w:val="both"/>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Ensuring Compliance and Implementation</w:t>
      </w:r>
    </w:p>
    <w:p w:rsidR="00000000" w:rsidDel="00000000" w:rsidP="00000000" w:rsidRDefault="00000000" w:rsidRPr="00000000" w14:paraId="0000017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Ensuring compliance and effective implementation of the Multilateral Instrument (MLI) demands a coordinated and strategic approach to integrating its provisions within domestic and international tax frameworks. Jurisdictions must regularly update their compliance mechanisms to incorporate the treaty modifications introduced by the MLI. This process involves reviewing existing bilateral agreements, monitoring changes resulting from the MLI, and ensuring that systems are aligned to enforce the updated provisions effectively. Tools provided by the OECD, such as reservation and notification tracking systems, are instrumental in identifying applicable changes and understanding their implications. Moreover, training tax administrators and professionals is essential to maintain consistency in interpretation and enforcement. Routine audits and assessments are equally important to address potential compliance gaps. Through these measures, jurisdictions can enhance transparency, prevent disputes, and support global efforts to tackle Base Erosion and Profit Shifting (BEPS) while promoting fairness in the international tax system.</w:t>
      </w:r>
    </w:p>
    <w:sectPr>
      <w:headerReference r:id="rId7" w:type="default"/>
      <w:footerReference r:id="rId8"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3">
    <w:pPr>
      <w:pBdr>
        <w:top w:color="d9d9d9" w:space="1" w:sz="4" w:val="single"/>
        <w:left w:space="0" w:sz="0" w:val="nil"/>
        <w:bottom w:space="0" w:sz="0" w:val="nil"/>
        <w:right w:space="0" w:sz="0" w:val="nil"/>
        <w:between w:space="0" w:sz="0" w:val="nil"/>
      </w:pBdr>
      <w:tabs>
        <w:tab w:val="center" w:leader="none" w:pos="4513"/>
        <w:tab w:val="right" w:leader="none" w:pos="9026"/>
      </w:tabs>
      <w:spacing w:after="0" w:line="240" w:lineRule="auto"/>
      <w:ind w:left="4127" w:firstLine="3793"/>
      <w:rPr>
        <w:b w:val="1"/>
        <w:color w:val="000000"/>
      </w:rPr>
    </w:pPr>
    <w:r w:rsidDel="00000000" w:rsidR="00000000" w:rsidRPr="00000000">
      <w:rPr>
        <w:color w:val="000000"/>
      </w:rPr>
      <w:fldChar w:fldCharType="begin"/>
      <w:instrText xml:space="preserve">PAGE</w:instrText>
      <w:fldChar w:fldCharType="separate"/>
      <w:fldChar w:fldCharType="end"/>
    </w:r>
    <w:r w:rsidDel="00000000" w:rsidR="00000000" w:rsidRPr="00000000">
      <w:rPr>
        <w:b w:val="1"/>
        <w:color w:val="000000"/>
        <w:rtl w:val="0"/>
      </w:rPr>
      <w:t xml:space="preserve"> | </w:t>
    </w:r>
    <w:r w:rsidDel="00000000" w:rsidR="00000000" w:rsidRPr="00000000">
      <w:rPr>
        <w:color w:val="7f7f7f"/>
        <w:rtl w:val="0"/>
      </w:rPr>
      <w:t xml:space="preserve">Page</w:t>
    </w:r>
    <w:r w:rsidDel="00000000" w:rsidR="00000000" w:rsidRPr="00000000">
      <w:rPr>
        <w:rtl w:val="0"/>
      </w:rPr>
    </w:r>
  </w:p>
  <w:p w:rsidR="00000000" w:rsidDel="00000000" w:rsidP="00000000" w:rsidRDefault="00000000" w:rsidRPr="00000000" w14:paraId="00000174">
    <w:pPr>
      <w:pBdr>
        <w:top w:space="0" w:sz="0" w:val="nil"/>
        <w:left w:space="0" w:sz="0" w:val="nil"/>
        <w:bottom w:space="0" w:sz="0" w:val="nil"/>
        <w:right w:space="0" w:sz="0" w:val="nil"/>
        <w:between w:space="0" w:sz="0" w:val="nil"/>
      </w:pBdr>
      <w:tabs>
        <w:tab w:val="center" w:leader="none" w:pos="4513"/>
        <w:tab w:val="right" w:leader="none" w:pos="9026"/>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5">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
    <w:lvl w:ilvl="0">
      <w:start w:val="1"/>
      <w:numFmt w:val="decimal"/>
      <w:lvlText w:val="%1."/>
      <w:lvlJc w:val="left"/>
      <w:pPr>
        <w:ind w:left="360" w:hanging="360"/>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800" w:hanging="1800"/>
      </w:pPr>
      <w:rPr/>
    </w:lvl>
    <w:lvl w:ilvl="7">
      <w:start w:val="1"/>
      <w:numFmt w:val="decimal"/>
      <w:lvlText w:val="%1.%2.%3.%4.%5.%6.%7.%8."/>
      <w:lvlJc w:val="left"/>
      <w:pPr>
        <w:ind w:left="1800" w:hanging="1800"/>
      </w:pPr>
      <w:rPr/>
    </w:lvl>
    <w:lvl w:ilvl="8">
      <w:start w:val="1"/>
      <w:numFmt w:val="decimal"/>
      <w:lvlText w:val="%1.%2.%3.%4.%5.%6.%7.%8.%9."/>
      <w:lvlJc w:val="left"/>
      <w:pPr>
        <w:ind w:left="2160" w:hanging="2160"/>
      </w:pPr>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1080" w:hanging="360"/>
      </w:pPr>
      <w:rPr>
        <w:rFonts w:ascii="Times New Roman" w:cs="Times New Roman" w:eastAsia="Times New Roman" w:hAnsi="Times New Roman"/>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4">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sz w:val="20"/>
        <w:szCs w:val="20"/>
      </w:rPr>
    </w:lvl>
    <w:lvl w:ilvl="2">
      <w:start w:val="1"/>
      <w:numFmt w:val="decimal"/>
      <w:lvlText w:val="%3."/>
      <w:lvlJc w:val="left"/>
      <w:pPr>
        <w:ind w:left="2520" w:hanging="360"/>
      </w:pPr>
      <w:rPr/>
    </w:lvl>
    <w:lvl w:ilvl="3">
      <w:start w:val="1"/>
      <w:numFmt w:val="decimal"/>
      <w:lvlText w:val="%4."/>
      <w:lvlJc w:val="left"/>
      <w:pPr>
        <w:ind w:left="3240" w:hanging="360"/>
      </w:pPr>
      <w:rPr/>
    </w:lvl>
    <w:lvl w:ilvl="4">
      <w:start w:val="1"/>
      <w:numFmt w:val="decimal"/>
      <w:lvlText w:val="%5."/>
      <w:lvlJc w:val="left"/>
      <w:pPr>
        <w:ind w:left="3960" w:hanging="360"/>
      </w:pPr>
      <w:rPr/>
    </w:lvl>
    <w:lvl w:ilvl="5">
      <w:start w:val="1"/>
      <w:numFmt w:val="decimal"/>
      <w:lvlText w:val="%6."/>
      <w:lvlJc w:val="left"/>
      <w:pPr>
        <w:ind w:left="4680" w:hanging="360"/>
      </w:pPr>
      <w:rPr/>
    </w:lvl>
    <w:lvl w:ilvl="6">
      <w:start w:val="1"/>
      <w:numFmt w:val="decimal"/>
      <w:lvlText w:val="%7."/>
      <w:lvlJc w:val="left"/>
      <w:pPr>
        <w:ind w:left="5400" w:hanging="360"/>
      </w:pPr>
      <w:rPr/>
    </w:lvl>
    <w:lvl w:ilvl="7">
      <w:start w:val="1"/>
      <w:numFmt w:val="decimal"/>
      <w:lvlText w:val="%8."/>
      <w:lvlJc w:val="left"/>
      <w:pPr>
        <w:ind w:left="6120" w:hanging="360"/>
      </w:pPr>
      <w:rPr/>
    </w:lvl>
    <w:lvl w:ilvl="8">
      <w:start w:val="1"/>
      <w:numFmt w:val="decimal"/>
      <w:lvlText w:val="%9."/>
      <w:lvlJc w:val="left"/>
      <w:pPr>
        <w:ind w:left="6840" w:hanging="360"/>
      </w:pPr>
      <w:rPr/>
    </w:lvl>
  </w:abstractNum>
  <w:abstractNum w:abstractNumId="15">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decimal"/>
      <w:lvlText w:val="%1."/>
      <w:lvlJc w:val="left"/>
      <w:pPr>
        <w:ind w:left="360" w:hanging="360"/>
      </w:pPr>
      <w:rPr>
        <w:b w:val="1"/>
      </w:rPr>
    </w:lvl>
    <w:lvl w:ilvl="1">
      <w:start w:val="1"/>
      <w:numFmt w:val="decimal"/>
      <w:lvlText w:val="%1.%2."/>
      <w:lvlJc w:val="left"/>
      <w:pPr>
        <w:ind w:left="360" w:hanging="360"/>
      </w:pPr>
      <w:rPr>
        <w:b w:val="1"/>
      </w:rPr>
    </w:lvl>
    <w:lvl w:ilvl="2">
      <w:start w:val="1"/>
      <w:numFmt w:val="decimal"/>
      <w:lvlText w:val="%1.%2.%3."/>
      <w:lvlJc w:val="left"/>
      <w:pPr>
        <w:ind w:left="720" w:hanging="720"/>
      </w:pPr>
      <w:rPr>
        <w:b w:val="1"/>
      </w:rPr>
    </w:lvl>
    <w:lvl w:ilvl="3">
      <w:start w:val="1"/>
      <w:numFmt w:val="decimal"/>
      <w:lvlText w:val="%1.%2.%3.%4."/>
      <w:lvlJc w:val="left"/>
      <w:pPr>
        <w:ind w:left="720" w:hanging="720"/>
      </w:pPr>
      <w:rPr>
        <w:b w:val="1"/>
      </w:rPr>
    </w:lvl>
    <w:lvl w:ilvl="4">
      <w:start w:val="1"/>
      <w:numFmt w:val="decimal"/>
      <w:lvlText w:val="%1.%2.%3.%4.%5."/>
      <w:lvlJc w:val="left"/>
      <w:pPr>
        <w:ind w:left="1080" w:hanging="1080"/>
      </w:pPr>
      <w:rPr>
        <w:b w:val="1"/>
      </w:rPr>
    </w:lvl>
    <w:lvl w:ilvl="5">
      <w:start w:val="1"/>
      <w:numFmt w:val="decimal"/>
      <w:lvlText w:val="%1.%2.%3.%4.%5.%6."/>
      <w:lvlJc w:val="left"/>
      <w:pPr>
        <w:ind w:left="1080" w:hanging="1080"/>
      </w:pPr>
      <w:rPr>
        <w:b w:val="1"/>
      </w:rPr>
    </w:lvl>
    <w:lvl w:ilvl="6">
      <w:start w:val="1"/>
      <w:numFmt w:val="decimal"/>
      <w:lvlText w:val="%1.%2.%3.%4.%5.%6.%7."/>
      <w:lvlJc w:val="left"/>
      <w:pPr>
        <w:ind w:left="1440" w:hanging="1440"/>
      </w:pPr>
      <w:rPr>
        <w:b w:val="1"/>
      </w:rPr>
    </w:lvl>
    <w:lvl w:ilvl="7">
      <w:start w:val="1"/>
      <w:numFmt w:val="decimal"/>
      <w:lvlText w:val="%1.%2.%3.%4.%5.%6.%7.%8."/>
      <w:lvlJc w:val="left"/>
      <w:pPr>
        <w:ind w:left="1440" w:hanging="1440"/>
      </w:pPr>
      <w:rPr>
        <w:b w:val="1"/>
      </w:rPr>
    </w:lvl>
    <w:lvl w:ilvl="8">
      <w:start w:val="1"/>
      <w:numFmt w:val="decimal"/>
      <w:lvlText w:val="%1.%2.%3.%4.%5.%6.%7.%8.%9."/>
      <w:lvlJc w:val="left"/>
      <w:pPr>
        <w:ind w:left="1800" w:hanging="1800"/>
      </w:pPr>
      <w:rPr>
        <w:b w:val="1"/>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2"/>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20">
    <w:lvl w:ilvl="0">
      <w:start w:val="1"/>
      <w:numFmt w:val="decimal"/>
      <w:lvlText w:val="%1."/>
      <w:lvlJc w:val="left"/>
      <w:pPr>
        <w:ind w:left="360" w:hanging="360"/>
      </w:pPr>
      <w:rPr/>
    </w:lvl>
    <w:lvl w:ilvl="1">
      <w:start w:val="1"/>
      <w:numFmt w:val="decimal"/>
      <w:lvlText w:val="%1.%2."/>
      <w:lvlJc w:val="left"/>
      <w:pPr>
        <w:ind w:left="720" w:hanging="720"/>
      </w:pPr>
      <w:rPr/>
    </w:lvl>
    <w:lvl w:ilvl="2">
      <w:start w:val="1"/>
      <w:numFmt w:val="decimal"/>
      <w:lvlText w:val="%1.%2.%3."/>
      <w:lvlJc w:val="left"/>
      <w:pPr>
        <w:ind w:left="720" w:hanging="720"/>
      </w:pPr>
      <w:rPr/>
    </w:lvl>
    <w:lvl w:ilvl="3">
      <w:start w:val="1"/>
      <w:numFmt w:val="decimal"/>
      <w:lvlText w:val="%1.%2.%3.%4."/>
      <w:lvlJc w:val="left"/>
      <w:pPr>
        <w:ind w:left="1080" w:hanging="1080"/>
      </w:pPr>
      <w:rPr/>
    </w:lvl>
    <w:lvl w:ilvl="4">
      <w:start w:val="1"/>
      <w:numFmt w:val="decimal"/>
      <w:lvlText w:val="%1.%2.%3.%4.%5."/>
      <w:lvlJc w:val="left"/>
      <w:pPr>
        <w:ind w:left="1080" w:hanging="1080"/>
      </w:pPr>
      <w:rPr/>
    </w:lvl>
    <w:lvl w:ilvl="5">
      <w:start w:val="1"/>
      <w:numFmt w:val="decimal"/>
      <w:lvlText w:val="%1.%2.%3.%4.%5.%6."/>
      <w:lvlJc w:val="left"/>
      <w:pPr>
        <w:ind w:left="1440" w:hanging="1440"/>
      </w:pPr>
      <w:rPr/>
    </w:lvl>
    <w:lvl w:ilvl="6">
      <w:start w:val="1"/>
      <w:numFmt w:val="decimal"/>
      <w:lvlText w:val="%1.%2.%3.%4.%5.%6.%7."/>
      <w:lvlJc w:val="left"/>
      <w:pPr>
        <w:ind w:left="1800" w:hanging="1800"/>
      </w:pPr>
      <w:rPr/>
    </w:lvl>
    <w:lvl w:ilvl="7">
      <w:start w:val="1"/>
      <w:numFmt w:val="decimal"/>
      <w:lvlText w:val="%1.%2.%3.%4.%5.%6.%7.%8."/>
      <w:lvlJc w:val="left"/>
      <w:pPr>
        <w:ind w:left="1800" w:hanging="1800"/>
      </w:pPr>
      <w:rPr/>
    </w:lvl>
    <w:lvl w:ilvl="8">
      <w:start w:val="1"/>
      <w:numFmt w:val="decimal"/>
      <w:lvlText w:val="%1.%2.%3.%4.%5.%6.%7.%8.%9."/>
      <w:lvlJc w:val="left"/>
      <w:pPr>
        <w:ind w:left="2160" w:hanging="2160"/>
      </w:pPr>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30">
    <w:lvl w:ilvl="0">
      <w:start w:val="1"/>
      <w:numFmt w:val="decimal"/>
      <w:lvlText w:val="%1."/>
      <w:lvlJc w:val="left"/>
      <w:pPr>
        <w:ind w:left="360" w:hanging="360"/>
      </w:pPr>
      <w:rPr/>
    </w:lvl>
    <w:lvl w:ilvl="1">
      <w:start w:val="1"/>
      <w:numFmt w:val="decimal"/>
      <w:lvlText w:val="%1.%2."/>
      <w:lvlJc w:val="left"/>
      <w:pPr>
        <w:ind w:left="360" w:hanging="360"/>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abstractNum w:abstractNumId="3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Times New Roman" w:cs="Times New Roman" w:eastAsia="Times New Roman" w:hAnsi="Times New Roman"/>
      <w:b w:val="1"/>
      <w:color w:val="000000"/>
      <w:sz w:val="28"/>
      <w:szCs w:val="2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link w:val="Heading1Char"/>
    <w:uiPriority w:val="9"/>
    <w:qFormat w:val="1"/>
    <w:rsid w:val="00431FAE"/>
    <w:pPr>
      <w:keepNext w:val="1"/>
      <w:keepLines w:val="1"/>
      <w:spacing w:after="0" w:before="240"/>
      <w:outlineLvl w:val="0"/>
    </w:pPr>
    <w:rPr>
      <w:rFonts w:ascii="Times New Roman" w:hAnsi="Times New Roman" w:cstheme="majorBidi" w:eastAsiaTheme="majorEastAsia"/>
      <w:b w:val="1"/>
      <w:color w:val="000000" w:themeColor="text1"/>
      <w:sz w:val="28"/>
      <w:szCs w:val="32"/>
    </w:rPr>
  </w:style>
  <w:style w:type="paragraph" w:styleId="Heading2">
    <w:name w:val="heading 2"/>
    <w:basedOn w:val="Normal"/>
    <w:next w:val="Normal"/>
    <w:uiPriority w:val="9"/>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character" w:styleId="Heading1Char" w:customStyle="1">
    <w:name w:val="Heading 1 Char"/>
    <w:basedOn w:val="DefaultParagraphFont"/>
    <w:link w:val="Heading1"/>
    <w:uiPriority w:val="9"/>
    <w:rsid w:val="00431FAE"/>
    <w:rPr>
      <w:rFonts w:ascii="Times New Roman" w:hAnsi="Times New Roman" w:cstheme="majorBidi" w:eastAsiaTheme="majorEastAsia"/>
      <w:b w:val="1"/>
      <w:color w:val="000000" w:themeColor="text1"/>
      <w:sz w:val="28"/>
      <w:szCs w:val="32"/>
    </w:rPr>
  </w:style>
  <w:style w:type="paragraph" w:styleId="TOCHeading">
    <w:name w:val="TOC Heading"/>
    <w:basedOn w:val="Heading1"/>
    <w:next w:val="Normal"/>
    <w:uiPriority w:val="39"/>
    <w:unhideWhenUsed w:val="1"/>
    <w:qFormat w:val="1"/>
    <w:rsid w:val="00CB4175"/>
    <w:pPr>
      <w:outlineLvl w:val="9"/>
    </w:pPr>
    <w:rPr>
      <w:rFonts w:asciiTheme="majorHAnsi" w:hAnsiTheme="majorHAnsi"/>
      <w:b w:val="0"/>
      <w:color w:val="2f5496" w:themeColor="accent1" w:themeShade="0000BF"/>
      <w:sz w:val="32"/>
    </w:rPr>
  </w:style>
  <w:style w:type="paragraph" w:styleId="TOC1">
    <w:name w:val="toc 1"/>
    <w:basedOn w:val="Normal"/>
    <w:next w:val="Normal"/>
    <w:autoRedefine w:val="1"/>
    <w:uiPriority w:val="39"/>
    <w:unhideWhenUsed w:val="1"/>
    <w:rsid w:val="004120D2"/>
    <w:pPr>
      <w:tabs>
        <w:tab w:val="right" w:leader="dot" w:pos="9016"/>
      </w:tabs>
      <w:spacing w:after="100"/>
    </w:pPr>
    <w:rPr>
      <w:rFonts w:asciiTheme="majorBidi" w:cstheme="majorBidi" w:hAnsiTheme="majorBidi"/>
      <w:noProof w:val="1"/>
      <w:sz w:val="20"/>
      <w:szCs w:val="20"/>
    </w:rPr>
  </w:style>
  <w:style w:type="character" w:styleId="Hyperlink">
    <w:name w:val="Hyperlink"/>
    <w:basedOn w:val="DefaultParagraphFont"/>
    <w:uiPriority w:val="99"/>
    <w:unhideWhenUsed w:val="1"/>
    <w:rsid w:val="00CB4175"/>
    <w:rPr>
      <w:color w:val="0563c1" w:themeColor="hyperlink"/>
      <w:u w:val="single"/>
    </w:rPr>
  </w:style>
  <w:style w:type="paragraph" w:styleId="Header">
    <w:name w:val="header"/>
    <w:basedOn w:val="Normal"/>
    <w:link w:val="HeaderChar"/>
    <w:uiPriority w:val="99"/>
    <w:unhideWhenUsed w:val="1"/>
    <w:rsid w:val="00CB4175"/>
    <w:pPr>
      <w:tabs>
        <w:tab w:val="center" w:pos="4513"/>
        <w:tab w:val="right" w:pos="9026"/>
      </w:tabs>
      <w:spacing w:after="0" w:line="240" w:lineRule="auto"/>
    </w:pPr>
  </w:style>
  <w:style w:type="character" w:styleId="HeaderChar" w:customStyle="1">
    <w:name w:val="Header Char"/>
    <w:basedOn w:val="DefaultParagraphFont"/>
    <w:link w:val="Header"/>
    <w:uiPriority w:val="99"/>
    <w:rsid w:val="00CB4175"/>
  </w:style>
  <w:style w:type="paragraph" w:styleId="Footer">
    <w:name w:val="footer"/>
    <w:basedOn w:val="Normal"/>
    <w:link w:val="FooterChar"/>
    <w:uiPriority w:val="99"/>
    <w:unhideWhenUsed w:val="1"/>
    <w:rsid w:val="00CB4175"/>
    <w:pPr>
      <w:tabs>
        <w:tab w:val="center" w:pos="4513"/>
        <w:tab w:val="right" w:pos="9026"/>
      </w:tabs>
      <w:spacing w:after="0" w:line="240" w:lineRule="auto"/>
    </w:pPr>
  </w:style>
  <w:style w:type="character" w:styleId="FooterChar" w:customStyle="1">
    <w:name w:val="Footer Char"/>
    <w:basedOn w:val="DefaultParagraphFont"/>
    <w:link w:val="Footer"/>
    <w:uiPriority w:val="99"/>
    <w:rsid w:val="00CB4175"/>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ListParagraph">
    <w:name w:val="List Paragraph"/>
    <w:basedOn w:val="Normal"/>
    <w:uiPriority w:val="34"/>
    <w:qFormat w:val="1"/>
    <w:rsid w:val="00946F33"/>
    <w:pPr>
      <w:ind w:left="720"/>
      <w:contextualSpacing w:val="1"/>
    </w:pPr>
  </w:style>
  <w:style w:type="paragraph" w:styleId="TOC2">
    <w:name w:val="toc 2"/>
    <w:basedOn w:val="Normal"/>
    <w:next w:val="Normal"/>
    <w:autoRedefine w:val="1"/>
    <w:uiPriority w:val="39"/>
    <w:unhideWhenUsed w:val="1"/>
    <w:rsid w:val="00AA6DFC"/>
    <w:pPr>
      <w:spacing w:after="100"/>
      <w:ind w:left="220"/>
    </w:p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3Yvq7YbVWoC2g6yQ5Tf9xKu64Q==">CgMxLjAyCGguZ2pkZ3hzMgloLjMwajB6bGwyCWguMWZvYjl0ZTIJaC4zem55c2g3MgloLjJldDkycDAyCGgudHlqY3d0MgloLjNkeTZ2a20yCWguMXQzaDVzZjIJaC40ZDM0b2c4MgloLjJzOGV5bzEyCWguMTdkcDh2dTIJaC4zcmRjcmpuMgloLjI2aW4xcmc4AHIhMUhsaVlXMDFsbW1SNlFJU2tyM1ZuNm9GZFMtQWtRVVRO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2025-01-05T18:49:00Z</dcterms:created>
  <dc:creator>victory otamiri</dc:creator>
</cp:coreProperties>
</file>