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Bdr>
          <w:top w:space="0" w:sz="0" w:val="nil"/>
          <w:left w:space="0" w:sz="0" w:val="nil"/>
          <w:bottom w:space="0" w:sz="0" w:val="nil"/>
          <w:right w:space="0" w:sz="0" w:val="nil"/>
          <w:between w:space="0" w:sz="0" w:val="nil"/>
        </w:pBdr>
        <w:spacing w:after="0" w:before="240" w:lineRule="auto"/>
        <w:jc w:val="both"/>
        <w:rPr>
          <w:rFonts w:ascii="Times New Roman" w:cs="Times New Roman" w:eastAsia="Times New Roman" w:hAnsi="Times New Roman"/>
          <w:color w:val="2f5496"/>
          <w:sz w:val="32"/>
          <w:szCs w:val="32"/>
        </w:rPr>
      </w:pPr>
      <w:r w:rsidDel="00000000" w:rsidR="00000000" w:rsidRPr="00000000">
        <w:rPr>
          <w:rFonts w:ascii="Times New Roman" w:cs="Times New Roman" w:eastAsia="Times New Roman" w:hAnsi="Times New Roman"/>
          <w:color w:val="2f5496"/>
          <w:sz w:val="32"/>
          <w:szCs w:val="32"/>
          <w:rtl w:val="0"/>
        </w:rPr>
        <w:t xml:space="preserve">Contents</w:t>
      </w:r>
    </w:p>
    <w:sdt>
      <w:sdtPr>
        <w:id w:val="195069366"/>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2xcytpi">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E.1. GENERAL APPROACH TO INTERPRETATION</w:t>
              <w:tab/>
              <w:t xml:space="preserve">3</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i w:val="0"/>
              <w:smallCaps w:val="0"/>
              <w:strike w:val="0"/>
              <w:color w:val="000000"/>
              <w:sz w:val="24"/>
              <w:szCs w:val="24"/>
              <w:u w:val="none"/>
              <w:shd w:fill="auto" w:val="clear"/>
              <w:vertAlign w:val="baseline"/>
            </w:rPr>
          </w:pPr>
          <w:hyperlink w:anchor="_heading=h.1ci93xb">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w:t>
            </w:r>
          </w:hyperlink>
          <w:hyperlink w:anchor="_heading=h.1ci93x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_heading=h.1ci93xb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Vienna Convention on the Law of Treaties (VCLT)</w:t>
          </w:r>
          <w:r w:rsidDel="00000000" w:rsidR="00000000" w:rsidRPr="00000000">
            <w:rPr>
              <w:i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i w:val="0"/>
              <w:smallCaps w:val="0"/>
              <w:strike w:val="0"/>
              <w:color w:val="000000"/>
              <w:sz w:val="24"/>
              <w:szCs w:val="24"/>
              <w:u w:val="none"/>
              <w:shd w:fill="auto" w:val="clear"/>
              <w:vertAlign w:val="baseline"/>
            </w:rPr>
          </w:pPr>
          <w:hyperlink w:anchor="_heading=h.3whwml4">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w:t>
            </w:r>
          </w:hyperlink>
          <w:hyperlink w:anchor="_heading=h.3whwml4">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_heading=h.3whwml4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OECD and UN Models as Contextual Guides</w:t>
          </w:r>
          <w:r w:rsidDel="00000000" w:rsidR="00000000" w:rsidRPr="00000000">
            <w:rPr>
              <w:i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i w:val="0"/>
              <w:smallCaps w:val="0"/>
              <w:strike w:val="0"/>
              <w:color w:val="000000"/>
              <w:sz w:val="24"/>
              <w:szCs w:val="24"/>
              <w:u w:val="none"/>
              <w:shd w:fill="auto" w:val="clear"/>
              <w:vertAlign w:val="baseline"/>
            </w:rPr>
          </w:pPr>
          <w:hyperlink w:anchor="_heading=h.2bn6wsx">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w:t>
            </w:r>
          </w:hyperlink>
          <w:hyperlink w:anchor="_heading=h.2bn6wsx">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_heading=h.2bn6wsx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Good Faith and Object-Purpose Analysis</w:t>
          </w:r>
          <w:r w:rsidDel="00000000" w:rsidR="00000000" w:rsidRPr="00000000">
            <w:rPr>
              <w:i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i w:val="0"/>
              <w:smallCaps w:val="0"/>
              <w:strike w:val="0"/>
              <w:color w:val="000000"/>
              <w:sz w:val="24"/>
              <w:szCs w:val="24"/>
              <w:u w:val="none"/>
              <w:shd w:fill="auto" w:val="clear"/>
              <w:vertAlign w:val="baseline"/>
            </w:rPr>
          </w:pPr>
          <w:hyperlink w:anchor="_heading=h.qsh70q">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w:t>
            </w:r>
          </w:hyperlink>
          <w:hyperlink w:anchor="_heading=h.qsh70q">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_heading=h.qsh70q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Ambiguity and Supplementary Means</w:t>
          </w:r>
          <w:r w:rsidDel="00000000" w:rsidR="00000000" w:rsidRPr="00000000">
            <w:rPr>
              <w:i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i w:val="0"/>
              <w:smallCaps w:val="0"/>
              <w:strike w:val="0"/>
              <w:color w:val="000000"/>
              <w:sz w:val="24"/>
              <w:szCs w:val="24"/>
              <w:u w:val="none"/>
              <w:shd w:fill="auto" w:val="clear"/>
              <w:vertAlign w:val="baseline"/>
            </w:rPr>
          </w:pPr>
          <w:hyperlink w:anchor="_heading=h.3as4poj">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w:t>
            </w:r>
          </w:hyperlink>
          <w:hyperlink w:anchor="_heading=h.3as4poj">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_heading=h.3as4poj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Domestic Legislation and Context</w:t>
          </w:r>
          <w:r w:rsidDel="00000000" w:rsidR="00000000" w:rsidRPr="00000000">
            <w:rPr>
              <w:i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i w:val="0"/>
              <w:smallCaps w:val="0"/>
              <w:strike w:val="0"/>
              <w:color w:val="000000"/>
              <w:sz w:val="24"/>
              <w:szCs w:val="24"/>
              <w:u w:val="none"/>
              <w:shd w:fill="auto" w:val="clear"/>
              <w:vertAlign w:val="baseline"/>
            </w:rPr>
          </w:pPr>
          <w:hyperlink w:anchor="_heading=h.1pxezwc">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6.</w:t>
            </w:r>
          </w:hyperlink>
          <w:hyperlink w:anchor="_heading=h.1pxezwc">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_heading=h.1pxezwc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Static vs. Dynamic Interpretation</w:t>
          </w:r>
          <w:r w:rsidDel="00000000" w:rsidR="00000000" w:rsidRPr="00000000">
            <w:rPr>
              <w:i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i w:val="0"/>
              <w:smallCaps w:val="0"/>
              <w:strike w:val="0"/>
              <w:color w:val="000000"/>
              <w:sz w:val="24"/>
              <w:szCs w:val="24"/>
              <w:u w:val="none"/>
              <w:shd w:fill="auto" w:val="clear"/>
              <w:vertAlign w:val="baseline"/>
            </w:rPr>
          </w:pPr>
          <w:hyperlink w:anchor="_heading=h.49x2ik5">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7.</w:t>
            </w:r>
          </w:hyperlink>
          <w:hyperlink w:anchor="_heading=h.49x2ik5">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_heading=h.49x2ik5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Special Rules for Undefined Terms</w:t>
          </w:r>
          <w:r w:rsidDel="00000000" w:rsidR="00000000" w:rsidRPr="00000000">
            <w:rPr>
              <w:i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i w:val="0"/>
              <w:smallCaps w:val="0"/>
              <w:strike w:val="0"/>
              <w:color w:val="000000"/>
              <w:sz w:val="24"/>
              <w:szCs w:val="24"/>
              <w:u w:val="none"/>
              <w:shd w:fill="auto" w:val="clear"/>
              <w:vertAlign w:val="baseline"/>
            </w:rPr>
          </w:pPr>
          <w:hyperlink w:anchor="_heading=h.2p2csry">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8.</w:t>
            </w:r>
          </w:hyperlink>
          <w:hyperlink w:anchor="_heading=h.2p2csry">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_heading=h.2p2csry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Interpretation of Anti-Avoidance Provisions</w:t>
          </w:r>
          <w:r w:rsidDel="00000000" w:rsidR="00000000" w:rsidRPr="00000000">
            <w:rPr>
              <w:i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i w:val="0"/>
              <w:smallCaps w:val="0"/>
              <w:strike w:val="0"/>
              <w:color w:val="000000"/>
              <w:sz w:val="24"/>
              <w:szCs w:val="24"/>
              <w:u w:val="none"/>
              <w:shd w:fill="auto" w:val="clear"/>
              <w:vertAlign w:val="baseline"/>
            </w:rPr>
          </w:pPr>
          <w:hyperlink w:anchor="_heading=h.147n2z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9.</w:t>
            </w:r>
          </w:hyperlink>
          <w:hyperlink w:anchor="_heading=h.147n2zr">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_heading=h.147n2zr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Lex Specialis Principle</w:t>
          </w:r>
          <w:r w:rsidDel="00000000" w:rsidR="00000000" w:rsidRPr="00000000">
            <w:rPr>
              <w:i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259" w:lineRule="auto"/>
            <w:ind w:left="220" w:right="0" w:firstLine="0"/>
            <w:jc w:val="left"/>
            <w:rPr>
              <w:i w:val="0"/>
              <w:smallCaps w:val="0"/>
              <w:strike w:val="0"/>
              <w:color w:val="000000"/>
              <w:sz w:val="24"/>
              <w:szCs w:val="24"/>
              <w:u w:val="none"/>
              <w:shd w:fill="auto" w:val="clear"/>
              <w:vertAlign w:val="baseline"/>
            </w:rPr>
          </w:pPr>
          <w:hyperlink w:anchor="_heading=h.3o7alnk">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10.</w:t>
            </w:r>
          </w:hyperlink>
          <w:hyperlink w:anchor="_heading=h.3o7alnk">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_heading=h.3o7alnk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Mutual Agreement Procedures and Arbitration</w:t>
          </w:r>
          <w:r w:rsidDel="00000000" w:rsidR="00000000" w:rsidRPr="00000000">
            <w:rPr>
              <w:i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259" w:lineRule="auto"/>
            <w:ind w:left="220" w:right="0" w:firstLine="0"/>
            <w:jc w:val="left"/>
            <w:rPr>
              <w:i w:val="0"/>
              <w:smallCaps w:val="0"/>
              <w:strike w:val="0"/>
              <w:color w:val="000000"/>
              <w:sz w:val="24"/>
              <w:szCs w:val="24"/>
              <w:u w:val="none"/>
              <w:shd w:fill="auto" w:val="clear"/>
              <w:vertAlign w:val="baseline"/>
            </w:rPr>
          </w:pPr>
          <w:hyperlink w:anchor="_heading=h.23ckvvd">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11.</w:t>
            </w:r>
          </w:hyperlink>
          <w:hyperlink w:anchor="_heading=h.23ckvvd">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_heading=h.23ckvvd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Multilingual Texts and Translation Challenges</w:t>
          </w:r>
          <w:r w:rsidDel="00000000" w:rsidR="00000000" w:rsidRPr="00000000">
            <w:rPr>
              <w:i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ihv636">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E.2. VIENNA CONVENTION ON THE LAW OF TREATIES</w:t>
            </w:r>
          </w:hyperlink>
          <w:hyperlink w:anchor="_heading=h.ihv636">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i w:val="0"/>
              <w:smallCaps w:val="0"/>
              <w:strike w:val="0"/>
              <w:color w:val="000000"/>
              <w:sz w:val="24"/>
              <w:szCs w:val="24"/>
              <w:u w:val="none"/>
              <w:shd w:fill="auto" w:val="clear"/>
              <w:vertAlign w:val="baseline"/>
            </w:rPr>
          </w:pPr>
          <w:hyperlink w:anchor="_heading=h.32hioqz">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w:t>
            </w:r>
          </w:hyperlink>
          <w:hyperlink w:anchor="_heading=h.32hioq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_heading=h.32hioqz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General Rule of Interpretation: Article 31 of the VCLT</w:t>
          </w:r>
          <w:r w:rsidDel="00000000" w:rsidR="00000000" w:rsidRPr="00000000">
            <w:rPr>
              <w:i w:val="0"/>
              <w:smallCaps w:val="0"/>
              <w:strike w:val="0"/>
              <w:color w:val="000000"/>
              <w:sz w:val="22"/>
              <w:szCs w:val="22"/>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i w:val="0"/>
              <w:smallCaps w:val="0"/>
              <w:strike w:val="0"/>
              <w:color w:val="000000"/>
              <w:sz w:val="24"/>
              <w:szCs w:val="24"/>
              <w:u w:val="none"/>
              <w:shd w:fill="auto" w:val="clear"/>
              <w:vertAlign w:val="baseline"/>
            </w:rPr>
          </w:pPr>
          <w:hyperlink w:anchor="_heading=h.1hmsyys">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w:t>
            </w:r>
          </w:hyperlink>
          <w:hyperlink w:anchor="_heading=h.1hmsyys">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_heading=h.1hmsyys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Supplementary Means of Interpretation: Article 32 of the VCLT</w:t>
          </w:r>
          <w:r w:rsidDel="00000000" w:rsidR="00000000" w:rsidRPr="00000000">
            <w:rPr>
              <w:i w:val="0"/>
              <w:smallCaps w:val="0"/>
              <w:strike w:val="0"/>
              <w:color w:val="000000"/>
              <w:sz w:val="22"/>
              <w:szCs w:val="22"/>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i w:val="0"/>
              <w:smallCaps w:val="0"/>
              <w:strike w:val="0"/>
              <w:color w:val="000000"/>
              <w:sz w:val="24"/>
              <w:szCs w:val="24"/>
              <w:u w:val="none"/>
              <w:shd w:fill="auto" w:val="clear"/>
              <w:vertAlign w:val="baseline"/>
            </w:rPr>
          </w:pPr>
          <w:hyperlink w:anchor="_heading=h.41mghml">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w:t>
            </w:r>
          </w:hyperlink>
          <w:hyperlink w:anchor="_heading=h.41mghml">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_heading=h.41mghml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Special Meaning of Terms: Article 31(4) of the VCLT</w:t>
          </w:r>
          <w:r w:rsidDel="00000000" w:rsidR="00000000" w:rsidRPr="00000000">
            <w:rPr>
              <w:i w:val="0"/>
              <w:smallCaps w:val="0"/>
              <w:strike w:val="0"/>
              <w:color w:val="000000"/>
              <w:sz w:val="22"/>
              <w:szCs w:val="22"/>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i w:val="0"/>
              <w:smallCaps w:val="0"/>
              <w:strike w:val="0"/>
              <w:color w:val="000000"/>
              <w:sz w:val="24"/>
              <w:szCs w:val="24"/>
              <w:u w:val="none"/>
              <w:shd w:fill="auto" w:val="clear"/>
              <w:vertAlign w:val="baseline"/>
            </w:rPr>
          </w:pPr>
          <w:hyperlink w:anchor="_heading=h.2grqrue">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w:t>
            </w:r>
          </w:hyperlink>
          <w:hyperlink w:anchor="_heading=h.2grqrue">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_heading=h.2grqrue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Subsequent Agreements and Practice: Article 31(3) of the VCLT</w:t>
          </w:r>
          <w:r w:rsidDel="00000000" w:rsidR="00000000" w:rsidRPr="00000000">
            <w:rPr>
              <w:i w:val="0"/>
              <w:smallCaps w:val="0"/>
              <w:strike w:val="0"/>
              <w:color w:val="000000"/>
              <w:sz w:val="22"/>
              <w:szCs w:val="22"/>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i w:val="0"/>
              <w:smallCaps w:val="0"/>
              <w:strike w:val="0"/>
              <w:color w:val="000000"/>
              <w:sz w:val="24"/>
              <w:szCs w:val="24"/>
              <w:u w:val="none"/>
              <w:shd w:fill="auto" w:val="clear"/>
              <w:vertAlign w:val="baseline"/>
            </w:rPr>
          </w:pPr>
          <w:hyperlink w:anchor="_heading=h.vx1227">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w:t>
            </w:r>
          </w:hyperlink>
          <w:hyperlink w:anchor="_heading=h.vx1227">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_heading=h.vx1227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Relevance of the OECD Model Tax Convention and Commentaries</w:t>
          </w:r>
          <w:r w:rsidDel="00000000" w:rsidR="00000000" w:rsidRPr="00000000">
            <w:rPr>
              <w:i w:val="0"/>
              <w:smallCaps w:val="0"/>
              <w:strike w:val="0"/>
              <w:color w:val="000000"/>
              <w:sz w:val="22"/>
              <w:szCs w:val="22"/>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i w:val="0"/>
              <w:smallCaps w:val="0"/>
              <w:strike w:val="0"/>
              <w:color w:val="000000"/>
              <w:sz w:val="24"/>
              <w:szCs w:val="24"/>
              <w:u w:val="none"/>
              <w:shd w:fill="auto" w:val="clear"/>
              <w:vertAlign w:val="baseline"/>
            </w:rPr>
          </w:pPr>
          <w:hyperlink w:anchor="_heading=h.3fwokq0">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6.</w:t>
            </w:r>
          </w:hyperlink>
          <w:hyperlink w:anchor="_heading=h.3fwokq0">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_heading=h.3fwokq0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Principle of Effectiveness (Ut Res Magis Valeat Quam Pereat)</w:t>
          </w:r>
          <w:r w:rsidDel="00000000" w:rsidR="00000000" w:rsidRPr="00000000">
            <w:rPr>
              <w:i w:val="0"/>
              <w:smallCaps w:val="0"/>
              <w:strike w:val="0"/>
              <w:color w:val="000000"/>
              <w:sz w:val="22"/>
              <w:szCs w:val="22"/>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v1yuxt">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E.3. USE OF EXTERNAL AIDS FOR INTERPRETATION – THE STATUS AND USE OF THE OECD COMMENTARIES</w:t>
            </w:r>
          </w:hyperlink>
          <w:hyperlink w:anchor="_heading=h.1v1yuxt">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i w:val="0"/>
              <w:smallCaps w:val="0"/>
              <w:strike w:val="0"/>
              <w:color w:val="000000"/>
              <w:sz w:val="24"/>
              <w:szCs w:val="24"/>
              <w:u w:val="none"/>
              <w:shd w:fill="auto" w:val="clear"/>
              <w:vertAlign w:val="baseline"/>
            </w:rPr>
          </w:pPr>
          <w:hyperlink w:anchor="_heading=h.4f1mdlm">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w:t>
            </w:r>
          </w:hyperlink>
          <w:hyperlink w:anchor="_heading=h.4f1mdl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_heading=h.4f1mdlm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What Are OECD Commentaries?</w:t>
          </w:r>
          <w:r w:rsidDel="00000000" w:rsidR="00000000" w:rsidRPr="00000000">
            <w:rPr>
              <w:i w:val="0"/>
              <w:smallCaps w:val="0"/>
              <w:strike w:val="0"/>
              <w:color w:val="000000"/>
              <w:sz w:val="22"/>
              <w:szCs w:val="22"/>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i w:val="0"/>
              <w:smallCaps w:val="0"/>
              <w:strike w:val="0"/>
              <w:color w:val="000000"/>
              <w:sz w:val="24"/>
              <w:szCs w:val="24"/>
              <w:u w:val="none"/>
              <w:shd w:fill="auto" w:val="clear"/>
              <w:vertAlign w:val="baseline"/>
            </w:rPr>
          </w:pPr>
          <w:hyperlink w:anchor="_heading=h.2u6wntf">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w:t>
            </w:r>
          </w:hyperlink>
          <w:hyperlink w:anchor="_heading=h.2u6wntf">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_heading=h.2u6wntf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Legal Status of the OECD Commentaries</w:t>
          </w:r>
          <w:r w:rsidDel="00000000" w:rsidR="00000000" w:rsidRPr="00000000">
            <w:rPr>
              <w:i w:val="0"/>
              <w:smallCaps w:val="0"/>
              <w:strike w:val="0"/>
              <w:color w:val="000000"/>
              <w:sz w:val="22"/>
              <w:szCs w:val="22"/>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i w:val="0"/>
              <w:smallCaps w:val="0"/>
              <w:strike w:val="0"/>
              <w:color w:val="000000"/>
              <w:sz w:val="24"/>
              <w:szCs w:val="24"/>
              <w:u w:val="none"/>
              <w:shd w:fill="auto" w:val="clear"/>
              <w:vertAlign w:val="baseline"/>
            </w:rPr>
          </w:pPr>
          <w:hyperlink w:anchor="_heading=h.19c6y18">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w:t>
            </w:r>
          </w:hyperlink>
          <w:hyperlink w:anchor="_heading=h.19c6y18">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_heading=h.19c6y18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Use of the OECD Commentaries in Treaty Interpretation</w:t>
          </w:r>
          <w:r w:rsidDel="00000000" w:rsidR="00000000" w:rsidRPr="00000000">
            <w:rPr>
              <w:i w:val="0"/>
              <w:smallCaps w:val="0"/>
              <w:strike w:val="0"/>
              <w:color w:val="000000"/>
              <w:sz w:val="22"/>
              <w:szCs w:val="22"/>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i w:val="0"/>
              <w:smallCaps w:val="0"/>
              <w:strike w:val="0"/>
              <w:color w:val="000000"/>
              <w:sz w:val="24"/>
              <w:szCs w:val="24"/>
              <w:u w:val="none"/>
              <w:shd w:fill="auto" w:val="clear"/>
              <w:vertAlign w:val="baseline"/>
            </w:rPr>
          </w:pPr>
          <w:hyperlink w:anchor="_heading=h.3tbugp1">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w:t>
            </w:r>
          </w:hyperlink>
          <w:hyperlink w:anchor="_heading=h.3tbugp1">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_heading=h.3tbugp1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Judicial Use of the OECD Commentaries</w:t>
          </w:r>
          <w:r w:rsidDel="00000000" w:rsidR="00000000" w:rsidRPr="00000000">
            <w:rPr>
              <w:i w:val="0"/>
              <w:smallCaps w:val="0"/>
              <w:strike w:val="0"/>
              <w:color w:val="000000"/>
              <w:sz w:val="22"/>
              <w:szCs w:val="22"/>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i w:val="0"/>
              <w:smallCaps w:val="0"/>
              <w:strike w:val="0"/>
              <w:color w:val="000000"/>
              <w:sz w:val="24"/>
              <w:szCs w:val="24"/>
              <w:u w:val="none"/>
              <w:shd w:fill="auto" w:val="clear"/>
              <w:vertAlign w:val="baseline"/>
            </w:rPr>
          </w:pPr>
          <w:hyperlink w:anchor="_heading=h.28h4qwu">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w:t>
            </w:r>
          </w:hyperlink>
          <w:hyperlink w:anchor="_heading=h.28h4qwu">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_heading=h.28h4qwu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Criticism and Limitations</w:t>
          </w:r>
          <w:r w:rsidDel="00000000" w:rsidR="00000000" w:rsidRPr="00000000">
            <w:rPr>
              <w:i w:val="0"/>
              <w:smallCaps w:val="0"/>
              <w:strike w:val="0"/>
              <w:color w:val="000000"/>
              <w:sz w:val="22"/>
              <w:szCs w:val="22"/>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nmf14n">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E.4. APPLICATION OF ARTICLE 3(2), OECD and UN MTC</w:t>
            </w:r>
          </w:hyperlink>
          <w:hyperlink w:anchor="_heading=h.nmf14n">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i w:val="0"/>
              <w:smallCaps w:val="0"/>
              <w:strike w:val="0"/>
              <w:color w:val="000000"/>
              <w:sz w:val="24"/>
              <w:szCs w:val="24"/>
              <w:u w:val="none"/>
              <w:shd w:fill="auto" w:val="clear"/>
              <w:vertAlign w:val="baseline"/>
            </w:rPr>
          </w:pPr>
          <w:hyperlink w:anchor="_heading=h.37m2js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w:t>
            </w:r>
          </w:hyperlink>
          <w:hyperlink w:anchor="_heading=h.37m2js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_heading=h.37m2jsg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Background</w:t>
          </w:r>
          <w:r w:rsidDel="00000000" w:rsidR="00000000" w:rsidRPr="00000000">
            <w:rPr>
              <w:i w:val="0"/>
              <w:smallCaps w:val="0"/>
              <w:strike w:val="0"/>
              <w:color w:val="000000"/>
              <w:sz w:val="22"/>
              <w:szCs w:val="22"/>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i w:val="0"/>
              <w:smallCaps w:val="0"/>
              <w:strike w:val="0"/>
              <w:color w:val="000000"/>
              <w:sz w:val="24"/>
              <w:szCs w:val="24"/>
              <w:u w:val="none"/>
              <w:shd w:fill="auto" w:val="clear"/>
              <w:vertAlign w:val="baseline"/>
            </w:rPr>
          </w:pPr>
          <w:hyperlink w:anchor="_heading=h.1mrcu09">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w:t>
            </w:r>
          </w:hyperlink>
          <w:hyperlink w:anchor="_heading=h.1mrcu09">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_heading=h.1mrcu09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Dynamic Interpretation of Undefined Terms</w:t>
          </w:r>
          <w:r w:rsidDel="00000000" w:rsidR="00000000" w:rsidRPr="00000000">
            <w:rPr>
              <w:i w:val="0"/>
              <w:smallCaps w:val="0"/>
              <w:strike w:val="0"/>
              <w:color w:val="000000"/>
              <w:sz w:val="22"/>
              <w:szCs w:val="22"/>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i w:val="0"/>
              <w:smallCaps w:val="0"/>
              <w:strike w:val="0"/>
              <w:color w:val="000000"/>
              <w:sz w:val="24"/>
              <w:szCs w:val="24"/>
              <w:u w:val="none"/>
              <w:shd w:fill="auto" w:val="clear"/>
              <w:vertAlign w:val="baseline"/>
            </w:rPr>
          </w:pPr>
          <w:hyperlink w:anchor="_heading=h.46r0co2">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w:t>
            </w:r>
          </w:hyperlink>
          <w:hyperlink w:anchor="_heading=h.46r0co2">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_heading=h.46r0co2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Context Prevails</w:t>
          </w:r>
          <w:r w:rsidDel="00000000" w:rsidR="00000000" w:rsidRPr="00000000">
            <w:rPr>
              <w:i w:val="0"/>
              <w:smallCaps w:val="0"/>
              <w:strike w:val="0"/>
              <w:color w:val="000000"/>
              <w:sz w:val="22"/>
              <w:szCs w:val="22"/>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i w:val="0"/>
              <w:smallCaps w:val="0"/>
              <w:strike w:val="0"/>
              <w:color w:val="000000"/>
              <w:sz w:val="24"/>
              <w:szCs w:val="24"/>
              <w:u w:val="none"/>
              <w:shd w:fill="auto" w:val="clear"/>
              <w:vertAlign w:val="baseline"/>
            </w:rPr>
          </w:pPr>
          <w:hyperlink w:anchor="_heading=h.2lwamvv">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w:t>
            </w:r>
          </w:hyperlink>
          <w:hyperlink w:anchor="_heading=h.2lwamvv">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_heading=h.2lwamvv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Balancing Permanence and Practicality</w:t>
          </w:r>
          <w:r w:rsidDel="00000000" w:rsidR="00000000" w:rsidRPr="00000000">
            <w:rPr>
              <w:i w:val="0"/>
              <w:smallCaps w:val="0"/>
              <w:strike w:val="0"/>
              <w:color w:val="000000"/>
              <w:sz w:val="22"/>
              <w:szCs w:val="22"/>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i w:val="0"/>
              <w:smallCaps w:val="0"/>
              <w:strike w:val="0"/>
              <w:color w:val="000000"/>
              <w:sz w:val="24"/>
              <w:szCs w:val="24"/>
              <w:u w:val="none"/>
              <w:shd w:fill="auto" w:val="clear"/>
              <w:vertAlign w:val="baseline"/>
            </w:rPr>
          </w:pPr>
          <w:hyperlink w:anchor="_heading=h.111kx3o">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w:t>
            </w:r>
          </w:hyperlink>
          <w:hyperlink w:anchor="_heading=h.111kx3o">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_heading=h.111kx3o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Definitions in Applicable Tax Laws Preferred</w:t>
          </w:r>
          <w:r w:rsidDel="00000000" w:rsidR="00000000" w:rsidRPr="00000000">
            <w:rPr>
              <w:i w:val="0"/>
              <w:smallCaps w:val="0"/>
              <w:strike w:val="0"/>
              <w:color w:val="000000"/>
              <w:sz w:val="22"/>
              <w:szCs w:val="22"/>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l18fr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w:t>
            </w:r>
          </w:hyperlink>
          <w:hyperlink w:anchor="_heading=h.3l18fr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_heading=h.3l18frh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Options on the Application of Article 25</w:t>
          </w:r>
          <w:r w:rsidDel="00000000" w:rsidR="00000000" w:rsidRPr="00000000">
            <w:rPr>
              <w:i w:val="0"/>
              <w:smallCaps w:val="0"/>
              <w:strike w:val="0"/>
              <w:color w:val="000000"/>
              <w:sz w:val="22"/>
              <w:szCs w:val="22"/>
              <w:u w:val="none"/>
              <w:shd w:fill="auto" w:val="clear"/>
              <w:vertAlign w:val="baseline"/>
              <w:rtl w:val="0"/>
            </w:rPr>
            <w:tab/>
            <w:t xml:space="preserve">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06ipza">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E.5. RESOLVING INTERPRETATION ISSUES BY COMPETENT AUTHORITY PROCEEDINGS</w:t>
            </w:r>
          </w:hyperlink>
          <w:hyperlink w:anchor="_heading=h.206ipza">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i w:val="0"/>
              <w:smallCaps w:val="0"/>
              <w:strike w:val="0"/>
              <w:color w:val="000000"/>
              <w:sz w:val="24"/>
              <w:szCs w:val="24"/>
              <w:u w:val="none"/>
              <w:shd w:fill="auto" w:val="clear"/>
              <w:vertAlign w:val="baseline"/>
            </w:rPr>
          </w:pPr>
          <w:hyperlink w:anchor="_heading=h.4k668n3">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w:t>
            </w:r>
          </w:hyperlink>
          <w:hyperlink w:anchor="_heading=h.4k668n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_heading=h.4k668n3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Background</w:t>
          </w:r>
          <w:r w:rsidDel="00000000" w:rsidR="00000000" w:rsidRPr="00000000">
            <w:rPr>
              <w:i w:val="0"/>
              <w:smallCaps w:val="0"/>
              <w:strike w:val="0"/>
              <w:color w:val="000000"/>
              <w:sz w:val="22"/>
              <w:szCs w:val="22"/>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i w:val="0"/>
              <w:smallCaps w:val="0"/>
              <w:strike w:val="0"/>
              <w:color w:val="000000"/>
              <w:sz w:val="24"/>
              <w:szCs w:val="24"/>
              <w:u w:val="none"/>
              <w:shd w:fill="auto" w:val="clear"/>
              <w:vertAlign w:val="baseline"/>
            </w:rPr>
          </w:pPr>
          <w:hyperlink w:anchor="_heading=h.2zbgiuw">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w:t>
            </w:r>
          </w:hyperlink>
          <w:hyperlink w:anchor="_heading=h.2zbgiuw">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_heading=h.2zbgiuw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Difficulties of Interpretation</w:t>
          </w:r>
          <w:r w:rsidDel="00000000" w:rsidR="00000000" w:rsidRPr="00000000">
            <w:rPr>
              <w:i w:val="0"/>
              <w:smallCaps w:val="0"/>
              <w:strike w:val="0"/>
              <w:color w:val="000000"/>
              <w:sz w:val="22"/>
              <w:szCs w:val="22"/>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i w:val="0"/>
              <w:smallCaps w:val="0"/>
              <w:strike w:val="0"/>
              <w:color w:val="000000"/>
              <w:sz w:val="24"/>
              <w:szCs w:val="24"/>
              <w:u w:val="none"/>
              <w:shd w:fill="auto" w:val="clear"/>
              <w:vertAlign w:val="baseline"/>
            </w:rPr>
          </w:pPr>
          <w:hyperlink w:anchor="_heading=h.1egqt2p">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w:t>
            </w:r>
          </w:hyperlink>
          <w:hyperlink w:anchor="_heading=h.1egqt2p">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_heading=h.1egqt2p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Binding Effect of Mutual Agreements</w:t>
          </w:r>
          <w:r w:rsidDel="00000000" w:rsidR="00000000" w:rsidRPr="00000000">
            <w:rPr>
              <w:i w:val="0"/>
              <w:smallCaps w:val="0"/>
              <w:strike w:val="0"/>
              <w:color w:val="000000"/>
              <w:sz w:val="22"/>
              <w:szCs w:val="22"/>
              <w:u w:val="none"/>
              <w:shd w:fill="auto" w:val="clear"/>
              <w:vertAlign w:val="baseline"/>
              <w:rtl w:val="0"/>
            </w:rPr>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i w:val="0"/>
              <w:smallCaps w:val="0"/>
              <w:strike w:val="0"/>
              <w:color w:val="000000"/>
              <w:sz w:val="24"/>
              <w:szCs w:val="24"/>
              <w:u w:val="none"/>
              <w:shd w:fill="auto" w:val="clear"/>
              <w:vertAlign w:val="baseline"/>
            </w:rPr>
          </w:pPr>
          <w:hyperlink w:anchor="_heading=h.3ygebqi">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w:t>
            </w:r>
          </w:hyperlink>
          <w:hyperlink w:anchor="_heading=h.3ygebqi">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_heading=h.3ygebqi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Necessitating of Protocol to Complement the Convention</w:t>
          </w:r>
          <w:r w:rsidDel="00000000" w:rsidR="00000000" w:rsidRPr="00000000">
            <w:rPr>
              <w:i w:val="0"/>
              <w:smallCaps w:val="0"/>
              <w:strike w:val="0"/>
              <w:color w:val="000000"/>
              <w:sz w:val="22"/>
              <w:szCs w:val="22"/>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i w:val="0"/>
              <w:smallCaps w:val="0"/>
              <w:strike w:val="0"/>
              <w:color w:val="000000"/>
              <w:sz w:val="24"/>
              <w:szCs w:val="24"/>
              <w:u w:val="none"/>
              <w:shd w:fill="auto" w:val="clear"/>
              <w:vertAlign w:val="baseline"/>
            </w:rPr>
          </w:pPr>
          <w:hyperlink w:anchor="_heading=h.2dlolyb">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w:t>
            </w:r>
          </w:hyperlink>
          <w:hyperlink w:anchor="_heading=h.2dlolyb">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_heading=h.2dlolyb \h </w:instrText>
            <w:fldChar w:fldCharType="separate"/>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Effectiveness of Article 25(3)</w:t>
          </w:r>
          <w:r w:rsidDel="00000000" w:rsidR="00000000" w:rsidRPr="00000000">
            <w:rPr>
              <w:i w:val="0"/>
              <w:smallCaps w:val="0"/>
              <w:strike w:val="0"/>
              <w:color w:val="000000"/>
              <w:sz w:val="22"/>
              <w:szCs w:val="22"/>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jc w:val="both"/>
            <w:rPr>
              <w:rFonts w:ascii="Arial" w:cs="Arial" w:eastAsia="Arial" w:hAnsi="Arial"/>
              <w:b w:val="1"/>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jc w:val="both"/>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b w:val="1"/>
          <w:sz w:val="30"/>
          <w:szCs w:val="30"/>
          <w:u w:val="single"/>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Title"/>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 INTERPRETATION OF DTCS</w:t>
      </w:r>
    </w:p>
    <w:p w:rsidR="00000000" w:rsidDel="00000000" w:rsidP="00000000" w:rsidRDefault="00000000" w:rsidRPr="00000000" w14:paraId="0000002C">
      <w:pPr>
        <w:pStyle w:val="Heading1"/>
        <w:jc w:val="both"/>
        <w:rPr>
          <w:sz w:val="28"/>
          <w:szCs w:val="28"/>
        </w:rPr>
      </w:pPr>
      <w:bookmarkStart w:colFirst="0" w:colLast="0" w:name="_heading=h.2xcytpi" w:id="0"/>
      <w:bookmarkEnd w:id="0"/>
      <w:r w:rsidDel="00000000" w:rsidR="00000000" w:rsidRPr="00000000">
        <w:rPr>
          <w:sz w:val="28"/>
          <w:szCs w:val="28"/>
          <w:rtl w:val="0"/>
        </w:rPr>
        <w:t xml:space="preserve">E.1. GENERAL APPROACH TO INTERPRETATION</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single global approach to the interpretation of double tax conventions (DTCs). Instead, the interpretation relies on principles established through international treaty law, domestic jurisprudence, and academic commentary. While the Vienna Convention on the Law of Treaties (VCLT) of 1969 provides a general framework, variations exist in application due to differences in legal traditions and domestic laws. The general approach aims to establish uniformity and consistency, guided by treaty-specific rules and contextual analysis. This note examines the interpretive framework, emphasizing treaty-specific rules, the VCLT, and relevant judicial precedents.</w:t>
      </w:r>
    </w:p>
    <w:p w:rsidR="00000000" w:rsidDel="00000000" w:rsidP="00000000" w:rsidRDefault="00000000" w:rsidRPr="00000000" w14:paraId="0000002E">
      <w:pPr>
        <w:pStyle w:val="Heading2"/>
        <w:numPr>
          <w:ilvl w:val="0"/>
          <w:numId w:val="3"/>
        </w:numPr>
        <w:ind w:left="360" w:hanging="360"/>
        <w:rPr>
          <w:rFonts w:ascii="Times New Roman" w:cs="Times New Roman" w:eastAsia="Times New Roman" w:hAnsi="Times New Roman"/>
          <w:b w:val="1"/>
          <w:color w:val="000000"/>
          <w:sz w:val="27"/>
          <w:szCs w:val="27"/>
        </w:rPr>
      </w:pPr>
      <w:bookmarkStart w:colFirst="0" w:colLast="0" w:name="_heading=h.1ci93xb" w:id="1"/>
      <w:bookmarkEnd w:id="1"/>
      <w:r w:rsidDel="00000000" w:rsidR="00000000" w:rsidRPr="00000000">
        <w:rPr>
          <w:rFonts w:ascii="Times New Roman" w:cs="Times New Roman" w:eastAsia="Times New Roman" w:hAnsi="Times New Roman"/>
          <w:b w:val="1"/>
          <w:color w:val="000000"/>
          <w:sz w:val="27"/>
          <w:szCs w:val="27"/>
          <w:rtl w:val="0"/>
        </w:rPr>
        <w:t xml:space="preserve">Vienna Convention on the Law of Treaties (VCLT)</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VCLT forms the primary authority for interpreting international treaties, including DTCs. Article 31(1) of the VCLT mandates that treaties must be interpreted in good faith based on the ordinary meaning of terms in their context and in light of their object and purpose. This general rule emphasizes:</w:t>
      </w:r>
    </w:p>
    <w:p w:rsidR="00000000" w:rsidDel="00000000" w:rsidP="00000000" w:rsidRDefault="00000000" w:rsidRPr="00000000" w14:paraId="00000030">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Ordinary meaning / Textual Interpretation</w:t>
      </w:r>
      <w:r w:rsidDel="00000000" w:rsidR="00000000" w:rsidRPr="00000000">
        <w:rPr>
          <w:rFonts w:ascii="Times New Roman" w:cs="Times New Roman" w:eastAsia="Times New Roman" w:hAnsi="Times New Roman"/>
          <w:sz w:val="24"/>
          <w:szCs w:val="24"/>
          <w:rtl w:val="0"/>
        </w:rPr>
        <w:t xml:space="preserve"> - The textual approach prioritizes the ordinary meaning of treaty terms. Courts examine the plain language of provisions, giving effect to their literal interpretation. This method ensures clarity and reduces the risk of subjective interpretation. However, critics argue that rigid textual reliance may overlook the treaty's broader purpose, especially when terms carry multiple meanings in different jurisdictions.</w:t>
      </w:r>
    </w:p>
    <w:p w:rsidR="00000000" w:rsidDel="00000000" w:rsidP="00000000" w:rsidRDefault="00000000" w:rsidRPr="00000000" w14:paraId="00000031">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Contextual Interpretation</w:t>
      </w:r>
      <w:r w:rsidDel="00000000" w:rsidR="00000000" w:rsidRPr="00000000">
        <w:rPr>
          <w:rFonts w:ascii="Times New Roman" w:cs="Times New Roman" w:eastAsia="Times New Roman" w:hAnsi="Times New Roman"/>
          <w:sz w:val="24"/>
          <w:szCs w:val="24"/>
          <w:rtl w:val="0"/>
        </w:rPr>
        <w:t xml:space="preserve"> - The contextual method expands beyond the text, considering preambles, annexes, and related agreements to uncover the drafters' intent. Contextual analysis recognizes that treaties often reflect compromises between negotiating states, requiring a holistic approach to interpretation. The use of context also aids in resolving inconsistencies, especially where provisions interact with one another.</w:t>
      </w:r>
    </w:p>
    <w:p w:rsidR="00000000" w:rsidDel="00000000" w:rsidP="00000000" w:rsidRDefault="00000000" w:rsidRPr="00000000" w14:paraId="00000032">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Purposive / Teleological Approach</w:t>
      </w:r>
      <w:r w:rsidDel="00000000" w:rsidR="00000000" w:rsidRPr="00000000">
        <w:rPr>
          <w:rFonts w:ascii="Times New Roman" w:cs="Times New Roman" w:eastAsia="Times New Roman" w:hAnsi="Times New Roman"/>
          <w:sz w:val="24"/>
          <w:szCs w:val="24"/>
          <w:rtl w:val="0"/>
        </w:rPr>
        <w:t xml:space="preserve"> - A teleological approach seeks to interpret provisions in light of the treaty's purpose. DTCs generally aim to eliminate double taxation, promote trade, and prevent tax evasion. This approach requires courts to emphasize broader objectives over narrow textual readings, promoting fairness and cooperation among states.</w:t>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32 of the VCLT permits recourse to supplementary materials, such as preparatory work and negotiation records, where textual interpretation leads to ambiguity or absurdity. Supplementary materials often clarify intentions, ensuring consistency between interpretations. Article 33 addresses multilingual texts, asserting that equal authenticity applies unless a specific provision indicates otherwise, addressing concerns about linguistic variations.</w:t>
      </w:r>
    </w:p>
    <w:p w:rsidR="00000000" w:rsidDel="00000000" w:rsidP="00000000" w:rsidRDefault="00000000" w:rsidRPr="00000000" w14:paraId="00000034">
      <w:pPr>
        <w:pStyle w:val="Heading2"/>
        <w:numPr>
          <w:ilvl w:val="0"/>
          <w:numId w:val="3"/>
        </w:numPr>
        <w:ind w:left="360" w:hanging="360"/>
        <w:rPr>
          <w:rFonts w:ascii="Times New Roman" w:cs="Times New Roman" w:eastAsia="Times New Roman" w:hAnsi="Times New Roman"/>
          <w:b w:val="1"/>
          <w:color w:val="000000"/>
          <w:sz w:val="27"/>
          <w:szCs w:val="27"/>
        </w:rPr>
      </w:pPr>
      <w:bookmarkStart w:colFirst="0" w:colLast="0" w:name="_heading=h.3whwml4" w:id="2"/>
      <w:bookmarkEnd w:id="2"/>
      <w:r w:rsidDel="00000000" w:rsidR="00000000" w:rsidRPr="00000000">
        <w:rPr>
          <w:rFonts w:ascii="Times New Roman" w:cs="Times New Roman" w:eastAsia="Times New Roman" w:hAnsi="Times New Roman"/>
          <w:b w:val="1"/>
          <w:color w:val="000000"/>
          <w:sz w:val="27"/>
          <w:szCs w:val="27"/>
          <w:rtl w:val="0"/>
        </w:rPr>
        <w:t xml:space="preserve">OECD and UN Models as Contextual Guides</w:t>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OECD Model Tax Convention (OECD MTC) and the UN Model Double Taxation Convention (UN MTC) serve as vital resources for interpretation. Both models contain commentaries explaining the rationale behind specific provisions, making them indispensable for resolving ambiguities and ensuring consistency in cross-border taxation practices.</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OECD MTC reflects the practices of developed countries, focusing on capital-exporting nations and emphasizing the residence principle. It is often utilized by courts in economically advanced jurisdictions where taxation based on residency is prioritized. In contrast, the UN MTC caters to developing nations, emphasizing source-based taxation and addressing concerns related to revenue leakage and fairness in allocation of taxing rights. The UN model often seeks to protect the tax base of capital-importing countries, making it particularly relevant in disputes involving emerging economies.</w:t>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Courts often use these models as persuasive tools, interpreting provisions in line with international consensus and ensuring uniformity in treaty interpretation. Additionally, the commentaries accompanying the models provide insights into the intentions behind provisions, helping resolve ambiguities arising from undefined terms or conflicting interpretations.</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Case Reference:</w:t>
      </w:r>
      <w:r w:rsidDel="00000000" w:rsidR="00000000" w:rsidRPr="00000000">
        <w:rPr>
          <w:rFonts w:ascii="Times New Roman" w:cs="Times New Roman" w:eastAsia="Times New Roman" w:hAnsi="Times New Roman"/>
          <w:sz w:val="24"/>
          <w:szCs w:val="24"/>
          <w:rtl w:val="0"/>
        </w:rPr>
        <w:t xml:space="preserve"> In </w:t>
      </w:r>
      <w:r w:rsidDel="00000000" w:rsidR="00000000" w:rsidRPr="00000000">
        <w:rPr>
          <w:rFonts w:ascii="Times New Roman" w:cs="Times New Roman" w:eastAsia="Times New Roman" w:hAnsi="Times New Roman"/>
          <w:i w:val="1"/>
          <w:sz w:val="24"/>
          <w:szCs w:val="24"/>
          <w:rtl w:val="0"/>
        </w:rPr>
        <w:t xml:space="preserve">Crown Forest Industries Ltd v. Canada</w:t>
      </w:r>
      <w:r w:rsidDel="00000000" w:rsidR="00000000" w:rsidRPr="00000000">
        <w:rPr>
          <w:rFonts w:ascii="Times New Roman" w:cs="Times New Roman" w:eastAsia="Times New Roman" w:hAnsi="Times New Roman"/>
          <w:sz w:val="24"/>
          <w:szCs w:val="24"/>
          <w:rtl w:val="0"/>
        </w:rPr>
        <w:t xml:space="preserve"> [1995] 2 S.C.R. 802, the Canadian Supreme Court relied on OECD commentary to clarify the definition of 'place of effective management.' The court’s use of the OECD model highlights its relevance as a tool for consistent international practices, demonstrating that judicial reliance on commentaries can promote coherent and harmonized interpretations of DTCs.</w:t>
      </w:r>
    </w:p>
    <w:p w:rsidR="00000000" w:rsidDel="00000000" w:rsidP="00000000" w:rsidRDefault="00000000" w:rsidRPr="00000000" w14:paraId="00000039">
      <w:pPr>
        <w:pStyle w:val="Heading2"/>
        <w:numPr>
          <w:ilvl w:val="0"/>
          <w:numId w:val="3"/>
        </w:numPr>
        <w:ind w:left="360" w:hanging="360"/>
        <w:rPr>
          <w:rFonts w:ascii="Times New Roman" w:cs="Times New Roman" w:eastAsia="Times New Roman" w:hAnsi="Times New Roman"/>
          <w:b w:val="1"/>
          <w:color w:val="000000"/>
          <w:sz w:val="27"/>
          <w:szCs w:val="27"/>
        </w:rPr>
      </w:pPr>
      <w:bookmarkStart w:colFirst="0" w:colLast="0" w:name="_heading=h.2bn6wsx" w:id="3"/>
      <w:bookmarkEnd w:id="3"/>
      <w:r w:rsidDel="00000000" w:rsidR="00000000" w:rsidRPr="00000000">
        <w:rPr>
          <w:rFonts w:ascii="Times New Roman" w:cs="Times New Roman" w:eastAsia="Times New Roman" w:hAnsi="Times New Roman"/>
          <w:b w:val="1"/>
          <w:color w:val="000000"/>
          <w:sz w:val="27"/>
          <w:szCs w:val="27"/>
          <w:rtl w:val="0"/>
        </w:rPr>
        <w:t xml:space="preserve">Good Faith and Object-Purpose Analysis</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31(1) of the VCLT underscores the importance of interpreting treaties in good faith. The principle of good faith requires courts to adopt interpretations that reflect the genuine intentions of the contracting parties while respecting the text and structure of the treaty. Courts must avoid interpretations that lead to outcomes inconsistent with the treaty’s overarching goals, particularly in promoting economic cooperation, avoiding double taxation, and preventing tax evasion.</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 and purpose analysis emphasizes that the preamble and broader objectives of DTCs guide interpretation. The preamble often explicitly states the treaty’s aim to eliminate double taxation and prevent tax avoidance, providing an interpretive lens that courts must adopt. This approach ensures that interpretations are aligned with the treaty’s spirit, balancing textual clarity with practical economic outcomes. It is particularly relevant in resolving disputes where literal interpretations may lead to results that frustrate the treaty’s objectives.</w:t>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Courts also consider whether the application of a provision supports international cooperation and fairness, ensuring that neither tax avoidance nor double taxation undermines the agreement’s effectiveness. For example, interpretations focusing solely on tax exemptions without considering anti-abuse provisions may fail the good faith requirement.</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Case Reference:</w:t>
      </w:r>
      <w:r w:rsidDel="00000000" w:rsidR="00000000" w:rsidRPr="00000000">
        <w:rPr>
          <w:rFonts w:ascii="Times New Roman" w:cs="Times New Roman" w:eastAsia="Times New Roman" w:hAnsi="Times New Roman"/>
          <w:sz w:val="24"/>
          <w:szCs w:val="24"/>
          <w:rtl w:val="0"/>
        </w:rPr>
        <w:t xml:space="preserve"> The UK House of Lords in </w:t>
      </w:r>
      <w:r w:rsidDel="00000000" w:rsidR="00000000" w:rsidRPr="00000000">
        <w:rPr>
          <w:rFonts w:ascii="Times New Roman" w:cs="Times New Roman" w:eastAsia="Times New Roman" w:hAnsi="Times New Roman"/>
          <w:i w:val="1"/>
          <w:sz w:val="24"/>
          <w:szCs w:val="24"/>
          <w:rtl w:val="0"/>
        </w:rPr>
        <w:t xml:space="preserve">IRC v. Commerzbank AG</w:t>
      </w:r>
      <w:r w:rsidDel="00000000" w:rsidR="00000000" w:rsidRPr="00000000">
        <w:rPr>
          <w:rFonts w:ascii="Times New Roman" w:cs="Times New Roman" w:eastAsia="Times New Roman" w:hAnsi="Times New Roman"/>
          <w:sz w:val="24"/>
          <w:szCs w:val="24"/>
          <w:rtl w:val="0"/>
        </w:rPr>
        <w:t xml:space="preserve"> [1990] 2 AC 295 adopted a purposive approach, emphasizing that treaty provisions should align with their broader objectives rather than adhering strictly to literal interpretations. The decision demonstrates the balancing act between textual precision and purpose-driven interpretation, ensuring fairness and consistency in cross-border taxation.</w:t>
      </w:r>
    </w:p>
    <w:p w:rsidR="00000000" w:rsidDel="00000000" w:rsidP="00000000" w:rsidRDefault="00000000" w:rsidRPr="00000000" w14:paraId="0000003E">
      <w:pPr>
        <w:pStyle w:val="Heading2"/>
        <w:numPr>
          <w:ilvl w:val="0"/>
          <w:numId w:val="3"/>
        </w:numPr>
        <w:ind w:left="360" w:hanging="360"/>
        <w:rPr>
          <w:rFonts w:ascii="Times New Roman" w:cs="Times New Roman" w:eastAsia="Times New Roman" w:hAnsi="Times New Roman"/>
          <w:b w:val="1"/>
          <w:color w:val="000000"/>
          <w:sz w:val="27"/>
          <w:szCs w:val="27"/>
        </w:rPr>
      </w:pPr>
      <w:bookmarkStart w:colFirst="0" w:colLast="0" w:name="_heading=h.qsh70q" w:id="4"/>
      <w:bookmarkEnd w:id="4"/>
      <w:r w:rsidDel="00000000" w:rsidR="00000000" w:rsidRPr="00000000">
        <w:rPr>
          <w:rFonts w:ascii="Times New Roman" w:cs="Times New Roman" w:eastAsia="Times New Roman" w:hAnsi="Times New Roman"/>
          <w:b w:val="1"/>
          <w:color w:val="000000"/>
          <w:sz w:val="27"/>
          <w:szCs w:val="27"/>
          <w:rtl w:val="0"/>
        </w:rPr>
        <w:t xml:space="preserve">Ambiguity and Supplementary Means</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Ambiguities often arise in the interpretation of double tax conventions due to undefined terms, complex language, or variations in translation. Article 32 of the VCLT provides a framework for resolving such ambiguities by allowing recourse to supplementary means of interpretation. These supplementary materials include travaux préparatoires (preparatory works), diplomatic exchanges, negotiation records, and subsequent agreements or practices between the parties.</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Supplementary means play a critical role in addressing uncertainties where textual or contextual interpretations fail to yield clear answers. They assist in revealing the intent of the contracting parties during treaty negotiations and clarifying the scope and purpose of specific provisions. Courts often rely on these materials to ensure interpretations align with the treaty’s objectives while promoting consistency and fairness in international tax practices.</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instance, preparatory works may shed light on the meaning of terms omitted from formal definitions, while diplomatic correspondences may clarify how provisions were intended to apply in practice. Subsequent agreements between contracting states can also demonstrate evolving interpretations that reflect current economic and legal realities.</w:t>
      </w:r>
    </w:p>
    <w:p w:rsidR="00000000" w:rsidDel="00000000" w:rsidP="00000000" w:rsidRDefault="00000000" w:rsidRPr="00000000" w14:paraId="00000042">
      <w:pPr>
        <w:pStyle w:val="Heading2"/>
        <w:numPr>
          <w:ilvl w:val="0"/>
          <w:numId w:val="3"/>
        </w:numPr>
        <w:ind w:left="360" w:hanging="360"/>
        <w:rPr>
          <w:rFonts w:ascii="Times New Roman" w:cs="Times New Roman" w:eastAsia="Times New Roman" w:hAnsi="Times New Roman"/>
          <w:b w:val="1"/>
          <w:color w:val="000000"/>
          <w:sz w:val="27"/>
          <w:szCs w:val="27"/>
        </w:rPr>
      </w:pPr>
      <w:bookmarkStart w:colFirst="0" w:colLast="0" w:name="_heading=h.3as4poj" w:id="5"/>
      <w:bookmarkEnd w:id="5"/>
      <w:r w:rsidDel="00000000" w:rsidR="00000000" w:rsidRPr="00000000">
        <w:rPr>
          <w:rFonts w:ascii="Times New Roman" w:cs="Times New Roman" w:eastAsia="Times New Roman" w:hAnsi="Times New Roman"/>
          <w:b w:val="1"/>
          <w:color w:val="000000"/>
          <w:sz w:val="27"/>
          <w:szCs w:val="27"/>
          <w:rtl w:val="0"/>
        </w:rPr>
        <w:t xml:space="preserve">Domestic Legislation and Context</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DTCs are implemented through domestic legislation, which serves as the foundation for applying treaty provisions within a country’s legal framework. However, domestic courts must balance adherence to national laws with the need to honor international commitments under treaties. This dual obligation often requires courts to navigate conflicts between domestic statutes and treaty obligations, prioritizing the latter in cases where inconsistencies arise, given that treaties generally hold superior status under international law.</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Domestic legislation can also influence the interpretation of undefined terms within treaties, as Article 3(2) of the OECD / UN MTC allows recourse to domestic law definitions unless the context requires otherwise. While this approach offers flexibility, it may lead to discrepancies when interpretations differ across jurisdictions, potentially undermining uniformity. To address this challenge, courts frequently adopt contextual analysis to harmonize domestic definitions with treaty objectives.</w:t>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DTCs are often incorporated into domestic law through enabling statutes, which may impose additional procedural requirements or interpretations distinct from those envisioned during treaty negotiations. Courts must assess whether such legislative frameworks preserve the intent of the treaty or deviate from it, ensuring interpretations align with international principles.</w:t>
      </w:r>
    </w:p>
    <w:p w:rsidR="00000000" w:rsidDel="00000000" w:rsidP="00000000" w:rsidRDefault="00000000" w:rsidRPr="00000000" w14:paraId="00000046">
      <w:pPr>
        <w:pStyle w:val="Heading2"/>
        <w:numPr>
          <w:ilvl w:val="0"/>
          <w:numId w:val="3"/>
        </w:numPr>
        <w:ind w:left="360" w:hanging="360"/>
        <w:rPr>
          <w:rFonts w:ascii="Times New Roman" w:cs="Times New Roman" w:eastAsia="Times New Roman" w:hAnsi="Times New Roman"/>
          <w:b w:val="1"/>
          <w:color w:val="000000"/>
          <w:sz w:val="27"/>
          <w:szCs w:val="27"/>
        </w:rPr>
      </w:pPr>
      <w:bookmarkStart w:colFirst="0" w:colLast="0" w:name="_heading=h.1pxezwc" w:id="6"/>
      <w:bookmarkEnd w:id="6"/>
      <w:r w:rsidDel="00000000" w:rsidR="00000000" w:rsidRPr="00000000">
        <w:rPr>
          <w:rFonts w:ascii="Times New Roman" w:cs="Times New Roman" w:eastAsia="Times New Roman" w:hAnsi="Times New Roman"/>
          <w:b w:val="1"/>
          <w:color w:val="000000"/>
          <w:sz w:val="27"/>
          <w:szCs w:val="27"/>
          <w:rtl w:val="0"/>
        </w:rPr>
        <w:t xml:space="preserve">Static vs. Dynamic Interpretation</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interpretation of double tax conventions often raises the question of whether the provisions should be viewed statically, based on their original meaning at the time of drafting, or dynamically, reflecting modern developments in law, commerce, and economic practice. This debate impacts the flexibility and relevance of treaties as economic realities evolve.</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static interpretation approach maintains that treaty provisions must be understood according to the meaning intended at the time of their negotiation. Proponents of this view argue that treaties represent agreements with fixed obligations, and altering their interpretation risks undermining the certainty and predictability they provide for taxpayers and governments. Static interpretation is particularly useful where treaties explicitly define terms or where stability is a key concern, such as in long-standing trade relationships.</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contrast, dynamic interpretation allows treaties to adapt to contemporary developments, such as changes in technology, international standards, and economic practices. Courts adopting a dynamic approach often rely on updated OECD commentaries or subsequent agreements between contracting states to resolve ambiguities and ensure that treaty provisions remain effective. This approach is aligned with the evolving nature of international commerce and globalization.</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Judicial Application: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Anson v. HMRC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[2015] UKSC 44, the UK Supreme Court adopted a dynamic interpretation, aligning with OECD updates to address modern economic realities. The case highlights how courts balance respect for historical intent with the need to address contemporary tax planning techniques and cross-border transactions.</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courts often face scenarios where neither purely static nor purely dynamic approaches suffice, leading to a hybrid model that respects the original text while incorporating modern perspectives. </w:t>
      </w:r>
    </w:p>
    <w:p w:rsidR="00000000" w:rsidDel="00000000" w:rsidP="00000000" w:rsidRDefault="00000000" w:rsidRPr="00000000" w14:paraId="0000004C">
      <w:pPr>
        <w:pStyle w:val="Heading2"/>
        <w:numPr>
          <w:ilvl w:val="0"/>
          <w:numId w:val="3"/>
        </w:numPr>
        <w:ind w:left="360" w:hanging="360"/>
        <w:rPr>
          <w:rFonts w:ascii="Times New Roman" w:cs="Times New Roman" w:eastAsia="Times New Roman" w:hAnsi="Times New Roman"/>
          <w:b w:val="1"/>
          <w:color w:val="000000"/>
          <w:sz w:val="27"/>
          <w:szCs w:val="27"/>
        </w:rPr>
      </w:pPr>
      <w:bookmarkStart w:colFirst="0" w:colLast="0" w:name="_heading=h.49x2ik5" w:id="7"/>
      <w:bookmarkEnd w:id="7"/>
      <w:r w:rsidDel="00000000" w:rsidR="00000000" w:rsidRPr="00000000">
        <w:rPr>
          <w:rFonts w:ascii="Times New Roman" w:cs="Times New Roman" w:eastAsia="Times New Roman" w:hAnsi="Times New Roman"/>
          <w:b w:val="1"/>
          <w:color w:val="000000"/>
          <w:sz w:val="27"/>
          <w:szCs w:val="27"/>
          <w:rtl w:val="0"/>
        </w:rPr>
        <w:t xml:space="preserve">Special Rules for Undefined Terms</w:t>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3(2) of the OECD / UN MTC provides that undefined terms in double tax conventions (DTCs) are generally interpreted according to the meaning they have under the domestic law of the contracting state applying the treaty, unless the context requires otherwise. This provision recognizes that DTCs may not define every term explicitly, necessitating reliance on domestic law. However, this reliance creates challenges, as definitions under domestic law may vary significantly across jurisdictions, leading to potential inconsistencies.</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Courts often address this issue by considering the broader context of the treaty, including its purpose and structure, to determine whether a term should be interpreted in line with domestic law or requires a specialized meaning based on international standards. Contextual interpretation, supplemented by commentaries from the OECD, can prevent narrow domestic interpretations from undermining treaty objectives.</w:t>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situations where undefined terms are fundamental to treaty application, courts may also examine the travaux préparatoires (preparatory works) and mutual agreements between contracting states. These supplementary means can clarify the intended scope of undefined terms and ensure alignment with the treaty's purpose.</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Case Reference:</w:t>
      </w:r>
      <w:r w:rsidDel="00000000" w:rsidR="00000000" w:rsidRPr="00000000">
        <w:rPr>
          <w:rFonts w:ascii="Times New Roman" w:cs="Times New Roman" w:eastAsia="Times New Roman" w:hAnsi="Times New Roman"/>
          <w:sz w:val="24"/>
          <w:szCs w:val="24"/>
          <w:rtl w:val="0"/>
        </w:rPr>
        <w:t xml:space="preserve"> In </w:t>
      </w:r>
      <w:r w:rsidDel="00000000" w:rsidR="00000000" w:rsidRPr="00000000">
        <w:rPr>
          <w:rFonts w:ascii="Times New Roman" w:cs="Times New Roman" w:eastAsia="Times New Roman" w:hAnsi="Times New Roman"/>
          <w:i w:val="1"/>
          <w:sz w:val="24"/>
          <w:szCs w:val="24"/>
          <w:rtl w:val="0"/>
        </w:rPr>
        <w:t xml:space="preserve">Marshall v. HMRC</w:t>
      </w:r>
      <w:r w:rsidDel="00000000" w:rsidR="00000000" w:rsidRPr="00000000">
        <w:rPr>
          <w:rFonts w:ascii="Times New Roman" w:cs="Times New Roman" w:eastAsia="Times New Roman" w:hAnsi="Times New Roman"/>
          <w:sz w:val="24"/>
          <w:szCs w:val="24"/>
          <w:rtl w:val="0"/>
        </w:rPr>
        <w:t xml:space="preserve"> [2015] UKUT 162 (TCC), the court emphasized that while domestic law definitions could be referenced, the context and purpose of the treaty must prevail. This decision reinforced the need for interpretations that preserve international consistency and avoid distortions resulting from differing national definitions.</w:t>
      </w:r>
    </w:p>
    <w:p w:rsidR="00000000" w:rsidDel="00000000" w:rsidP="00000000" w:rsidRDefault="00000000" w:rsidRPr="00000000" w14:paraId="00000051">
      <w:pPr>
        <w:pStyle w:val="Heading2"/>
        <w:numPr>
          <w:ilvl w:val="0"/>
          <w:numId w:val="3"/>
        </w:numPr>
        <w:ind w:left="360" w:hanging="360"/>
        <w:rPr>
          <w:rFonts w:ascii="Times New Roman" w:cs="Times New Roman" w:eastAsia="Times New Roman" w:hAnsi="Times New Roman"/>
          <w:b w:val="1"/>
          <w:color w:val="000000"/>
          <w:sz w:val="27"/>
          <w:szCs w:val="27"/>
        </w:rPr>
      </w:pPr>
      <w:bookmarkStart w:colFirst="0" w:colLast="0" w:name="_heading=h.2p2csry" w:id="8"/>
      <w:bookmarkEnd w:id="8"/>
      <w:r w:rsidDel="00000000" w:rsidR="00000000" w:rsidRPr="00000000">
        <w:rPr>
          <w:rFonts w:ascii="Times New Roman" w:cs="Times New Roman" w:eastAsia="Times New Roman" w:hAnsi="Times New Roman"/>
          <w:b w:val="1"/>
          <w:color w:val="000000"/>
          <w:sz w:val="27"/>
          <w:szCs w:val="27"/>
          <w:rtl w:val="0"/>
        </w:rPr>
        <w:t xml:space="preserve">Interpretation of Anti-Avoidance Provisions</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double tax conventions (DTCs) increasingly incorporate anti-avoidance provisions to curb treaty abuse and aggressive tax planning. These provisions aim to preserve the integrity of tax treaties by preventing taxpayers from exploiting treaty benefits in ways that undermine their intended purpose. Among these, the Principal Purpose Test (PPT) introduced by the OECD Multilateral Instrument (MLI) serves as a key mechanism. The PPT denies treaty benefits if obtaining such benefits was one of the principal purposes of an arrangement or transaction, unless granting the benefit aligns with the object and purpose of the treaty.</w:t>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Courts interpret anti-avoidance provisions purposively, focusing on the economic substance and intent behind transactions rather than solely examining their legal form. This approach ensures that treaty benefits apply only to arrangements reflecting genuine commercial activity, deterring tax avoidance through artificial structures.</w:t>
      </w:r>
    </w:p>
    <w:p w:rsidR="00000000" w:rsidDel="00000000" w:rsidP="00000000" w:rsidRDefault="00000000" w:rsidRPr="00000000" w14:paraId="00000054">
      <w:pPr>
        <w:pStyle w:val="Heading2"/>
        <w:numPr>
          <w:ilvl w:val="0"/>
          <w:numId w:val="3"/>
        </w:numPr>
        <w:ind w:left="360" w:hanging="360"/>
        <w:rPr>
          <w:rFonts w:ascii="Times New Roman" w:cs="Times New Roman" w:eastAsia="Times New Roman" w:hAnsi="Times New Roman"/>
          <w:b w:val="1"/>
          <w:color w:val="000000"/>
          <w:sz w:val="27"/>
          <w:szCs w:val="27"/>
        </w:rPr>
      </w:pPr>
      <w:bookmarkStart w:colFirst="0" w:colLast="0" w:name="_heading=h.147n2zr" w:id="9"/>
      <w:bookmarkEnd w:id="9"/>
      <w:r w:rsidDel="00000000" w:rsidR="00000000" w:rsidRPr="00000000">
        <w:rPr>
          <w:rFonts w:ascii="Times New Roman" w:cs="Times New Roman" w:eastAsia="Times New Roman" w:hAnsi="Times New Roman"/>
          <w:b w:val="1"/>
          <w:color w:val="000000"/>
          <w:sz w:val="27"/>
          <w:szCs w:val="27"/>
          <w:rtl w:val="0"/>
        </w:rPr>
        <w:t xml:space="preserve">Lex Specialis Principle</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lex specialis principle resolves conflicts between general and specific provisions in double tax conventions (DTCs). It is based on the legal maxim that specific rules take precedence over general rules, ensuring clarity and consistency in treaty interpretation. This principle is particularly useful when multiple provisions apply to the same set of facts but produce conflicting results.</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DTCs, lex specialis is frequently invoked to prioritize articles dealing with specific types of income, such as business profits, interest, dividends, or royalties, over broader provisions. For instance, if a treaty contains both a general provision on income taxation and a specific provision addressing dividends, the latter will override the former in disputes involving dividend taxation.</w:t>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principle also plays a vital role in resolving overlaps between substantive treaty rules and procedural mechanisms, such as Mutual Agreement Procedures (MAPs). Courts often rely on lex specialis to clarify which provision governs a particular situation, preventing ambiguities that could lead to inconsistent applications.</w:t>
      </w:r>
    </w:p>
    <w:p w:rsidR="00000000" w:rsidDel="00000000" w:rsidP="00000000" w:rsidRDefault="00000000" w:rsidRPr="00000000" w14:paraId="00000058">
      <w:pPr>
        <w:pStyle w:val="Heading2"/>
        <w:numPr>
          <w:ilvl w:val="0"/>
          <w:numId w:val="3"/>
        </w:numPr>
        <w:ind w:left="360" w:hanging="360"/>
        <w:rPr>
          <w:rFonts w:ascii="Times New Roman" w:cs="Times New Roman" w:eastAsia="Times New Roman" w:hAnsi="Times New Roman"/>
          <w:b w:val="1"/>
          <w:color w:val="000000"/>
          <w:sz w:val="27"/>
          <w:szCs w:val="27"/>
        </w:rPr>
      </w:pPr>
      <w:bookmarkStart w:colFirst="0" w:colLast="0" w:name="_heading=h.3o7alnk" w:id="10"/>
      <w:bookmarkEnd w:id="10"/>
      <w:r w:rsidDel="00000000" w:rsidR="00000000" w:rsidRPr="00000000">
        <w:rPr>
          <w:rFonts w:ascii="Times New Roman" w:cs="Times New Roman" w:eastAsia="Times New Roman" w:hAnsi="Times New Roman"/>
          <w:b w:val="1"/>
          <w:color w:val="000000"/>
          <w:sz w:val="27"/>
          <w:szCs w:val="27"/>
          <w:rtl w:val="0"/>
        </w:rPr>
        <w:t xml:space="preserve">Mutual Agreement Procedures and Arbitration</w:t>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Mutual Agreement Procedures (MAPs) and arbitration mechanisms play a critical role in resolving disputes under double tax conventions (DTCs). MAPs allow competent authorities of contracting states to discuss and resolve cases where taxpayers face taxation not in accordance with treaty provisions. This process facilitates interpretations that align with the treaty's purpose, ensuring consistency and fairness in cross-border taxation.</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MAP process is governed by Article 25 of the OECD Model Tax Convention, which obligates states to engage in good-faith negotiations. Taxpayers can invoke MAPs if they believe a contracting state has imposed tax measures that violate the treaty. The process involves consultation between authorities, often requiring compromise to eliminate double taxation without resorting to lengthy litigation.</w:t>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further enhance dispute resolution, arbitration clauses are increasingly included in treaties to address cases where MAP negotiations fail. Arbitration ensures enforceable outcomes by appointing an impartial third party to resolve disputes, adding an additional layer of security for taxpayers.</w:t>
      </w:r>
    </w:p>
    <w:p w:rsidR="00000000" w:rsidDel="00000000" w:rsidP="00000000" w:rsidRDefault="00000000" w:rsidRPr="00000000" w14:paraId="0000005C">
      <w:pPr>
        <w:pStyle w:val="Heading2"/>
        <w:numPr>
          <w:ilvl w:val="0"/>
          <w:numId w:val="3"/>
        </w:numPr>
        <w:ind w:left="360" w:hanging="360"/>
        <w:rPr>
          <w:rFonts w:ascii="Times New Roman" w:cs="Times New Roman" w:eastAsia="Times New Roman" w:hAnsi="Times New Roman"/>
          <w:b w:val="1"/>
          <w:color w:val="000000"/>
          <w:sz w:val="27"/>
          <w:szCs w:val="27"/>
        </w:rPr>
      </w:pPr>
      <w:bookmarkStart w:colFirst="0" w:colLast="0" w:name="_heading=h.23ckvvd" w:id="11"/>
      <w:bookmarkEnd w:id="11"/>
      <w:r w:rsidDel="00000000" w:rsidR="00000000" w:rsidRPr="00000000">
        <w:rPr>
          <w:rFonts w:ascii="Times New Roman" w:cs="Times New Roman" w:eastAsia="Times New Roman" w:hAnsi="Times New Roman"/>
          <w:b w:val="1"/>
          <w:color w:val="000000"/>
          <w:sz w:val="27"/>
          <w:szCs w:val="27"/>
          <w:rtl w:val="0"/>
        </w:rPr>
        <w:t xml:space="preserve">Multilingual Texts and Translation Challenges</w:t>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Multilingual texts present significant challenges in interpreting double tax conventions (DTCs) because variations in language can lead to discrepancies in meaning. Article 33 of the VCLT provides a framework for addressing such issues by asserting that, unless otherwise specified, all treaty language versions are equally authoritative. This principle highlights the need to interpret multilingual texts harmoniously, ensuring consistency across translations.</w:t>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differences arise, courts often turn to the context, purpose, and supplementary materials, such as travaux préparatoires, to resolve ambiguities. Judicial decisions emphasize the importance of analyzing the broader intent rather than focusing exclusively on linguistic variations.</w:t>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instance, certain terms may have broader or narrower meanings depending on the language used, necessitating careful examination to avoid discrepancies. Courts also emphasize consulting dictionaries, legal glossaries, and international practices to achieve uniform interpretations.</w:t>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5">
      <w:pPr>
        <w:pStyle w:val="Heading1"/>
        <w:jc w:val="both"/>
        <w:rPr>
          <w:rFonts w:ascii="Times New Roman" w:cs="Times New Roman" w:eastAsia="Times New Roman" w:hAnsi="Times New Roman"/>
          <w:sz w:val="28"/>
          <w:szCs w:val="28"/>
        </w:rPr>
      </w:pPr>
      <w:bookmarkStart w:colFirst="0" w:colLast="0" w:name="_heading=h.ihv636" w:id="12"/>
      <w:bookmarkEnd w:id="12"/>
      <w:r w:rsidDel="00000000" w:rsidR="00000000" w:rsidRPr="00000000">
        <w:rPr>
          <w:rFonts w:ascii="Times New Roman" w:cs="Times New Roman" w:eastAsia="Times New Roman" w:hAnsi="Times New Roman"/>
          <w:sz w:val="28"/>
          <w:szCs w:val="28"/>
          <w:rtl w:val="0"/>
        </w:rPr>
        <w:t xml:space="preserve">E.2. VIENNA CONVENTION ON THE LAW OF TREATIES</w:t>
      </w:r>
    </w:p>
    <w:p w:rsidR="00000000" w:rsidDel="00000000" w:rsidP="00000000" w:rsidRDefault="00000000" w:rsidRPr="00000000" w14:paraId="0000007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Vienna Convention on the Law of Treaties (VCLT), adopted in 1969, provides a comprehensive legal framework for the creation, interpretation, and enforcement of treaties, including Double Tax Conventions (DTCs). This framework ensures consistency, fairness, and predictability in applying DTC provisions, helping resolve ambiguities and disputes effectively. It emphasizes good faith interpretation, contextual understanding, and the pursuit of the treaty's objectives, promoting international cooperation and ensuring compliance with tax obligations across jurisdictions.</w:t>
      </w:r>
    </w:p>
    <w:p w:rsidR="00000000" w:rsidDel="00000000" w:rsidP="00000000" w:rsidRDefault="00000000" w:rsidRPr="00000000" w14:paraId="00000078">
      <w:pPr>
        <w:pStyle w:val="Heading2"/>
        <w:numPr>
          <w:ilvl w:val="0"/>
          <w:numId w:val="5"/>
        </w:numPr>
        <w:ind w:left="360" w:hanging="360"/>
        <w:rPr>
          <w:rFonts w:ascii="Times New Roman" w:cs="Times New Roman" w:eastAsia="Times New Roman" w:hAnsi="Times New Roman"/>
          <w:b w:val="1"/>
          <w:color w:val="000000"/>
          <w:sz w:val="27"/>
          <w:szCs w:val="27"/>
        </w:rPr>
      </w:pPr>
      <w:bookmarkStart w:colFirst="0" w:colLast="0" w:name="_heading=h.32hioqz" w:id="13"/>
      <w:bookmarkEnd w:id="13"/>
      <w:r w:rsidDel="00000000" w:rsidR="00000000" w:rsidRPr="00000000">
        <w:rPr>
          <w:rFonts w:ascii="Times New Roman" w:cs="Times New Roman" w:eastAsia="Times New Roman" w:hAnsi="Times New Roman"/>
          <w:b w:val="1"/>
          <w:color w:val="000000"/>
          <w:sz w:val="27"/>
          <w:szCs w:val="27"/>
          <w:rtl w:val="0"/>
        </w:rPr>
        <w:t xml:space="preserve">General Rule of Interpretation: Article 31 of the VCLT</w:t>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31 of the VCLT sets out the general rule of interpretation, which is the cornerstone for understanding any treaty, including DTCs. The article emphasizes that treaties should be interpreted in good faith, according to the ordinary meaning of the terms in their context and in light of the treaty's object and purpose.</w:t>
      </w:r>
    </w:p>
    <w:p w:rsidR="00000000" w:rsidDel="00000000" w:rsidP="00000000" w:rsidRDefault="00000000" w:rsidRPr="00000000" w14:paraId="0000007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Ordinary Meaning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B">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starting point for interpreting any provision of a DTC is the ordinary meaning of the words used. This approach assumes that the treaty’s drafters chose their words carefully and that these words should be understood in their common, everyday sense unless a specific meaning is given within the treaty itself. </w:t>
      </w:r>
    </w:p>
    <w:p w:rsidR="00000000" w:rsidDel="00000000" w:rsidP="00000000" w:rsidRDefault="00000000" w:rsidRPr="00000000" w14:paraId="0000007C">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example of this approach is seen in cases involving the term "permanent establishment." Courts often rely on the OECD Model Tax Convention's definition when interpreting this term. For instance, if a company operates through a fixed office in another country, the ordinary meaning of "permanent establishment" typically applies unless explicitly redefined in the treaty. Similarly, the interpretation of "royalties" often hinges on its common usage, covering payments for the use of intellectual property, unless the treaty provides a narrower definition.</w:t>
      </w:r>
    </w:p>
    <w:p w:rsidR="00000000" w:rsidDel="00000000" w:rsidP="00000000" w:rsidRDefault="00000000" w:rsidRPr="00000000" w14:paraId="0000007D">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ordinary meaning approach reflects a textual interpretation where the language of the treaty serves as the primary indicator of intent. However, when ambiguities arise, courts may move beyond the text to apply contextual and purposive interpretations.</w:t>
      </w:r>
    </w:p>
    <w:p w:rsidR="00000000" w:rsidDel="00000000" w:rsidP="00000000" w:rsidRDefault="00000000" w:rsidRPr="00000000" w14:paraId="0000007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Context: </w:t>
      </w:r>
    </w:p>
    <w:p w:rsidR="00000000" w:rsidDel="00000000" w:rsidP="00000000" w:rsidRDefault="00000000" w:rsidRPr="00000000" w14:paraId="0000007F">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context of the treaty includes its text, preamble, annexes, and any agreements or instruments made in connection with the treaty. For DTCs, the context might also include protocols or side letters that clarify certain aspects of the treaty. The context helps to understand the terms and provisions more clearly, ensuring that they are applied as intended by the contracting states.</w:t>
      </w:r>
    </w:p>
    <w:p w:rsidR="00000000" w:rsidDel="00000000" w:rsidP="00000000" w:rsidRDefault="00000000" w:rsidRPr="00000000" w14:paraId="00000080">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example of contextual interpretation can be seen in cases involving dividends. Suppose a DTC limits withholding tax on dividends to 5%. The preamble emphasizing the encouragement of cross-border investments supports an interpretation that promotes certainty and fairness for investors. Similarly, annexes clarifying definitions of "beneficial owner" in relation to dividends reinforce the treaty's application to prevent tax avoidance.</w:t>
      </w:r>
    </w:p>
    <w:p w:rsidR="00000000" w:rsidDel="00000000" w:rsidP="00000000" w:rsidRDefault="00000000" w:rsidRPr="00000000" w14:paraId="00000081">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example includes protocols attached to treaties that clarify terms such as "interest." If a protocol specifies that "interest" excludes penalty payments, this contextual clarification prevents misinterpretations and ensures uniform application of provisions.</w:t>
      </w:r>
    </w:p>
    <w:p w:rsidR="00000000" w:rsidDel="00000000" w:rsidP="00000000" w:rsidRDefault="00000000" w:rsidRPr="00000000" w14:paraId="0000008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 and Purpose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3">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 and purpose of a DTC is primarily to eliminate double taxation and prevent tax evasion. When interpreting a treaty, it is essential to consider how a particular interpretation aligns with these goals. An interpretation that promotes the effective functioning of the treaty in achieving these objectives is generally preferred.</w:t>
      </w:r>
    </w:p>
    <w:p w:rsidR="00000000" w:rsidDel="00000000" w:rsidP="00000000" w:rsidRDefault="00000000" w:rsidRPr="00000000" w14:paraId="00000084">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regard, interpretations that promote fairness and certainty in cross-border taxation often align with the treaty’s object and purpose. Disregarding such goals could lead to interpretations undermining the effectiveness of DTCs.</w:t>
      </w:r>
    </w:p>
    <w:p w:rsidR="00000000" w:rsidDel="00000000" w:rsidP="00000000" w:rsidRDefault="00000000" w:rsidRPr="00000000" w14:paraId="00000085">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in cases involving the definition of "beneficial owner," courts often interpret the term in line with the object and purpose of the treaty to prevent tax avoidance schemes. Similarly, in disputes over the classification of income as "business profits" or "dividends," interpretations that align with the treaty's purpose to avoid double taxation and allocate taxing rights fairly are generally upheld. Another example includes the interpretation of anti-abuse clauses, which are applied purposively to ensure that taxpayers do not exploit treaty provisions for aggressive tax planning, thereby supporting the treaty's aim of preventing tax evasion.</w:t>
      </w:r>
    </w:p>
    <w:p w:rsidR="00000000" w:rsidDel="00000000" w:rsidP="00000000" w:rsidRDefault="00000000" w:rsidRPr="00000000" w14:paraId="00000086">
      <w:pPr>
        <w:pStyle w:val="Heading2"/>
        <w:numPr>
          <w:ilvl w:val="0"/>
          <w:numId w:val="5"/>
        </w:numPr>
        <w:ind w:left="360" w:hanging="360"/>
        <w:rPr>
          <w:rFonts w:ascii="Times New Roman" w:cs="Times New Roman" w:eastAsia="Times New Roman" w:hAnsi="Times New Roman"/>
          <w:b w:val="1"/>
          <w:color w:val="000000"/>
          <w:sz w:val="27"/>
          <w:szCs w:val="27"/>
        </w:rPr>
      </w:pPr>
      <w:bookmarkStart w:colFirst="0" w:colLast="0" w:name="_heading=h.1hmsyys" w:id="14"/>
      <w:bookmarkEnd w:id="14"/>
      <w:r w:rsidDel="00000000" w:rsidR="00000000" w:rsidRPr="00000000">
        <w:rPr>
          <w:rFonts w:ascii="Times New Roman" w:cs="Times New Roman" w:eastAsia="Times New Roman" w:hAnsi="Times New Roman"/>
          <w:b w:val="1"/>
          <w:color w:val="000000"/>
          <w:sz w:val="27"/>
          <w:szCs w:val="27"/>
          <w:rtl w:val="0"/>
        </w:rPr>
        <w:t xml:space="preserve">Supplementary Means of Interpretation: Article 32 of the VCLT</w:t>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32 of the VCLT provides that when the interpretation under Article 31 leaves the meaning ambiguous or obscure, or leads to a result that is manifestly absurd or unreasonable, supplementary means of interpretation may be used. These supplementary means include the preparatory work of the treaty (travaux préparatoires) and the circumstances of its conclusion.</w:t>
      </w:r>
    </w:p>
    <w:p w:rsidR="00000000" w:rsidDel="00000000" w:rsidP="00000000" w:rsidRDefault="00000000" w:rsidRPr="00000000" w14:paraId="0000008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Travaux Préparatoires</w:t>
      </w:r>
      <w:r w:rsidDel="00000000" w:rsidR="00000000" w:rsidRPr="00000000">
        <w:rPr>
          <w:rtl w:val="0"/>
        </w:rPr>
      </w:r>
    </w:p>
    <w:p w:rsidR="00000000" w:rsidDel="00000000" w:rsidP="00000000" w:rsidRDefault="00000000" w:rsidRPr="00000000" w14:paraId="00000089">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refers to the official records of the negotiations and drafting of the treaty. For DTCs, these documents can provide insight into the intentions of the contracting states and clarify ambiguous terms or provisions. For instance, if a term like "royalties" is not clearly defined in the treaty text, the preparatory work might reveal what the negotiators intended by this term.</w:t>
      </w:r>
    </w:p>
    <w:p w:rsidR="00000000" w:rsidDel="00000000" w:rsidP="00000000" w:rsidRDefault="00000000" w:rsidRPr="00000000" w14:paraId="0000008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Circumstances of Conclusion</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includes the political, economic, and legal context in which the treaty was negotiated and concluded. Understanding these circumstances can shed light on the purpose of certain provisions and help resolve ambiguities.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practice, courts may look at international tax developments, economic cooperation trends, or the legal environment prevailing at the time of treaty negotiation to supplement interpretations.</w:t>
      </w:r>
    </w:p>
    <w:p w:rsidR="00000000" w:rsidDel="00000000" w:rsidP="00000000" w:rsidRDefault="00000000" w:rsidRPr="00000000" w14:paraId="0000008D">
      <w:pPr>
        <w:pStyle w:val="Heading2"/>
        <w:numPr>
          <w:ilvl w:val="0"/>
          <w:numId w:val="5"/>
        </w:numPr>
        <w:ind w:left="360" w:hanging="360"/>
        <w:rPr>
          <w:rFonts w:ascii="Times New Roman" w:cs="Times New Roman" w:eastAsia="Times New Roman" w:hAnsi="Times New Roman"/>
          <w:b w:val="1"/>
          <w:color w:val="000000"/>
          <w:sz w:val="27"/>
          <w:szCs w:val="27"/>
        </w:rPr>
      </w:pPr>
      <w:bookmarkStart w:colFirst="0" w:colLast="0" w:name="_heading=h.41mghml" w:id="15"/>
      <w:bookmarkEnd w:id="15"/>
      <w:r w:rsidDel="00000000" w:rsidR="00000000" w:rsidRPr="00000000">
        <w:rPr>
          <w:rFonts w:ascii="Times New Roman" w:cs="Times New Roman" w:eastAsia="Times New Roman" w:hAnsi="Times New Roman"/>
          <w:b w:val="1"/>
          <w:color w:val="000000"/>
          <w:sz w:val="27"/>
          <w:szCs w:val="27"/>
          <w:rtl w:val="0"/>
        </w:rPr>
        <w:t xml:space="preserve">Special Meaning of Terms: Article 31(4) of the VCLT</w:t>
      </w:r>
    </w:p>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31(4) of the VCLT allows for the use of a special meaning of a term if it is established that the parties intended for a specific term to have such a meaning. This provision is particularly relevant in DTCs, where certain terms might have a technical or specialized meaning that differs from their ordinary meaning.</w:t>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term "permanent establishment" might have a specific definition in a DTC that is different from its general usage. If the treaty explicitly defines "permanent establishment" in a way that differs from its ordinary meaning, that definition must be used in interpreting the treaty.</w:t>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underscores the importance of clear definitions in DTCs, as they ensure consistent application and reduce disputes arising from ambiguous interpretations.</w:t>
      </w:r>
    </w:p>
    <w:p w:rsidR="00000000" w:rsidDel="00000000" w:rsidP="00000000" w:rsidRDefault="00000000" w:rsidRPr="00000000" w14:paraId="00000091">
      <w:pPr>
        <w:pStyle w:val="Heading2"/>
        <w:numPr>
          <w:ilvl w:val="0"/>
          <w:numId w:val="5"/>
        </w:numPr>
        <w:ind w:left="360" w:hanging="360"/>
        <w:rPr>
          <w:rFonts w:ascii="Times New Roman" w:cs="Times New Roman" w:eastAsia="Times New Roman" w:hAnsi="Times New Roman"/>
          <w:b w:val="1"/>
          <w:color w:val="000000"/>
          <w:sz w:val="27"/>
          <w:szCs w:val="27"/>
        </w:rPr>
      </w:pPr>
      <w:bookmarkStart w:colFirst="0" w:colLast="0" w:name="_heading=h.2grqrue" w:id="16"/>
      <w:bookmarkEnd w:id="16"/>
      <w:r w:rsidDel="00000000" w:rsidR="00000000" w:rsidRPr="00000000">
        <w:rPr>
          <w:rFonts w:ascii="Times New Roman" w:cs="Times New Roman" w:eastAsia="Times New Roman" w:hAnsi="Times New Roman"/>
          <w:b w:val="1"/>
          <w:color w:val="000000"/>
          <w:sz w:val="27"/>
          <w:szCs w:val="27"/>
          <w:rtl w:val="0"/>
        </w:rPr>
        <w:t xml:space="preserve">Subsequent Agreements and Practice: Article 31(3) of the VCLT</w:t>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31(3) of the VCLT states that any subsequent agreement between the parties regarding the interpretation of the treaty or the application of its provisions should be taken into account. Additionally, any subsequent practice in the application of the treaty that establishes the agreement of the parties regarding its interpretation is also relevant.</w:t>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DTCs, this means that if the contracting states later agree on how a particular provision should be interpreted or applied, this agreement must be considered in interpreting the treaty. Similarly, if both states have consistently applied a certain interpretation over time, this practice becomes relevant in understanding the treaty’s meaning.</w:t>
      </w:r>
    </w:p>
    <w:p w:rsidR="00000000" w:rsidDel="00000000" w:rsidP="00000000" w:rsidRDefault="00000000" w:rsidRPr="00000000" w14:paraId="00000094">
      <w:pPr>
        <w:pStyle w:val="Heading2"/>
        <w:numPr>
          <w:ilvl w:val="0"/>
          <w:numId w:val="5"/>
        </w:numPr>
        <w:ind w:left="360" w:hanging="360"/>
        <w:rPr>
          <w:rFonts w:ascii="Times New Roman" w:cs="Times New Roman" w:eastAsia="Times New Roman" w:hAnsi="Times New Roman"/>
          <w:b w:val="1"/>
          <w:color w:val="000000"/>
          <w:sz w:val="27"/>
          <w:szCs w:val="27"/>
        </w:rPr>
      </w:pPr>
      <w:bookmarkStart w:colFirst="0" w:colLast="0" w:name="_heading=h.vx1227" w:id="17"/>
      <w:bookmarkEnd w:id="17"/>
      <w:r w:rsidDel="00000000" w:rsidR="00000000" w:rsidRPr="00000000">
        <w:rPr>
          <w:rFonts w:ascii="Times New Roman" w:cs="Times New Roman" w:eastAsia="Times New Roman" w:hAnsi="Times New Roman"/>
          <w:b w:val="1"/>
          <w:color w:val="000000"/>
          <w:sz w:val="27"/>
          <w:szCs w:val="27"/>
          <w:rtl w:val="0"/>
        </w:rPr>
        <w:t xml:space="preserve">Relevance of the OECD Model Tax Convention and Commentaries</w:t>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OECD Model Tax Convention is not part of the VCLT, it plays a crucial role in the interpretation of DTCs, particularly those based on the OECD Model. The OECD Commentaries on the Model Tax Convention are widely recognized as providing authoritative guidance on how the provisions of DTCs should be interpreted.</w:t>
      </w:r>
    </w:p>
    <w:p w:rsidR="00000000" w:rsidDel="00000000" w:rsidP="00000000" w:rsidRDefault="00000000" w:rsidRPr="00000000" w14:paraId="0000009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Contextual Interpretation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7">
      <w:pPr>
        <w:ind w:left="360" w:firstLine="0"/>
        <w:jc w:val="both"/>
        <w:rPr>
          <w:sz w:val="24"/>
          <w:szCs w:val="24"/>
        </w:rPr>
      </w:pPr>
      <w:r w:rsidDel="00000000" w:rsidR="00000000" w:rsidRPr="00000000">
        <w:rPr>
          <w:rFonts w:ascii="Times New Roman" w:cs="Times New Roman" w:eastAsia="Times New Roman" w:hAnsi="Times New Roman"/>
          <w:sz w:val="24"/>
          <w:szCs w:val="24"/>
          <w:rtl w:val="0"/>
        </w:rPr>
        <w:t xml:space="preserve">The OECD Commentaries are often used as a contextual tool under Article 31 of the VCLT. They help interpret terms and provisions within the context of the OECD Model, which many DTCs are based on. Courts and tax authorities frequently refer to these Commentaries to ensure that their interpretation aligns with international norms and practices.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Supplementary Means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9">
      <w:pPr>
        <w:ind w:left="360" w:firstLine="0"/>
        <w:jc w:val="both"/>
        <w:rPr>
          <w:sz w:val="24"/>
          <w:szCs w:val="24"/>
        </w:rPr>
      </w:pPr>
      <w:r w:rsidDel="00000000" w:rsidR="00000000" w:rsidRPr="00000000">
        <w:rPr>
          <w:rFonts w:ascii="Times New Roman" w:cs="Times New Roman" w:eastAsia="Times New Roman" w:hAnsi="Times New Roman"/>
          <w:sz w:val="24"/>
          <w:szCs w:val="24"/>
          <w:rtl w:val="0"/>
        </w:rPr>
        <w:t xml:space="preserve">The OECD Commentaries can also serve as a supplementary means of interpretation under Article 32 of the VCLT. When a treaty term is ambiguous, the Commentaries provide valuable insights into the intended meaning of the provisions, based on international consensus.</w:t>
      </w:r>
      <w:r w:rsidDel="00000000" w:rsidR="00000000" w:rsidRPr="00000000">
        <w:rPr>
          <w:rtl w:val="0"/>
        </w:rPr>
      </w:r>
    </w:p>
    <w:p w:rsidR="00000000" w:rsidDel="00000000" w:rsidP="00000000" w:rsidRDefault="00000000" w:rsidRPr="00000000" w14:paraId="0000009A">
      <w:pPr>
        <w:pStyle w:val="Heading2"/>
        <w:numPr>
          <w:ilvl w:val="0"/>
          <w:numId w:val="5"/>
        </w:numPr>
        <w:ind w:left="360" w:hanging="360"/>
        <w:rPr>
          <w:rFonts w:ascii="Times New Roman" w:cs="Times New Roman" w:eastAsia="Times New Roman" w:hAnsi="Times New Roman"/>
          <w:b w:val="1"/>
          <w:color w:val="000000"/>
          <w:sz w:val="27"/>
          <w:szCs w:val="27"/>
        </w:rPr>
      </w:pPr>
      <w:bookmarkStart w:colFirst="0" w:colLast="0" w:name="_heading=h.3fwokq0" w:id="18"/>
      <w:bookmarkEnd w:id="18"/>
      <w:r w:rsidDel="00000000" w:rsidR="00000000" w:rsidRPr="00000000">
        <w:rPr>
          <w:rFonts w:ascii="Times New Roman" w:cs="Times New Roman" w:eastAsia="Times New Roman" w:hAnsi="Times New Roman"/>
          <w:b w:val="1"/>
          <w:color w:val="000000"/>
          <w:sz w:val="27"/>
          <w:szCs w:val="27"/>
          <w:rtl w:val="0"/>
        </w:rPr>
        <w:t xml:space="preserve">Principle of Effectiveness (Ut Res Magis Valeat Quam Pereat)</w:t>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fundamental principle in treaty interpretation, which aligns with the VCLT, is the principle of effectiveness. This principle suggests that a treaty should be interpreted in a way that gives effect to its provisions, rather than rendering any part of the treaty redundant or meaningless.</w:t>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DTCs, this principle ensures that the treaty’s provisions are interpreted in a manner that allows them to function as intended. For instance, if a provision in a DTC is ambiguous, the interpretation that enables the effective prevention of double taxation, rather than one that limits its application, should be favored.</w:t>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pStyle w:val="Heading1"/>
        <w:jc w:val="both"/>
        <w:rPr>
          <w:rFonts w:ascii="Times New Roman" w:cs="Times New Roman" w:eastAsia="Times New Roman" w:hAnsi="Times New Roman"/>
          <w:sz w:val="28"/>
          <w:szCs w:val="28"/>
        </w:rPr>
      </w:pPr>
      <w:bookmarkStart w:colFirst="0" w:colLast="0" w:name="_heading=h.1v1yuxt" w:id="19"/>
      <w:bookmarkEnd w:id="19"/>
      <w:r w:rsidDel="00000000" w:rsidR="00000000" w:rsidRPr="00000000">
        <w:rPr>
          <w:rFonts w:ascii="Times New Roman" w:cs="Times New Roman" w:eastAsia="Times New Roman" w:hAnsi="Times New Roman"/>
          <w:sz w:val="28"/>
          <w:szCs w:val="28"/>
          <w:rtl w:val="0"/>
        </w:rPr>
        <w:t xml:space="preserve">E.3. USE OF EXTERNAL AIDS FOR INTERPRETATION – THE STATUS AND USE OF THE OECD COMMENTARIES</w:t>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interpreting Double Tax Conventions (DTCs), external aids such as the OECD Commentaries play a crucial role in ensuring consistency and coherence in the application of tax treaties. These Commentaries, while not legally binding, are widely recognized as authoritative guides that help interpret the provisions of DTCs, particularly those based on the OECD Model Tax Convention. This section explores the status and use of the OECD Commentaries as external aids in treaty interpretation.</w:t>
      </w:r>
    </w:p>
    <w:p w:rsidR="00000000" w:rsidDel="00000000" w:rsidP="00000000" w:rsidRDefault="00000000" w:rsidRPr="00000000" w14:paraId="000000B9">
      <w:pPr>
        <w:pStyle w:val="Heading2"/>
        <w:numPr>
          <w:ilvl w:val="0"/>
          <w:numId w:val="7"/>
        </w:numPr>
        <w:ind w:left="360" w:hanging="360"/>
        <w:rPr>
          <w:rFonts w:ascii="Times New Roman" w:cs="Times New Roman" w:eastAsia="Times New Roman" w:hAnsi="Times New Roman"/>
          <w:b w:val="1"/>
          <w:color w:val="000000"/>
          <w:sz w:val="27"/>
          <w:szCs w:val="27"/>
        </w:rPr>
      </w:pPr>
      <w:bookmarkStart w:colFirst="0" w:colLast="0" w:name="_heading=h.4f1mdlm" w:id="20"/>
      <w:bookmarkEnd w:id="20"/>
      <w:r w:rsidDel="00000000" w:rsidR="00000000" w:rsidRPr="00000000">
        <w:rPr>
          <w:rFonts w:ascii="Times New Roman" w:cs="Times New Roman" w:eastAsia="Times New Roman" w:hAnsi="Times New Roman"/>
          <w:b w:val="1"/>
          <w:color w:val="000000"/>
          <w:sz w:val="27"/>
          <w:szCs w:val="27"/>
          <w:rtl w:val="0"/>
        </w:rPr>
        <w:t xml:space="preserve">What Are OECD Commentaries?</w:t>
      </w:r>
    </w:p>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OECD Commentaries accompany the OECD Model Tax Convention, providing detailed explanations and guidance on how the provisions of the OECD Model should be interpreted and applied. They include interpretations of specific articles, clarifications of technical terms, and examples of how particular treaty provisions may be implemented in practice.</w:t>
      </w:r>
    </w:p>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OECD Model and its Commentaries are the result of extensive international negotiations and consensus-building among OECD member countries, making them highly influential in the interpretation of tax treaties worldwide. They aim to harmonize interpretations to avoid double taxation and double non-taxation, promoting consistency in global tax practices.</w:t>
      </w:r>
    </w:p>
    <w:p w:rsidR="00000000" w:rsidDel="00000000" w:rsidP="00000000" w:rsidRDefault="00000000" w:rsidRPr="00000000" w14:paraId="000000BC">
      <w:pPr>
        <w:pStyle w:val="Heading2"/>
        <w:numPr>
          <w:ilvl w:val="0"/>
          <w:numId w:val="7"/>
        </w:numPr>
        <w:ind w:left="360" w:hanging="360"/>
        <w:rPr>
          <w:rFonts w:ascii="Times New Roman" w:cs="Times New Roman" w:eastAsia="Times New Roman" w:hAnsi="Times New Roman"/>
          <w:b w:val="1"/>
          <w:color w:val="000000"/>
          <w:sz w:val="27"/>
          <w:szCs w:val="27"/>
        </w:rPr>
      </w:pPr>
      <w:bookmarkStart w:colFirst="0" w:colLast="0" w:name="_heading=h.2u6wntf" w:id="21"/>
      <w:bookmarkEnd w:id="21"/>
      <w:r w:rsidDel="00000000" w:rsidR="00000000" w:rsidRPr="00000000">
        <w:rPr>
          <w:rFonts w:ascii="Times New Roman" w:cs="Times New Roman" w:eastAsia="Times New Roman" w:hAnsi="Times New Roman"/>
          <w:b w:val="1"/>
          <w:color w:val="000000"/>
          <w:sz w:val="27"/>
          <w:szCs w:val="27"/>
          <w:rtl w:val="0"/>
        </w:rPr>
        <w:t xml:space="preserve">Legal Status of the OECD Commentaries</w:t>
      </w:r>
    </w:p>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OECD Commentaries are not legally binding documents, they are considered a highly persuasive authority in the interpretation of DTCs. Courts, tax authorities, and practitioners often refer to the Commentaries when interpreting treaty provisions, especially when the language of the treaty is ambiguous or when the treaty is silent on certain issues.</w:t>
      </w:r>
    </w:p>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legal status of the OECD Commentaries can be understood in the following contexts:</w:t>
      </w:r>
    </w:p>
    <w:p w:rsidR="00000000" w:rsidDel="00000000" w:rsidP="00000000" w:rsidRDefault="00000000" w:rsidRPr="00000000" w14:paraId="000000BF">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Persuasive Authority</w:t>
      </w:r>
      <w:r w:rsidDel="00000000" w:rsidR="00000000" w:rsidRPr="00000000">
        <w:rPr>
          <w:rFonts w:ascii="Times New Roman" w:cs="Times New Roman" w:eastAsia="Times New Roman" w:hAnsi="Times New Roman"/>
          <w:sz w:val="24"/>
          <w:szCs w:val="24"/>
          <w:rtl w:val="0"/>
        </w:rPr>
        <w:t xml:space="preserve">: The Commentaries are generally viewed as a persuasive authority rather than a source of law. They provide a common understanding of how treaty provisions should be interpreted, reflecting the intentions of the states that negotiated the OECD Model. Although not legally binding, courts and tax authorities in many jurisdictions give significant weight to the Commentaries in their interpretations.</w:t>
      </w:r>
      <w:r w:rsidDel="00000000" w:rsidR="00000000" w:rsidRPr="00000000">
        <w:rPr>
          <w:rtl w:val="0"/>
        </w:rPr>
      </w:r>
    </w:p>
    <w:p w:rsidR="00000000" w:rsidDel="00000000" w:rsidP="00000000" w:rsidRDefault="00000000" w:rsidRPr="00000000" w14:paraId="000000C0">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Interpretative Tool</w:t>
      </w:r>
      <w:r w:rsidDel="00000000" w:rsidR="00000000" w:rsidRPr="00000000">
        <w:rPr>
          <w:rFonts w:ascii="Times New Roman" w:cs="Times New Roman" w:eastAsia="Times New Roman" w:hAnsi="Times New Roman"/>
          <w:sz w:val="24"/>
          <w:szCs w:val="24"/>
          <w:rtl w:val="0"/>
        </w:rPr>
        <w:t xml:space="preserve">: The OECD Commentaries are often used as an interpretative tool under the framework of the VCLT, particularly under Articles 31 and 32. These provisions outline rules for treaty interpretation:</w:t>
      </w:r>
    </w:p>
    <w:p w:rsidR="00000000" w:rsidDel="00000000" w:rsidP="00000000" w:rsidRDefault="00000000" w:rsidRPr="00000000" w14:paraId="000000C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31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considers the context of the treaty as part of its interpretation.</w:t>
      </w:r>
    </w:p>
    <w:p w:rsidR="00000000" w:rsidDel="00000000" w:rsidP="00000000" w:rsidRDefault="00000000" w:rsidRPr="00000000" w14:paraId="000000C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32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allows supplementary means of interpretation to resolve ambiguities or absurd results.</w:t>
      </w:r>
    </w:p>
    <w:p w:rsidR="00000000" w:rsidDel="00000000" w:rsidP="00000000" w:rsidRDefault="00000000" w:rsidRPr="00000000" w14:paraId="000000C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OECD Commentaries reflect international consensus, they are frequently cited as a supplementary means of interpretation.</w:t>
      </w:r>
    </w:p>
    <w:p w:rsidR="00000000" w:rsidDel="00000000" w:rsidP="00000000" w:rsidRDefault="00000000" w:rsidRPr="00000000" w14:paraId="000000C4">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Common Practice</w:t>
      </w:r>
      <w:r w:rsidDel="00000000" w:rsidR="00000000" w:rsidRPr="00000000">
        <w:rPr>
          <w:rFonts w:ascii="Times New Roman" w:cs="Times New Roman" w:eastAsia="Times New Roman" w:hAnsi="Times New Roman"/>
          <w:sz w:val="24"/>
          <w:szCs w:val="24"/>
          <w:rtl w:val="0"/>
        </w:rPr>
        <w:t xml:space="preserve">: Many DTCs explicitly state that they are based on the OECD Model. In such cases, the OECD Commentaries are particularly relevant, as they help to ensure that the treaty is interpreted consistently with the principles underlying the OECD Model. Even in countries that are not OECD members, the Commentaries are often used because of the widespread acceptance of the OECD Model as the international standard for tax treaties.</w:t>
      </w:r>
      <w:r w:rsidDel="00000000" w:rsidR="00000000" w:rsidRPr="00000000">
        <w:rPr>
          <w:rtl w:val="0"/>
        </w:rPr>
      </w:r>
    </w:p>
    <w:p w:rsidR="00000000" w:rsidDel="00000000" w:rsidP="00000000" w:rsidRDefault="00000000" w:rsidRPr="00000000" w14:paraId="000000C5">
      <w:pPr>
        <w:pStyle w:val="Heading2"/>
        <w:numPr>
          <w:ilvl w:val="0"/>
          <w:numId w:val="7"/>
        </w:numPr>
        <w:ind w:left="360" w:hanging="360"/>
        <w:rPr>
          <w:rFonts w:ascii="Times New Roman" w:cs="Times New Roman" w:eastAsia="Times New Roman" w:hAnsi="Times New Roman"/>
          <w:b w:val="1"/>
          <w:color w:val="000000"/>
          <w:sz w:val="27"/>
          <w:szCs w:val="27"/>
        </w:rPr>
      </w:pPr>
      <w:bookmarkStart w:colFirst="0" w:colLast="0" w:name="_heading=h.19c6y18" w:id="22"/>
      <w:bookmarkEnd w:id="22"/>
      <w:r w:rsidDel="00000000" w:rsidR="00000000" w:rsidRPr="00000000">
        <w:rPr>
          <w:rFonts w:ascii="Times New Roman" w:cs="Times New Roman" w:eastAsia="Times New Roman" w:hAnsi="Times New Roman"/>
          <w:b w:val="1"/>
          <w:color w:val="000000"/>
          <w:sz w:val="27"/>
          <w:szCs w:val="27"/>
          <w:rtl w:val="0"/>
        </w:rPr>
        <w:t xml:space="preserve">Use of the OECD Commentaries in Treaty Interpretation</w:t>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OECD Commentaries are used in several ways during the interpretation of DTCs:</w:t>
      </w:r>
    </w:p>
    <w:p w:rsidR="00000000" w:rsidDel="00000000" w:rsidP="00000000" w:rsidRDefault="00000000" w:rsidRPr="00000000" w14:paraId="000000C7">
      <w:pPr>
        <w:numPr>
          <w:ilvl w:val="0"/>
          <w:numId w:val="9"/>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Clarification of Terms</w:t>
      </w:r>
      <w:r w:rsidDel="00000000" w:rsidR="00000000" w:rsidRPr="00000000">
        <w:rPr>
          <w:rFonts w:ascii="Times New Roman" w:cs="Times New Roman" w:eastAsia="Times New Roman" w:hAnsi="Times New Roman"/>
          <w:sz w:val="24"/>
          <w:szCs w:val="24"/>
          <w:rtl w:val="0"/>
        </w:rPr>
        <w:t xml:space="preserve">: When a treaty term is ambiguous or undefined, the Commentaries provide guidance on how the term should be understood within the context of the OECD Model. For example, the term "permanent establishment" is elaborated upon in the Commentaries, offering detailed explanations of what constitutes a permanent establishment and how it should be interpreted in different scenarios.</w:t>
      </w:r>
      <w:r w:rsidDel="00000000" w:rsidR="00000000" w:rsidRPr="00000000">
        <w:rPr>
          <w:rtl w:val="0"/>
        </w:rPr>
      </w:r>
    </w:p>
    <w:p w:rsidR="00000000" w:rsidDel="00000000" w:rsidP="00000000" w:rsidRDefault="00000000" w:rsidRPr="00000000" w14:paraId="000000C8">
      <w:pPr>
        <w:numPr>
          <w:ilvl w:val="0"/>
          <w:numId w:val="9"/>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Understanding the Intent of the Parties</w:t>
      </w:r>
      <w:r w:rsidDel="00000000" w:rsidR="00000000" w:rsidRPr="00000000">
        <w:rPr>
          <w:rFonts w:ascii="Times New Roman" w:cs="Times New Roman" w:eastAsia="Times New Roman" w:hAnsi="Times New Roman"/>
          <w:sz w:val="24"/>
          <w:szCs w:val="24"/>
          <w:rtl w:val="0"/>
        </w:rPr>
        <w:t xml:space="preserve">: The Commentaries can help to elucidate the intent of the contracting states, particularly when a DTC closely follows the language of the OECD Model. The Commentaries reflect the consensus among OECD member countries, which can be taken as indicative of the shared understanding and intention of the treaty parties.</w:t>
      </w:r>
      <w:r w:rsidDel="00000000" w:rsidR="00000000" w:rsidRPr="00000000">
        <w:rPr>
          <w:rtl w:val="0"/>
        </w:rPr>
      </w:r>
    </w:p>
    <w:p w:rsidR="00000000" w:rsidDel="00000000" w:rsidP="00000000" w:rsidRDefault="00000000" w:rsidRPr="00000000" w14:paraId="000000C9">
      <w:pPr>
        <w:numPr>
          <w:ilvl w:val="0"/>
          <w:numId w:val="9"/>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Resolving Ambiguities</w:t>
      </w:r>
      <w:r w:rsidDel="00000000" w:rsidR="00000000" w:rsidRPr="00000000">
        <w:rPr>
          <w:rFonts w:ascii="Times New Roman" w:cs="Times New Roman" w:eastAsia="Times New Roman" w:hAnsi="Times New Roman"/>
          <w:sz w:val="24"/>
          <w:szCs w:val="24"/>
          <w:rtl w:val="0"/>
        </w:rPr>
        <w:t xml:space="preserve">: When the language of a DTC is ambiguous or open to multiple interpretations, the OECD Commentaries can guide the preferred interpretation. This helps to avoid divergent interpretations that could lead to conflicts between the contracting states.</w:t>
      </w:r>
      <w:r w:rsidDel="00000000" w:rsidR="00000000" w:rsidRPr="00000000">
        <w:rPr>
          <w:rtl w:val="0"/>
        </w:rPr>
      </w:r>
    </w:p>
    <w:p w:rsidR="00000000" w:rsidDel="00000000" w:rsidP="00000000" w:rsidRDefault="00000000" w:rsidRPr="00000000" w14:paraId="000000CA">
      <w:pPr>
        <w:numPr>
          <w:ilvl w:val="0"/>
          <w:numId w:val="9"/>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Filling Gaps</w:t>
      </w:r>
      <w:r w:rsidDel="00000000" w:rsidR="00000000" w:rsidRPr="00000000">
        <w:rPr>
          <w:rFonts w:ascii="Times New Roman" w:cs="Times New Roman" w:eastAsia="Times New Roman" w:hAnsi="Times New Roman"/>
          <w:sz w:val="24"/>
          <w:szCs w:val="24"/>
          <w:rtl w:val="0"/>
        </w:rPr>
        <w:t xml:space="preserve">: In cases where a DTC is silent on a particular issue, the OECD Commentaries may be used to fill the gap, providing interpretations that align with international tax principles. For instance, if a DTC does not explicitly address the treatment of certain types of income, the Commentaries may offer guidance on how such income should be treated based on the OECD Model.</w:t>
      </w:r>
      <w:r w:rsidDel="00000000" w:rsidR="00000000" w:rsidRPr="00000000">
        <w:rPr>
          <w:rtl w:val="0"/>
        </w:rPr>
      </w:r>
    </w:p>
    <w:p w:rsidR="00000000" w:rsidDel="00000000" w:rsidP="00000000" w:rsidRDefault="00000000" w:rsidRPr="00000000" w14:paraId="000000CB">
      <w:pPr>
        <w:pStyle w:val="Heading2"/>
        <w:numPr>
          <w:ilvl w:val="0"/>
          <w:numId w:val="7"/>
        </w:numPr>
        <w:ind w:left="360" w:hanging="360"/>
        <w:rPr>
          <w:rFonts w:ascii="Times New Roman" w:cs="Times New Roman" w:eastAsia="Times New Roman" w:hAnsi="Times New Roman"/>
          <w:b w:val="1"/>
          <w:color w:val="000000"/>
          <w:sz w:val="27"/>
          <w:szCs w:val="27"/>
        </w:rPr>
      </w:pPr>
      <w:bookmarkStart w:colFirst="0" w:colLast="0" w:name="_heading=h.3tbugp1" w:id="23"/>
      <w:bookmarkEnd w:id="23"/>
      <w:r w:rsidDel="00000000" w:rsidR="00000000" w:rsidRPr="00000000">
        <w:rPr>
          <w:rFonts w:ascii="Times New Roman" w:cs="Times New Roman" w:eastAsia="Times New Roman" w:hAnsi="Times New Roman"/>
          <w:b w:val="1"/>
          <w:color w:val="000000"/>
          <w:sz w:val="27"/>
          <w:szCs w:val="27"/>
          <w:rtl w:val="0"/>
        </w:rPr>
        <w:t xml:space="preserve">Judicial Use of the OECD Commentaries</w:t>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Courts in various jurisdictions frequently rely on the OECD Commentaries when interpreting DTCs. The extent to which courts rely on the Commentaries can vary depending on the legal tradition of the country and the specific circumstances of the case. However, the following trends are commonly observed:</w:t>
      </w:r>
    </w:p>
    <w:p w:rsidR="00000000" w:rsidDel="00000000" w:rsidP="00000000" w:rsidRDefault="00000000" w:rsidRPr="00000000" w14:paraId="000000CD">
      <w:pPr>
        <w:numPr>
          <w:ilvl w:val="0"/>
          <w:numId w:val="13"/>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Deference to the Commentaries</w:t>
      </w:r>
      <w:r w:rsidDel="00000000" w:rsidR="00000000" w:rsidRPr="00000000">
        <w:rPr>
          <w:rFonts w:ascii="Times New Roman" w:cs="Times New Roman" w:eastAsia="Times New Roman" w:hAnsi="Times New Roman"/>
          <w:sz w:val="24"/>
          <w:szCs w:val="24"/>
          <w:rtl w:val="0"/>
        </w:rPr>
        <w:t xml:space="preserve">: Many courts treat the OECD Commentaries with considerable deference, viewing them as reflecting a broad international consensus on the interpretation of tax treaties. This is particularly the case in countries that are OECD members or have explicitly modeled their DTCs on the OECD Model.</w:t>
      </w:r>
      <w:r w:rsidDel="00000000" w:rsidR="00000000" w:rsidRPr="00000000">
        <w:rPr>
          <w:rtl w:val="0"/>
        </w:rPr>
      </w:r>
    </w:p>
    <w:p w:rsidR="00000000" w:rsidDel="00000000" w:rsidP="00000000" w:rsidRDefault="00000000" w:rsidRPr="00000000" w14:paraId="000000CE">
      <w:pPr>
        <w:numPr>
          <w:ilvl w:val="0"/>
          <w:numId w:val="13"/>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Contextual Use</w:t>
      </w:r>
      <w:r w:rsidDel="00000000" w:rsidR="00000000" w:rsidRPr="00000000">
        <w:rPr>
          <w:rFonts w:ascii="Times New Roman" w:cs="Times New Roman" w:eastAsia="Times New Roman" w:hAnsi="Times New Roman"/>
          <w:sz w:val="24"/>
          <w:szCs w:val="24"/>
          <w:rtl w:val="0"/>
        </w:rPr>
        <w:t xml:space="preserve">: Courts use the Commentaries to provide context to the treaty provisions, ensuring that their interpretations are consistent with the broader framework of international tax law. This approach helps to harmonize the application of tax treaties across different jurisdictions.</w:t>
      </w:r>
      <w:r w:rsidDel="00000000" w:rsidR="00000000" w:rsidRPr="00000000">
        <w:rPr>
          <w:rtl w:val="0"/>
        </w:rPr>
      </w:r>
    </w:p>
    <w:p w:rsidR="00000000" w:rsidDel="00000000" w:rsidP="00000000" w:rsidRDefault="00000000" w:rsidRPr="00000000" w14:paraId="000000CF">
      <w:pPr>
        <w:numPr>
          <w:ilvl w:val="0"/>
          <w:numId w:val="13"/>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Resolving Conflicts</w:t>
      </w:r>
      <w:r w:rsidDel="00000000" w:rsidR="00000000" w:rsidRPr="00000000">
        <w:rPr>
          <w:rFonts w:ascii="Times New Roman" w:cs="Times New Roman" w:eastAsia="Times New Roman" w:hAnsi="Times New Roman"/>
          <w:sz w:val="24"/>
          <w:szCs w:val="24"/>
          <w:rtl w:val="0"/>
        </w:rPr>
        <w:t xml:space="preserve">: In cases where there is a conflict between the domestic law and the treaty, courts may use the Commentaries to resolve the conflict in favor of an interpretation that aligns with the OECD Model, thereby ensuring that the treaty’s objectives are met.</w:t>
      </w:r>
      <w:r w:rsidDel="00000000" w:rsidR="00000000" w:rsidRPr="00000000">
        <w:rPr>
          <w:rtl w:val="0"/>
        </w:rPr>
      </w:r>
    </w:p>
    <w:p w:rsidR="00000000" w:rsidDel="00000000" w:rsidP="00000000" w:rsidRDefault="00000000" w:rsidRPr="00000000" w14:paraId="000000D0">
      <w:pPr>
        <w:pStyle w:val="Heading2"/>
        <w:numPr>
          <w:ilvl w:val="0"/>
          <w:numId w:val="7"/>
        </w:numPr>
        <w:ind w:left="360" w:hanging="360"/>
        <w:rPr>
          <w:rFonts w:ascii="Times New Roman" w:cs="Times New Roman" w:eastAsia="Times New Roman" w:hAnsi="Times New Roman"/>
          <w:b w:val="1"/>
          <w:color w:val="000000"/>
          <w:sz w:val="27"/>
          <w:szCs w:val="27"/>
        </w:rPr>
      </w:pPr>
      <w:bookmarkStart w:colFirst="0" w:colLast="0" w:name="_heading=h.28h4qwu" w:id="24"/>
      <w:bookmarkEnd w:id="24"/>
      <w:r w:rsidDel="00000000" w:rsidR="00000000" w:rsidRPr="00000000">
        <w:rPr>
          <w:rFonts w:ascii="Times New Roman" w:cs="Times New Roman" w:eastAsia="Times New Roman" w:hAnsi="Times New Roman"/>
          <w:b w:val="1"/>
          <w:color w:val="000000"/>
          <w:sz w:val="27"/>
          <w:szCs w:val="27"/>
          <w:rtl w:val="0"/>
        </w:rPr>
        <w:t xml:space="preserve">Criticism and Limitations</w:t>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OECD Commentaries are widely respected, they are not without criticism:</w:t>
      </w:r>
    </w:p>
    <w:p w:rsidR="00000000" w:rsidDel="00000000" w:rsidP="00000000" w:rsidRDefault="00000000" w:rsidRPr="00000000" w14:paraId="000000D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Non-Binding Nature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the Commentaries are not legally binding, some argue that they should not be given too much weight, especially when they conflict with the plain language of the treaty or the intentions of the contracting states as reflected in the treaty text.</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Evolution Over Time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OECD Commentaries are periodically updated, which can create challenges in interpretation. Courts and tax authorities need to decide whether to apply the Commentaries that were in place at the time the treaty was signed or the updated version. The dynamic nature of the Commentaries can lead to inconsistencies in their application.</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Over-Reliance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is a concern that some courts and tax authorities may overly rely on the Commentaries at the expense of a more careful analysis of the treaty text itself. This can potentially undermine the principle that treaties should be interpreted based on the intentions of the contracting states as expressed in the treaty.</w:t>
      </w:r>
      <w:r w:rsidDel="00000000" w:rsidR="00000000" w:rsidRPr="00000000">
        <w:rPr>
          <w:rtl w:val="0"/>
        </w:rPr>
      </w:r>
    </w:p>
    <w:p w:rsidR="00000000" w:rsidDel="00000000" w:rsidP="00000000" w:rsidRDefault="00000000" w:rsidRPr="00000000" w14:paraId="000000D8">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9">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A">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B">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C">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D">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E">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F">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1">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3">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4">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5">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6">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7">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8">
      <w:pPr>
        <w:pStyle w:val="Heading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pStyle w:val="Heading1"/>
        <w:jc w:val="both"/>
        <w:rPr>
          <w:rFonts w:ascii="Times New Roman" w:cs="Times New Roman" w:eastAsia="Times New Roman" w:hAnsi="Times New Roman"/>
          <w:sz w:val="28"/>
          <w:szCs w:val="28"/>
        </w:rPr>
      </w:pPr>
      <w:bookmarkStart w:colFirst="0" w:colLast="0" w:name="_heading=h.nmf14n" w:id="25"/>
      <w:bookmarkEnd w:id="25"/>
      <w:r w:rsidDel="00000000" w:rsidR="00000000" w:rsidRPr="00000000">
        <w:rPr>
          <w:rFonts w:ascii="Times New Roman" w:cs="Times New Roman" w:eastAsia="Times New Roman" w:hAnsi="Times New Roman"/>
          <w:sz w:val="28"/>
          <w:szCs w:val="28"/>
          <w:rtl w:val="0"/>
        </w:rPr>
        <w:t xml:space="preserve">E.4. APPLICATION OF ARTICLE 3(2), OECD and UN MTC</w:t>
      </w:r>
    </w:p>
    <w:p w:rsidR="00000000" w:rsidDel="00000000" w:rsidP="00000000" w:rsidRDefault="00000000" w:rsidRPr="00000000" w14:paraId="000000EB">
      <w:pPr>
        <w:pStyle w:val="Heading2"/>
        <w:numPr>
          <w:ilvl w:val="0"/>
          <w:numId w:val="11"/>
        </w:numPr>
        <w:ind w:left="360" w:hanging="360"/>
        <w:rPr>
          <w:rFonts w:ascii="Times New Roman" w:cs="Times New Roman" w:eastAsia="Times New Roman" w:hAnsi="Times New Roman"/>
          <w:b w:val="1"/>
          <w:color w:val="000000"/>
          <w:sz w:val="27"/>
          <w:szCs w:val="27"/>
        </w:rPr>
      </w:pPr>
      <w:bookmarkStart w:colFirst="0" w:colLast="0" w:name="_heading=h.37m2jsg" w:id="26"/>
      <w:bookmarkEnd w:id="26"/>
      <w:r w:rsidDel="00000000" w:rsidR="00000000" w:rsidRPr="00000000">
        <w:rPr>
          <w:rFonts w:ascii="Times New Roman" w:cs="Times New Roman" w:eastAsia="Times New Roman" w:hAnsi="Times New Roman"/>
          <w:b w:val="1"/>
          <w:color w:val="000000"/>
          <w:sz w:val="27"/>
          <w:szCs w:val="27"/>
          <w:rtl w:val="0"/>
        </w:rPr>
        <w:t xml:space="preserve">Background</w:t>
      </w:r>
    </w:p>
    <w:p w:rsidR="00000000" w:rsidDel="00000000" w:rsidP="00000000" w:rsidRDefault="00000000" w:rsidRPr="00000000" w14:paraId="000000E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Purpose of Article 3(2)</w:t>
      </w:r>
      <w:r w:rsidDel="00000000" w:rsidR="00000000" w:rsidRPr="00000000">
        <w:rPr>
          <w:rtl w:val="0"/>
        </w:rPr>
      </w:r>
    </w:p>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3(2) of the OECD / UN Model Tax Convention (MTC) serves a vital function in the interpretation of tax treaties by providing a default rule for understanding terms that are not explicitly defined within the treaty. The primary goal of this article is to ensure that such undefined terms are interpreted consistently and coherently, relying on the domestic law of the contracting states unless the context requires otherwise or the competent authorities of the contracting states reach a mutual agreement on a different interpretation under Article 25.</w:t>
      </w:r>
    </w:p>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international tax treaties, differences in language, legal systems, and terminology can lead to ambiguity and potential disputes. Article 3(2) mitigates these risks by offering a clear guideline for interpreting undefined terms, thereby promoting the broader objectives of the MTC, such as preventing double taxation and curbing tax evasion.</w:t>
      </w:r>
    </w:p>
    <w:p w:rsidR="00000000" w:rsidDel="00000000" w:rsidP="00000000" w:rsidRDefault="00000000" w:rsidRPr="00000000" w14:paraId="000000EF">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Text of Article 3(2)</w:t>
      </w:r>
    </w:p>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text of Article 3(2) states:</w:t>
      </w:r>
    </w:p>
    <w:p w:rsidR="00000000" w:rsidDel="00000000" w:rsidP="00000000" w:rsidRDefault="00000000" w:rsidRPr="00000000" w14:paraId="000000F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regards the application of the Convention at any time by a Contracting State, any term not defined therein shall, unless the context otherwise requires or the competent authorities agree to a different meaning pursuant to the provisions of Article 25, have the meaning that it has at that time under the law of that State for the purposes of the taxes to which the Convention applies, any meaning under the applicable tax laws of that State prevailing over a meaning given to the term under other laws of that State."</w:t>
      </w:r>
    </w:p>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provision establishes a hierarchy for interpreting undefined terms in a treaty, prioritizing domestic law definitions while allowing for alternative interpretations when the context or mutual agreement under Article 25 suggests otherwise.</w:t>
      </w:r>
    </w:p>
    <w:p w:rsidR="00000000" w:rsidDel="00000000" w:rsidP="00000000" w:rsidRDefault="00000000" w:rsidRPr="00000000" w14:paraId="000000F3">
      <w:pPr>
        <w:pStyle w:val="Heading2"/>
        <w:numPr>
          <w:ilvl w:val="0"/>
          <w:numId w:val="11"/>
        </w:numPr>
        <w:ind w:left="360" w:hanging="360"/>
        <w:rPr>
          <w:rFonts w:ascii="Times New Roman" w:cs="Times New Roman" w:eastAsia="Times New Roman" w:hAnsi="Times New Roman"/>
          <w:b w:val="1"/>
          <w:color w:val="000000"/>
          <w:sz w:val="27"/>
          <w:szCs w:val="27"/>
        </w:rPr>
      </w:pPr>
      <w:bookmarkStart w:colFirst="0" w:colLast="0" w:name="_heading=h.1mrcu09" w:id="27"/>
      <w:bookmarkEnd w:id="27"/>
      <w:r w:rsidDel="00000000" w:rsidR="00000000" w:rsidRPr="00000000">
        <w:rPr>
          <w:rFonts w:ascii="Times New Roman" w:cs="Times New Roman" w:eastAsia="Times New Roman" w:hAnsi="Times New Roman"/>
          <w:b w:val="1"/>
          <w:color w:val="000000"/>
          <w:sz w:val="27"/>
          <w:szCs w:val="27"/>
          <w:rtl w:val="0"/>
        </w:rPr>
        <w:t xml:space="preserve">Dynamic Interpretation of Undefined Terms</w:t>
      </w:r>
    </w:p>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3(2) adopts a dynamic approach to the interpretation of undefined terms by referencing the domestic law as it exists "at any time" the treaty is applied. This means that the interpretation of a term can evolve over time as domestic laws are updated or amended. The dynamic nature of this interpretation ensures that treaties remain relevant and applicable in changing legal environments.</w:t>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addition of the possibility for competent authorities to agree on a different meaning pursuant to Article 25 adds another layer of flexibility. If both contracting states agree that a different interpretation is more appropriate, they can override the default rule of referring to the domestic law in effect at the time. This helps address potential conflicts or ambiguities that might arise due to changes in domestic law or differing interpretations between states.</w:t>
      </w:r>
    </w:p>
    <w:p w:rsidR="00000000" w:rsidDel="00000000" w:rsidP="00000000" w:rsidRDefault="00000000" w:rsidRPr="00000000" w14:paraId="000000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if the definition of "royalties" changes in the domestic law of one contracting state, the new definition would typically apply under the treaty. However, if both states agree through mutual consultation under Article 25 that the previous definition better reflects the intent of the treaty, they can adopt that definition instead.</w:t>
      </w:r>
    </w:p>
    <w:p w:rsidR="00000000" w:rsidDel="00000000" w:rsidP="00000000" w:rsidRDefault="00000000" w:rsidRPr="00000000" w14:paraId="000000F7">
      <w:pPr>
        <w:pStyle w:val="Heading2"/>
        <w:numPr>
          <w:ilvl w:val="0"/>
          <w:numId w:val="11"/>
        </w:numPr>
        <w:ind w:left="360" w:hanging="360"/>
        <w:rPr>
          <w:rFonts w:ascii="Times New Roman" w:cs="Times New Roman" w:eastAsia="Times New Roman" w:hAnsi="Times New Roman"/>
          <w:b w:val="1"/>
          <w:color w:val="000000"/>
          <w:sz w:val="27"/>
          <w:szCs w:val="27"/>
        </w:rPr>
      </w:pPr>
      <w:bookmarkStart w:colFirst="0" w:colLast="0" w:name="_heading=h.46r0co2" w:id="28"/>
      <w:bookmarkEnd w:id="28"/>
      <w:r w:rsidDel="00000000" w:rsidR="00000000" w:rsidRPr="00000000">
        <w:rPr>
          <w:rFonts w:ascii="Times New Roman" w:cs="Times New Roman" w:eastAsia="Times New Roman" w:hAnsi="Times New Roman"/>
          <w:b w:val="1"/>
          <w:color w:val="000000"/>
          <w:sz w:val="27"/>
          <w:szCs w:val="27"/>
          <w:rtl w:val="0"/>
        </w:rPr>
        <w:t xml:space="preserve">Context Prevails</w:t>
      </w:r>
    </w:p>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Article 3(2) generally defers to domestic law definitions, it also acknowledges that the "context otherwise requires" clause may lead to different interpretations. The context in which a term is used within the treaty could necessitate a deviation from the domestic law definition to ensure that the treaty's objectives are met.</w:t>
      </w:r>
    </w:p>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context can include not only the immediate textual surroundings but also the broader purpose and intent of the treaty. If applying the domestic law definition would lead to outcomes that contradict the treaty's goals, such as avoiding double taxation or preventing tax evasion, the context may require a different interpretation.</w:t>
      </w:r>
    </w:p>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ability of competent authorities to agree on a different meaning pursuant to Article 25 further emphasizes the importance of context. This provision allows states to collaboratively determine the most appropriate interpretation of a term in light of the treaty’s overall purpose, rather than strictly adhering to domestic law definitions.</w:t>
      </w:r>
    </w:p>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instance, if the term "business profits" is interpreted under domestic law in a way that could lead to double taxation, the context of the treaty, or a mutual agreement under Article 25, might necessitate a different interpretation to avoid such an outcome.</w:t>
      </w:r>
    </w:p>
    <w:p w:rsidR="00000000" w:rsidDel="00000000" w:rsidP="00000000" w:rsidRDefault="00000000" w:rsidRPr="00000000" w14:paraId="000000FC">
      <w:pPr>
        <w:pStyle w:val="Heading2"/>
        <w:numPr>
          <w:ilvl w:val="0"/>
          <w:numId w:val="11"/>
        </w:numPr>
        <w:ind w:left="360" w:hanging="360"/>
        <w:rPr>
          <w:rFonts w:ascii="Times New Roman" w:cs="Times New Roman" w:eastAsia="Times New Roman" w:hAnsi="Times New Roman"/>
          <w:b w:val="1"/>
          <w:color w:val="000000"/>
          <w:sz w:val="27"/>
          <w:szCs w:val="27"/>
        </w:rPr>
      </w:pPr>
      <w:bookmarkStart w:colFirst="0" w:colLast="0" w:name="_heading=h.2lwamvv" w:id="29"/>
      <w:bookmarkEnd w:id="29"/>
      <w:r w:rsidDel="00000000" w:rsidR="00000000" w:rsidRPr="00000000">
        <w:rPr>
          <w:rFonts w:ascii="Times New Roman" w:cs="Times New Roman" w:eastAsia="Times New Roman" w:hAnsi="Times New Roman"/>
          <w:b w:val="1"/>
          <w:color w:val="000000"/>
          <w:sz w:val="27"/>
          <w:szCs w:val="27"/>
          <w:rtl w:val="0"/>
        </w:rPr>
        <w:t xml:space="preserve">Balancing Permanence and Practicality</w:t>
      </w:r>
    </w:p>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3(2) strikes a delicate balance between the permanence of treaty provisions and the practical need to apply them in a dynamic and changing legal environment. The reference to the domestic law in effect "at any time" allows for the treaty to remain relevant as legal definitions evolve. However, the inclusion of the possibility for mutual agreement under Article 25 offers a safeguard against potential instability or unpredictability that might arise from frequent changes in domestic law.</w:t>
      </w:r>
    </w:p>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balance is crucial for the effective application of tax treaties. While it allows for the treaty to adapt to new circumstances, it also ensures that such adaptations do not undermine the stability and predictability that taxpayers and tax authorities rely on.</w:t>
      </w:r>
    </w:p>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if domestic law changes the definition of what constitutes a "permanent establishment," the new definition would generally apply. However, if this change leads to an outcome that contradicts the treaty's intent, the contracting states could agree through Article 25 to apply a different interpretation that better aligns with the treaty’s objectives.</w:t>
      </w:r>
    </w:p>
    <w:p w:rsidR="00000000" w:rsidDel="00000000" w:rsidP="00000000" w:rsidRDefault="00000000" w:rsidRPr="00000000" w14:paraId="00000100">
      <w:pPr>
        <w:pStyle w:val="Heading2"/>
        <w:numPr>
          <w:ilvl w:val="0"/>
          <w:numId w:val="11"/>
        </w:numPr>
        <w:ind w:left="360" w:hanging="360"/>
        <w:rPr>
          <w:rFonts w:ascii="Times New Roman" w:cs="Times New Roman" w:eastAsia="Times New Roman" w:hAnsi="Times New Roman"/>
          <w:b w:val="1"/>
          <w:color w:val="000000"/>
          <w:sz w:val="27"/>
          <w:szCs w:val="27"/>
        </w:rPr>
      </w:pPr>
      <w:bookmarkStart w:colFirst="0" w:colLast="0" w:name="_heading=h.111kx3o" w:id="30"/>
      <w:bookmarkEnd w:id="30"/>
      <w:r w:rsidDel="00000000" w:rsidR="00000000" w:rsidRPr="00000000">
        <w:rPr>
          <w:rFonts w:ascii="Times New Roman" w:cs="Times New Roman" w:eastAsia="Times New Roman" w:hAnsi="Times New Roman"/>
          <w:b w:val="1"/>
          <w:color w:val="000000"/>
          <w:sz w:val="27"/>
          <w:szCs w:val="27"/>
          <w:rtl w:val="0"/>
        </w:rPr>
        <w:t xml:space="preserve">Definitions in Applicable Tax Laws Preferred</w:t>
      </w:r>
    </w:p>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3(2) maintains the preference for definitions found in the applicable tax laws of a contracting state, emphasizing that these should prevail over meanings given to terms under other areas of domestic law. This preference ensures consistency in the application of the treaty, focusing on tax law as the primary source of interpretation.</w:t>
      </w:r>
    </w:p>
    <w:p w:rsidR="00000000" w:rsidDel="00000000" w:rsidP="00000000" w:rsidRDefault="00000000" w:rsidRPr="00000000" w14:paraId="000001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prioritizing tax law definitions, the treaty reduces the likelihood of conflicts that could arise from differing interpretations under other legal frameworks, such as commercial or civil law. This focus helps maintain clarity and coherence in the application of the treaty’s provisions.</w:t>
      </w:r>
    </w:p>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option for competent authorities to agree on a different meaning under Article 25 provides an additional layer of flexibility. It allows states to reconcile differences and agree on definitions that better serve the treaty’s purpose, even if those definitions diverge from the domestic tax law.</w:t>
      </w:r>
    </w:p>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if a term like "interest" is defined differently under tax law and commercial law within a contracting state, the treaty would default to the tax law definition. However, if both states agree that the commercial law definition better aligns with the treaty’s objectives, they can adopt that definition through mutual agreement.</w:t>
      </w:r>
    </w:p>
    <w:p w:rsidR="00000000" w:rsidDel="00000000" w:rsidP="00000000" w:rsidRDefault="00000000" w:rsidRPr="00000000" w14:paraId="00000105">
      <w:pPr>
        <w:pStyle w:val="Heading2"/>
        <w:numPr>
          <w:ilvl w:val="0"/>
          <w:numId w:val="11"/>
        </w:numPr>
        <w:ind w:left="360" w:hanging="360"/>
        <w:rPr>
          <w:rFonts w:ascii="Times New Roman" w:cs="Times New Roman" w:eastAsia="Times New Roman" w:hAnsi="Times New Roman"/>
          <w:b w:val="1"/>
          <w:color w:val="000000"/>
          <w:sz w:val="27"/>
          <w:szCs w:val="27"/>
        </w:rPr>
      </w:pPr>
      <w:bookmarkStart w:colFirst="0" w:colLast="0" w:name="_heading=h.3l18frh" w:id="31"/>
      <w:bookmarkEnd w:id="31"/>
      <w:r w:rsidDel="00000000" w:rsidR="00000000" w:rsidRPr="00000000">
        <w:rPr>
          <w:rFonts w:ascii="Times New Roman" w:cs="Times New Roman" w:eastAsia="Times New Roman" w:hAnsi="Times New Roman"/>
          <w:b w:val="1"/>
          <w:color w:val="000000"/>
          <w:sz w:val="27"/>
          <w:szCs w:val="27"/>
          <w:rtl w:val="0"/>
        </w:rPr>
        <w:t xml:space="preserve">Options on the Application of Article 25</w:t>
      </w:r>
    </w:p>
    <w:p w:rsidR="00000000" w:rsidDel="00000000" w:rsidP="00000000" w:rsidRDefault="00000000" w:rsidRPr="00000000" w14:paraId="000001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25 of the OECD / UN MTC introduces the mutual agreement procedure (MAP), a crucial mechanism for resolving disputes that arise under a tax treaty. Article 3(2) explicitly references the possibility of the competent authorities agreeing on a different meaning for undefined terms through Article 25, providing a clear framework for resolving interpretative disagreements.</w:t>
      </w:r>
    </w:p>
    <w:p w:rsidR="00000000" w:rsidDel="00000000" w:rsidP="00000000" w:rsidRDefault="00000000" w:rsidRPr="00000000" w14:paraId="000001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inclusion of Article 25 in the context of Article 3(2) highlights the importance of cooperation between contracting states in interpreting and applying tax treaties. It ensures that disputes are resolved in a manner that upholds the treaty’s objectives and provides certainty for all parties involved.</w:t>
      </w:r>
    </w:p>
    <w:p w:rsidR="00000000" w:rsidDel="00000000" w:rsidP="00000000" w:rsidRDefault="00000000" w:rsidRPr="00000000" w14:paraId="000001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7">
      <w:pPr>
        <w:pStyle w:val="Heading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pStyle w:val="Heading1"/>
        <w:jc w:val="both"/>
        <w:rPr>
          <w:rFonts w:ascii="Times New Roman" w:cs="Times New Roman" w:eastAsia="Times New Roman" w:hAnsi="Times New Roman"/>
          <w:sz w:val="28"/>
          <w:szCs w:val="28"/>
        </w:rPr>
      </w:pPr>
      <w:bookmarkStart w:colFirst="0" w:colLast="0" w:name="_heading=h.206ipza" w:id="32"/>
      <w:bookmarkEnd w:id="32"/>
      <w:r w:rsidDel="00000000" w:rsidR="00000000" w:rsidRPr="00000000">
        <w:rPr>
          <w:rFonts w:ascii="Times New Roman" w:cs="Times New Roman" w:eastAsia="Times New Roman" w:hAnsi="Times New Roman"/>
          <w:sz w:val="28"/>
          <w:szCs w:val="28"/>
          <w:rtl w:val="0"/>
        </w:rPr>
        <w:t xml:space="preserve">E.5. RESOLVING INTERPRETATION ISSUES BY COMPETENT AUTHORITY PROCEEDINGS</w:t>
      </w:r>
    </w:p>
    <w:p w:rsidR="00000000" w:rsidDel="00000000" w:rsidP="00000000" w:rsidRDefault="00000000" w:rsidRPr="00000000" w14:paraId="0000011A">
      <w:pPr>
        <w:pStyle w:val="Heading2"/>
        <w:numPr>
          <w:ilvl w:val="0"/>
          <w:numId w:val="12"/>
        </w:numPr>
        <w:ind w:left="360" w:hanging="360"/>
        <w:rPr>
          <w:rFonts w:ascii="Times New Roman" w:cs="Times New Roman" w:eastAsia="Times New Roman" w:hAnsi="Times New Roman"/>
          <w:b w:val="1"/>
          <w:color w:val="000000"/>
          <w:sz w:val="27"/>
          <w:szCs w:val="27"/>
        </w:rPr>
      </w:pPr>
      <w:bookmarkStart w:colFirst="0" w:colLast="0" w:name="_heading=h.4k668n3" w:id="33"/>
      <w:bookmarkEnd w:id="33"/>
      <w:r w:rsidDel="00000000" w:rsidR="00000000" w:rsidRPr="00000000">
        <w:rPr>
          <w:rFonts w:ascii="Times New Roman" w:cs="Times New Roman" w:eastAsia="Times New Roman" w:hAnsi="Times New Roman"/>
          <w:b w:val="1"/>
          <w:color w:val="000000"/>
          <w:sz w:val="27"/>
          <w:szCs w:val="27"/>
          <w:rtl w:val="0"/>
        </w:rPr>
        <w:t xml:space="preserve">Background</w:t>
      </w:r>
    </w:p>
    <w:p w:rsidR="00000000" w:rsidDel="00000000" w:rsidP="00000000" w:rsidRDefault="00000000" w:rsidRPr="00000000" w14:paraId="0000011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Purpose of Article 25(3) OECD &amp; UN MTC</w:t>
      </w:r>
      <w:r w:rsidDel="00000000" w:rsidR="00000000" w:rsidRPr="00000000">
        <w:rPr>
          <w:rtl w:val="0"/>
        </w:rPr>
      </w:r>
    </w:p>
    <w:p w:rsidR="00000000" w:rsidDel="00000000" w:rsidP="00000000" w:rsidRDefault="00000000" w:rsidRPr="00000000" w14:paraId="000001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25(3) is a critical provision designed to resolve interpretation issues and other difficulties arising in the application of tax treaties between contracting states. The primary purpose of this article is to ensure that disputes and ambiguities that may arise during the interpretation of treaty terms or their application can be effectively addressed and resolved through mutual agreement between the competent authorities of the contracting states. This mechanism is essential to maintain the integrity of the treaty and to ensure that its objectives, such as avoiding double taxation and preventing tax evasion, are met.</w:t>
      </w:r>
    </w:p>
    <w:p w:rsidR="00000000" w:rsidDel="00000000" w:rsidP="00000000" w:rsidRDefault="00000000" w:rsidRPr="00000000" w14:paraId="000001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competent authority process is a key aspect of international tax cooperation, providing a structured framework for resolving disputes that might otherwise lead to double taxation, tax evasion, or inconsistent application of tax laws. By facilitating dialogue and agreement between the tax authorities of different countries, Article 25(3) helps ensure that tax treaties are interpreted consistently and fairly, thereby enhancing legal certainty and stability for taxpayers operating across borders.</w:t>
      </w:r>
    </w:p>
    <w:p w:rsidR="00000000" w:rsidDel="00000000" w:rsidP="00000000" w:rsidRDefault="00000000" w:rsidRPr="00000000" w14:paraId="0000011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Text of Article 25(3)</w:t>
      </w:r>
    </w:p>
    <w:p w:rsidR="00000000" w:rsidDel="00000000" w:rsidP="00000000" w:rsidRDefault="00000000" w:rsidRPr="00000000" w14:paraId="000001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text of Article 25(3) of the OECD and UN MTC states:</w:t>
      </w:r>
    </w:p>
    <w:p w:rsidR="00000000" w:rsidDel="00000000" w:rsidP="00000000" w:rsidRDefault="00000000" w:rsidRPr="00000000" w14:paraId="000001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competent authorities of the Contracting States shall endeavour to resolve by mutual agreement any difficulties or doubts arising as to the interpretation or application of the Convention. They may also consult together for the elimination of double taxation in cases not provided for in the Convention."</w:t>
      </w:r>
    </w:p>
    <w:p w:rsidR="00000000" w:rsidDel="00000000" w:rsidP="00000000" w:rsidRDefault="00000000" w:rsidRPr="00000000" w14:paraId="000001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provision establishes the obligation for competent authorities to work together to resolve any issues related to the interpretation or application of the treaty. It also provides the possibility for these authorities to address situations of double taxation that may not be explicitly covered by the treaty, thereby offering a flexible tool for ensuring the effective operation of the treaty.</w:t>
      </w:r>
    </w:p>
    <w:p w:rsidR="00000000" w:rsidDel="00000000" w:rsidP="00000000" w:rsidRDefault="00000000" w:rsidRPr="00000000" w14:paraId="00000122">
      <w:pPr>
        <w:pStyle w:val="Heading2"/>
        <w:numPr>
          <w:ilvl w:val="0"/>
          <w:numId w:val="12"/>
        </w:numPr>
        <w:ind w:left="360" w:hanging="360"/>
        <w:rPr>
          <w:rFonts w:ascii="Times New Roman" w:cs="Times New Roman" w:eastAsia="Times New Roman" w:hAnsi="Times New Roman"/>
          <w:b w:val="1"/>
          <w:color w:val="000000"/>
          <w:sz w:val="27"/>
          <w:szCs w:val="27"/>
        </w:rPr>
      </w:pPr>
      <w:bookmarkStart w:colFirst="0" w:colLast="0" w:name="_heading=h.2zbgiuw" w:id="34"/>
      <w:bookmarkEnd w:id="34"/>
      <w:r w:rsidDel="00000000" w:rsidR="00000000" w:rsidRPr="00000000">
        <w:rPr>
          <w:rFonts w:ascii="Times New Roman" w:cs="Times New Roman" w:eastAsia="Times New Roman" w:hAnsi="Times New Roman"/>
          <w:b w:val="1"/>
          <w:color w:val="000000"/>
          <w:sz w:val="27"/>
          <w:szCs w:val="27"/>
          <w:rtl w:val="0"/>
        </w:rPr>
        <w:t xml:space="preserve">Difficulties of Interpretation</w:t>
      </w:r>
    </w:p>
    <w:p w:rsidR="00000000" w:rsidDel="00000000" w:rsidP="00000000" w:rsidRDefault="00000000" w:rsidRPr="00000000" w14:paraId="00000123">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Incompletely Defined Terms or Ambiguity</w:t>
      </w:r>
      <w:r w:rsidDel="00000000" w:rsidR="00000000" w:rsidRPr="00000000">
        <w:rPr>
          <w:rtl w:val="0"/>
        </w:rPr>
      </w:r>
    </w:p>
    <w:p w:rsidR="00000000" w:rsidDel="00000000" w:rsidP="00000000" w:rsidRDefault="00000000" w:rsidRPr="00000000" w14:paraId="000001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central challenges in the application of tax treaties is the interpretation of terms that are either incompletely defined or inherently ambiguous. Tax treaties are typically drafted to apply to a wide range of situations, which can lead to the use of broad or general language. However, such language can give rise to differing interpretations by the contracting states, particularly when there is no clear or agreed-upon definition of specific terms.</w:t>
      </w:r>
    </w:p>
    <w:p w:rsidR="00000000" w:rsidDel="00000000" w:rsidP="00000000" w:rsidRDefault="00000000" w:rsidRPr="00000000" w14:paraId="000001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Ambiguities in treaty language can occur for several reasons, including differences in legal systems, language barriers, and the evolving nature of international tax practices. For example, a term like "permanent establishment" might be interpreted differently by two states, leading to disputes over which state has the right to tax certain business profits. Similarly, the definition of "royalties" or "dividends" can vary, resulting in inconsistent tax treatment.</w:t>
      </w:r>
    </w:p>
    <w:p w:rsidR="00000000" w:rsidDel="00000000" w:rsidP="00000000" w:rsidRDefault="00000000" w:rsidRPr="00000000" w14:paraId="000001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25(3) provides a mechanism for resolving these ambiguities through mutual agreement. When competent authorities identify an issue arising from the interpretation of a treaty term, they can engage in discussions to clarify the meaning and application of that term in a way that is consistent with the treaty's objectives. This process helps to prevent disputes from escalating into broader conflicts and ensures that the treaty is applied as intended.</w:t>
      </w:r>
    </w:p>
    <w:p w:rsidR="00000000" w:rsidDel="00000000" w:rsidP="00000000" w:rsidRDefault="00000000" w:rsidRPr="00000000" w14:paraId="0000012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Change of Laws Affecting Wordings</w:t>
      </w:r>
    </w:p>
    <w:p w:rsidR="00000000" w:rsidDel="00000000" w:rsidP="00000000" w:rsidRDefault="00000000" w:rsidRPr="00000000" w14:paraId="000001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significant challenge in treaty interpretation arises when domestic laws in one or both contracting states change in a way that affects the meaning or application of treaty terms. Such changes can create discrepancies between the original intent of the treaty and its current application, leading to uncertainty and potential disputes.</w:t>
      </w:r>
    </w:p>
    <w:p w:rsidR="00000000" w:rsidDel="00000000" w:rsidP="00000000" w:rsidRDefault="00000000" w:rsidRPr="00000000" w14:paraId="000001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instance, if a contracting state amends its tax laws to redefine what constitutes a "resident" for tax purposes, this could impact how the treaty is applied, particularly if the treaty does not have an explicit definition or if the new definition deviates from the one implicitly assumed during treaty negotiations. Similarly, changes in how "business profits" are calculated under domestic law could lead to conflicts over how profits should be allocated between states.</w:t>
      </w:r>
    </w:p>
    <w:p w:rsidR="00000000" w:rsidDel="00000000" w:rsidP="00000000" w:rsidRDefault="00000000" w:rsidRPr="00000000" w14:paraId="000001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25(3) addresses these issues by allowing competent authorities to consult with each other and reach a mutual understanding or agreement on how to interpret and apply the treaty in light of these changes. This process helps to align the interpretation of the treaty with current legal realities, ensuring that the treaty remains effective and relevant even as domestic laws evolve.</w:t>
      </w:r>
    </w:p>
    <w:p w:rsidR="00000000" w:rsidDel="00000000" w:rsidP="00000000" w:rsidRDefault="00000000" w:rsidRPr="00000000" w14:paraId="0000012B">
      <w:pPr>
        <w:pStyle w:val="Heading2"/>
        <w:numPr>
          <w:ilvl w:val="0"/>
          <w:numId w:val="12"/>
        </w:numPr>
        <w:ind w:left="360" w:hanging="360"/>
        <w:rPr>
          <w:rFonts w:ascii="Times New Roman" w:cs="Times New Roman" w:eastAsia="Times New Roman" w:hAnsi="Times New Roman"/>
          <w:b w:val="1"/>
          <w:color w:val="000000"/>
          <w:sz w:val="27"/>
          <w:szCs w:val="27"/>
        </w:rPr>
      </w:pPr>
      <w:bookmarkStart w:colFirst="0" w:colLast="0" w:name="_heading=h.1egqt2p" w:id="35"/>
      <w:bookmarkEnd w:id="35"/>
      <w:r w:rsidDel="00000000" w:rsidR="00000000" w:rsidRPr="00000000">
        <w:rPr>
          <w:rFonts w:ascii="Times New Roman" w:cs="Times New Roman" w:eastAsia="Times New Roman" w:hAnsi="Times New Roman"/>
          <w:b w:val="1"/>
          <w:color w:val="000000"/>
          <w:sz w:val="27"/>
          <w:szCs w:val="27"/>
          <w:rtl w:val="0"/>
        </w:rPr>
        <w:t xml:space="preserve">Binding Effect of Mutual Agreements</w:t>
      </w:r>
    </w:p>
    <w:p w:rsidR="00000000" w:rsidDel="00000000" w:rsidP="00000000" w:rsidRDefault="00000000" w:rsidRPr="00000000" w14:paraId="000001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critical aspects of Article 25(3) is that the mutual agreements reached by competent authorities are generally binding on the contracting states. Once an agreement is reached, it effectively becomes the authoritative interpretation of the treaty for the issues addressed, as long as the competent authorities do not agree otherwise.</w:t>
      </w:r>
    </w:p>
    <w:p w:rsidR="00000000" w:rsidDel="00000000" w:rsidP="00000000" w:rsidRDefault="00000000" w:rsidRPr="00000000" w14:paraId="000001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binding nature of these agreements provides a degree of certainty and stability for taxpayers, who can rely on the agreed interpretation to guide their tax planning and compliance. It also ensures that both contracting states apply the treaty consistently, reducing the risk of double taxation or other forms of tax disputes.</w:t>
      </w:r>
    </w:p>
    <w:p w:rsidR="00000000" w:rsidDel="00000000" w:rsidP="00000000" w:rsidRDefault="00000000" w:rsidRPr="00000000" w14:paraId="000001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binding effect of mutual agreements is subject to the condition that the competent authorities do not subsequently agree to a different interpretation or application of the treaty. This possibility allows for flexibility in responding to new developments or changing circumstances, but it also introduces a potential element of uncertainty. Taxpayers and tax authorities alike must be aware that mutual agreements, while generally binding, are not necessarily final if the competent authorities later decide to revise their agreement.</w:t>
      </w:r>
    </w:p>
    <w:p w:rsidR="00000000" w:rsidDel="00000000" w:rsidP="00000000" w:rsidRDefault="00000000" w:rsidRPr="00000000" w14:paraId="000001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flexibility can be both a strength and a limitation of the Article 25(3) process. On the one hand, it allows competent authorities to adapt their interpretations to new facts or changes in law. On the other hand, it can create uncertainty if there is a perception that mutual agreements might be subject to change.</w:t>
      </w:r>
    </w:p>
    <w:p w:rsidR="00000000" w:rsidDel="00000000" w:rsidP="00000000" w:rsidRDefault="00000000" w:rsidRPr="00000000" w14:paraId="000001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pStyle w:val="Heading2"/>
        <w:numPr>
          <w:ilvl w:val="0"/>
          <w:numId w:val="12"/>
        </w:numPr>
        <w:ind w:left="360" w:hanging="360"/>
        <w:rPr>
          <w:rFonts w:ascii="Times New Roman" w:cs="Times New Roman" w:eastAsia="Times New Roman" w:hAnsi="Times New Roman"/>
          <w:b w:val="1"/>
          <w:color w:val="000000"/>
          <w:sz w:val="27"/>
          <w:szCs w:val="27"/>
        </w:rPr>
      </w:pPr>
      <w:bookmarkStart w:colFirst="0" w:colLast="0" w:name="_heading=h.3ygebqi" w:id="36"/>
      <w:bookmarkEnd w:id="36"/>
      <w:r w:rsidDel="00000000" w:rsidR="00000000" w:rsidRPr="00000000">
        <w:rPr>
          <w:rFonts w:ascii="Times New Roman" w:cs="Times New Roman" w:eastAsia="Times New Roman" w:hAnsi="Times New Roman"/>
          <w:b w:val="1"/>
          <w:color w:val="000000"/>
          <w:sz w:val="27"/>
          <w:szCs w:val="27"/>
          <w:rtl w:val="0"/>
        </w:rPr>
        <w:t xml:space="preserve">Necessitating of Protocol to Complement the Convention</w:t>
      </w:r>
    </w:p>
    <w:p w:rsidR="00000000" w:rsidDel="00000000" w:rsidP="00000000" w:rsidRDefault="00000000" w:rsidRPr="00000000" w14:paraId="000001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many cases, the mutual agreement process under Article 25(3) is facilitated by the inclusion of a protocol or supplementary agreement that complements the main convention. These protocols often contain specific provisions that clarify or elaborate on the interpretation and application of the treaty, addressing issues that might not be fully covered in the main text.</w:t>
      </w:r>
    </w:p>
    <w:p w:rsidR="00000000" w:rsidDel="00000000" w:rsidP="00000000" w:rsidRDefault="00000000" w:rsidRPr="00000000" w14:paraId="000001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necessity of a protocol arises from the need to provide additional guidance and certainty in the application of the treaty. Protocols can address specific concerns raised by the contracting states during the negotiation process, such as defining particular terms, setting out procedural rules for the mutual agreement process, or outlining methods for resolving specific types of disputes.</w:t>
      </w:r>
    </w:p>
    <w:p w:rsidR="00000000" w:rsidDel="00000000" w:rsidP="00000000" w:rsidRDefault="00000000" w:rsidRPr="00000000" w14:paraId="000001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a protocol might include a detailed definition of "permanent establishment" to prevent disputes over the term's interpretation. It might also specify the procedures to be followed by the competent authorities when engaging in mutual agreement discussions, including timelines, documentation requirements, and the scope of issues that can be addressed.</w:t>
      </w:r>
    </w:p>
    <w:p w:rsidR="00000000" w:rsidDel="00000000" w:rsidP="00000000" w:rsidRDefault="00000000" w:rsidRPr="00000000" w14:paraId="000001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inclusion of a protocol helps to ensure that the treaty is applied consistently and effectively, reducing the likelihood of disputes and enhancing the overall stability of the tax environment. It also provides a framework for addressing new issues as they arise, allowing the treaty to be adapted to changing circumstances without the need for formal amendments to the main text.</w:t>
      </w:r>
    </w:p>
    <w:p w:rsidR="00000000" w:rsidDel="00000000" w:rsidP="00000000" w:rsidRDefault="00000000" w:rsidRPr="00000000" w14:paraId="00000136">
      <w:pPr>
        <w:pStyle w:val="Heading2"/>
        <w:numPr>
          <w:ilvl w:val="0"/>
          <w:numId w:val="12"/>
        </w:numPr>
        <w:ind w:left="360" w:hanging="360"/>
        <w:rPr>
          <w:rFonts w:ascii="Times New Roman" w:cs="Times New Roman" w:eastAsia="Times New Roman" w:hAnsi="Times New Roman"/>
          <w:b w:val="1"/>
          <w:color w:val="000000"/>
          <w:sz w:val="27"/>
          <w:szCs w:val="27"/>
        </w:rPr>
      </w:pPr>
      <w:bookmarkStart w:colFirst="0" w:colLast="0" w:name="_heading=h.2dlolyb" w:id="37"/>
      <w:bookmarkEnd w:id="37"/>
      <w:r w:rsidDel="00000000" w:rsidR="00000000" w:rsidRPr="00000000">
        <w:rPr>
          <w:rFonts w:ascii="Times New Roman" w:cs="Times New Roman" w:eastAsia="Times New Roman" w:hAnsi="Times New Roman"/>
          <w:b w:val="1"/>
          <w:color w:val="000000"/>
          <w:sz w:val="27"/>
          <w:szCs w:val="27"/>
          <w:rtl w:val="0"/>
        </w:rPr>
        <w:t xml:space="preserve">Effectiveness of Article 25(3)</w:t>
      </w:r>
    </w:p>
    <w:p w:rsidR="00000000" w:rsidDel="00000000" w:rsidP="00000000" w:rsidRDefault="00000000" w:rsidRPr="00000000" w14:paraId="000001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effectiveness of Article 25(3) in resolving interpretation issues depends on several factors, including the willingness of the competent authorities to engage in constructive dialogue, the clarity of the treaty terms, and the procedural mechanisms in place to facilitate the mutual agreement process.</w:t>
      </w:r>
    </w:p>
    <w:p w:rsidR="00000000" w:rsidDel="00000000" w:rsidP="00000000" w:rsidRDefault="00000000" w:rsidRPr="00000000" w14:paraId="000001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strengths of Article 25(3) is its flexibility. It allows competent authorities to address a wide range of issues, from specific disputes over the application of treaty provisions to broader concerns about the treaty's overall effectiveness. This flexibility makes it a valuable tool for maintaining the relevance and effectiveness of tax treaties over time.</w:t>
      </w:r>
    </w:p>
    <w:p w:rsidR="00000000" w:rsidDel="00000000" w:rsidP="00000000" w:rsidRDefault="00000000" w:rsidRPr="00000000" w14:paraId="000001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effectiveness of the mutual agreement process can be limited by practical challenges. For example, the process can be time-consuming, particularly if the issues involved are complex or if there are significant differences in the positions of the contracting states. In some cases, the lack of clear procedural guidelines or the absence of a protocol can also hinder the effectiveness of the process, leading to delays or unresolved disputes.</w:t>
      </w:r>
    </w:p>
    <w:p w:rsidR="00000000" w:rsidDel="00000000" w:rsidP="00000000" w:rsidRDefault="00000000" w:rsidRPr="00000000" w14:paraId="000001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enhance the effectiveness of Article 25(3), it is essential for contracting states to establish clear and efficient procedures for the mutual agreement process. This might include setting timelines for the resolution of disputes, providing for arbitration in cases where the competent authorities cannot reach an agreement, and ensuring that taxpayers have access to the mutual agreement process when necessary.</w:t>
      </w:r>
    </w:p>
    <w:p w:rsidR="00000000" w:rsidDel="00000000" w:rsidP="00000000" w:rsidRDefault="00000000" w:rsidRPr="00000000" w14:paraId="000001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effectiveness of Article 25(3) is also influenced by the broader international tax environment. As cross-border transactions become more complex and tax laws continue to evolve, the need for effective mechanisms to resolve interpretation issues becomes increasingly important. The mutual agreement process under Article 25(3) provides a crucial means of addressing these challenges, helping to ensure that tax treaties continue to fulfill their intended purpose in a dynamic and changing world.</w:t>
      </w:r>
    </w:p>
    <w:p w:rsidR="00000000" w:rsidDel="00000000" w:rsidP="00000000" w:rsidRDefault="00000000" w:rsidRPr="00000000" w14:paraId="0000013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jc w:val="both"/>
        <w:rPr>
          <w:rFonts w:ascii="Times New Roman" w:cs="Times New Roman" w:eastAsia="Times New Roman" w:hAnsi="Times New Roman"/>
          <w:sz w:val="24"/>
          <w:szCs w:val="24"/>
        </w:rPr>
      </w:pP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pBdr>
        <w:top w:color="d9d9d9" w:space="1" w:sz="4" w:val="single"/>
        <w:left w:space="0" w:sz="0" w:val="nil"/>
        <w:bottom w:space="0" w:sz="0" w:val="nil"/>
        <w:right w:space="0" w:sz="0" w:val="nil"/>
        <w:between w:space="0" w:sz="0" w:val="nil"/>
      </w:pBdr>
      <w:tabs>
        <w:tab w:val="center" w:leader="none" w:pos="4513"/>
        <w:tab w:val="right" w:leader="none" w:pos="9026"/>
      </w:tabs>
      <w:spacing w:after="0" w:line="240" w:lineRule="auto"/>
      <w:ind w:left="3407" w:firstLine="4513"/>
      <w:rPr>
        <w:b w:val="1"/>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b w:val="1"/>
        <w:color w:val="000000"/>
        <w:rtl w:val="0"/>
      </w:rPr>
      <w:t xml:space="preserve"> | </w:t>
    </w:r>
    <w:r w:rsidDel="00000000" w:rsidR="00000000" w:rsidRPr="00000000">
      <w:rPr>
        <w:color w:val="7f7f7f"/>
        <w:rtl w:val="0"/>
      </w:rPr>
      <w:t xml:space="preserve">Page</w:t>
    </w: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360" w:hanging="360"/>
      </w:pPr>
      <w:rPr/>
    </w:lvl>
    <w:lvl w:ilvl="1">
      <w:start w:val="1"/>
      <w:numFmt w:val="decimal"/>
      <w:lvlText w:val="%1.%2."/>
      <w:lvlJc w:val="left"/>
      <w:pPr>
        <w:ind w:left="360" w:hanging="360"/>
      </w:pPr>
      <w:rPr>
        <w:rFonts w:ascii="Times New Roman" w:cs="Times New Roman" w:eastAsia="Times New Roman" w:hAnsi="Times New Roman"/>
        <w:b w:val="1"/>
      </w:rPr>
    </w:lvl>
    <w:lvl w:ilvl="2">
      <w:start w:val="1"/>
      <w:numFmt w:val="decimal"/>
      <w:lvlText w:val="%1.%2.%3."/>
      <w:lvlJc w:val="left"/>
      <w:pPr>
        <w:ind w:left="720" w:hanging="720"/>
      </w:pPr>
      <w:rPr>
        <w:rFonts w:ascii="Times New Roman" w:cs="Times New Roman" w:eastAsia="Times New Roman" w:hAnsi="Times New Roman"/>
        <w:b w:val="1"/>
      </w:rPr>
    </w:lvl>
    <w:lvl w:ilvl="3">
      <w:start w:val="1"/>
      <w:numFmt w:val="decimal"/>
      <w:lvlText w:val="%1.%2.%3.%4."/>
      <w:lvlJc w:val="left"/>
      <w:pPr>
        <w:ind w:left="720" w:hanging="720"/>
      </w:pPr>
      <w:rPr>
        <w:rFonts w:ascii="Times New Roman" w:cs="Times New Roman" w:eastAsia="Times New Roman" w:hAnsi="Times New Roman"/>
        <w:b w:val="1"/>
      </w:rPr>
    </w:lvl>
    <w:lvl w:ilvl="4">
      <w:start w:val="1"/>
      <w:numFmt w:val="decimal"/>
      <w:lvlText w:val="%1.%2.%3.%4.%5."/>
      <w:lvlJc w:val="left"/>
      <w:pPr>
        <w:ind w:left="1080" w:hanging="1080"/>
      </w:pPr>
      <w:rPr>
        <w:rFonts w:ascii="Times New Roman" w:cs="Times New Roman" w:eastAsia="Times New Roman" w:hAnsi="Times New Roman"/>
        <w:b w:val="1"/>
      </w:rPr>
    </w:lvl>
    <w:lvl w:ilvl="5">
      <w:start w:val="1"/>
      <w:numFmt w:val="decimal"/>
      <w:lvlText w:val="%1.%2.%3.%4.%5.%6."/>
      <w:lvlJc w:val="left"/>
      <w:pPr>
        <w:ind w:left="1080" w:hanging="1080"/>
      </w:pPr>
      <w:rPr>
        <w:rFonts w:ascii="Times New Roman" w:cs="Times New Roman" w:eastAsia="Times New Roman" w:hAnsi="Times New Roman"/>
        <w:b w:val="1"/>
      </w:rPr>
    </w:lvl>
    <w:lvl w:ilvl="6">
      <w:start w:val="1"/>
      <w:numFmt w:val="decimal"/>
      <w:lvlText w:val="%1.%2.%3.%4.%5.%6.%7."/>
      <w:lvlJc w:val="left"/>
      <w:pPr>
        <w:ind w:left="1440" w:hanging="1440"/>
      </w:pPr>
      <w:rPr>
        <w:rFonts w:ascii="Times New Roman" w:cs="Times New Roman" w:eastAsia="Times New Roman" w:hAnsi="Times New Roman"/>
        <w:b w:val="1"/>
      </w:rPr>
    </w:lvl>
    <w:lvl w:ilvl="7">
      <w:start w:val="1"/>
      <w:numFmt w:val="decimal"/>
      <w:lvlText w:val="%1.%2.%3.%4.%5.%6.%7.%8."/>
      <w:lvlJc w:val="left"/>
      <w:pPr>
        <w:ind w:left="1440" w:hanging="1440"/>
      </w:pPr>
      <w:rPr>
        <w:rFonts w:ascii="Times New Roman" w:cs="Times New Roman" w:eastAsia="Times New Roman" w:hAnsi="Times New Roman"/>
        <w:b w:val="1"/>
      </w:rPr>
    </w:lvl>
    <w:lvl w:ilvl="8">
      <w:start w:val="1"/>
      <w:numFmt w:val="decimal"/>
      <w:lvlText w:val="%1.%2.%3.%4.%5.%6.%7.%8.%9."/>
      <w:lvlJc w:val="left"/>
      <w:pPr>
        <w:ind w:left="1800" w:hanging="1800"/>
      </w:pPr>
      <w:rPr>
        <w:rFonts w:ascii="Times New Roman" w:cs="Times New Roman" w:eastAsia="Times New Roman" w:hAnsi="Times New Roman"/>
        <w:b w:val="1"/>
      </w:rPr>
    </w:lvl>
  </w:abstractNum>
  <w:abstractNum w:abstractNumId="6">
    <w:lvl w:ilvl="0">
      <w:start w:val="2"/>
      <w:numFmt w:val="decimal"/>
      <w:lvlText w:val="%1."/>
      <w:lvlJc w:val="left"/>
      <w:pPr>
        <w:ind w:left="360" w:hanging="360"/>
      </w:pPr>
      <w:rPr>
        <w:rFonts w:ascii="Times New Roman" w:cs="Times New Roman" w:eastAsia="Times New Roman" w:hAnsi="Times New Roman"/>
        <w:b w:val="1"/>
      </w:rPr>
    </w:lvl>
    <w:lvl w:ilvl="1">
      <w:start w:val="1"/>
      <w:numFmt w:val="decimal"/>
      <w:lvlText w:val="%1.%2."/>
      <w:lvlJc w:val="left"/>
      <w:pPr>
        <w:ind w:left="360" w:hanging="360"/>
      </w:pPr>
      <w:rPr>
        <w:rFonts w:ascii="Times New Roman" w:cs="Times New Roman" w:eastAsia="Times New Roman" w:hAnsi="Times New Roman"/>
        <w:b w:val="1"/>
      </w:rPr>
    </w:lvl>
    <w:lvl w:ilvl="2">
      <w:start w:val="1"/>
      <w:numFmt w:val="decimal"/>
      <w:lvlText w:val="%1.%2.%3."/>
      <w:lvlJc w:val="left"/>
      <w:pPr>
        <w:ind w:left="720" w:hanging="720"/>
      </w:pPr>
      <w:rPr>
        <w:rFonts w:ascii="Times New Roman" w:cs="Times New Roman" w:eastAsia="Times New Roman" w:hAnsi="Times New Roman"/>
        <w:b w:val="1"/>
      </w:rPr>
    </w:lvl>
    <w:lvl w:ilvl="3">
      <w:start w:val="1"/>
      <w:numFmt w:val="decimal"/>
      <w:lvlText w:val="%1.%2.%3.%4."/>
      <w:lvlJc w:val="left"/>
      <w:pPr>
        <w:ind w:left="720" w:hanging="720"/>
      </w:pPr>
      <w:rPr>
        <w:rFonts w:ascii="Times New Roman" w:cs="Times New Roman" w:eastAsia="Times New Roman" w:hAnsi="Times New Roman"/>
        <w:b w:val="1"/>
      </w:rPr>
    </w:lvl>
    <w:lvl w:ilvl="4">
      <w:start w:val="1"/>
      <w:numFmt w:val="decimal"/>
      <w:lvlText w:val="%1.%2.%3.%4.%5."/>
      <w:lvlJc w:val="left"/>
      <w:pPr>
        <w:ind w:left="1080" w:hanging="1080"/>
      </w:pPr>
      <w:rPr>
        <w:rFonts w:ascii="Times New Roman" w:cs="Times New Roman" w:eastAsia="Times New Roman" w:hAnsi="Times New Roman"/>
        <w:b w:val="1"/>
      </w:rPr>
    </w:lvl>
    <w:lvl w:ilvl="5">
      <w:start w:val="1"/>
      <w:numFmt w:val="decimal"/>
      <w:lvlText w:val="%1.%2.%3.%4.%5.%6."/>
      <w:lvlJc w:val="left"/>
      <w:pPr>
        <w:ind w:left="1080" w:hanging="1080"/>
      </w:pPr>
      <w:rPr>
        <w:rFonts w:ascii="Times New Roman" w:cs="Times New Roman" w:eastAsia="Times New Roman" w:hAnsi="Times New Roman"/>
        <w:b w:val="1"/>
      </w:rPr>
    </w:lvl>
    <w:lvl w:ilvl="6">
      <w:start w:val="1"/>
      <w:numFmt w:val="decimal"/>
      <w:lvlText w:val="%1.%2.%3.%4.%5.%6.%7."/>
      <w:lvlJc w:val="left"/>
      <w:pPr>
        <w:ind w:left="1440" w:hanging="1440"/>
      </w:pPr>
      <w:rPr>
        <w:rFonts w:ascii="Times New Roman" w:cs="Times New Roman" w:eastAsia="Times New Roman" w:hAnsi="Times New Roman"/>
        <w:b w:val="1"/>
      </w:rPr>
    </w:lvl>
    <w:lvl w:ilvl="7">
      <w:start w:val="1"/>
      <w:numFmt w:val="decimal"/>
      <w:lvlText w:val="%1.%2.%3.%4.%5.%6.%7.%8."/>
      <w:lvlJc w:val="left"/>
      <w:pPr>
        <w:ind w:left="1440" w:hanging="1440"/>
      </w:pPr>
      <w:rPr>
        <w:rFonts w:ascii="Times New Roman" w:cs="Times New Roman" w:eastAsia="Times New Roman" w:hAnsi="Times New Roman"/>
        <w:b w:val="1"/>
      </w:rPr>
    </w:lvl>
    <w:lvl w:ilvl="8">
      <w:start w:val="1"/>
      <w:numFmt w:val="decimal"/>
      <w:lvlText w:val="%1.%2.%3.%4.%5.%6.%7.%8.%9."/>
      <w:lvlJc w:val="left"/>
      <w:pPr>
        <w:ind w:left="1800" w:hanging="1800"/>
      </w:pPr>
      <w:rPr>
        <w:rFonts w:ascii="Times New Roman" w:cs="Times New Roman" w:eastAsia="Times New Roman" w:hAnsi="Times New Roman"/>
        <w:b w:val="1"/>
      </w:rPr>
    </w:lvl>
  </w:abstractNum>
  <w:abstractNum w:abstractNumId="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5"/>
      <w:numFmt w:val="decimal"/>
      <w:lvlText w:val="%1."/>
      <w:lvlJc w:val="left"/>
      <w:pPr>
        <w:ind w:left="360" w:hanging="360"/>
      </w:pPr>
      <w:rPr>
        <w:rFonts w:ascii="Times New Roman" w:cs="Times New Roman" w:eastAsia="Times New Roman" w:hAnsi="Times New Roman"/>
        <w:b w:val="1"/>
      </w:rPr>
    </w:lvl>
    <w:lvl w:ilvl="1">
      <w:start w:val="1"/>
      <w:numFmt w:val="decimal"/>
      <w:lvlText w:val="%1.%2."/>
      <w:lvlJc w:val="left"/>
      <w:pPr>
        <w:ind w:left="360" w:hanging="360"/>
      </w:pPr>
      <w:rPr>
        <w:rFonts w:ascii="Times New Roman" w:cs="Times New Roman" w:eastAsia="Times New Roman" w:hAnsi="Times New Roman"/>
        <w:b w:val="1"/>
      </w:rPr>
    </w:lvl>
    <w:lvl w:ilvl="2">
      <w:start w:val="1"/>
      <w:numFmt w:val="decimal"/>
      <w:lvlText w:val="%1.%2.%3."/>
      <w:lvlJc w:val="left"/>
      <w:pPr>
        <w:ind w:left="720" w:hanging="720"/>
      </w:pPr>
      <w:rPr>
        <w:rFonts w:ascii="Times New Roman" w:cs="Times New Roman" w:eastAsia="Times New Roman" w:hAnsi="Times New Roman"/>
        <w:b w:val="1"/>
      </w:rPr>
    </w:lvl>
    <w:lvl w:ilvl="3">
      <w:start w:val="1"/>
      <w:numFmt w:val="decimal"/>
      <w:lvlText w:val="%1.%2.%3.%4."/>
      <w:lvlJc w:val="left"/>
      <w:pPr>
        <w:ind w:left="720" w:hanging="720"/>
      </w:pPr>
      <w:rPr>
        <w:rFonts w:ascii="Times New Roman" w:cs="Times New Roman" w:eastAsia="Times New Roman" w:hAnsi="Times New Roman"/>
        <w:b w:val="1"/>
      </w:rPr>
    </w:lvl>
    <w:lvl w:ilvl="4">
      <w:start w:val="1"/>
      <w:numFmt w:val="decimal"/>
      <w:lvlText w:val="%1.%2.%3.%4.%5."/>
      <w:lvlJc w:val="left"/>
      <w:pPr>
        <w:ind w:left="1080" w:hanging="1080"/>
      </w:pPr>
      <w:rPr>
        <w:rFonts w:ascii="Times New Roman" w:cs="Times New Roman" w:eastAsia="Times New Roman" w:hAnsi="Times New Roman"/>
        <w:b w:val="1"/>
      </w:rPr>
    </w:lvl>
    <w:lvl w:ilvl="5">
      <w:start w:val="1"/>
      <w:numFmt w:val="decimal"/>
      <w:lvlText w:val="%1.%2.%3.%4.%5.%6."/>
      <w:lvlJc w:val="left"/>
      <w:pPr>
        <w:ind w:left="1080" w:hanging="1080"/>
      </w:pPr>
      <w:rPr>
        <w:rFonts w:ascii="Times New Roman" w:cs="Times New Roman" w:eastAsia="Times New Roman" w:hAnsi="Times New Roman"/>
        <w:b w:val="1"/>
      </w:rPr>
    </w:lvl>
    <w:lvl w:ilvl="6">
      <w:start w:val="1"/>
      <w:numFmt w:val="decimal"/>
      <w:lvlText w:val="%1.%2.%3.%4.%5.%6.%7."/>
      <w:lvlJc w:val="left"/>
      <w:pPr>
        <w:ind w:left="1440" w:hanging="1440"/>
      </w:pPr>
      <w:rPr>
        <w:rFonts w:ascii="Times New Roman" w:cs="Times New Roman" w:eastAsia="Times New Roman" w:hAnsi="Times New Roman"/>
        <w:b w:val="1"/>
      </w:rPr>
    </w:lvl>
    <w:lvl w:ilvl="7">
      <w:start w:val="1"/>
      <w:numFmt w:val="decimal"/>
      <w:lvlText w:val="%1.%2.%3.%4.%5.%6.%7.%8."/>
      <w:lvlJc w:val="left"/>
      <w:pPr>
        <w:ind w:left="1440" w:hanging="1440"/>
      </w:pPr>
      <w:rPr>
        <w:rFonts w:ascii="Times New Roman" w:cs="Times New Roman" w:eastAsia="Times New Roman" w:hAnsi="Times New Roman"/>
        <w:b w:val="1"/>
      </w:rPr>
    </w:lvl>
    <w:lvl w:ilvl="8">
      <w:start w:val="1"/>
      <w:numFmt w:val="decimal"/>
      <w:lvlText w:val="%1.%2.%3.%4.%5.%6.%7.%8.%9."/>
      <w:lvlJc w:val="left"/>
      <w:pPr>
        <w:ind w:left="1800" w:hanging="1800"/>
      </w:pPr>
      <w:rPr>
        <w:rFonts w:ascii="Times New Roman" w:cs="Times New Roman" w:eastAsia="Times New Roman" w:hAnsi="Times New Roman"/>
        <w:b w:val="1"/>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
    <w:lvl w:ilvl="0">
      <w:start w:val="1"/>
      <w:numFmt w:val="decimal"/>
      <w:lvlText w:val="%1."/>
      <w:lvlJc w:val="left"/>
      <w:pPr>
        <w:ind w:left="360" w:hanging="360"/>
      </w:pPr>
      <w:rPr/>
    </w:lvl>
    <w:lvl w:ilvl="1">
      <w:start w:val="1"/>
      <w:numFmt w:val="decimal"/>
      <w:lvlText w:val="%1.%2."/>
      <w:lvlJc w:val="left"/>
      <w:pPr>
        <w:ind w:left="360" w:hanging="360"/>
      </w:pPr>
      <w:rPr>
        <w:b w:val="1"/>
      </w:rPr>
    </w:lvl>
    <w:lvl w:ilvl="2">
      <w:start w:val="1"/>
      <w:numFmt w:val="decimal"/>
      <w:lvlText w:val="%1.%2.%3."/>
      <w:lvlJc w:val="left"/>
      <w:pPr>
        <w:ind w:left="720" w:hanging="720"/>
      </w:pPr>
      <w:rPr>
        <w:b w:val="1"/>
      </w:rPr>
    </w:lvl>
    <w:lvl w:ilvl="3">
      <w:start w:val="1"/>
      <w:numFmt w:val="decimal"/>
      <w:lvlText w:val="%1.%2.%3.%4."/>
      <w:lvlJc w:val="left"/>
      <w:pPr>
        <w:ind w:left="720" w:hanging="720"/>
      </w:pPr>
      <w:rPr>
        <w:b w:val="1"/>
      </w:rPr>
    </w:lvl>
    <w:lvl w:ilvl="4">
      <w:start w:val="1"/>
      <w:numFmt w:val="decimal"/>
      <w:lvlText w:val="%1.%2.%3.%4.%5."/>
      <w:lvlJc w:val="left"/>
      <w:pPr>
        <w:ind w:left="1080" w:hanging="1080"/>
      </w:pPr>
      <w:rPr>
        <w:b w:val="1"/>
      </w:rPr>
    </w:lvl>
    <w:lvl w:ilvl="5">
      <w:start w:val="1"/>
      <w:numFmt w:val="decimal"/>
      <w:lvlText w:val="%1.%2.%3.%4.%5.%6."/>
      <w:lvlJc w:val="left"/>
      <w:pPr>
        <w:ind w:left="1080" w:hanging="108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12">
    <w:lvl w:ilvl="0">
      <w:start w:val="1"/>
      <w:numFmt w:val="decimal"/>
      <w:lvlText w:val="%1."/>
      <w:lvlJc w:val="left"/>
      <w:pPr>
        <w:ind w:left="360" w:hanging="360"/>
      </w:pPr>
      <w:rPr/>
    </w:lvl>
    <w:lvl w:ilvl="1">
      <w:start w:val="1"/>
      <w:numFmt w:val="decimal"/>
      <w:lvlText w:val="%1.%2."/>
      <w:lvlJc w:val="left"/>
      <w:pPr>
        <w:ind w:left="360" w:hanging="360"/>
      </w:pPr>
      <w:rPr>
        <w:b w:val="1"/>
      </w:rPr>
    </w:lvl>
    <w:lvl w:ilvl="2">
      <w:start w:val="1"/>
      <w:numFmt w:val="decimal"/>
      <w:lvlText w:val="%1.%2.%3."/>
      <w:lvlJc w:val="left"/>
      <w:pPr>
        <w:ind w:left="720" w:hanging="720"/>
      </w:pPr>
      <w:rPr>
        <w:b w:val="1"/>
      </w:rPr>
    </w:lvl>
    <w:lvl w:ilvl="3">
      <w:start w:val="1"/>
      <w:numFmt w:val="decimal"/>
      <w:lvlText w:val="%1.%2.%3.%4."/>
      <w:lvlJc w:val="left"/>
      <w:pPr>
        <w:ind w:left="720" w:hanging="720"/>
      </w:pPr>
      <w:rPr>
        <w:b w:val="1"/>
      </w:rPr>
    </w:lvl>
    <w:lvl w:ilvl="4">
      <w:start w:val="1"/>
      <w:numFmt w:val="decimal"/>
      <w:lvlText w:val="%1.%2.%3.%4.%5."/>
      <w:lvlJc w:val="left"/>
      <w:pPr>
        <w:ind w:left="1080" w:hanging="1080"/>
      </w:pPr>
      <w:rPr>
        <w:b w:val="1"/>
      </w:rPr>
    </w:lvl>
    <w:lvl w:ilvl="5">
      <w:start w:val="1"/>
      <w:numFmt w:val="decimal"/>
      <w:lvlText w:val="%1.%2.%3.%4.%5.%6."/>
      <w:lvlJc w:val="left"/>
      <w:pPr>
        <w:ind w:left="1080" w:hanging="108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color w:val="000000"/>
      <w:sz w:val="24"/>
      <w:szCs w:val="24"/>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2C2C68"/>
    <w:pPr>
      <w:keepNext w:val="1"/>
      <w:keepLines w:val="1"/>
      <w:spacing w:after="0" w:before="240"/>
      <w:outlineLvl w:val="0"/>
    </w:pPr>
    <w:rPr>
      <w:rFonts w:asciiTheme="majorBidi" w:cstheme="majorBidi" w:eastAsiaTheme="majorEastAsia" w:hAnsiTheme="majorBidi"/>
      <w:b w:val="1"/>
      <w:bCs w:val="1"/>
      <w:color w:val="000000" w:themeColor="text1"/>
      <w:sz w:val="24"/>
      <w:szCs w:val="24"/>
    </w:rPr>
  </w:style>
  <w:style w:type="paragraph" w:styleId="Heading2">
    <w:name w:val="heading 2"/>
    <w:basedOn w:val="Normal"/>
    <w:next w:val="Normal"/>
    <w:link w:val="Heading2Char"/>
    <w:uiPriority w:val="9"/>
    <w:unhideWhenUsed w:val="1"/>
    <w:qFormat w:val="1"/>
    <w:rsid w:val="00410100"/>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basedOn w:val="DefaultParagraphFont"/>
    <w:link w:val="Heading1"/>
    <w:uiPriority w:val="9"/>
    <w:rsid w:val="002C2C68"/>
    <w:rPr>
      <w:rFonts w:asciiTheme="majorBidi" w:cstheme="majorBidi" w:eastAsiaTheme="majorEastAsia" w:hAnsiTheme="majorBidi"/>
      <w:b w:val="1"/>
      <w:bCs w:val="1"/>
      <w:color w:val="000000" w:themeColor="text1"/>
      <w:sz w:val="24"/>
      <w:szCs w:val="24"/>
    </w:rPr>
  </w:style>
  <w:style w:type="character" w:styleId="Heading2Char" w:customStyle="1">
    <w:name w:val="Heading 2 Char"/>
    <w:basedOn w:val="DefaultParagraphFont"/>
    <w:link w:val="Heading2"/>
    <w:uiPriority w:val="9"/>
    <w:rsid w:val="00410100"/>
    <w:rPr>
      <w:rFonts w:asciiTheme="majorHAnsi" w:cstheme="majorBidi" w:eastAsiaTheme="majorEastAsia" w:hAnsiTheme="majorHAnsi"/>
      <w:color w:val="2f5496" w:themeColor="accent1" w:themeShade="0000BF"/>
      <w:sz w:val="26"/>
      <w:szCs w:val="26"/>
    </w:rPr>
  </w:style>
  <w:style w:type="paragraph" w:styleId="TOCHeading">
    <w:name w:val="TOC Heading"/>
    <w:basedOn w:val="Heading1"/>
    <w:next w:val="Normal"/>
    <w:uiPriority w:val="39"/>
    <w:unhideWhenUsed w:val="1"/>
    <w:qFormat w:val="1"/>
    <w:rsid w:val="00CC4868"/>
    <w:pPr>
      <w:outlineLvl w:val="9"/>
    </w:pPr>
    <w:rPr>
      <w:rFonts w:asciiTheme="majorHAnsi" w:hAnsiTheme="majorHAnsi"/>
      <w:b w:val="0"/>
      <w:color w:val="2f5496" w:themeColor="accent1" w:themeShade="0000BF"/>
      <w:sz w:val="32"/>
    </w:rPr>
  </w:style>
  <w:style w:type="paragraph" w:styleId="TOC1">
    <w:name w:val="toc 1"/>
    <w:basedOn w:val="Normal"/>
    <w:next w:val="Normal"/>
    <w:autoRedefine w:val="1"/>
    <w:uiPriority w:val="39"/>
    <w:unhideWhenUsed w:val="1"/>
    <w:rsid w:val="002C2C68"/>
    <w:pPr>
      <w:tabs>
        <w:tab w:val="right" w:leader="dot" w:pos="9016"/>
      </w:tabs>
      <w:spacing w:after="100"/>
    </w:pPr>
    <w:rPr>
      <w:rFonts w:asciiTheme="majorBidi" w:cstheme="majorBidi" w:hAnsiTheme="majorBidi"/>
      <w:b w:val="1"/>
      <w:bCs w:val="1"/>
      <w:noProof w:val="1"/>
    </w:rPr>
  </w:style>
  <w:style w:type="character" w:styleId="Hyperlink">
    <w:name w:val="Hyperlink"/>
    <w:basedOn w:val="DefaultParagraphFont"/>
    <w:uiPriority w:val="99"/>
    <w:unhideWhenUsed w:val="1"/>
    <w:rsid w:val="00CC4868"/>
    <w:rPr>
      <w:color w:val="0563c1" w:themeColor="hyperlink"/>
      <w:u w:val="single"/>
    </w:rPr>
  </w:style>
  <w:style w:type="paragraph" w:styleId="Header">
    <w:name w:val="header"/>
    <w:basedOn w:val="Normal"/>
    <w:link w:val="HeaderChar"/>
    <w:uiPriority w:val="99"/>
    <w:unhideWhenUsed w:val="1"/>
    <w:rsid w:val="00CC4868"/>
    <w:pPr>
      <w:tabs>
        <w:tab w:val="center" w:pos="4513"/>
        <w:tab w:val="right" w:pos="9026"/>
      </w:tabs>
      <w:spacing w:after="0" w:line="240" w:lineRule="auto"/>
    </w:pPr>
  </w:style>
  <w:style w:type="character" w:styleId="HeaderChar" w:customStyle="1">
    <w:name w:val="Header Char"/>
    <w:basedOn w:val="DefaultParagraphFont"/>
    <w:link w:val="Header"/>
    <w:uiPriority w:val="99"/>
    <w:rsid w:val="00CC4868"/>
  </w:style>
  <w:style w:type="paragraph" w:styleId="Footer">
    <w:name w:val="footer"/>
    <w:basedOn w:val="Normal"/>
    <w:link w:val="FooterChar"/>
    <w:uiPriority w:val="99"/>
    <w:unhideWhenUsed w:val="1"/>
    <w:rsid w:val="00CC4868"/>
    <w:pPr>
      <w:tabs>
        <w:tab w:val="center" w:pos="4513"/>
        <w:tab w:val="right" w:pos="9026"/>
      </w:tabs>
      <w:spacing w:after="0" w:line="240" w:lineRule="auto"/>
    </w:pPr>
  </w:style>
  <w:style w:type="character" w:styleId="FooterChar" w:customStyle="1">
    <w:name w:val="Footer Char"/>
    <w:basedOn w:val="DefaultParagraphFont"/>
    <w:link w:val="Footer"/>
    <w:uiPriority w:val="99"/>
    <w:rsid w:val="00CC4868"/>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ListParagraph">
    <w:name w:val="List Paragraph"/>
    <w:basedOn w:val="Normal"/>
    <w:uiPriority w:val="34"/>
    <w:qFormat w:val="1"/>
    <w:rsid w:val="000A37C8"/>
    <w:pPr>
      <w:ind w:left="720"/>
      <w:contextualSpacing w:val="1"/>
    </w:pPr>
  </w:style>
  <w:style w:type="paragraph" w:styleId="NormalWeb">
    <w:name w:val="Normal (Web)"/>
    <w:basedOn w:val="Normal"/>
    <w:uiPriority w:val="99"/>
    <w:semiHidden w:val="1"/>
    <w:unhideWhenUsed w:val="1"/>
    <w:rsid w:val="00D0379A"/>
    <w:rPr>
      <w:rFonts w:ascii="Times New Roman" w:cs="Times New Roman" w:hAnsi="Times New Roman"/>
      <w:sz w:val="24"/>
      <w:szCs w:val="24"/>
    </w:rPr>
  </w:style>
  <w:style w:type="paragraph" w:styleId="TOC2">
    <w:name w:val="toc 2"/>
    <w:basedOn w:val="Normal"/>
    <w:next w:val="Normal"/>
    <w:autoRedefine w:val="1"/>
    <w:uiPriority w:val="39"/>
    <w:unhideWhenUsed w:val="1"/>
    <w:rsid w:val="00CB6A13"/>
    <w:pPr>
      <w:spacing w:after="100"/>
      <w:ind w:left="220"/>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4dYeRBRQck+kaud9UphUKvRvg==">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2025-01-06T13:57:00Z</dcterms:created>
  <dc:creator>victory otamiri</dc:creator>
</cp:coreProperties>
</file>