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pBdr>
          <w:top w:space="0" w:sz="0" w:val="nil"/>
          <w:left w:space="0" w:sz="0" w:val="nil"/>
          <w:bottom w:space="0" w:sz="0" w:val="nil"/>
          <w:right w:space="0" w:sz="0" w:val="nil"/>
          <w:between w:space="0" w:sz="0" w:val="nil"/>
        </w:pBdr>
        <w:spacing w:after="0" w:before="240" w:lineRule="auto"/>
        <w:rPr>
          <w:rFonts w:ascii="Times New Roman" w:cs="Times New Roman" w:eastAsia="Times New Roman" w:hAnsi="Times New Roman"/>
          <w:color w:val="2f5496"/>
          <w:sz w:val="32"/>
          <w:szCs w:val="32"/>
        </w:rPr>
      </w:pPr>
      <w:bookmarkStart w:colFirst="0" w:colLast="0" w:name="_heading=h.gjdgxs" w:id="0"/>
      <w:bookmarkEnd w:id="0"/>
      <w:r w:rsidDel="00000000" w:rsidR="00000000" w:rsidRPr="00000000">
        <w:rPr>
          <w:rFonts w:ascii="Times New Roman" w:cs="Times New Roman" w:eastAsia="Times New Roman" w:hAnsi="Times New Roman"/>
          <w:color w:val="2f5496"/>
          <w:sz w:val="32"/>
          <w:szCs w:val="32"/>
          <w:rtl w:val="0"/>
        </w:rPr>
        <w:t xml:space="preserve">Contents</w:t>
      </w:r>
    </w:p>
    <w:sdt>
      <w:sdtPr>
        <w:id w:val="-703330308"/>
        <w:docPartObj>
          <w:docPartGallery w:val="Table of Contents"/>
          <w:docPartUnique w:val="1"/>
        </w:docPartObj>
      </w:sdtPr>
      <w:sdtContent>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1y810tw">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F.1. ARTICLE 1: PERSONS COVERED</w:t>
              <w:tab/>
              <w:t xml:space="preserve">2</w:t>
            </w:r>
          </w:hyperlink>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016"/>
            </w:tabs>
            <w:spacing w:after="100" w:before="0" w:line="259" w:lineRule="auto"/>
            <w:ind w:left="22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4i7ojhp">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1.</w:t>
            </w:r>
          </w:hyperlink>
          <w:hyperlink w:anchor="_heading=h.4i7ojhp">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_heading=h.4i7ojhp \h </w:instrText>
            <w:fldChar w:fldCharType="separate"/>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Background</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016"/>
            </w:tabs>
            <w:spacing w:after="100" w:before="0" w:line="259" w:lineRule="auto"/>
            <w:ind w:left="22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2xcytpi">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2.</w:t>
            </w:r>
          </w:hyperlink>
          <w:hyperlink w:anchor="_heading=h.2xcytpi">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_heading=h.2xcytpi \h </w:instrText>
            <w:fldChar w:fldCharType="separate"/>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Article 1 (1) - Treaty Entitlement</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016"/>
            </w:tabs>
            <w:spacing w:after="100" w:before="0" w:line="259" w:lineRule="auto"/>
            <w:ind w:left="22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1ci93xb">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3.</w:t>
            </w:r>
          </w:hyperlink>
          <w:hyperlink w:anchor="_heading=h.1ci93xb">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_heading=h.1ci93xb \h </w:instrText>
            <w:fldChar w:fldCharType="separate"/>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Article 1(2) – Application of the Convention to Fiscally Transparent Entities and Hybrid Entities</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016"/>
            </w:tabs>
            <w:spacing w:after="100" w:before="0" w:line="259" w:lineRule="auto"/>
            <w:ind w:left="22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3whwml4">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4.</w:t>
            </w:r>
          </w:hyperlink>
          <w:hyperlink w:anchor="_heading=h.3whwml4">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_heading=h.3whwml4 \h </w:instrText>
            <w:fldChar w:fldCharType="separate"/>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Article 1 (3) - Taxation of a State of its Own Residents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016"/>
            </w:tabs>
            <w:spacing w:after="100" w:before="0" w:line="259" w:lineRule="auto"/>
            <w:ind w:left="22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2bn6wsx">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5.</w:t>
            </w:r>
          </w:hyperlink>
          <w:hyperlink w:anchor="_heading=h.2bn6wsx">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_heading=h.2bn6wsx \h </w:instrText>
            <w:fldChar w:fldCharType="separate"/>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Comparative Analysis: Article 1, OECD and UN MTC</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qsh70q">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F.2. ARTICLE 2: TAXES COVERED</w:t>
              <w:tab/>
              <w:t xml:space="preserve">6</w:t>
            </w:r>
          </w:hyperlink>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016"/>
            </w:tabs>
            <w:spacing w:after="100" w:before="0" w:line="259" w:lineRule="auto"/>
            <w:ind w:left="22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3as4poj">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1.</w:t>
            </w:r>
          </w:hyperlink>
          <w:hyperlink w:anchor="_heading=h.3as4poj">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_heading=h.3as4poj \h </w:instrText>
            <w:fldChar w:fldCharType="separate"/>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Purpose</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016"/>
            </w:tabs>
            <w:spacing w:after="100" w:before="0" w:line="259" w:lineRule="auto"/>
            <w:ind w:left="22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1pxezwc">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2.</w:t>
            </w:r>
          </w:hyperlink>
          <w:hyperlink w:anchor="_heading=h.1pxezwc">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_heading=h.1pxezwc \h </w:instrText>
            <w:fldChar w:fldCharType="separate"/>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Article 2: Structure</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016"/>
            </w:tabs>
            <w:spacing w:after="100" w:before="0" w:line="259" w:lineRule="auto"/>
            <w:ind w:left="22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49x2ik5">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3.</w:t>
            </w:r>
          </w:hyperlink>
          <w:hyperlink w:anchor="_heading=h.49x2ik5">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_heading=h.49x2ik5 \h </w:instrText>
            <w:fldChar w:fldCharType="separate"/>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Comparison of Article 2 of the OECD MTC 2017 and UN MTC 2021</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2p2csry">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F.3. ARTICLE 29: ENTITLEMENT TO BENEFITS</w:t>
              <w:tab/>
              <w:t xml:space="preserve">8</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016"/>
            </w:tabs>
            <w:spacing w:after="100" w:before="0" w:line="259" w:lineRule="auto"/>
            <w:ind w:left="22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147n2z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1.</w:t>
            </w:r>
          </w:hyperlink>
          <w:hyperlink w:anchor="_heading=h.147n2z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_heading=h.147n2zr \h </w:instrText>
            <w:fldChar w:fldCharType="separate"/>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Overview of Article 29</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016"/>
            </w:tabs>
            <w:spacing w:after="100" w:before="0" w:line="259" w:lineRule="auto"/>
            <w:ind w:left="22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3o7alnk">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2.</w:t>
            </w:r>
          </w:hyperlink>
          <w:hyperlink w:anchor="_heading=h.3o7alnk">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_heading=h.3o7alnk \h </w:instrText>
            <w:fldChar w:fldCharType="separate"/>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Article 29 (1): Limiting Treaty Benefits to Qualified Persons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016"/>
            </w:tabs>
            <w:spacing w:after="100" w:before="0" w:line="259" w:lineRule="auto"/>
            <w:ind w:left="22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23ckvvd">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3.</w:t>
            </w:r>
          </w:hyperlink>
          <w:hyperlink w:anchor="_heading=h.23ckvvd">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_heading=h.23ckvvd \h </w:instrText>
            <w:fldChar w:fldCharType="separate"/>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Article 29 (2): Defining Qualified Persons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016"/>
            </w:tabs>
            <w:spacing w:after="100" w:before="0" w:line="259" w:lineRule="auto"/>
            <w:ind w:left="22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ihv636">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4.</w:t>
            </w:r>
          </w:hyperlink>
          <w:hyperlink w:anchor="_heading=h.ihv636">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_heading=h.ihv636 \h </w:instrText>
            <w:fldChar w:fldCharType="separate"/>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Article 29 (3 to 5): Additional Provisions for Non-qualified Persons</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016"/>
            </w:tabs>
            <w:spacing w:after="100" w:before="0" w:line="259" w:lineRule="auto"/>
            <w:ind w:left="22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32hioqz">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5.</w:t>
            </w:r>
          </w:hyperlink>
          <w:hyperlink w:anchor="_heading=h.32hioqz">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_heading=h.32hioqz \h </w:instrText>
            <w:fldChar w:fldCharType="separate"/>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Article 29 (6 to 8)</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016"/>
            </w:tabs>
            <w:spacing w:after="100" w:before="0" w:line="259" w:lineRule="auto"/>
            <w:ind w:left="22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1hmsyys">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6.</w:t>
            </w:r>
          </w:hyperlink>
          <w:hyperlink w:anchor="_heading=h.1hmsyys">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_heading=h.1hmsyys \h </w:instrText>
            <w:fldChar w:fldCharType="separate"/>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Article 29 (9): Principal Purpose Test (PPT)</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016"/>
            </w:tabs>
            <w:spacing w:after="100" w:before="0" w:line="259" w:lineRule="auto"/>
            <w:ind w:left="22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41mghml">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7.</w:t>
            </w:r>
          </w:hyperlink>
          <w:hyperlink w:anchor="_heading=h.41mghml">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_heading=h.41mghml \h </w:instrText>
            <w:fldChar w:fldCharType="separate"/>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Comparison of Article 29 of the OECD MTC 2017 and UN MTC 2021</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2grqrue">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F.4. ARTICLES 30, 31 AND 32: TERRITORIAL EXTENSION, ENTRY INTO FORCE AND TERMINATION</w:t>
              <w:tab/>
              <w:t xml:space="preserve">13</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016"/>
            </w:tabs>
            <w:spacing w:after="100" w:before="0" w:line="259" w:lineRule="auto"/>
            <w:ind w:left="22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vx1227">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1.</w:t>
            </w:r>
          </w:hyperlink>
          <w:hyperlink w:anchor="_heading=h.vx1227">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_heading=h.vx1227 \h </w:instrText>
            <w:fldChar w:fldCharType="separate"/>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Article 30 OECD: Territorial Extension</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016"/>
            </w:tabs>
            <w:spacing w:after="100" w:before="0" w:line="259" w:lineRule="auto"/>
            <w:ind w:left="22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3fwokq0">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2.</w:t>
            </w:r>
          </w:hyperlink>
          <w:hyperlink w:anchor="_heading=h.3fwokq0">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_heading=h.3fwokq0 \h </w:instrText>
            <w:fldChar w:fldCharType="separate"/>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Article 31 OECD MTC / 30 UN MTC: Entry into Force</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016"/>
            </w:tabs>
            <w:spacing w:after="100" w:before="0" w:line="259" w:lineRule="auto"/>
            <w:ind w:left="22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1v1yuxt">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3.</w:t>
            </w:r>
          </w:hyperlink>
          <w:hyperlink w:anchor="_heading=h.1v1yuxt">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_heading=h.1v1yuxt \h </w:instrText>
            <w:fldChar w:fldCharType="separate"/>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Article 32 OECD MTC / 31 UN MTC: Termination</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9">
      <w:pP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b w:val="1"/>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01B">
      <w:pPr>
        <w:pStyle w:val="Title"/>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F. PROVISIONS RELATING TO THE SCOPE OF A DTC: ARTICLES. 1, 2, 29, 30, 31 AND 32 OECD MTC and UN MTC</w:t>
      </w:r>
    </w:p>
    <w:p w:rsidR="00000000" w:rsidDel="00000000" w:rsidP="00000000" w:rsidRDefault="00000000" w:rsidRPr="00000000" w14:paraId="0000001C">
      <w:pPr>
        <w:rPr>
          <w:rFonts w:ascii="Times New Roman" w:cs="Times New Roman" w:eastAsia="Times New Roman" w:hAnsi="Times New Roman"/>
          <w:b w:val="1"/>
          <w:sz w:val="30"/>
          <w:szCs w:val="30"/>
          <w:u w:val="single"/>
        </w:rPr>
      </w:pPr>
      <w:r w:rsidDel="00000000" w:rsidR="00000000" w:rsidRPr="00000000">
        <w:rPr>
          <w:rtl w:val="0"/>
        </w:rPr>
      </w:r>
    </w:p>
    <w:p w:rsidR="00000000" w:rsidDel="00000000" w:rsidP="00000000" w:rsidRDefault="00000000" w:rsidRPr="00000000" w14:paraId="0000001D">
      <w:pPr>
        <w:pStyle w:val="Heading1"/>
        <w:rPr/>
      </w:pPr>
      <w:bookmarkStart w:colFirst="0" w:colLast="0" w:name="_heading=h.1y810tw" w:id="1"/>
      <w:bookmarkEnd w:id="1"/>
      <w:r w:rsidDel="00000000" w:rsidR="00000000" w:rsidRPr="00000000">
        <w:rPr>
          <w:rtl w:val="0"/>
        </w:rPr>
        <w:t xml:space="preserve">F.1. ARTICLE 1: PERSONS COVERED</w:t>
      </w:r>
    </w:p>
    <w:p w:rsidR="00000000" w:rsidDel="00000000" w:rsidP="00000000" w:rsidRDefault="00000000" w:rsidRPr="00000000" w14:paraId="0000001E">
      <w:pPr>
        <w:pStyle w:val="Heading2"/>
        <w:numPr>
          <w:ilvl w:val="0"/>
          <w:numId w:val="6"/>
        </w:numPr>
        <w:ind w:left="360" w:hanging="360"/>
        <w:jc w:val="both"/>
        <w:rPr>
          <w:rFonts w:ascii="Times New Roman" w:cs="Times New Roman" w:eastAsia="Times New Roman" w:hAnsi="Times New Roman"/>
          <w:sz w:val="27"/>
          <w:szCs w:val="27"/>
        </w:rPr>
      </w:pPr>
      <w:bookmarkStart w:colFirst="0" w:colLast="0" w:name="_heading=h.4i7ojhp" w:id="2"/>
      <w:bookmarkEnd w:id="2"/>
      <w:r w:rsidDel="00000000" w:rsidR="00000000" w:rsidRPr="00000000">
        <w:rPr>
          <w:rFonts w:ascii="Times New Roman" w:cs="Times New Roman" w:eastAsia="Times New Roman" w:hAnsi="Times New Roman"/>
          <w:sz w:val="27"/>
          <w:szCs w:val="27"/>
          <w:rtl w:val="0"/>
        </w:rPr>
        <w:t xml:space="preserve">Background</w:t>
      </w:r>
    </w:p>
    <w:p w:rsidR="00000000" w:rsidDel="00000000" w:rsidP="00000000" w:rsidRDefault="00000000" w:rsidRPr="00000000" w14:paraId="0000001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720" w:right="0" w:hanging="720"/>
        <w:jc w:val="both"/>
        <w:rPr>
          <w:rFonts w:ascii="Times New Roman" w:cs="Times New Roman" w:eastAsia="Times New Roman" w:hAnsi="Times New Roman"/>
          <w:b w:val="1"/>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Purpose of Article 1</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Article 1 of the OECD Model Tax Convention, titled "Persons Covered," defines the scope of individuals and entities that are entitled to the benefits of the convention. This article is foundational as it determines who can benefit from the treaty's provisions, such as reduced tax rates on dividends, interest, and royalties, and exemption from double taxation. The purpose of Article 1 is to ensure that only bona fide residents of the contracting states, who are genuinely subject to tax in one of those states, can claim treaty benefits. This prevents treaty shopping, where entities might try to take advantage of a treaty's benefits without a genuine connection to either of the contracting states.</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720" w:right="0" w:hanging="720"/>
        <w:jc w:val="both"/>
        <w:rPr>
          <w:rFonts w:ascii="Times New Roman" w:cs="Times New Roman" w:eastAsia="Times New Roman" w:hAnsi="Times New Roman"/>
          <w:b w:val="1"/>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Structure of Article 1</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Article 1 is structured to clarify and define the concept of "residence" in the context of the treaty and to establish the basic eligibility criteria for treaty benefits. The article typically comprises three primary paragraphs:</w:t>
      </w:r>
      <w:r w:rsidDel="00000000" w:rsidR="00000000" w:rsidRPr="00000000">
        <w:rPr>
          <w:rtl w:val="0"/>
        </w:rPr>
      </w:r>
    </w:p>
    <w:p w:rsidR="00000000" w:rsidDel="00000000" w:rsidP="00000000" w:rsidRDefault="00000000" w:rsidRPr="00000000" w14:paraId="00000023">
      <w:pPr>
        <w:numPr>
          <w:ilvl w:val="0"/>
          <w:numId w:val="15"/>
        </w:numPr>
        <w:ind w:left="108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Article 1 (1)</w:t>
      </w:r>
      <w:r w:rsidDel="00000000" w:rsidR="00000000" w:rsidRPr="00000000">
        <w:rPr>
          <w:rFonts w:ascii="Times New Roman" w:cs="Times New Roman" w:eastAsia="Times New Roman" w:hAnsi="Times New Roman"/>
          <w:sz w:val="24"/>
          <w:szCs w:val="24"/>
          <w:rtl w:val="0"/>
        </w:rPr>
        <w:t xml:space="preserve">: This paragraph establishes the general rule that the treaty applies to persons who are residents of one or both of the contracting states.</w:t>
      </w:r>
    </w:p>
    <w:p w:rsidR="00000000" w:rsidDel="00000000" w:rsidP="00000000" w:rsidRDefault="00000000" w:rsidRPr="00000000" w14:paraId="00000024">
      <w:pPr>
        <w:numPr>
          <w:ilvl w:val="0"/>
          <w:numId w:val="15"/>
        </w:numPr>
        <w:ind w:left="108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Article 1 (2)</w:t>
      </w:r>
      <w:r w:rsidDel="00000000" w:rsidR="00000000" w:rsidRPr="00000000">
        <w:rPr>
          <w:rFonts w:ascii="Times New Roman" w:cs="Times New Roman" w:eastAsia="Times New Roman" w:hAnsi="Times New Roman"/>
          <w:sz w:val="24"/>
          <w:szCs w:val="24"/>
          <w:rtl w:val="0"/>
        </w:rPr>
        <w:t xml:space="preserve">: This paragraph addresses the application of the convention to partnerships, other entities, and arrangements, particularly those that might not be taxed as separate legal entities in either state.</w:t>
      </w:r>
    </w:p>
    <w:p w:rsidR="00000000" w:rsidDel="00000000" w:rsidP="00000000" w:rsidRDefault="00000000" w:rsidRPr="00000000" w14:paraId="00000025">
      <w:pPr>
        <w:numPr>
          <w:ilvl w:val="0"/>
          <w:numId w:val="15"/>
        </w:numPr>
        <w:ind w:left="108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Article 1 (3)</w:t>
      </w:r>
      <w:r w:rsidDel="00000000" w:rsidR="00000000" w:rsidRPr="00000000">
        <w:rPr>
          <w:rFonts w:ascii="Times New Roman" w:cs="Times New Roman" w:eastAsia="Times New Roman" w:hAnsi="Times New Roman"/>
          <w:sz w:val="24"/>
          <w:szCs w:val="24"/>
          <w:rtl w:val="0"/>
        </w:rPr>
        <w:t xml:space="preserve">: This paragraph concerns the state's right to tax its residents, even in cases where the residents are also considered residents of another state under the treaty.</w:t>
      </w:r>
    </w:p>
    <w:p w:rsidR="00000000" w:rsidDel="00000000" w:rsidP="00000000" w:rsidRDefault="00000000" w:rsidRPr="00000000" w14:paraId="00000026">
      <w:pPr>
        <w:pStyle w:val="Heading2"/>
        <w:numPr>
          <w:ilvl w:val="0"/>
          <w:numId w:val="6"/>
        </w:numPr>
        <w:ind w:left="360" w:hanging="360"/>
        <w:jc w:val="both"/>
        <w:rPr>
          <w:rFonts w:ascii="Times New Roman" w:cs="Times New Roman" w:eastAsia="Times New Roman" w:hAnsi="Times New Roman"/>
          <w:sz w:val="27"/>
          <w:szCs w:val="27"/>
        </w:rPr>
      </w:pPr>
      <w:bookmarkStart w:colFirst="0" w:colLast="0" w:name="_heading=h.2xcytpi" w:id="3"/>
      <w:bookmarkEnd w:id="3"/>
      <w:r w:rsidDel="00000000" w:rsidR="00000000" w:rsidRPr="00000000">
        <w:rPr>
          <w:rFonts w:ascii="Times New Roman" w:cs="Times New Roman" w:eastAsia="Times New Roman" w:hAnsi="Times New Roman"/>
          <w:sz w:val="27"/>
          <w:szCs w:val="27"/>
          <w:rtl w:val="0"/>
        </w:rPr>
        <w:t xml:space="preserve">Article 1 (1) - Treaty Entitlement</w:t>
      </w:r>
    </w:p>
    <w:p w:rsidR="00000000" w:rsidDel="00000000" w:rsidP="00000000" w:rsidRDefault="00000000" w:rsidRPr="00000000" w14:paraId="00000027">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b w:val="1"/>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Treaty Entitlement</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Article 1(1) lays down the general rule that the convention applies to persons who are residents of one or both of the contracting states. This seemingly straightforward rule is crucial because it establishes the primary eligibility for treaty benefits. A person, as defined under the OECD Model Convention, includes individuals, companies, and any other body of persons. The term "resident of a contracting state" is further elaborated in Article 4 of the Model Convention, which is key to determining who qualifies as a resident for treaty purposes.</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b w:val="1"/>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Interaction with Article 29</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The concept of treaty entitlement under Article 1(1) must be understood in conjunction with Article 29 of the OECD Model Convention, which deals with "Entitlement to Benefits." Article 29 introduces the principal purpose test (PPT) and the limitation on benefits (LOB) provisions, which are designed to prevent entities from exploiting tax treaties through practices such as treaty shopping. The PPT, for example, allows tax authorities to deny treaty benefits if obtaining those benefits was one of the principal purposes of the arrangement or transaction in question.</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6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The interplay between Article 1(1) and Article 29 ensures that only those with a legitimate claim to residency, and who do not engage in abusive practices, are entitled to the treaty's benefits. Thus, Article 1(1) provides the gateway to treaty benefits, while Article 29 acts as a safeguard to prevent abuse of these benefits.</w:t>
      </w:r>
      <w:r w:rsidDel="00000000" w:rsidR="00000000" w:rsidRPr="00000000">
        <w:rPr>
          <w:rtl w:val="0"/>
        </w:rPr>
      </w:r>
    </w:p>
    <w:p w:rsidR="00000000" w:rsidDel="00000000" w:rsidP="00000000" w:rsidRDefault="00000000" w:rsidRPr="00000000" w14:paraId="0000002C">
      <w:pPr>
        <w:pStyle w:val="Heading2"/>
        <w:numPr>
          <w:ilvl w:val="0"/>
          <w:numId w:val="6"/>
        </w:numPr>
        <w:ind w:left="360" w:hanging="360"/>
        <w:jc w:val="both"/>
        <w:rPr>
          <w:rFonts w:ascii="Times New Roman" w:cs="Times New Roman" w:eastAsia="Times New Roman" w:hAnsi="Times New Roman"/>
          <w:sz w:val="27"/>
          <w:szCs w:val="27"/>
        </w:rPr>
      </w:pPr>
      <w:bookmarkStart w:colFirst="0" w:colLast="0" w:name="_heading=h.1ci93xb" w:id="4"/>
      <w:bookmarkEnd w:id="4"/>
      <w:r w:rsidDel="00000000" w:rsidR="00000000" w:rsidRPr="00000000">
        <w:rPr>
          <w:rFonts w:ascii="Times New Roman" w:cs="Times New Roman" w:eastAsia="Times New Roman" w:hAnsi="Times New Roman"/>
          <w:sz w:val="27"/>
          <w:szCs w:val="27"/>
          <w:rtl w:val="0"/>
        </w:rPr>
        <w:t xml:space="preserve">Article 1(2) – Application of the Convention to Fiscally Transparent Entities and Hybrid Entities</w:t>
      </w:r>
    </w:p>
    <w:p w:rsidR="00000000" w:rsidDel="00000000" w:rsidP="00000000" w:rsidRDefault="00000000" w:rsidRPr="00000000" w14:paraId="0000002D">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Rule for Fiscally Transparent Entities and Hybrid Entities</w:t>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Article 1(2) addresses the application of the treaty to fiscally transparent entities and hybrid entities, which may be treated differently under the tax laws of the contracting states. The rule, established in part from the 1999 OECD Partnership Report, mandates that if an entity is wholly or partly fiscally transparent under the tax laws of either contracting state, the income derived by that entity will be considered as the income of a resident of that state, but only to the extent that the income is treated, for tax purposes, as the income of a resident of that state.</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This rule requires that each contracting state respect the resident classification made by the other state. Therefore, an entity or arrangement is treated according to its status as determined in its state of residence. If a state classifies an entity as fiscally transparent, the other state must treat it as such for treaty purposes, aligning the treaty benefits with the tax treatment in the resident state.</w:t>
      </w:r>
    </w:p>
    <w:p w:rsidR="00000000" w:rsidDel="00000000" w:rsidP="00000000" w:rsidRDefault="00000000" w:rsidRPr="00000000" w14:paraId="00000030">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Focus on Hybrid Entities</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Hybrid entities are those that may be classified differently for tax purposes in the contracting states—one state might treat the entity as fiscally transparent, while the other might treat it as opaque. Article 1(2) plays a crucial role in ensuring that the tax treatment of income derived through such entities aligns with the classification in the entity's state of residence. This alignment prevents hybrid entities from exploiting differences in tax treatment across jurisdictions to gain undue treaty benefits.</w:t>
      </w:r>
    </w:p>
    <w:p w:rsidR="00000000" w:rsidDel="00000000" w:rsidP="00000000" w:rsidRDefault="00000000" w:rsidRPr="00000000" w14:paraId="00000032">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Follow-Up from the 1999 Partnership Report</w:t>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The 1999 OECD Partnership Report significantly impacted resolving the complexities surrounding the application of tax treaties to fiscally transparent entities and hybrid entities. The report emphasized the importance of respecting the tax treatment at the partner level, rather than the entity level, ensuring that treaty benefits align with the actual taxation of the income in the partner’s resident state. This principle was integrated into Article 1(2) to clarify the treatment of these entities under tax treaties.</w:t>
      </w:r>
    </w:p>
    <w:p w:rsidR="00000000" w:rsidDel="00000000" w:rsidP="00000000" w:rsidRDefault="00000000" w:rsidRPr="00000000" w14:paraId="00000034">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Examples of Application</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59" w:lineRule="auto"/>
        <w:ind w:left="720" w:right="0" w:hanging="720"/>
        <w:jc w:val="both"/>
        <w:rPr>
          <w:rFonts w:ascii="Times New Roman" w:cs="Times New Roman" w:eastAsia="Times New Roman" w:hAnsi="Times New Roman"/>
          <w:b w:val="0"/>
          <w:i w:val="1"/>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Example 1: Fiscally Transparent Entity in State A and Opaque Entity in State B</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Suppose a partnership is considered fiscally transparent in State A, where it is established, but opaque in State B. A resident of State A derives income through this partnership, and for State A’s tax purposes, the income is treated as directly received by the resident partner. According to Article 1(2), the income will be considered as income of a resident of State A for purposes of the treaty, allowing the resident to claim treaty benefits.</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59" w:lineRule="auto"/>
        <w:ind w:left="720" w:right="0" w:hanging="720"/>
        <w:jc w:val="both"/>
        <w:rPr>
          <w:rFonts w:ascii="Times New Roman" w:cs="Times New Roman" w:eastAsia="Times New Roman" w:hAnsi="Times New Roman"/>
          <w:i w:val="1"/>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Example 2: Conflict Between State A and State B Regarding Hybrid Entity Classification</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Consider a scenario where State A views a certain entity as fiscally transparent, while State B considers the same entity as opaque. A resident of State A derives income through this entity, which is taxed as the resident’s income in State A but as the entity’s income in State B. According to Article 1(2), the income will be treated as income of a resident of State A for purposes of the treaty, but only to the extent that State A treats it as such.</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If State B does not agree with this treatment, resulting in double taxation, the taxpayer may invoke Article 23 of the OECD Model Tax Convention. Article 23 provides mechanisms for the elimination of double taxation, such as the exemption or credit method, which can be applied to resolve such conflicts.</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59" w:lineRule="auto"/>
        <w:ind w:left="720" w:right="0" w:hanging="720"/>
        <w:jc w:val="both"/>
        <w:rPr>
          <w:rFonts w:ascii="Times New Roman" w:cs="Times New Roman" w:eastAsia="Times New Roman" w:hAnsi="Times New Roman"/>
          <w:i w:val="1"/>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Rule for Hybrid Entities and Arrangements</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In the context of hybrid entities and arrangements, where different jurisdictions treat the same entity differently (e.g., as transparent in one jurisdiction and opaque in another), Article 1(2) ensures that treaty benefits are aligned with the tax treatment of the income in the state of residence. This prevents entities from exploiting differences in tax treatment across jurisdictions to gain undue treaty benefits.</w:t>
      </w:r>
      <w:r w:rsidDel="00000000" w:rsidR="00000000" w:rsidRPr="00000000">
        <w:rPr>
          <w:rtl w:val="0"/>
        </w:rPr>
      </w:r>
    </w:p>
    <w:p w:rsidR="00000000" w:rsidDel="00000000" w:rsidP="00000000" w:rsidRDefault="00000000" w:rsidRPr="00000000" w14:paraId="0000003C">
      <w:pPr>
        <w:pStyle w:val="Heading2"/>
        <w:numPr>
          <w:ilvl w:val="0"/>
          <w:numId w:val="6"/>
        </w:numPr>
        <w:ind w:left="360" w:hanging="360"/>
        <w:jc w:val="both"/>
        <w:rPr>
          <w:rFonts w:ascii="Times New Roman" w:cs="Times New Roman" w:eastAsia="Times New Roman" w:hAnsi="Times New Roman"/>
          <w:sz w:val="27"/>
          <w:szCs w:val="27"/>
        </w:rPr>
      </w:pPr>
      <w:bookmarkStart w:colFirst="0" w:colLast="0" w:name="_heading=h.3whwml4" w:id="5"/>
      <w:bookmarkEnd w:id="5"/>
      <w:r w:rsidDel="00000000" w:rsidR="00000000" w:rsidRPr="00000000">
        <w:rPr>
          <w:rFonts w:ascii="Times New Roman" w:cs="Times New Roman" w:eastAsia="Times New Roman" w:hAnsi="Times New Roman"/>
          <w:sz w:val="27"/>
          <w:szCs w:val="27"/>
          <w:rtl w:val="0"/>
        </w:rPr>
        <w:t xml:space="preserve">Article 1 (3) - Taxation of a State of its Own Residents</w:t>
      </w:r>
    </w:p>
    <w:p w:rsidR="00000000" w:rsidDel="00000000" w:rsidP="00000000" w:rsidRDefault="00000000" w:rsidRPr="00000000" w14:paraId="0000003D">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General Rule</w:t>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Article 1(3) addresses a state's right to tax its residents, even in cases where those residents might also be considered residents of another state under the treaty. This provision reinforces the principle of worldwide taxation, where a state has the sovereign right to tax its residents on their global income, regardless of whether the income is earned domestically or abroad.</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The general rule under Article 1(3) is that the treaty does not affect the right of a state to tax its own residents. This means that even if a resident of State A is also considered a resident of State B under the treaty, State A retains the right to tax the resident's income. This rule is essential for maintaining the fiscal sovereignty of states and ensuring that residents cannot escape their tax obligations by claiming residency in another state under a treaty.</w:t>
      </w:r>
    </w:p>
    <w:p w:rsidR="00000000" w:rsidDel="00000000" w:rsidP="00000000" w:rsidRDefault="00000000" w:rsidRPr="00000000" w14:paraId="00000040">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Exceptions</w:t>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6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However, Article 1(3) includes important exceptions where other treaty provisions grant exclusive taxing rights to the other contracting state or provide special rules. These exceptions include</w:t>
      </w:r>
    </w:p>
    <w:p w:rsidR="00000000" w:rsidDel="00000000" w:rsidP="00000000" w:rsidRDefault="00000000" w:rsidRPr="00000000" w14:paraId="00000042">
      <w:pPr>
        <w:numPr>
          <w:ilvl w:val="0"/>
          <w:numId w:val="1"/>
        </w:numPr>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Article 7(3)</w:t>
      </w:r>
      <w:r w:rsidDel="00000000" w:rsidR="00000000" w:rsidRPr="00000000">
        <w:rPr>
          <w:rFonts w:ascii="Times New Roman" w:cs="Times New Roman" w:eastAsia="Times New Roman" w:hAnsi="Times New Roman"/>
          <w:sz w:val="24"/>
          <w:szCs w:val="24"/>
          <w:rtl w:val="0"/>
        </w:rPr>
        <w:t xml:space="preserve">: Which addresses the taxation of business profits, specifically the allowable deductions for expenses incurred for the purposes of the permanent establishment.</w:t>
      </w:r>
    </w:p>
    <w:p w:rsidR="00000000" w:rsidDel="00000000" w:rsidP="00000000" w:rsidRDefault="00000000" w:rsidRPr="00000000" w14:paraId="00000043">
      <w:pPr>
        <w:numPr>
          <w:ilvl w:val="0"/>
          <w:numId w:val="1"/>
        </w:numPr>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Article 9(2)</w:t>
      </w:r>
      <w:r w:rsidDel="00000000" w:rsidR="00000000" w:rsidRPr="00000000">
        <w:rPr>
          <w:rFonts w:ascii="Times New Roman" w:cs="Times New Roman" w:eastAsia="Times New Roman" w:hAnsi="Times New Roman"/>
          <w:sz w:val="24"/>
          <w:szCs w:val="24"/>
          <w:rtl w:val="0"/>
        </w:rPr>
        <w:t xml:space="preserve">: Which deals with the adjustment of profits in the case of associated enterprises and ensures corresponding adjustments to avoid double taxation.</w:t>
      </w:r>
    </w:p>
    <w:p w:rsidR="00000000" w:rsidDel="00000000" w:rsidP="00000000" w:rsidRDefault="00000000" w:rsidRPr="00000000" w14:paraId="00000044">
      <w:pPr>
        <w:numPr>
          <w:ilvl w:val="0"/>
          <w:numId w:val="1"/>
        </w:numPr>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Articles 19: </w:t>
      </w:r>
      <w:r w:rsidDel="00000000" w:rsidR="00000000" w:rsidRPr="00000000">
        <w:rPr>
          <w:rFonts w:ascii="Times New Roman" w:cs="Times New Roman" w:eastAsia="Times New Roman" w:hAnsi="Times New Roman"/>
          <w:sz w:val="24"/>
          <w:szCs w:val="24"/>
          <w:rtl w:val="0"/>
        </w:rPr>
        <w:t xml:space="preserve">Which deals with were an individual receives income from a political subdivision or local authority of a state.</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p w:rsidR="00000000" w:rsidDel="00000000" w:rsidP="00000000" w:rsidRDefault="00000000" w:rsidRPr="00000000" w14:paraId="00000045">
      <w:pPr>
        <w:numPr>
          <w:ilvl w:val="0"/>
          <w:numId w:val="1"/>
        </w:numPr>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Article 20</w:t>
      </w:r>
      <w:r w:rsidDel="00000000" w:rsidR="00000000" w:rsidRPr="00000000">
        <w:rPr>
          <w:rFonts w:ascii="Times New Roman" w:cs="Times New Roman" w:eastAsia="Times New Roman" w:hAnsi="Times New Roman"/>
          <w:sz w:val="24"/>
          <w:szCs w:val="24"/>
          <w:rtl w:val="0"/>
        </w:rPr>
        <w:t xml:space="preserve">: Which pertain to students, respectively, granting exclusive taxing rights to one of the contracting states.</w:t>
      </w:r>
    </w:p>
    <w:p w:rsidR="00000000" w:rsidDel="00000000" w:rsidP="00000000" w:rsidRDefault="00000000" w:rsidRPr="00000000" w14:paraId="00000046">
      <w:pPr>
        <w:numPr>
          <w:ilvl w:val="0"/>
          <w:numId w:val="1"/>
        </w:numPr>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Articles 23(A) and 23(B)</w:t>
      </w:r>
      <w:r w:rsidDel="00000000" w:rsidR="00000000" w:rsidRPr="00000000">
        <w:rPr>
          <w:rFonts w:ascii="Times New Roman" w:cs="Times New Roman" w:eastAsia="Times New Roman" w:hAnsi="Times New Roman"/>
          <w:sz w:val="24"/>
          <w:szCs w:val="24"/>
          <w:rtl w:val="0"/>
        </w:rPr>
        <w:t xml:space="preserve">: Which provide for methods of eliminating double taxation through exemption or credit mechanisms.</w:t>
      </w:r>
    </w:p>
    <w:p w:rsidR="00000000" w:rsidDel="00000000" w:rsidP="00000000" w:rsidRDefault="00000000" w:rsidRPr="00000000" w14:paraId="00000047">
      <w:pPr>
        <w:numPr>
          <w:ilvl w:val="0"/>
          <w:numId w:val="1"/>
        </w:numPr>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Article 24</w:t>
      </w:r>
      <w:r w:rsidDel="00000000" w:rsidR="00000000" w:rsidRPr="00000000">
        <w:rPr>
          <w:rFonts w:ascii="Times New Roman" w:cs="Times New Roman" w:eastAsia="Times New Roman" w:hAnsi="Times New Roman"/>
          <w:sz w:val="24"/>
          <w:szCs w:val="24"/>
          <w:rtl w:val="0"/>
        </w:rPr>
        <w:t xml:space="preserve">: Which covers the non-discrimination principle, ensuring that nationals of a contracting state are not subjected to taxation or other requirements that are more burdensome than those imposed on nationals of the other state.</w:t>
      </w:r>
    </w:p>
    <w:p w:rsidR="00000000" w:rsidDel="00000000" w:rsidP="00000000" w:rsidRDefault="00000000" w:rsidRPr="00000000" w14:paraId="00000048">
      <w:pPr>
        <w:numPr>
          <w:ilvl w:val="0"/>
          <w:numId w:val="1"/>
        </w:numPr>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Article 25</w:t>
      </w:r>
      <w:r w:rsidDel="00000000" w:rsidR="00000000" w:rsidRPr="00000000">
        <w:rPr>
          <w:rFonts w:ascii="Times New Roman" w:cs="Times New Roman" w:eastAsia="Times New Roman" w:hAnsi="Times New Roman"/>
          <w:sz w:val="24"/>
          <w:szCs w:val="24"/>
          <w:rtl w:val="0"/>
        </w:rPr>
        <w:t xml:space="preserve">: Which pertains to the mutual agreement procedure (MAP), providing a mechanism for resolving disputes regarding the application of the convention.</w:t>
      </w:r>
    </w:p>
    <w:p w:rsidR="00000000" w:rsidDel="00000000" w:rsidP="00000000" w:rsidRDefault="00000000" w:rsidRPr="00000000" w14:paraId="00000049">
      <w:pPr>
        <w:numPr>
          <w:ilvl w:val="0"/>
          <w:numId w:val="1"/>
        </w:numPr>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Article 28</w:t>
      </w:r>
      <w:r w:rsidDel="00000000" w:rsidR="00000000" w:rsidRPr="00000000">
        <w:rPr>
          <w:rFonts w:ascii="Times New Roman" w:cs="Times New Roman" w:eastAsia="Times New Roman" w:hAnsi="Times New Roman"/>
          <w:sz w:val="24"/>
          <w:szCs w:val="24"/>
          <w:rtl w:val="0"/>
        </w:rPr>
        <w:t xml:space="preserve">: Which relates to the taxing of a resident who is on a diplomatic mission. </w:t>
      </w:r>
    </w:p>
    <w:p w:rsidR="00000000" w:rsidDel="00000000" w:rsidP="00000000" w:rsidRDefault="00000000" w:rsidRPr="00000000" w14:paraId="0000004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exceptions ensure that, in certain circumstances, the taxing rights provided under these specific articles take precedence over a state's general right to tax its residents, thereby harmonizing the application of treaty provisions across different jurisdictions.</w:t>
      </w:r>
    </w:p>
    <w:p w:rsidR="00000000" w:rsidDel="00000000" w:rsidP="00000000" w:rsidRDefault="00000000" w:rsidRPr="00000000" w14:paraId="0000004B">
      <w:pPr>
        <w:pStyle w:val="Heading2"/>
        <w:numPr>
          <w:ilvl w:val="0"/>
          <w:numId w:val="6"/>
        </w:numPr>
        <w:ind w:left="360" w:hanging="360"/>
        <w:jc w:val="both"/>
        <w:rPr>
          <w:rFonts w:ascii="Times New Roman" w:cs="Times New Roman" w:eastAsia="Times New Roman" w:hAnsi="Times New Roman"/>
          <w:sz w:val="27"/>
          <w:szCs w:val="27"/>
        </w:rPr>
      </w:pPr>
      <w:bookmarkStart w:colFirst="0" w:colLast="0" w:name="_heading=h.2bn6wsx" w:id="6"/>
      <w:bookmarkEnd w:id="6"/>
      <w:r w:rsidDel="00000000" w:rsidR="00000000" w:rsidRPr="00000000">
        <w:rPr>
          <w:rFonts w:ascii="Times New Roman" w:cs="Times New Roman" w:eastAsia="Times New Roman" w:hAnsi="Times New Roman"/>
          <w:sz w:val="27"/>
          <w:szCs w:val="27"/>
          <w:rtl w:val="0"/>
        </w:rPr>
        <w:t xml:space="preserve">Comparative Analysis: Article 1, OECD and UN MTC</w:t>
      </w:r>
    </w:p>
    <w:p w:rsidR="00000000" w:rsidDel="00000000" w:rsidP="00000000" w:rsidRDefault="00000000" w:rsidRPr="00000000" w14:paraId="0000004C">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200" w:before="0" w:line="259" w:lineRule="auto"/>
        <w:ind w:left="360" w:right="0" w:hanging="36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Scope – Article 1</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9" w:lineRule="auto"/>
        <w:ind w:left="36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Both the OECD Model Tax Convention (MTC) and the UN Model Tax Convention (UN MTC) outline the scope of the treaty in Article 1, specifying that the convention applies to persons who are residents of one or both of the contracting states.</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200" w:before="0" w:line="259" w:lineRule="auto"/>
        <w:ind w:left="360" w:right="0" w:hanging="360"/>
        <w:jc w:val="both"/>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Fiscal Transparency</w:t>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9" w:lineRule="auto"/>
        <w:ind w:left="36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The wording and treatment are aligned between the OECD MTC (2017) and the UN MTC (2021).</w:t>
      </w:r>
    </w:p>
    <w:p w:rsidR="00000000" w:rsidDel="00000000" w:rsidP="00000000" w:rsidRDefault="00000000" w:rsidRPr="00000000" w14:paraId="00000050">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200" w:before="0" w:line="259" w:lineRule="auto"/>
        <w:ind w:left="360" w:right="0" w:hanging="36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Resident Taxation</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9" w:lineRule="auto"/>
        <w:ind w:left="36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There is no material difference in the treatment of this provision between the OECD and UN models.</w:t>
      </w:r>
    </w:p>
    <w:p w:rsidR="00000000" w:rsidDel="00000000" w:rsidP="00000000" w:rsidRDefault="00000000" w:rsidRPr="00000000" w14:paraId="00000052">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200" w:before="0" w:line="259" w:lineRule="auto"/>
        <w:ind w:left="36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Collective Investment Vehicles (CIVs)</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9" w:lineRule="auto"/>
        <w:ind w:left="36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The UN MTC includes a placeholder discussing potential inclusion of provisions related to CIVs in Article 1. These provisions, if included, are dependent on bilateral negotiations, reflecting the contracting states' preferences regarding how CIVs are treated under the treaty. The OECD MTC does not explicitly include provisions for CIVs within Article 1, which may imply less emphasis on this aspect compared to the UN MTC.</w:t>
      </w:r>
      <w:r w:rsidDel="00000000" w:rsidR="00000000" w:rsidRPr="00000000">
        <w:rPr>
          <w:rtl w:val="0"/>
        </w:rPr>
      </w:r>
    </w:p>
    <w:p w:rsidR="00000000" w:rsidDel="00000000" w:rsidP="00000000" w:rsidRDefault="00000000" w:rsidRPr="00000000" w14:paraId="00000054">
      <w:pPr>
        <w:pStyle w:val="Heading1"/>
        <w:rPr/>
        <w:sectPr>
          <w:headerReference r:id="rId7" w:type="default"/>
          <w:footerReference r:id="rId8" w:type="default"/>
          <w:pgSz w:h="16838" w:w="11906" w:orient="portrait"/>
          <w:pgMar w:bottom="1440" w:top="1440" w:left="1440" w:right="1440" w:header="708" w:footer="708"/>
          <w:pgNumType w:start="1"/>
        </w:sectPr>
      </w:pPr>
      <w:bookmarkStart w:colFirst="0" w:colLast="0" w:name="_heading=h.3vsgpjt8ei4x" w:id="7"/>
      <w:bookmarkEnd w:id="7"/>
      <w:r w:rsidDel="00000000" w:rsidR="00000000" w:rsidRPr="00000000">
        <w:rPr>
          <w:rtl w:val="0"/>
        </w:rPr>
      </w:r>
    </w:p>
    <w:p w:rsidR="00000000" w:rsidDel="00000000" w:rsidP="00000000" w:rsidRDefault="00000000" w:rsidRPr="00000000" w14:paraId="00000055">
      <w:pPr>
        <w:pStyle w:val="Heading1"/>
        <w:rPr/>
      </w:pPr>
      <w:bookmarkStart w:colFirst="0" w:colLast="0" w:name="_heading=h.qsh70q" w:id="8"/>
      <w:bookmarkEnd w:id="8"/>
      <w:r w:rsidDel="00000000" w:rsidR="00000000" w:rsidRPr="00000000">
        <w:rPr>
          <w:rtl w:val="0"/>
        </w:rPr>
        <w:t xml:space="preserve">F.2. ARTICLE 2: TAXES COVERED</w:t>
      </w:r>
    </w:p>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Article 2 of the OECD Model Tax Convention, titled "Taxes Covered," defines taxes that are subject to the treaty's provisions. </w:t>
      </w:r>
    </w:p>
    <w:p w:rsidR="00000000" w:rsidDel="00000000" w:rsidP="00000000" w:rsidRDefault="00000000" w:rsidRPr="00000000" w14:paraId="00000058">
      <w:pPr>
        <w:pStyle w:val="Heading2"/>
        <w:numPr>
          <w:ilvl w:val="0"/>
          <w:numId w:val="7"/>
        </w:numPr>
        <w:ind w:left="360" w:hanging="360"/>
        <w:jc w:val="both"/>
        <w:rPr>
          <w:rFonts w:ascii="Times New Roman" w:cs="Times New Roman" w:eastAsia="Times New Roman" w:hAnsi="Times New Roman"/>
          <w:sz w:val="27"/>
          <w:szCs w:val="27"/>
        </w:rPr>
      </w:pPr>
      <w:bookmarkStart w:colFirst="0" w:colLast="0" w:name="_heading=h.3as4poj" w:id="9"/>
      <w:bookmarkEnd w:id="9"/>
      <w:r w:rsidDel="00000000" w:rsidR="00000000" w:rsidRPr="00000000">
        <w:rPr>
          <w:rFonts w:ascii="Times New Roman" w:cs="Times New Roman" w:eastAsia="Times New Roman" w:hAnsi="Times New Roman"/>
          <w:sz w:val="27"/>
          <w:szCs w:val="27"/>
          <w:rtl w:val="0"/>
        </w:rPr>
        <w:t xml:space="preserve">Purpose</w:t>
      </w:r>
    </w:p>
    <w:p w:rsidR="00000000" w:rsidDel="00000000" w:rsidP="00000000" w:rsidRDefault="00000000" w:rsidRPr="00000000" w14:paraId="0000005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Article 2 ensures that the DTC clearly delineates which types of taxes are covered by the treaty. This is crucial because it helps to avoid disputes between Contracting States regarding the applicability of the treaty to different taxes and provides clarity to taxpayers regarding which taxes are subject to the treaty's benefits.</w:t>
      </w:r>
    </w:p>
    <w:p w:rsidR="00000000" w:rsidDel="00000000" w:rsidP="00000000" w:rsidRDefault="00000000" w:rsidRPr="00000000" w14:paraId="0000005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listing the taxes covered, Article 2 provides a comprehensive framework that allows the DTC to apply uniformly across the various taxes imposed by each Contracting State. This is essential for achieving the treaty’s objectives of eliminating double taxation and preventing tax evasion.</w:t>
      </w:r>
    </w:p>
    <w:p w:rsidR="00000000" w:rsidDel="00000000" w:rsidP="00000000" w:rsidRDefault="00000000" w:rsidRPr="00000000" w14:paraId="0000005B">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Calibri" w:cs="Calibri" w:eastAsia="Calibri" w:hAnsi="Calibri"/>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Taxes on Income and Capital</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Article 2 primarily covers "taxes on income and on capital." These typically include taxes on total income, or elements of income, as well as taxes on total capital or elements of capital. The focus is on ensuring that the DTC applies to the most significant forms of taxation imposed by the Contracting States.</w:t>
      </w:r>
    </w:p>
    <w:p w:rsidR="00000000" w:rsidDel="00000000" w:rsidP="00000000" w:rsidRDefault="00000000" w:rsidRPr="00000000" w14:paraId="0000005D">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Types of Taxes</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The article covers direct taxes, which are levied directly on the income or capital of individuals or entities. Indirect taxes, such as value-added tax (VAT) or sales tax, are generally not covered by DTCs because they are not taxes on income or capital.</w:t>
      </w:r>
    </w:p>
    <w:p w:rsidR="00000000" w:rsidDel="00000000" w:rsidP="00000000" w:rsidRDefault="00000000" w:rsidRPr="00000000" w14:paraId="0000005F">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Enumerated Taxes</w:t>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6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Article 2 typically lists the specific taxes in each Contracting State that are covered by the treaty. This includes the main income taxes, such as personal income tax, corporate income tax, and, in some cases, capital gains tax. The inclusion of specific taxes provides clarity and ensures that both Contracting States have a mutual understanding of the treaty’s scope.</w:t>
      </w:r>
    </w:p>
    <w:p w:rsidR="00000000" w:rsidDel="00000000" w:rsidP="00000000" w:rsidRDefault="00000000" w:rsidRPr="00000000" w14:paraId="00000061">
      <w:pPr>
        <w:pStyle w:val="Heading2"/>
        <w:numPr>
          <w:ilvl w:val="0"/>
          <w:numId w:val="7"/>
        </w:numPr>
        <w:ind w:left="360" w:hanging="360"/>
        <w:jc w:val="both"/>
        <w:rPr>
          <w:rFonts w:ascii="Times New Roman" w:cs="Times New Roman" w:eastAsia="Times New Roman" w:hAnsi="Times New Roman"/>
          <w:sz w:val="27"/>
          <w:szCs w:val="27"/>
        </w:rPr>
      </w:pPr>
      <w:bookmarkStart w:colFirst="0" w:colLast="0" w:name="_heading=h.1pxezwc" w:id="10"/>
      <w:bookmarkEnd w:id="10"/>
      <w:r w:rsidDel="00000000" w:rsidR="00000000" w:rsidRPr="00000000">
        <w:rPr>
          <w:rFonts w:ascii="Times New Roman" w:cs="Times New Roman" w:eastAsia="Times New Roman" w:hAnsi="Times New Roman"/>
          <w:sz w:val="27"/>
          <w:szCs w:val="27"/>
          <w:rtl w:val="0"/>
        </w:rPr>
        <w:t xml:space="preserve">Article 2: Structure </w:t>
      </w:r>
    </w:p>
    <w:p w:rsidR="00000000" w:rsidDel="00000000" w:rsidP="00000000" w:rsidRDefault="00000000" w:rsidRPr="00000000" w14:paraId="00000062">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Article 2(1): General Application</w:t>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Article 2(1) establishes the general principle that the convention applies to taxes on income and capital imposed by the contracting states or their political subdivisions or local authorities. The phrase "irrespective of the manner in which they are levied" indicates that the method of taxation (e.g., direct or indirect taxes) is irrelevant for the purposes of the convention. This broad language ensures that the convention covers a wide range of taxes, providing comprehensive protection against double taxation.</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In the case of </w:t>
      </w:r>
      <w:r w:rsidDel="00000000" w:rsidR="00000000" w:rsidRPr="00000000">
        <w:rPr>
          <w:rFonts w:ascii="Times New Roman" w:cs="Times New Roman" w:eastAsia="Times New Roman" w:hAnsi="Times New Roman"/>
          <w:i w:val="1"/>
          <w:smallCaps w:val="0"/>
          <w:strike w:val="0"/>
          <w:color w:val="000000"/>
          <w:sz w:val="24"/>
          <w:szCs w:val="24"/>
          <w:u w:val="none"/>
          <w:shd w:fill="auto" w:val="clear"/>
          <w:vertAlign w:val="baseline"/>
          <w:rtl w:val="0"/>
        </w:rPr>
        <w:t xml:space="preserve">Commissioner of Inland Revenue v. International Tin Council</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the court held that the term "taxes" should be interpreted broadly to include any levy that effectively reduces income or capital. This interpretation aligns with the purpose of DTCs to prevent double taxation and promote economic cooperation.</w:t>
      </w:r>
    </w:p>
    <w:p w:rsidR="00000000" w:rsidDel="00000000" w:rsidP="00000000" w:rsidRDefault="00000000" w:rsidRPr="00000000" w14:paraId="00000065">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Article 2(2): Definition of Taxes on Income and Capital</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Article 2(2) provides a non-exhaustive list of taxes considered as taxes on income and capital. This includes taxes on total income, total capital, or elements thereof. The inclusion of taxes on gains from the alienation of property, wages, salaries, and capital appreciation underscores the comprehensive nature of the convention. </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This paragraph is crucial as it helps to delineate the types of taxes that fall under the convention's purview. By explicitly listing various forms of income and capital taxes, the DTC aims to reduce ambiguity and provide clear guidance to taxpayers and tax authorities. This clarity helps to avoid potential disputes and ensures that the treaty's provisions are applied consistently.</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In </w:t>
      </w:r>
      <w:r w:rsidDel="00000000" w:rsidR="00000000" w:rsidRPr="00000000">
        <w:rPr>
          <w:rFonts w:ascii="Times New Roman" w:cs="Times New Roman" w:eastAsia="Times New Roman" w:hAnsi="Times New Roman"/>
          <w:i w:val="1"/>
          <w:smallCaps w:val="0"/>
          <w:strike w:val="0"/>
          <w:color w:val="000000"/>
          <w:sz w:val="24"/>
          <w:szCs w:val="24"/>
          <w:u w:val="none"/>
          <w:shd w:fill="auto" w:val="clear"/>
          <w:vertAlign w:val="baseline"/>
          <w:rtl w:val="0"/>
        </w:rPr>
        <w:t xml:space="preserve">Federal Commissioner of Taxation v. United Aircraft Corporation</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the court held that a tax on capital gains fell within the scope of the DTC, despite not being explicitly listed. The court reasoned that the broad language of Article 2(2) was intended to capture a wide range of taxes, consistent with the treaty's purpose.</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Article 2(3): Specific Taxes Covered</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Article 2(3) specifies the existing taxes covered by the convention in each contracting state. This list is not exhaustive but provides clarity regarding the primary taxes subject to the treaty. By listing specific taxes, the contracting states aim to eliminate ambiguity and ensure mutual understanding.</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In JSC Baltika Breweries v. Republic of Kazakhstan, the court held that the list of taxes in Article 2(3) serves as a starting point for determining the scope of the convention. However, the court also noted that the list is not exhaustive and that other taxes may fall within the scope if they meet the criteria outlined in Article 2(1) and 2(2).</w:t>
      </w:r>
    </w:p>
    <w:p w:rsidR="00000000" w:rsidDel="00000000" w:rsidP="00000000" w:rsidRDefault="00000000" w:rsidRPr="00000000" w14:paraId="0000006C">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Article 2(4): Extension to Identical or Substantially Similar Taxes</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Article 2(4) addresses the dynamic nature of tax systems by extending the convention's coverage to new or modified taxes that are identical or substantially similar to the existing taxes. This provision ensures that the convention remains relevant and effective despite changes in the contracting states' tax laws. The requirement for notification of significant changes promotes transparency and cooperation between the contracting states.</w:t>
      </w:r>
    </w:p>
    <w:p w:rsidR="00000000" w:rsidDel="00000000" w:rsidP="00000000" w:rsidRDefault="00000000" w:rsidRPr="00000000" w14:paraId="0000006E">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Judicial Interpretation</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6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Courts have interpreted Article 2(4) to emphasize the need for flexibility in applying DTCs. In Case C-55/98 Vestergaard v. Sparekassernes Datacenter, the European Court of Justice held that the purpose of Article 2(4) is to adapt the scope of the convention to changes in domestic tax legislation. The court noted that the notification requirement ensures that both contracting states are aware of and can address any changes that may impact the application of the convention.</w:t>
      </w:r>
    </w:p>
    <w:p w:rsidR="00000000" w:rsidDel="00000000" w:rsidP="00000000" w:rsidRDefault="00000000" w:rsidRPr="00000000" w14:paraId="00000070">
      <w:pPr>
        <w:pStyle w:val="Heading2"/>
        <w:numPr>
          <w:ilvl w:val="0"/>
          <w:numId w:val="7"/>
        </w:numPr>
        <w:ind w:left="360" w:hanging="360"/>
        <w:jc w:val="both"/>
        <w:rPr>
          <w:rFonts w:ascii="Times New Roman" w:cs="Times New Roman" w:eastAsia="Times New Roman" w:hAnsi="Times New Roman"/>
          <w:sz w:val="27"/>
          <w:szCs w:val="27"/>
        </w:rPr>
      </w:pPr>
      <w:bookmarkStart w:colFirst="0" w:colLast="0" w:name="_heading=h.49x2ik5" w:id="11"/>
      <w:bookmarkEnd w:id="11"/>
      <w:r w:rsidDel="00000000" w:rsidR="00000000" w:rsidRPr="00000000">
        <w:rPr>
          <w:rFonts w:ascii="Times New Roman" w:cs="Times New Roman" w:eastAsia="Times New Roman" w:hAnsi="Times New Roman"/>
          <w:sz w:val="27"/>
          <w:szCs w:val="27"/>
          <w:rtl w:val="0"/>
        </w:rPr>
        <w:t xml:space="preserve">Comparison of Article 2 of the OECD MTC 2017 and UN MTC 2021</w:t>
      </w:r>
    </w:p>
    <w:p w:rsidR="00000000" w:rsidDel="00000000" w:rsidP="00000000" w:rsidRDefault="00000000" w:rsidRPr="00000000" w14:paraId="0000007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text of Article 2 in both the OECD and UN MTCs is identical, with no textual variations.</w:t>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pStyle w:val="Heading1"/>
        <w:rPr/>
      </w:pPr>
      <w:bookmarkStart w:colFirst="0" w:colLast="0" w:name="_heading=h.2p2csry" w:id="12"/>
      <w:bookmarkEnd w:id="12"/>
      <w:r w:rsidDel="00000000" w:rsidR="00000000" w:rsidRPr="00000000">
        <w:rPr>
          <w:rtl w:val="0"/>
        </w:rPr>
        <w:t xml:space="preserve">F.3. ARTICLE 29: ENTITLEMENT TO BENEFITS</w:t>
      </w:r>
    </w:p>
    <w:p w:rsidR="00000000" w:rsidDel="00000000" w:rsidP="00000000" w:rsidRDefault="00000000" w:rsidRPr="00000000" w14:paraId="00000076">
      <w:pPr>
        <w:pStyle w:val="Heading2"/>
        <w:numPr>
          <w:ilvl w:val="0"/>
          <w:numId w:val="8"/>
        </w:numPr>
        <w:ind w:left="360" w:hanging="360"/>
        <w:rPr>
          <w:rFonts w:ascii="Times New Roman" w:cs="Times New Roman" w:eastAsia="Times New Roman" w:hAnsi="Times New Roman"/>
          <w:sz w:val="27"/>
          <w:szCs w:val="27"/>
        </w:rPr>
      </w:pPr>
      <w:bookmarkStart w:colFirst="0" w:colLast="0" w:name="_heading=h.147n2zr" w:id="13"/>
      <w:bookmarkEnd w:id="13"/>
      <w:r w:rsidDel="00000000" w:rsidR="00000000" w:rsidRPr="00000000">
        <w:rPr>
          <w:rFonts w:ascii="Times New Roman" w:cs="Times New Roman" w:eastAsia="Times New Roman" w:hAnsi="Times New Roman"/>
          <w:sz w:val="27"/>
          <w:szCs w:val="27"/>
          <w:rtl w:val="0"/>
        </w:rPr>
        <w:t xml:space="preserve">Overview of Article 29</w:t>
      </w:r>
    </w:p>
    <w:p w:rsidR="00000000" w:rsidDel="00000000" w:rsidP="00000000" w:rsidRDefault="00000000" w:rsidRPr="00000000" w14:paraId="0000007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Article 29 of the OECD Model Tax Convention provides a framework for determining the entitlement of residents to the benefits of a tax treaty between two contracting states. Its purpose is to prevent treaty shopping, where entities seek to exploit treaties for tax benefits that they would not otherwise be entitled to. This provision incorporates key anti-abuse rules that align with the OECD/G20 Base Erosion and Profit Shifting (BEPS) initiative. The article is crafted to strike a balance between enabling legitimate treaty benefits while denying benefits in cases where obtaining them is primarily for tax avoidance or evasion.</w:t>
      </w:r>
    </w:p>
    <w:p w:rsidR="00000000" w:rsidDel="00000000" w:rsidP="00000000" w:rsidRDefault="00000000" w:rsidRPr="00000000" w14:paraId="0000007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core of Article 29 establishes a "qualified person" test, setting specific conditions under which a resident of a contracting state is entitled to treaty benefits. Paragraphs 1 to 7 address these conditions through the "qualified person" test and other specific provisions, while paragraph 9 introduces a general anti-abuse rule based on the principal purpose of arrangements or transactions.</w:t>
      </w:r>
    </w:p>
    <w:p w:rsidR="00000000" w:rsidDel="00000000" w:rsidP="00000000" w:rsidRDefault="00000000" w:rsidRPr="00000000" w14:paraId="0000007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provisions of Article 29 are intended to eliminate opportunities for non-taxation or reduced taxation through treaty-shopping arrangements and ensure that treaty benefits are granted only when they align with the objectives of the treaty, such as avoiding double taxation without enabling tax evasion.</w:t>
      </w:r>
    </w:p>
    <w:p w:rsidR="00000000" w:rsidDel="00000000" w:rsidP="00000000" w:rsidRDefault="00000000" w:rsidRPr="00000000" w14:paraId="0000007A">
      <w:pPr>
        <w:pStyle w:val="Heading2"/>
        <w:numPr>
          <w:ilvl w:val="0"/>
          <w:numId w:val="8"/>
        </w:numPr>
        <w:ind w:left="360" w:hanging="360"/>
        <w:jc w:val="both"/>
        <w:rPr>
          <w:rFonts w:ascii="Times New Roman" w:cs="Times New Roman" w:eastAsia="Times New Roman" w:hAnsi="Times New Roman"/>
          <w:sz w:val="27"/>
          <w:szCs w:val="27"/>
        </w:rPr>
      </w:pPr>
      <w:bookmarkStart w:colFirst="0" w:colLast="0" w:name="_heading=h.3o7alnk" w:id="14"/>
      <w:bookmarkEnd w:id="14"/>
      <w:r w:rsidDel="00000000" w:rsidR="00000000" w:rsidRPr="00000000">
        <w:rPr>
          <w:rFonts w:ascii="Times New Roman" w:cs="Times New Roman" w:eastAsia="Times New Roman" w:hAnsi="Times New Roman"/>
          <w:sz w:val="27"/>
          <w:szCs w:val="27"/>
          <w:rtl w:val="0"/>
        </w:rPr>
        <w:t xml:space="preserve">Article 29 (1): Limiting Treaty Benefits to Qualified Persons</w:t>
      </w:r>
    </w:p>
    <w:p w:rsidR="00000000" w:rsidDel="00000000" w:rsidP="00000000" w:rsidRDefault="00000000" w:rsidRPr="00000000" w14:paraId="0000007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paragraph restricts the application of treaty benefits to residents who qualify under paragraph 2 unless otherwise provided by paragraphs 3 to 7. It represents a safeguard against inappropriate use of tax treaties by entities that, while technically residents of a contracting state, may not have a genuine economic relationship with that state.</w:t>
      </w:r>
    </w:p>
    <w:p w:rsidR="00000000" w:rsidDel="00000000" w:rsidP="00000000" w:rsidRDefault="00000000" w:rsidRPr="00000000" w14:paraId="0000007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 this rule, residents must meet one of the detailed tests in paragraph 2 to be considered a "qualified person." These tests encompass various categories of persons, including individuals, governments, publicly-traded companies, certain affiliates of publicly-traded companies, and specific non-profit organizations. By defining these categories, Article 29 creates a structured and predictable approach for determining entitlement, limiting the scope for treaty abuse.</w:t>
      </w:r>
    </w:p>
    <w:p w:rsidR="00000000" w:rsidDel="00000000" w:rsidP="00000000" w:rsidRDefault="00000000" w:rsidRPr="00000000" w14:paraId="0000007D">
      <w:pPr>
        <w:pStyle w:val="Heading2"/>
        <w:numPr>
          <w:ilvl w:val="0"/>
          <w:numId w:val="8"/>
        </w:numPr>
        <w:ind w:left="360" w:hanging="360"/>
        <w:jc w:val="both"/>
        <w:rPr>
          <w:rFonts w:ascii="Times New Roman" w:cs="Times New Roman" w:eastAsia="Times New Roman" w:hAnsi="Times New Roman"/>
          <w:sz w:val="27"/>
          <w:szCs w:val="27"/>
        </w:rPr>
      </w:pPr>
      <w:bookmarkStart w:colFirst="0" w:colLast="0" w:name="_heading=h.23ckvvd" w:id="15"/>
      <w:bookmarkEnd w:id="15"/>
      <w:r w:rsidDel="00000000" w:rsidR="00000000" w:rsidRPr="00000000">
        <w:rPr>
          <w:rFonts w:ascii="Times New Roman" w:cs="Times New Roman" w:eastAsia="Times New Roman" w:hAnsi="Times New Roman"/>
          <w:sz w:val="27"/>
          <w:szCs w:val="27"/>
          <w:rtl w:val="0"/>
        </w:rPr>
        <w:t xml:space="preserve">Article 29 (2): Defining Qualified Persons</w:t>
      </w:r>
    </w:p>
    <w:p w:rsidR="00000000" w:rsidDel="00000000" w:rsidP="00000000" w:rsidRDefault="00000000" w:rsidRPr="00000000" w14:paraId="0000007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Paragraph 2 outlines who qualifies as a "qualified person." The definition includes:</w:t>
      </w:r>
    </w:p>
    <w:p w:rsidR="00000000" w:rsidDel="00000000" w:rsidP="00000000" w:rsidRDefault="00000000" w:rsidRPr="00000000" w14:paraId="0000007F">
      <w:pPr>
        <w:numPr>
          <w:ilvl w:val="0"/>
          <w:numId w:val="14"/>
        </w:numPr>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Individuals</w:t>
      </w:r>
      <w:r w:rsidDel="00000000" w:rsidR="00000000" w:rsidRPr="00000000">
        <w:rPr>
          <w:rFonts w:ascii="Times New Roman" w:cs="Times New Roman" w:eastAsia="Times New Roman" w:hAnsi="Times New Roman"/>
          <w:sz w:val="24"/>
          <w:szCs w:val="24"/>
          <w:rtl w:val="0"/>
        </w:rPr>
        <w:t xml:space="preserve">: Any individual resident of a contracting state qualifies automatically.</w:t>
      </w:r>
    </w:p>
    <w:p w:rsidR="00000000" w:rsidDel="00000000" w:rsidP="00000000" w:rsidRDefault="00000000" w:rsidRPr="00000000" w14:paraId="00000080">
      <w:pPr>
        <w:numPr>
          <w:ilvl w:val="0"/>
          <w:numId w:val="14"/>
        </w:numPr>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Governments</w:t>
      </w:r>
      <w:r w:rsidDel="00000000" w:rsidR="00000000" w:rsidRPr="00000000">
        <w:rPr>
          <w:rFonts w:ascii="Times New Roman" w:cs="Times New Roman" w:eastAsia="Times New Roman" w:hAnsi="Times New Roman"/>
          <w:sz w:val="24"/>
          <w:szCs w:val="24"/>
          <w:rtl w:val="0"/>
        </w:rPr>
        <w:t xml:space="preserve">: A contracting state, political subdivisions, and their agencies are qualified persons.</w:t>
      </w:r>
    </w:p>
    <w:p w:rsidR="00000000" w:rsidDel="00000000" w:rsidP="00000000" w:rsidRDefault="00000000" w:rsidRPr="00000000" w14:paraId="00000081">
      <w:pPr>
        <w:numPr>
          <w:ilvl w:val="0"/>
          <w:numId w:val="14"/>
        </w:numPr>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Publicly-traded companies</w:t>
      </w:r>
      <w:r w:rsidDel="00000000" w:rsidR="00000000" w:rsidRPr="00000000">
        <w:rPr>
          <w:rFonts w:ascii="Times New Roman" w:cs="Times New Roman" w:eastAsia="Times New Roman" w:hAnsi="Times New Roman"/>
          <w:sz w:val="24"/>
          <w:szCs w:val="24"/>
          <w:rtl w:val="0"/>
        </w:rPr>
        <w:t xml:space="preserve">: A company qualifies if its principal class of shares is regularly traded on a recognized stock exchange. This reflects the assumption that publicly-traded companies are less likely to be used for treaty shopping due to their diversified ownership base.</w:t>
      </w:r>
    </w:p>
    <w:p w:rsidR="00000000" w:rsidDel="00000000" w:rsidP="00000000" w:rsidRDefault="00000000" w:rsidRPr="00000000" w14:paraId="00000082">
      <w:pPr>
        <w:numPr>
          <w:ilvl w:val="0"/>
          <w:numId w:val="14"/>
        </w:numPr>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Affiliates of publicly-traded companies</w:t>
      </w:r>
      <w:r w:rsidDel="00000000" w:rsidR="00000000" w:rsidRPr="00000000">
        <w:rPr>
          <w:rFonts w:ascii="Times New Roman" w:cs="Times New Roman" w:eastAsia="Times New Roman" w:hAnsi="Times New Roman"/>
          <w:sz w:val="24"/>
          <w:szCs w:val="24"/>
          <w:rtl w:val="0"/>
        </w:rPr>
        <w:t xml:space="preserve">: Subsidiaries of publicly-traded companies can also qualify if they meet certain ownership thresholds.</w:t>
      </w:r>
    </w:p>
    <w:p w:rsidR="00000000" w:rsidDel="00000000" w:rsidP="00000000" w:rsidRDefault="00000000" w:rsidRPr="00000000" w14:paraId="00000083">
      <w:pPr>
        <w:numPr>
          <w:ilvl w:val="0"/>
          <w:numId w:val="14"/>
        </w:numPr>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Non-profit organizations</w:t>
      </w:r>
      <w:r w:rsidDel="00000000" w:rsidR="00000000" w:rsidRPr="00000000">
        <w:rPr>
          <w:rFonts w:ascii="Times New Roman" w:cs="Times New Roman" w:eastAsia="Times New Roman" w:hAnsi="Times New Roman"/>
          <w:sz w:val="24"/>
          <w:szCs w:val="24"/>
          <w:rtl w:val="0"/>
        </w:rPr>
        <w:t xml:space="preserve">: Certain non-profit organizations and recognized pension funds qualify as long as they meet ownership and activity criteria.</w:t>
      </w:r>
    </w:p>
    <w:p w:rsidR="00000000" w:rsidDel="00000000" w:rsidP="00000000" w:rsidRDefault="00000000" w:rsidRPr="00000000" w14:paraId="0000008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qualification mechanism ensures that only entities with a genuine connection to a contracting state can claim treaty benefits, reducing the risk of abuse.</w:t>
      </w:r>
    </w:p>
    <w:p w:rsidR="00000000" w:rsidDel="00000000" w:rsidP="00000000" w:rsidRDefault="00000000" w:rsidRPr="00000000" w14:paraId="00000085">
      <w:pPr>
        <w:pStyle w:val="Heading2"/>
        <w:numPr>
          <w:ilvl w:val="0"/>
          <w:numId w:val="8"/>
        </w:numPr>
        <w:ind w:left="360" w:hanging="360"/>
        <w:jc w:val="both"/>
        <w:rPr>
          <w:rFonts w:ascii="Times New Roman" w:cs="Times New Roman" w:eastAsia="Times New Roman" w:hAnsi="Times New Roman"/>
          <w:sz w:val="27"/>
          <w:szCs w:val="27"/>
        </w:rPr>
      </w:pPr>
      <w:bookmarkStart w:colFirst="0" w:colLast="0" w:name="_heading=h.ihv636" w:id="16"/>
      <w:bookmarkEnd w:id="16"/>
      <w:r w:rsidDel="00000000" w:rsidR="00000000" w:rsidRPr="00000000">
        <w:rPr>
          <w:rFonts w:ascii="Times New Roman" w:cs="Times New Roman" w:eastAsia="Times New Roman" w:hAnsi="Times New Roman"/>
          <w:sz w:val="27"/>
          <w:szCs w:val="27"/>
          <w:rtl w:val="0"/>
        </w:rPr>
        <w:t xml:space="preserve">Article 29 (3 to 5): Additional Provisions for Non-qualified Persons</w:t>
      </w:r>
    </w:p>
    <w:p w:rsidR="00000000" w:rsidDel="00000000" w:rsidP="00000000" w:rsidRDefault="00000000" w:rsidRPr="00000000" w14:paraId="0000008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paragraphs provide additional avenues through which a resident that does not qualify under paragraph 2 can still receive treaty benefits. These are important because they acknowledge that there may be legitimate business reasons for an entity's structure that do not meet the strict qualifications of paragraph 2.</w:t>
      </w:r>
    </w:p>
    <w:p w:rsidR="00000000" w:rsidDel="00000000" w:rsidP="00000000" w:rsidRDefault="00000000" w:rsidRPr="00000000" w14:paraId="00000087">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Article 29 (3) : Active Business Test</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 resident engaged in the active conduct of a business in its state of residence may still claim treaty benefits if the income derived from the other contracting state is connected to that business. However, this provision excludes holding companies, financial services (unless they are banks or insurance companies), and investment management businesses, reflecting a deliberate exclusion of entities that could be more easily used for tax avoidance purposes.</w:t>
      </w:r>
    </w:p>
    <w:p w:rsidR="00000000" w:rsidDel="00000000" w:rsidP="00000000" w:rsidRDefault="00000000" w:rsidRPr="00000000" w14:paraId="00000089">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Article 29 (4): Derivative Benefits Test</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This paragraph introduces a derivative benefits provision, allowing entities to claim treaty benefits if they are owned by "equivalent beneficiaries," which are residents of a third state that have similar tax treaty benefits under a comparable treaty. This provision acknowledges the increasingly global nature of business while still maintaining safeguards to prevent treaty shopping.</w:t>
      </w:r>
    </w:p>
    <w:p w:rsidR="00000000" w:rsidDel="00000000" w:rsidP="00000000" w:rsidRDefault="00000000" w:rsidRPr="00000000" w14:paraId="0000008B">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Article 29 (5): Headquarters Companies</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6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Companies that serve as the headquarters for a multinational group may qualify for treaty benefits if they meet specific criteria. These criteria include managing the group from the state of residence and ensuring that the group’s activities are sufficiently dispersed across different jurisdictions. This provision reflects the legitimate need for multinational enterprises to centralize management in one location without automatically disqualifying them from treaty benefits.</w:t>
      </w:r>
    </w:p>
    <w:p w:rsidR="00000000" w:rsidDel="00000000" w:rsidP="00000000" w:rsidRDefault="00000000" w:rsidRPr="00000000" w14:paraId="0000008D">
      <w:pPr>
        <w:pStyle w:val="Heading2"/>
        <w:numPr>
          <w:ilvl w:val="0"/>
          <w:numId w:val="8"/>
        </w:numPr>
        <w:ind w:left="360" w:hanging="360"/>
        <w:jc w:val="both"/>
        <w:rPr>
          <w:rFonts w:ascii="Times New Roman" w:cs="Times New Roman" w:eastAsia="Times New Roman" w:hAnsi="Times New Roman"/>
          <w:sz w:val="27"/>
          <w:szCs w:val="27"/>
        </w:rPr>
      </w:pPr>
      <w:bookmarkStart w:colFirst="0" w:colLast="0" w:name="_heading=h.32hioqz" w:id="17"/>
      <w:bookmarkEnd w:id="17"/>
      <w:r w:rsidDel="00000000" w:rsidR="00000000" w:rsidRPr="00000000">
        <w:rPr>
          <w:rFonts w:ascii="Times New Roman" w:cs="Times New Roman" w:eastAsia="Times New Roman" w:hAnsi="Times New Roman"/>
          <w:sz w:val="27"/>
          <w:szCs w:val="27"/>
          <w:rtl w:val="0"/>
        </w:rPr>
        <w:t xml:space="preserve">Article 29 (6 to 8) </w:t>
      </w:r>
    </w:p>
    <w:p w:rsidR="00000000" w:rsidDel="00000000" w:rsidP="00000000" w:rsidRDefault="00000000" w:rsidRPr="00000000" w14:paraId="0000008E">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b w:val="1"/>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Article 29 (6): Discretionary Relief</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In situations where a resident does not qualify for benefits under the previous provisions, paragraph 6 allows the competent authorities of the contracting states to grant benefits on a discretionary basis. This provision ensures that genuine business structures that do not meet the strict requirements of Article 29 can still be considered for treaty benefits if the competent authorities are satisfied that the entity was not established primarily to obtain tax benefits.</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b w:val="1"/>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Article 29 (7): Definitions</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To ensure clarity, paragraph 7 defines key terms used throughout Article 29, including "recognized stock exchange," "principal class of shares," and "equivalent beneficiary." These definitions provide consistency and reduce ambiguity in the application of the article.</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b w:val="1"/>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Article 29 (8): Permanent Establishment and Third Jurisdiction</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6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This paragraph addresses the situation where an enterprise of one contracting state derives income from a third jurisdiction through a permanent establishment. If the third jurisdiction imposes a significantly lower tax rate, the contracting state may deny treaty benefits. This provision prevents the use of treaty benefits in cases where income is routed through low-tax jurisdictions, further safeguarding against treaty abuse.</w:t>
      </w:r>
      <w:r w:rsidDel="00000000" w:rsidR="00000000" w:rsidRPr="00000000">
        <w:rPr>
          <w:rtl w:val="0"/>
        </w:rPr>
      </w:r>
    </w:p>
    <w:p w:rsidR="00000000" w:rsidDel="00000000" w:rsidP="00000000" w:rsidRDefault="00000000" w:rsidRPr="00000000" w14:paraId="00000094">
      <w:pPr>
        <w:pStyle w:val="Heading2"/>
        <w:numPr>
          <w:ilvl w:val="0"/>
          <w:numId w:val="8"/>
        </w:numPr>
        <w:ind w:left="360" w:hanging="360"/>
        <w:jc w:val="both"/>
        <w:rPr>
          <w:rFonts w:ascii="Times New Roman" w:cs="Times New Roman" w:eastAsia="Times New Roman" w:hAnsi="Times New Roman"/>
          <w:sz w:val="27"/>
          <w:szCs w:val="27"/>
        </w:rPr>
      </w:pPr>
      <w:bookmarkStart w:colFirst="0" w:colLast="0" w:name="_heading=h.1hmsyys" w:id="18"/>
      <w:bookmarkEnd w:id="18"/>
      <w:r w:rsidDel="00000000" w:rsidR="00000000" w:rsidRPr="00000000">
        <w:rPr>
          <w:rFonts w:ascii="Times New Roman" w:cs="Times New Roman" w:eastAsia="Times New Roman" w:hAnsi="Times New Roman"/>
          <w:sz w:val="27"/>
          <w:szCs w:val="27"/>
          <w:rtl w:val="0"/>
        </w:rPr>
        <w:t xml:space="preserve">Article 29 (9): Principal Purpose Test (PPT)</w:t>
      </w:r>
    </w:p>
    <w:p w:rsidR="00000000" w:rsidDel="00000000" w:rsidP="00000000" w:rsidRDefault="00000000" w:rsidRPr="00000000" w14:paraId="0000009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Principal Purpose Test (PPT) is a broad anti-abuse measure in Article 29 designed to address tax treaty abuses by focusing on the underlying intent behind transactions or arrangements. The PPT allows contracting states to deny treaty benefits if it is reasonable to conclude that one of the principal purposes of the transaction or arrangement is to secure those benefits. Unlike other provisions that rely on the entity’s structure or residency status, the PPT scrutinizes the motives behind the transaction, adding a subjective layer of analysis to the objective criteria for treaty entitlement.</w:t>
      </w:r>
    </w:p>
    <w:p w:rsidR="00000000" w:rsidDel="00000000" w:rsidP="00000000" w:rsidRDefault="00000000" w:rsidRPr="00000000" w14:paraId="0000009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 if an entity meets the technical qualifications under other provisions of Article 29, such as being a "qualified person," the PPT ensures that the benefits can be denied if tax avoidance is a significant motivating factor. The PPT applies unless the taxpayer can demonstrate that granting the benefit would be consistent with the object and purpose of the treaty. This safeguard ensures that legitimate business arrangements, where tax benefits are incidental rather than primary, can still benefit from the treaty, maintaining the treaty's integrity while curbing abuse.</w:t>
      </w:r>
    </w:p>
    <w:p w:rsidR="00000000" w:rsidDel="00000000" w:rsidP="00000000" w:rsidRDefault="00000000" w:rsidRPr="00000000" w14:paraId="0000009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PPT's power lies in its ability to prevent treaty shopping, where entities exploit treaty provisions to minimize or eliminate tax liabilities in ways not intended by the contracting states. By shifting the focus from technical eligibility to intent, the PPT provides tax authorities with a versatile tool to combat sophisticated tax planning strategies that are difficult to address through rigid, rules-based provisions alone. However, this shift also introduces an element of uncertainty for taxpayers, as determining intent can involve subjective judgment, potentially leading to disputes and the need for competent authority involvement to resolve ambiguities. Nevertheless, the PPT is a critical element in modern tax treaties, ensuring that treaty benefits are aligned with the genuine economic substance of transactions.</w:t>
      </w:r>
    </w:p>
    <w:p w:rsidR="00000000" w:rsidDel="00000000" w:rsidP="00000000" w:rsidRDefault="00000000" w:rsidRPr="00000000" w14:paraId="00000098">
      <w:pPr>
        <w:pStyle w:val="Heading2"/>
        <w:numPr>
          <w:ilvl w:val="0"/>
          <w:numId w:val="8"/>
        </w:numPr>
        <w:ind w:left="360" w:hanging="360"/>
        <w:jc w:val="both"/>
        <w:rPr>
          <w:rFonts w:ascii="Times New Roman" w:cs="Times New Roman" w:eastAsia="Times New Roman" w:hAnsi="Times New Roman"/>
          <w:sz w:val="24"/>
          <w:szCs w:val="24"/>
        </w:rPr>
      </w:pPr>
      <w:bookmarkStart w:colFirst="0" w:colLast="0" w:name="_heading=h.41mghml" w:id="19"/>
      <w:bookmarkEnd w:id="19"/>
      <w:r w:rsidDel="00000000" w:rsidR="00000000" w:rsidRPr="00000000">
        <w:rPr>
          <w:rFonts w:ascii="Times New Roman" w:cs="Times New Roman" w:eastAsia="Times New Roman" w:hAnsi="Times New Roman"/>
          <w:sz w:val="27"/>
          <w:szCs w:val="27"/>
          <w:rtl w:val="0"/>
        </w:rPr>
        <w:t xml:space="preserve">Comparison of Article 29 of the OECD MTC 2017 and UN MTC 2021</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Article 29 (1): General Limitation on Benefits</w:t>
      </w: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The first paragraph in both conventions introduces the concept that treaty benefits are restricted to a resident of a contracting state who is a "qualified person" under paragraph 2. While the OECD MTC applies this limitation generally, it allows exceptions under specific paragraphs (3–5). The UN MTC mirrors this structure but explicitly excludes benefits under specific provisions, such as paragraph 3 of Article 4 and paragraph 2 of Article 9.</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This distinction demonstrates the UN's intent to ensure clarity and reduce ambiguity in entitlement provisions. </w:t>
      </w:r>
    </w:p>
    <w:p w:rsidR="00000000" w:rsidDel="00000000" w:rsidP="00000000" w:rsidRDefault="00000000" w:rsidRPr="00000000" w14:paraId="0000009C">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Article 29 (2): Definition of Qualified Person</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Both conventions outline the criteria for determining whether an entity or individual qualifies for treaty benefits. The OECD MTC offers a broad definition, including individuals, governments, publicly traded companies, certain affiliates, non-profit organizations, recognized pension funds, and entities meeting ownership and base erosion tests. It also explicitly includes collective investment vehicles (CIVs), reflecting its focus on facilitating cross-border investments.</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The UN MTC, while adopting a similar structure, incorporates stricter conditions, particularly regarding ownership thresholds and income distribution. For instance, entities must demonstrate that less than 50% of their gross income is deductible to non-residents. This additional layer of economic substance requirements highlights the UN's emphasis on ensuring that benefits are granted only to entities with genuine economic ties to the contracting states. </w:t>
      </w:r>
    </w:p>
    <w:p w:rsidR="00000000" w:rsidDel="00000000" w:rsidP="00000000" w:rsidRDefault="00000000" w:rsidRPr="00000000" w14:paraId="0000009F">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Paragraph 3: Active Conduct of Business Test</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The active conduct of business test in both conventions allows entities not qualifying under paragraph 2 to access treaty benefits if they are engaged in substantive business activities in their state of residence. The OECD MTC excludes passive activities such as holding companies or group financing unless these activities are incidental to an active business.</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The UN MTC adopts a similar stance but introduces an additional substantiality requirement. It mandates that the business activity in the state of residence must be substantial relative to the connected activity in the source state. Furthermore, the UN MTC considers activities of connected persons, broadening the scope to ensure that fragmented structures cannot be used to bypass the substantiality test.</w:t>
      </w:r>
    </w:p>
    <w:p w:rsidR="00000000" w:rsidDel="00000000" w:rsidP="00000000" w:rsidRDefault="00000000" w:rsidRPr="00000000" w14:paraId="000000A2">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Article 29 (4): Derivative Benefits</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In addressing derivative benefits, the OECD MTC provides a detailed framework that allows entities owned by residents of third states to access treaty benefits if the third states have equivalent treaties with the contracting states. The UN MTC acknowledges derivative benefits but refrains from prescribing a detailed framework, leaving this aspect to bilateral negotiations.</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This difference illustrates the OECD’s preference for uniformity and predictability in applying treaty provisions, whereas the UN adopts a more flexible approach. The UN’s approach aligns with the needs of developing countries, which may prefer to negotiate such provisions on a case-by-case basis to address specific policy objectives.</w:t>
      </w:r>
    </w:p>
    <w:p w:rsidR="00000000" w:rsidDel="00000000" w:rsidP="00000000" w:rsidRDefault="00000000" w:rsidRPr="00000000" w14:paraId="000000A5">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Article 29 (5): Headquarters Companies</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Both conventions provide for the entitlement of headquarters companies to treaty benefits, subject to certain conditions. The OECD MTC requires that the company’s primary place of management and control be in the state of residence and imposes conditions on the distribution of income and geographical diversity of operations.</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The UN MTC adopts these principles but imposes additional restrictions, such as requiring operations in at least four countries, with each contributing at least 10% of the group’s gross income. It also caps the income derived from the source state at 25% of the group’s total income. These additional thresholds reflect the UN’s intent to ensure that headquarters companies are not used as conduits for treaty abuse.</w:t>
      </w:r>
    </w:p>
    <w:p w:rsidR="00000000" w:rsidDel="00000000" w:rsidP="00000000" w:rsidRDefault="00000000" w:rsidRPr="00000000" w14:paraId="000000A8">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Article 29 (6): Discretionary Relief by Competent Authority</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Both conventions allow the competent authority of a contracting state to grant benefits even if the entity does not qualify under the earlier provisions. The OECD MTC grants this authority based on consistency with the treaty’s objectives. The UN MTC, however, introduces a requirement for the applicant to demonstrate that its establishment or operations were not primarily aimed at obtaining treaty benefits.</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This additional burden of proof in the UN MTC reinforces its anti-abuse objectives and ensures that discretionary relief is granted only in cases aligned with the treaty’s purpose.</w:t>
      </w:r>
    </w:p>
    <w:p w:rsidR="00000000" w:rsidDel="00000000" w:rsidP="00000000" w:rsidRDefault="00000000" w:rsidRPr="00000000" w14:paraId="000000AB">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Article 29 (7): Definitions</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The definitions provided in both conventions aim to clarify terms such as "qualified person" and "principal class of shares." The OECD MTC provides straightforward definitions, whereas the UN MTC introduces more detailed and restrictive definitions, particularly concerning deductible payments and tested groups.</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The UN’s stricter definitions reflect its focus on preventing abuse through complex ownership structures and income arrangements. </w:t>
      </w:r>
    </w:p>
    <w:p w:rsidR="00000000" w:rsidDel="00000000" w:rsidP="00000000" w:rsidRDefault="00000000" w:rsidRPr="00000000" w14:paraId="000000AE">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Article 29 (8): Anti-Abuse Rules for Permanent Establishments in Third Jurisdictions</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Both conventions include provisions to deny benefits to income routed through permanent establishments in low-tax jurisdictions unless the income is connected to active business. The OECD MTC provides specific guidance on tax rates and conditions, while the UN MTC leaves these aspects open to bilateral agreement.</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This distinction underscores the OECD’s emphasis on prescriptive guidelines and the UN’s preference for flexibility, allowing developing countries to negotiate terms that suit their specific needs.</w:t>
      </w:r>
    </w:p>
    <w:p w:rsidR="00000000" w:rsidDel="00000000" w:rsidP="00000000" w:rsidRDefault="00000000" w:rsidRPr="00000000" w14:paraId="000000B1">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Article 29 (9): Principal Purpose Test (PPT)</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6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The text of the PPT is identical in both conventions, highlighting its role as a global standard for addressing treaty abuse.</w:t>
      </w:r>
    </w:p>
    <w:p w:rsidR="00000000" w:rsidDel="00000000" w:rsidP="00000000" w:rsidRDefault="00000000" w:rsidRPr="00000000" w14:paraId="000000B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pStyle w:val="Heading1"/>
        <w:jc w:val="both"/>
        <w:rPr/>
      </w:pPr>
      <w:bookmarkStart w:colFirst="0" w:colLast="0" w:name="_heading=h.2grqrue" w:id="20"/>
      <w:bookmarkEnd w:id="20"/>
      <w:r w:rsidDel="00000000" w:rsidR="00000000" w:rsidRPr="00000000">
        <w:rPr>
          <w:rtl w:val="0"/>
        </w:rPr>
        <w:t xml:space="preserve">F.4. ARTICLES 30, 31 AND 32: TERRITORIAL EXTENSION, ENTRY INTO FORCE AND TERMINATION</w:t>
      </w:r>
    </w:p>
    <w:p w:rsidR="00000000" w:rsidDel="00000000" w:rsidP="00000000" w:rsidRDefault="00000000" w:rsidRPr="00000000" w14:paraId="000000C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Articles 30, 31, and 32 of the OECD Model Tax Convention, which serve as the basis for most DTCs, deal with the territorial extension, entry into force, and termination of these conventions. This discussion will examine these articles in detail, exploring their implications for the scope and application of DTCs.</w:t>
      </w:r>
    </w:p>
    <w:p w:rsidR="00000000" w:rsidDel="00000000" w:rsidP="00000000" w:rsidRDefault="00000000" w:rsidRPr="00000000" w14:paraId="000000C2">
      <w:pPr>
        <w:pStyle w:val="Heading2"/>
        <w:numPr>
          <w:ilvl w:val="0"/>
          <w:numId w:val="12"/>
        </w:numPr>
        <w:ind w:left="360" w:hanging="360"/>
        <w:jc w:val="both"/>
        <w:rPr>
          <w:rFonts w:ascii="Times New Roman" w:cs="Times New Roman" w:eastAsia="Times New Roman" w:hAnsi="Times New Roman"/>
          <w:sz w:val="27"/>
          <w:szCs w:val="27"/>
        </w:rPr>
      </w:pPr>
      <w:bookmarkStart w:colFirst="0" w:colLast="0" w:name="_heading=h.vx1227" w:id="21"/>
      <w:bookmarkEnd w:id="21"/>
      <w:r w:rsidDel="00000000" w:rsidR="00000000" w:rsidRPr="00000000">
        <w:rPr>
          <w:rFonts w:ascii="Times New Roman" w:cs="Times New Roman" w:eastAsia="Times New Roman" w:hAnsi="Times New Roman"/>
          <w:sz w:val="27"/>
          <w:szCs w:val="27"/>
          <w:rtl w:val="0"/>
        </w:rPr>
        <w:t xml:space="preserve">Article 30 OECD: Territorial Extension</w:t>
      </w:r>
    </w:p>
    <w:p w:rsidR="00000000" w:rsidDel="00000000" w:rsidP="00000000" w:rsidRDefault="00000000" w:rsidRPr="00000000" w14:paraId="000000C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Article 30 provides the framework for extending the application of a DTC to territories for which one of the contracting states is responsible. The primary purpose of this article is to ensure that the benefits and obligations of a DTC can be applied to territories beyond the mainland of the contracting states, such as overseas territories, dependencies, or autonomous regions.</w:t>
      </w:r>
    </w:p>
    <w:p w:rsidR="00000000" w:rsidDel="00000000" w:rsidP="00000000" w:rsidRDefault="00000000" w:rsidRPr="00000000" w14:paraId="000000C4">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Scope and Application</w:t>
      </w: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The extension of a DTC under Article 30 is subject to mutual agreement between the contracting states. This agreement must be formalized through an exchange of diplomatic notes or another form of mutual consent. The extension is not automatic; it requires an explicit decision by the contracting states to apply the convention to additional territories.</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Example:</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Consider a DTC between Country A and Country B. Country A has an overseas territory, Territory X. If both Country A and Country B agree, the DTC can be extended to include Territory X, thereby allowing residents and entities in Territory X to benefit from the provisions of the DTC.</w:t>
      </w:r>
    </w:p>
    <w:p w:rsidR="00000000" w:rsidDel="00000000" w:rsidP="00000000" w:rsidRDefault="00000000" w:rsidRPr="00000000" w14:paraId="000000C7">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Legal Implications</w:t>
      </w:r>
    </w:p>
    <w:p w:rsidR="00000000" w:rsidDel="00000000" w:rsidP="00000000" w:rsidRDefault="00000000" w:rsidRPr="00000000" w14:paraId="000000C8">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160" w:before="0" w:line="259" w:lineRule="auto"/>
        <w:ind w:left="720" w:right="0" w:hanging="720"/>
        <w:jc w:val="both"/>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Uniformity of Tax Treatment</w:t>
      </w:r>
      <w:r w:rsidDel="00000000" w:rsidR="00000000" w:rsidRPr="00000000">
        <w:rPr>
          <w:rFonts w:ascii="Times New Roman" w:cs="Times New Roman" w:eastAsia="Times New Roman" w:hAnsi="Times New Roman"/>
          <w:i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C9">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extending the DTC to additional territories, the contracting states ensure uniform tax treatment for residents and businesses operating within those territories. This helps in reducing tax-related uncertainties and promotes economic stability.</w:t>
      </w:r>
    </w:p>
    <w:p w:rsidR="00000000" w:rsidDel="00000000" w:rsidP="00000000" w:rsidRDefault="00000000" w:rsidRPr="00000000" w14:paraId="000000CA">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160" w:before="0" w:line="259" w:lineRule="auto"/>
        <w:ind w:left="720" w:right="0" w:hanging="720"/>
        <w:jc w:val="both"/>
        <w:rPr>
          <w:rFonts w:ascii="Times New Roman" w:cs="Times New Roman" w:eastAsia="Times New Roman" w:hAnsi="Times New Roman"/>
          <w:i w:val="1"/>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Administrative Coordination: </w:t>
      </w:r>
    </w:p>
    <w:p w:rsidR="00000000" w:rsidDel="00000000" w:rsidP="00000000" w:rsidRDefault="00000000" w:rsidRPr="00000000" w14:paraId="000000CB">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extension requires administrative coordination between the tax authorities of the contracting states and the territories involved. This coordination is essential to implement the provisions of the DTC effectively.</w:t>
      </w:r>
    </w:p>
    <w:p w:rsidR="00000000" w:rsidDel="00000000" w:rsidP="00000000" w:rsidRDefault="00000000" w:rsidRPr="00000000" w14:paraId="000000CC">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160" w:before="0" w:line="259" w:lineRule="auto"/>
        <w:ind w:left="720" w:right="0" w:hanging="720"/>
        <w:jc w:val="both"/>
        <w:rPr>
          <w:rFonts w:ascii="Times New Roman" w:cs="Times New Roman" w:eastAsia="Times New Roman" w:hAnsi="Times New Roman"/>
          <w:i w:val="1"/>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Legislative Adjustments</w:t>
      </w:r>
    </w:p>
    <w:p w:rsidR="00000000" w:rsidDel="00000000" w:rsidP="00000000" w:rsidRDefault="00000000" w:rsidRPr="00000000" w14:paraId="000000CD">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legal systems of the territories may need adjustments to align with the provisions of the DTC. This could involve amendments to local tax laws and regulations.</w:t>
      </w:r>
    </w:p>
    <w:p w:rsidR="00000000" w:rsidDel="00000000" w:rsidP="00000000" w:rsidRDefault="00000000" w:rsidRPr="00000000" w14:paraId="000000CE">
      <w:pPr>
        <w:pStyle w:val="Heading2"/>
        <w:numPr>
          <w:ilvl w:val="0"/>
          <w:numId w:val="12"/>
        </w:numPr>
        <w:ind w:left="360" w:hanging="360"/>
        <w:jc w:val="both"/>
        <w:rPr>
          <w:rFonts w:ascii="Times New Roman" w:cs="Times New Roman" w:eastAsia="Times New Roman" w:hAnsi="Times New Roman"/>
          <w:sz w:val="27"/>
          <w:szCs w:val="27"/>
        </w:rPr>
      </w:pPr>
      <w:bookmarkStart w:colFirst="0" w:colLast="0" w:name="_heading=h.3fwokq0" w:id="22"/>
      <w:bookmarkEnd w:id="22"/>
      <w:r w:rsidDel="00000000" w:rsidR="00000000" w:rsidRPr="00000000">
        <w:rPr>
          <w:rFonts w:ascii="Times New Roman" w:cs="Times New Roman" w:eastAsia="Times New Roman" w:hAnsi="Times New Roman"/>
          <w:sz w:val="27"/>
          <w:szCs w:val="27"/>
          <w:rtl w:val="0"/>
        </w:rPr>
        <w:t xml:space="preserve">Article 31 OECD MTC / 30 UN MTC: Entry into Force</w:t>
      </w:r>
    </w:p>
    <w:p w:rsidR="00000000" w:rsidDel="00000000" w:rsidP="00000000" w:rsidRDefault="00000000" w:rsidRPr="00000000" w14:paraId="000000C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Article specifies the procedures for a DTC to enter into force. The entry into force of a DTC marks the point at which its provisions become legally binding on the contracting states.</w:t>
      </w:r>
    </w:p>
    <w:p w:rsidR="00000000" w:rsidDel="00000000" w:rsidP="00000000" w:rsidRDefault="00000000" w:rsidRPr="00000000" w14:paraId="000000D0">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Procedures and Conditions</w:t>
      </w: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The article typically outlines the following steps for a DTC to enter into force:</w:t>
      </w:r>
    </w:p>
    <w:p w:rsidR="00000000" w:rsidDel="00000000" w:rsidP="00000000" w:rsidRDefault="00000000" w:rsidRPr="00000000" w14:paraId="000000D2">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160" w:before="0" w:line="259" w:lineRule="auto"/>
        <w:ind w:left="720" w:right="0" w:hanging="720"/>
        <w:jc w:val="both"/>
        <w:rPr>
          <w:rFonts w:ascii="Times New Roman" w:cs="Times New Roman" w:eastAsia="Times New Roman" w:hAnsi="Times New Roman"/>
          <w:b w:val="0"/>
          <w:i w:val="1"/>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Ratification</w:t>
      </w:r>
      <w:r w:rsidDel="00000000" w:rsidR="00000000" w:rsidRPr="00000000">
        <w:rPr>
          <w:rtl w:val="0"/>
        </w:rPr>
      </w:r>
    </w:p>
    <w:p w:rsidR="00000000" w:rsidDel="00000000" w:rsidP="00000000" w:rsidRDefault="00000000" w:rsidRPr="00000000" w14:paraId="000000D3">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signing the DTC, each contracting state must ratify it according to its domestic legal procedures. Ratification often involves approval by the legislature or a similar authoritative body.</w:t>
      </w:r>
    </w:p>
    <w:p w:rsidR="00000000" w:rsidDel="00000000" w:rsidP="00000000" w:rsidRDefault="00000000" w:rsidRPr="00000000" w14:paraId="000000D4">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160" w:before="0" w:line="259" w:lineRule="auto"/>
        <w:ind w:left="720" w:right="0" w:hanging="720"/>
        <w:jc w:val="both"/>
        <w:rPr>
          <w:rFonts w:ascii="Times New Roman" w:cs="Times New Roman" w:eastAsia="Times New Roman" w:hAnsi="Times New Roman"/>
          <w:b w:val="0"/>
          <w:i w:val="1"/>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Exchange of Instruments</w:t>
      </w:r>
      <w:r w:rsidDel="00000000" w:rsidR="00000000" w:rsidRPr="00000000">
        <w:rPr>
          <w:rtl w:val="0"/>
        </w:rPr>
      </w:r>
    </w:p>
    <w:p w:rsidR="00000000" w:rsidDel="00000000" w:rsidP="00000000" w:rsidRDefault="00000000" w:rsidRPr="00000000" w14:paraId="000000D5">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ratification is complete, the contracting states exchange instruments of ratification. This exchange formalizes their consent to be bound by the DTC.</w:t>
      </w:r>
    </w:p>
    <w:p w:rsidR="00000000" w:rsidDel="00000000" w:rsidP="00000000" w:rsidRDefault="00000000" w:rsidRPr="00000000" w14:paraId="000000D6">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160" w:before="0" w:line="259" w:lineRule="auto"/>
        <w:ind w:left="720" w:right="0" w:hanging="720"/>
        <w:jc w:val="both"/>
        <w:rPr>
          <w:rFonts w:ascii="Times New Roman" w:cs="Times New Roman" w:eastAsia="Times New Roman" w:hAnsi="Times New Roman"/>
          <w:i w:val="1"/>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Effective Date: </w:t>
      </w:r>
    </w:p>
    <w:p w:rsidR="00000000" w:rsidDel="00000000" w:rsidP="00000000" w:rsidRDefault="00000000" w:rsidRPr="00000000" w14:paraId="000000D7">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DTC enters into force on the date specified in the agreement, often after the exchange of instruments. The effective date is crucial as it determines when the provisions of the DTC apply.</w:t>
      </w:r>
    </w:p>
    <w:p w:rsidR="00000000" w:rsidDel="00000000" w:rsidP="00000000" w:rsidRDefault="00000000" w:rsidRPr="00000000" w14:paraId="000000D8">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Example</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If a DTC between Country A and Country B specifies that it will enter into force on the first day of the month following the exchange of instruments of ratification, and the instruments are exchanged on June 15, the DTC would enter into force on July 1.</w:t>
      </w: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Legal Implications</w:t>
      </w:r>
    </w:p>
    <w:p w:rsidR="00000000" w:rsidDel="00000000" w:rsidP="00000000" w:rsidRDefault="00000000" w:rsidRPr="00000000" w14:paraId="000000DB">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160" w:before="0" w:line="259" w:lineRule="auto"/>
        <w:ind w:left="720" w:right="0" w:hanging="720"/>
        <w:jc w:val="both"/>
        <w:rPr>
          <w:b w:val="0"/>
          <w:i w:val="1"/>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Binding Nature</w:t>
      </w:r>
      <w:r w:rsidDel="00000000" w:rsidR="00000000" w:rsidRPr="00000000">
        <w:rPr>
          <w:rtl w:val="0"/>
        </w:rPr>
      </w:r>
    </w:p>
    <w:p w:rsidR="00000000" w:rsidDel="00000000" w:rsidP="00000000" w:rsidRDefault="00000000" w:rsidRPr="00000000" w14:paraId="000000DC">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the DTC enters into force, its provisions become legally binding on the contracting states. This creates legal obligations for both states to comply with the terms of the agreement.</w:t>
      </w:r>
    </w:p>
    <w:p w:rsidR="00000000" w:rsidDel="00000000" w:rsidP="00000000" w:rsidRDefault="00000000" w:rsidRPr="00000000" w14:paraId="000000DD">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160" w:before="0" w:line="259" w:lineRule="auto"/>
        <w:ind w:left="720" w:right="0" w:hanging="720"/>
        <w:jc w:val="both"/>
        <w:rPr>
          <w:b w:val="0"/>
          <w:i w:val="1"/>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Transitional Provisions</w:t>
      </w:r>
      <w:r w:rsidDel="00000000" w:rsidR="00000000" w:rsidRPr="00000000">
        <w:rPr>
          <w:rtl w:val="0"/>
        </w:rPr>
      </w:r>
    </w:p>
    <w:p w:rsidR="00000000" w:rsidDel="00000000" w:rsidP="00000000" w:rsidRDefault="00000000" w:rsidRPr="00000000" w14:paraId="000000DE">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entry into force may include transitional provisions to manage the transition from existing tax arrangements to the new DTC. These provisions help in smoothing the implementation process.</w:t>
      </w:r>
    </w:p>
    <w:p w:rsidR="00000000" w:rsidDel="00000000" w:rsidP="00000000" w:rsidRDefault="00000000" w:rsidRPr="00000000" w14:paraId="000000DF">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160" w:before="0" w:line="259" w:lineRule="auto"/>
        <w:ind w:left="720" w:right="0" w:hanging="720"/>
        <w:jc w:val="both"/>
        <w:rPr>
          <w:i w:val="1"/>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Tax Planning</w:t>
      </w:r>
    </w:p>
    <w:p w:rsidR="00000000" w:rsidDel="00000000" w:rsidP="00000000" w:rsidRDefault="00000000" w:rsidRPr="00000000" w14:paraId="000000E0">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Taxpayers and businesses must be aware of the entry into force date to adjust their tax planning strategies accordingly. Misunderstanding the effective date could lead to non-compliance or missed benefits.</w:t>
      </w:r>
    </w:p>
    <w:p w:rsidR="00000000" w:rsidDel="00000000" w:rsidP="00000000" w:rsidRDefault="00000000" w:rsidRPr="00000000" w14:paraId="000000E1">
      <w:pPr>
        <w:pStyle w:val="Heading2"/>
        <w:numPr>
          <w:ilvl w:val="0"/>
          <w:numId w:val="13"/>
        </w:numPr>
        <w:ind w:left="540" w:hanging="540"/>
        <w:jc w:val="both"/>
        <w:rPr>
          <w:sz w:val="27"/>
          <w:szCs w:val="27"/>
        </w:rPr>
      </w:pPr>
      <w:bookmarkStart w:colFirst="0" w:colLast="0" w:name="_heading=h.1v1yuxt" w:id="23"/>
      <w:bookmarkEnd w:id="23"/>
      <w:r w:rsidDel="00000000" w:rsidR="00000000" w:rsidRPr="00000000">
        <w:rPr>
          <w:rFonts w:ascii="Times New Roman" w:cs="Times New Roman" w:eastAsia="Times New Roman" w:hAnsi="Times New Roman"/>
          <w:sz w:val="27"/>
          <w:szCs w:val="27"/>
          <w:rtl w:val="0"/>
        </w:rPr>
        <w:t xml:space="preserve">Article 32 OECD MTC / 31 UN MTC: Termination</w:t>
      </w:r>
    </w:p>
    <w:p w:rsidR="00000000" w:rsidDel="00000000" w:rsidP="00000000" w:rsidRDefault="00000000" w:rsidRPr="00000000" w14:paraId="000000E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Article outlines the procedures for terminating a DTC. Termination ends the legal effects of the DTC and releases the contracting states from their obligations under the agreement.</w:t>
      </w:r>
    </w:p>
    <w:p w:rsidR="00000000" w:rsidDel="00000000" w:rsidP="00000000" w:rsidRDefault="00000000" w:rsidRPr="00000000" w14:paraId="000000E3">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160" w:before="0" w:line="259" w:lineRule="auto"/>
        <w:ind w:left="540" w:right="0" w:hanging="540"/>
        <w:jc w:val="both"/>
        <w:rPr>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Procedures and Conditions</w:t>
      </w:r>
      <w:r w:rsidDel="00000000" w:rsidR="00000000" w:rsidRPr="00000000">
        <w:rPr>
          <w:rtl w:val="0"/>
        </w:rPr>
      </w:r>
    </w:p>
    <w:p w:rsidR="00000000" w:rsidDel="00000000" w:rsidP="00000000" w:rsidRDefault="00000000" w:rsidRPr="00000000" w14:paraId="000000E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article typically specifies the following steps for terminating a DTC:</w:t>
      </w:r>
    </w:p>
    <w:p w:rsidR="00000000" w:rsidDel="00000000" w:rsidP="00000000" w:rsidRDefault="00000000" w:rsidRPr="00000000" w14:paraId="000000E5">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160" w:before="0" w:line="259" w:lineRule="auto"/>
        <w:ind w:left="720" w:right="0" w:hanging="720"/>
        <w:jc w:val="both"/>
        <w:rPr>
          <w:b w:val="0"/>
          <w:i w:val="1"/>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Notice of Termination</w:t>
      </w:r>
      <w:r w:rsidDel="00000000" w:rsidR="00000000" w:rsidRPr="00000000">
        <w:rPr>
          <w:rtl w:val="0"/>
        </w:rPr>
      </w:r>
    </w:p>
    <w:p w:rsidR="00000000" w:rsidDel="00000000" w:rsidP="00000000" w:rsidRDefault="00000000" w:rsidRPr="00000000" w14:paraId="000000E6">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Either contracting state can initiate termination by providing written notice to the other state. The notice period is usually specified in the DTC and can range from six months to a year.</w:t>
      </w:r>
    </w:p>
    <w:p w:rsidR="00000000" w:rsidDel="00000000" w:rsidP="00000000" w:rsidRDefault="00000000" w:rsidRPr="00000000" w14:paraId="000000E7">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59" w:lineRule="auto"/>
        <w:ind w:left="720" w:right="0" w:hanging="720"/>
        <w:jc w:val="both"/>
        <w:rPr>
          <w:b w:val="0"/>
          <w:i w:val="1"/>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Effective Date of Termination</w:t>
      </w: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The DTC will specify the date on which termination becomes effective, often at the end of a calendar year following the notice period.</w:t>
      </w:r>
    </w:p>
    <w:p w:rsidR="00000000" w:rsidDel="00000000" w:rsidP="00000000" w:rsidRDefault="00000000" w:rsidRPr="00000000" w14:paraId="000000E9">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59" w:lineRule="auto"/>
        <w:ind w:left="540" w:right="0" w:hanging="540"/>
        <w:jc w:val="both"/>
        <w:rPr>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Example</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54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If a DTC between Country A and Country B requires a six-month notice period and Country A provides notice of termination on July 1, the DTC would terminate on December 31 of the same year.</w:t>
      </w: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59" w:lineRule="auto"/>
        <w:ind w:left="540" w:right="0" w:hanging="540"/>
        <w:jc w:val="both"/>
        <w:rPr>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Legal Implications</w:t>
      </w:r>
    </w:p>
    <w:p w:rsidR="00000000" w:rsidDel="00000000" w:rsidP="00000000" w:rsidRDefault="00000000" w:rsidRPr="00000000" w14:paraId="000000EC">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59" w:lineRule="auto"/>
        <w:ind w:left="720" w:right="0" w:hanging="720"/>
        <w:jc w:val="both"/>
        <w:rPr>
          <w:b w:val="0"/>
          <w:i w:val="1"/>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End of Benefits and Obligations</w:t>
      </w:r>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Termination ends the benefits and obligations under the DTC. Taxpayers and businesses must revert to the default tax rules applicable in each contracting state, which may result in higher tax liabilities or reduced tax reliefs.</w:t>
      </w: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59" w:lineRule="auto"/>
        <w:ind w:left="720" w:right="0" w:hanging="720"/>
        <w:jc w:val="both"/>
        <w:rPr>
          <w:i w:val="1"/>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Transitional Arrangements</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The DTC may include transitional arrangements to manage the transition from the DTC regime to the domestic tax regime. These arrangements are crucial for ensuring a smooth transition for taxpayers.</w:t>
      </w: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59" w:lineRule="auto"/>
        <w:ind w:left="720" w:right="0" w:hanging="720"/>
        <w:jc w:val="both"/>
        <w:rPr>
          <w:i w:val="1"/>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Impact on Investments </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The termination of a DTC can impact cross-border investments. Investors may reassess their investment strategies in light of the changed tax environment. The termination could lead to reduced investment flows between the contracting states.</w:t>
      </w:r>
      <w:r w:rsidDel="00000000" w:rsidR="00000000" w:rsidRPr="00000000">
        <w:rPr>
          <w:rtl w:val="0"/>
        </w:rPr>
      </w:r>
    </w:p>
    <w:sectPr>
      <w:type w:val="nextPage"/>
      <w:pgSz w:h="16838" w:w="11906"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2">
    <w:pPr>
      <w:pBdr>
        <w:top w:color="d9d9d9" w:space="1" w:sz="4" w:val="single"/>
        <w:left w:space="0" w:sz="0" w:val="nil"/>
        <w:bottom w:space="0" w:sz="0" w:val="nil"/>
        <w:right w:space="0" w:sz="0" w:val="nil"/>
        <w:between w:space="0" w:sz="0" w:val="nil"/>
      </w:pBdr>
      <w:tabs>
        <w:tab w:val="center" w:leader="none" w:pos="4513"/>
        <w:tab w:val="right" w:leader="none" w:pos="9026"/>
      </w:tabs>
      <w:spacing w:after="0" w:line="240" w:lineRule="auto"/>
      <w:ind w:left="4127" w:firstLine="3793"/>
      <w:rPr>
        <w:b w:val="1"/>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b w:val="1"/>
        <w:color w:val="000000"/>
        <w:rtl w:val="0"/>
      </w:rPr>
      <w:t xml:space="preserve"> | </w:t>
    </w:r>
    <w:r w:rsidDel="00000000" w:rsidR="00000000" w:rsidRPr="00000000">
      <w:rPr>
        <w:color w:val="7f7f7f"/>
        <w:rtl w:val="0"/>
      </w:rPr>
      <w:t xml:space="preserve">Page</w:t>
    </w:r>
    <w:r w:rsidDel="00000000" w:rsidR="00000000" w:rsidRPr="00000000">
      <w:rPr>
        <w:rtl w:val="0"/>
      </w:rPr>
    </w:r>
  </w:p>
  <w:p w:rsidR="00000000" w:rsidDel="00000000" w:rsidP="00000000" w:rsidRDefault="00000000" w:rsidRPr="00000000" w14:paraId="000000F3">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decimal"/>
      <w:lvlText w:val="%1."/>
      <w:lvlJc w:val="left"/>
      <w:pPr>
        <w:ind w:left="360" w:hanging="360"/>
      </w:pPr>
      <w:rPr>
        <w:sz w:val="22"/>
        <w:szCs w:val="22"/>
      </w:rPr>
    </w:lvl>
    <w:lvl w:ilvl="1">
      <w:start w:val="1"/>
      <w:numFmt w:val="decimal"/>
      <w:lvlText w:val="%1.%2."/>
      <w:lvlJc w:val="left"/>
      <w:pPr>
        <w:ind w:left="720" w:hanging="720"/>
      </w:pPr>
      <w:rPr>
        <w:sz w:val="22"/>
        <w:szCs w:val="22"/>
      </w:rPr>
    </w:lvl>
    <w:lvl w:ilvl="2">
      <w:start w:val="1"/>
      <w:numFmt w:val="decimal"/>
      <w:lvlText w:val="%1.%2.%3."/>
      <w:lvlJc w:val="left"/>
      <w:pPr>
        <w:ind w:left="720" w:hanging="720"/>
      </w:pPr>
      <w:rPr>
        <w:sz w:val="22"/>
        <w:szCs w:val="22"/>
      </w:rPr>
    </w:lvl>
    <w:lvl w:ilvl="3">
      <w:start w:val="1"/>
      <w:numFmt w:val="decimal"/>
      <w:lvlText w:val="%1.%2.%3.%4."/>
      <w:lvlJc w:val="left"/>
      <w:pPr>
        <w:ind w:left="1080" w:hanging="1080"/>
      </w:pPr>
      <w:rPr>
        <w:sz w:val="22"/>
        <w:szCs w:val="22"/>
      </w:rPr>
    </w:lvl>
    <w:lvl w:ilvl="4">
      <w:start w:val="1"/>
      <w:numFmt w:val="decimal"/>
      <w:lvlText w:val="%1.%2.%3.%4.%5."/>
      <w:lvlJc w:val="left"/>
      <w:pPr>
        <w:ind w:left="1080" w:hanging="1080"/>
      </w:pPr>
      <w:rPr>
        <w:sz w:val="22"/>
        <w:szCs w:val="22"/>
      </w:rPr>
    </w:lvl>
    <w:lvl w:ilvl="5">
      <w:start w:val="1"/>
      <w:numFmt w:val="decimal"/>
      <w:lvlText w:val="%1.%2.%3.%4.%5.%6."/>
      <w:lvlJc w:val="left"/>
      <w:pPr>
        <w:ind w:left="1440" w:hanging="1440"/>
      </w:pPr>
      <w:rPr>
        <w:sz w:val="22"/>
        <w:szCs w:val="22"/>
      </w:rPr>
    </w:lvl>
    <w:lvl w:ilvl="6">
      <w:start w:val="1"/>
      <w:numFmt w:val="decimal"/>
      <w:lvlText w:val="%1.%2.%3.%4.%5.%6.%7."/>
      <w:lvlJc w:val="left"/>
      <w:pPr>
        <w:ind w:left="1440" w:hanging="1440"/>
      </w:pPr>
      <w:rPr>
        <w:sz w:val="22"/>
        <w:szCs w:val="22"/>
      </w:rPr>
    </w:lvl>
    <w:lvl w:ilvl="7">
      <w:start w:val="1"/>
      <w:numFmt w:val="decimal"/>
      <w:lvlText w:val="%1.%2.%3.%4.%5.%6.%7.%8."/>
      <w:lvlJc w:val="left"/>
      <w:pPr>
        <w:ind w:left="1800" w:hanging="1800"/>
      </w:pPr>
      <w:rPr>
        <w:sz w:val="22"/>
        <w:szCs w:val="22"/>
      </w:rPr>
    </w:lvl>
    <w:lvl w:ilvl="8">
      <w:start w:val="1"/>
      <w:numFmt w:val="decimal"/>
      <w:lvlText w:val="%1.%2.%3.%4.%5.%6.%7.%8.%9."/>
      <w:lvlJc w:val="left"/>
      <w:pPr>
        <w:ind w:left="2160" w:hanging="2160"/>
      </w:pPr>
      <w:rPr>
        <w:sz w:val="22"/>
        <w:szCs w:val="22"/>
      </w:rPr>
    </w:lvl>
  </w:abstractNum>
  <w:abstractNum w:abstractNumId="3">
    <w:lvl w:ilvl="0">
      <w:start w:val="2"/>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4">
    <w:lvl w:ilvl="0">
      <w:start w:val="3"/>
      <w:numFmt w:val="decimal"/>
      <w:lvlText w:val="%1."/>
      <w:lvlJc w:val="left"/>
      <w:pPr>
        <w:ind w:left="360" w:hanging="360"/>
      </w:pPr>
      <w:rPr>
        <w:b w:val="1"/>
      </w:rPr>
    </w:lvl>
    <w:lvl w:ilvl="1">
      <w:start w:val="1"/>
      <w:numFmt w:val="decimal"/>
      <w:lvlText w:val="%1.%2."/>
      <w:lvlJc w:val="left"/>
      <w:pPr>
        <w:ind w:left="360" w:hanging="360"/>
      </w:pPr>
      <w:rPr>
        <w:b w:val="1"/>
      </w:rPr>
    </w:lvl>
    <w:lvl w:ilvl="2">
      <w:start w:val="1"/>
      <w:numFmt w:val="decimal"/>
      <w:lvlText w:val="%1.%2.%3."/>
      <w:lvlJc w:val="left"/>
      <w:pPr>
        <w:ind w:left="720" w:hanging="720"/>
      </w:pPr>
      <w:rPr>
        <w:b w:val="1"/>
      </w:rPr>
    </w:lvl>
    <w:lvl w:ilvl="3">
      <w:start w:val="1"/>
      <w:numFmt w:val="decimal"/>
      <w:lvlText w:val="%1.%2.%3.%4."/>
      <w:lvlJc w:val="left"/>
      <w:pPr>
        <w:ind w:left="720" w:hanging="720"/>
      </w:pPr>
      <w:rPr>
        <w:b w:val="1"/>
      </w:rPr>
    </w:lvl>
    <w:lvl w:ilvl="4">
      <w:start w:val="1"/>
      <w:numFmt w:val="decimal"/>
      <w:lvlText w:val="%1.%2.%3.%4.%5."/>
      <w:lvlJc w:val="left"/>
      <w:pPr>
        <w:ind w:left="1080" w:hanging="1080"/>
      </w:pPr>
      <w:rPr>
        <w:b w:val="1"/>
      </w:rPr>
    </w:lvl>
    <w:lvl w:ilvl="5">
      <w:start w:val="1"/>
      <w:numFmt w:val="decimal"/>
      <w:lvlText w:val="%1.%2.%3.%4.%5.%6."/>
      <w:lvlJc w:val="left"/>
      <w:pPr>
        <w:ind w:left="1080" w:hanging="1080"/>
      </w:pPr>
      <w:rPr>
        <w:b w:val="1"/>
      </w:rPr>
    </w:lvl>
    <w:lvl w:ilvl="6">
      <w:start w:val="1"/>
      <w:numFmt w:val="decimal"/>
      <w:lvlText w:val="%1.%2.%3.%4.%5.%6.%7."/>
      <w:lvlJc w:val="left"/>
      <w:pPr>
        <w:ind w:left="1440" w:hanging="1440"/>
      </w:pPr>
      <w:rPr>
        <w:b w:val="1"/>
      </w:rPr>
    </w:lvl>
    <w:lvl w:ilvl="7">
      <w:start w:val="1"/>
      <w:numFmt w:val="decimal"/>
      <w:lvlText w:val="%1.%2.%3.%4.%5.%6.%7.%8."/>
      <w:lvlJc w:val="left"/>
      <w:pPr>
        <w:ind w:left="1440" w:hanging="1440"/>
      </w:pPr>
      <w:rPr>
        <w:b w:val="1"/>
      </w:rPr>
    </w:lvl>
    <w:lvl w:ilvl="8">
      <w:start w:val="1"/>
      <w:numFmt w:val="decimal"/>
      <w:lvlText w:val="%1.%2.%3.%4.%5.%6.%7.%8.%9."/>
      <w:lvlJc w:val="left"/>
      <w:pPr>
        <w:ind w:left="1800" w:hanging="1800"/>
      </w:pPr>
      <w:rPr>
        <w:b w:val="1"/>
      </w:rPr>
    </w:lvl>
  </w:abstractNum>
  <w:abstractNum w:abstractNumId="5">
    <w:lvl w:ilvl="0">
      <w:start w:val="4"/>
      <w:numFmt w:val="decimal"/>
      <w:lvlText w:val="%1."/>
      <w:lvlJc w:val="left"/>
      <w:pPr>
        <w:ind w:left="360" w:hanging="360"/>
      </w:pPr>
      <w:rPr>
        <w:b w:val="1"/>
      </w:rPr>
    </w:lvl>
    <w:lvl w:ilvl="1">
      <w:start w:val="1"/>
      <w:numFmt w:val="decimal"/>
      <w:lvlText w:val="%1.%2."/>
      <w:lvlJc w:val="left"/>
      <w:pPr>
        <w:ind w:left="360" w:hanging="360"/>
      </w:pPr>
      <w:rPr>
        <w:b w:val="1"/>
      </w:rPr>
    </w:lvl>
    <w:lvl w:ilvl="2">
      <w:start w:val="1"/>
      <w:numFmt w:val="decimal"/>
      <w:lvlText w:val="%1.%2.%3."/>
      <w:lvlJc w:val="left"/>
      <w:pPr>
        <w:ind w:left="720" w:hanging="720"/>
      </w:pPr>
      <w:rPr>
        <w:b w:val="1"/>
      </w:rPr>
    </w:lvl>
    <w:lvl w:ilvl="3">
      <w:start w:val="1"/>
      <w:numFmt w:val="decimal"/>
      <w:lvlText w:val="%1.%2.%3.%4."/>
      <w:lvlJc w:val="left"/>
      <w:pPr>
        <w:ind w:left="720" w:hanging="720"/>
      </w:pPr>
      <w:rPr>
        <w:b w:val="1"/>
      </w:rPr>
    </w:lvl>
    <w:lvl w:ilvl="4">
      <w:start w:val="1"/>
      <w:numFmt w:val="decimal"/>
      <w:lvlText w:val="%1.%2.%3.%4.%5."/>
      <w:lvlJc w:val="left"/>
      <w:pPr>
        <w:ind w:left="1080" w:hanging="1080"/>
      </w:pPr>
      <w:rPr>
        <w:b w:val="1"/>
      </w:rPr>
    </w:lvl>
    <w:lvl w:ilvl="5">
      <w:start w:val="1"/>
      <w:numFmt w:val="decimal"/>
      <w:lvlText w:val="%1.%2.%3.%4.%5.%6."/>
      <w:lvlJc w:val="left"/>
      <w:pPr>
        <w:ind w:left="1080" w:hanging="1080"/>
      </w:pPr>
      <w:rPr>
        <w:b w:val="1"/>
      </w:rPr>
    </w:lvl>
    <w:lvl w:ilvl="6">
      <w:start w:val="1"/>
      <w:numFmt w:val="decimal"/>
      <w:lvlText w:val="%1.%2.%3.%4.%5.%6.%7."/>
      <w:lvlJc w:val="left"/>
      <w:pPr>
        <w:ind w:left="1440" w:hanging="1440"/>
      </w:pPr>
      <w:rPr>
        <w:b w:val="1"/>
      </w:rPr>
    </w:lvl>
    <w:lvl w:ilvl="7">
      <w:start w:val="1"/>
      <w:numFmt w:val="decimal"/>
      <w:lvlText w:val="%1.%2.%3.%4.%5.%6.%7.%8."/>
      <w:lvlJc w:val="left"/>
      <w:pPr>
        <w:ind w:left="1440" w:hanging="1440"/>
      </w:pPr>
      <w:rPr>
        <w:b w:val="1"/>
      </w:rPr>
    </w:lvl>
    <w:lvl w:ilvl="8">
      <w:start w:val="1"/>
      <w:numFmt w:val="decimal"/>
      <w:lvlText w:val="%1.%2.%3.%4.%5.%6.%7.%8.%9."/>
      <w:lvlJc w:val="left"/>
      <w:pPr>
        <w:ind w:left="1800" w:hanging="1800"/>
      </w:pPr>
      <w:rPr>
        <w:b w:val="1"/>
      </w:rPr>
    </w:lvl>
  </w:abstractNum>
  <w:abstractNum w:abstractNumId="6">
    <w:lvl w:ilvl="0">
      <w:start w:val="1"/>
      <w:numFmt w:val="decimal"/>
      <w:lvlText w:val="%1."/>
      <w:lvlJc w:val="left"/>
      <w:pPr>
        <w:ind w:left="360" w:hanging="360"/>
      </w:pPr>
      <w:rPr/>
    </w:lvl>
    <w:lvl w:ilvl="1">
      <w:start w:val="1"/>
      <w:numFmt w:val="decimal"/>
      <w:lvlText w:val="%1.%2."/>
      <w:lvlJc w:val="left"/>
      <w:pPr>
        <w:ind w:left="360" w:hanging="360"/>
      </w:pPr>
      <w:rPr>
        <w:b w:val="1"/>
      </w:rPr>
    </w:lvl>
    <w:lvl w:ilvl="2">
      <w:start w:val="1"/>
      <w:numFmt w:val="decimal"/>
      <w:lvlText w:val="%1.%2.%3."/>
      <w:lvlJc w:val="left"/>
      <w:pPr>
        <w:ind w:left="720" w:hanging="720"/>
      </w:pPr>
      <w:rPr>
        <w:b w:val="1"/>
      </w:rPr>
    </w:lvl>
    <w:lvl w:ilvl="3">
      <w:start w:val="1"/>
      <w:numFmt w:val="decimal"/>
      <w:lvlText w:val="%1.%2.%3.%4."/>
      <w:lvlJc w:val="left"/>
      <w:pPr>
        <w:ind w:left="720" w:hanging="720"/>
      </w:pPr>
      <w:rPr>
        <w:b w:val="1"/>
      </w:rPr>
    </w:lvl>
    <w:lvl w:ilvl="4">
      <w:start w:val="1"/>
      <w:numFmt w:val="decimal"/>
      <w:lvlText w:val="%1.%2.%3.%4.%5."/>
      <w:lvlJc w:val="left"/>
      <w:pPr>
        <w:ind w:left="1080" w:hanging="1080"/>
      </w:pPr>
      <w:rPr>
        <w:b w:val="1"/>
      </w:rPr>
    </w:lvl>
    <w:lvl w:ilvl="5">
      <w:start w:val="1"/>
      <w:numFmt w:val="decimal"/>
      <w:lvlText w:val="%1.%2.%3.%4.%5.%6."/>
      <w:lvlJc w:val="left"/>
      <w:pPr>
        <w:ind w:left="1080" w:hanging="1080"/>
      </w:pPr>
      <w:rPr>
        <w:b w:val="1"/>
      </w:rPr>
    </w:lvl>
    <w:lvl w:ilvl="6">
      <w:start w:val="1"/>
      <w:numFmt w:val="decimal"/>
      <w:lvlText w:val="%1.%2.%3.%4.%5.%6.%7."/>
      <w:lvlJc w:val="left"/>
      <w:pPr>
        <w:ind w:left="1440" w:hanging="1440"/>
      </w:pPr>
      <w:rPr>
        <w:b w:val="1"/>
      </w:rPr>
    </w:lvl>
    <w:lvl w:ilvl="7">
      <w:start w:val="1"/>
      <w:numFmt w:val="decimal"/>
      <w:lvlText w:val="%1.%2.%3.%4.%5.%6.%7.%8."/>
      <w:lvlJc w:val="left"/>
      <w:pPr>
        <w:ind w:left="1440" w:hanging="1440"/>
      </w:pPr>
      <w:rPr>
        <w:b w:val="1"/>
      </w:rPr>
    </w:lvl>
    <w:lvl w:ilvl="8">
      <w:start w:val="1"/>
      <w:numFmt w:val="decimal"/>
      <w:lvlText w:val="%1.%2.%3.%4.%5.%6.%7.%8.%9."/>
      <w:lvlJc w:val="left"/>
      <w:pPr>
        <w:ind w:left="1800" w:hanging="1800"/>
      </w:pPr>
      <w:rPr>
        <w:b w:val="1"/>
      </w:rPr>
    </w:lvl>
  </w:abstractNum>
  <w:abstractNum w:abstractNumId="7">
    <w:lvl w:ilvl="0">
      <w:start w:val="1"/>
      <w:numFmt w:val="decimal"/>
      <w:lvlText w:val="%1."/>
      <w:lvlJc w:val="left"/>
      <w:pPr>
        <w:ind w:left="360" w:hanging="360"/>
      </w:pPr>
      <w:rPr/>
    </w:lvl>
    <w:lvl w:ilvl="1">
      <w:start w:val="1"/>
      <w:numFmt w:val="decimal"/>
      <w:lvlText w:val="%1.%2."/>
      <w:lvlJc w:val="left"/>
      <w:pPr>
        <w:ind w:left="360" w:hanging="360"/>
      </w:pPr>
      <w:rPr>
        <w:rFonts w:ascii="Times New Roman" w:cs="Times New Roman" w:eastAsia="Times New Roman" w:hAnsi="Times New Roman"/>
        <w:b w:val="1"/>
      </w:rPr>
    </w:lvl>
    <w:lvl w:ilvl="2">
      <w:start w:val="1"/>
      <w:numFmt w:val="decimal"/>
      <w:lvlText w:val="%1.%2.%3."/>
      <w:lvlJc w:val="left"/>
      <w:pPr>
        <w:ind w:left="720" w:hanging="720"/>
      </w:pPr>
      <w:rPr>
        <w:rFonts w:ascii="Times New Roman" w:cs="Times New Roman" w:eastAsia="Times New Roman" w:hAnsi="Times New Roman"/>
        <w:b w:val="1"/>
      </w:rPr>
    </w:lvl>
    <w:lvl w:ilvl="3">
      <w:start w:val="1"/>
      <w:numFmt w:val="decimal"/>
      <w:lvlText w:val="%1.%2.%3.%4."/>
      <w:lvlJc w:val="left"/>
      <w:pPr>
        <w:ind w:left="720" w:hanging="720"/>
      </w:pPr>
      <w:rPr>
        <w:rFonts w:ascii="Times New Roman" w:cs="Times New Roman" w:eastAsia="Times New Roman" w:hAnsi="Times New Roman"/>
        <w:b w:val="1"/>
      </w:rPr>
    </w:lvl>
    <w:lvl w:ilvl="4">
      <w:start w:val="1"/>
      <w:numFmt w:val="decimal"/>
      <w:lvlText w:val="%1.%2.%3.%4.%5."/>
      <w:lvlJc w:val="left"/>
      <w:pPr>
        <w:ind w:left="1080" w:hanging="1080"/>
      </w:pPr>
      <w:rPr>
        <w:rFonts w:ascii="Times New Roman" w:cs="Times New Roman" w:eastAsia="Times New Roman" w:hAnsi="Times New Roman"/>
        <w:b w:val="1"/>
      </w:rPr>
    </w:lvl>
    <w:lvl w:ilvl="5">
      <w:start w:val="1"/>
      <w:numFmt w:val="decimal"/>
      <w:lvlText w:val="%1.%2.%3.%4.%5.%6."/>
      <w:lvlJc w:val="left"/>
      <w:pPr>
        <w:ind w:left="1080" w:hanging="1080"/>
      </w:pPr>
      <w:rPr>
        <w:rFonts w:ascii="Times New Roman" w:cs="Times New Roman" w:eastAsia="Times New Roman" w:hAnsi="Times New Roman"/>
        <w:b w:val="1"/>
      </w:rPr>
    </w:lvl>
    <w:lvl w:ilvl="6">
      <w:start w:val="1"/>
      <w:numFmt w:val="decimal"/>
      <w:lvlText w:val="%1.%2.%3.%4.%5.%6.%7."/>
      <w:lvlJc w:val="left"/>
      <w:pPr>
        <w:ind w:left="1440" w:hanging="1440"/>
      </w:pPr>
      <w:rPr>
        <w:rFonts w:ascii="Times New Roman" w:cs="Times New Roman" w:eastAsia="Times New Roman" w:hAnsi="Times New Roman"/>
        <w:b w:val="1"/>
      </w:rPr>
    </w:lvl>
    <w:lvl w:ilvl="7">
      <w:start w:val="1"/>
      <w:numFmt w:val="decimal"/>
      <w:lvlText w:val="%1.%2.%3.%4.%5.%6.%7.%8."/>
      <w:lvlJc w:val="left"/>
      <w:pPr>
        <w:ind w:left="1440" w:hanging="1440"/>
      </w:pPr>
      <w:rPr>
        <w:rFonts w:ascii="Times New Roman" w:cs="Times New Roman" w:eastAsia="Times New Roman" w:hAnsi="Times New Roman"/>
        <w:b w:val="1"/>
      </w:rPr>
    </w:lvl>
    <w:lvl w:ilvl="8">
      <w:start w:val="1"/>
      <w:numFmt w:val="decimal"/>
      <w:lvlText w:val="%1.%2.%3.%4.%5.%6.%7.%8.%9."/>
      <w:lvlJc w:val="left"/>
      <w:pPr>
        <w:ind w:left="1800" w:hanging="1800"/>
      </w:pPr>
      <w:rPr>
        <w:rFonts w:ascii="Times New Roman" w:cs="Times New Roman" w:eastAsia="Times New Roman" w:hAnsi="Times New Roman"/>
        <w:b w:val="1"/>
      </w:rPr>
    </w:lvl>
  </w:abstractNum>
  <w:abstractNum w:abstractNumId="8">
    <w:lvl w:ilvl="0">
      <w:start w:val="1"/>
      <w:numFmt w:val="decimal"/>
      <w:lvlText w:val="%1."/>
      <w:lvlJc w:val="left"/>
      <w:pPr>
        <w:ind w:left="360" w:hanging="360"/>
      </w:pPr>
      <w:rPr/>
    </w:lvl>
    <w:lvl w:ilvl="1">
      <w:start w:val="1"/>
      <w:numFmt w:val="decimal"/>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9">
    <w:lvl w:ilvl="0">
      <w:start w:val="4"/>
      <w:numFmt w:val="decimal"/>
      <w:lvlText w:val="%1."/>
      <w:lvlJc w:val="left"/>
      <w:pPr>
        <w:ind w:left="360" w:hanging="360"/>
      </w:pPr>
      <w:rPr>
        <w:b w:val="1"/>
      </w:rPr>
    </w:lvl>
    <w:lvl w:ilvl="1">
      <w:start w:val="1"/>
      <w:numFmt w:val="decimal"/>
      <w:lvlText w:val="%1.%2."/>
      <w:lvlJc w:val="left"/>
      <w:pPr>
        <w:ind w:left="360" w:hanging="360"/>
      </w:pPr>
      <w:rPr>
        <w:b w:val="1"/>
      </w:rPr>
    </w:lvl>
    <w:lvl w:ilvl="2">
      <w:start w:val="1"/>
      <w:numFmt w:val="decimal"/>
      <w:lvlText w:val="%1.%2.%3."/>
      <w:lvlJc w:val="left"/>
      <w:pPr>
        <w:ind w:left="720" w:hanging="720"/>
      </w:pPr>
      <w:rPr>
        <w:b w:val="1"/>
      </w:rPr>
    </w:lvl>
    <w:lvl w:ilvl="3">
      <w:start w:val="1"/>
      <w:numFmt w:val="decimal"/>
      <w:lvlText w:val="%1.%2.%3.%4."/>
      <w:lvlJc w:val="left"/>
      <w:pPr>
        <w:ind w:left="720" w:hanging="720"/>
      </w:pPr>
      <w:rPr>
        <w:b w:val="1"/>
      </w:rPr>
    </w:lvl>
    <w:lvl w:ilvl="4">
      <w:start w:val="1"/>
      <w:numFmt w:val="decimal"/>
      <w:lvlText w:val="%1.%2.%3.%4.%5."/>
      <w:lvlJc w:val="left"/>
      <w:pPr>
        <w:ind w:left="1080" w:hanging="1080"/>
      </w:pPr>
      <w:rPr>
        <w:b w:val="1"/>
      </w:rPr>
    </w:lvl>
    <w:lvl w:ilvl="5">
      <w:start w:val="1"/>
      <w:numFmt w:val="decimal"/>
      <w:lvlText w:val="%1.%2.%3.%4.%5.%6."/>
      <w:lvlJc w:val="left"/>
      <w:pPr>
        <w:ind w:left="1080" w:hanging="1080"/>
      </w:pPr>
      <w:rPr>
        <w:b w:val="1"/>
      </w:rPr>
    </w:lvl>
    <w:lvl w:ilvl="6">
      <w:start w:val="1"/>
      <w:numFmt w:val="decimal"/>
      <w:lvlText w:val="%1.%2.%3.%4.%5.%6.%7."/>
      <w:lvlJc w:val="left"/>
      <w:pPr>
        <w:ind w:left="1440" w:hanging="1440"/>
      </w:pPr>
      <w:rPr>
        <w:b w:val="1"/>
      </w:rPr>
    </w:lvl>
    <w:lvl w:ilvl="7">
      <w:start w:val="1"/>
      <w:numFmt w:val="decimal"/>
      <w:lvlText w:val="%1.%2.%3.%4.%5.%6.%7.%8."/>
      <w:lvlJc w:val="left"/>
      <w:pPr>
        <w:ind w:left="1440" w:hanging="1440"/>
      </w:pPr>
      <w:rPr>
        <w:b w:val="1"/>
      </w:rPr>
    </w:lvl>
    <w:lvl w:ilvl="8">
      <w:start w:val="1"/>
      <w:numFmt w:val="decimal"/>
      <w:lvlText w:val="%1.%2.%3.%4.%5.%6.%7.%8.%9."/>
      <w:lvlJc w:val="left"/>
      <w:pPr>
        <w:ind w:left="1800" w:hanging="1800"/>
      </w:pPr>
      <w:rPr>
        <w:b w:val="1"/>
      </w:rPr>
    </w:lvl>
  </w:abstractNum>
  <w:abstractNum w:abstractNumId="10">
    <w:lvl w:ilvl="0">
      <w:start w:val="5"/>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11">
    <w:lvl w:ilvl="0">
      <w:start w:val="7"/>
      <w:numFmt w:val="decimal"/>
      <w:lvlText w:val="%1."/>
      <w:lvlJc w:val="left"/>
      <w:pPr>
        <w:ind w:left="360" w:hanging="360"/>
      </w:pPr>
      <w:rPr>
        <w:b w:val="1"/>
        <w:sz w:val="24"/>
        <w:szCs w:val="24"/>
      </w:rPr>
    </w:lvl>
    <w:lvl w:ilvl="1">
      <w:start w:val="1"/>
      <w:numFmt w:val="decimal"/>
      <w:lvlText w:val="%1.%2."/>
      <w:lvlJc w:val="left"/>
      <w:pPr>
        <w:ind w:left="360" w:hanging="360"/>
      </w:pPr>
      <w:rPr>
        <w:b w:val="1"/>
        <w:sz w:val="24"/>
        <w:szCs w:val="24"/>
      </w:rPr>
    </w:lvl>
    <w:lvl w:ilvl="2">
      <w:start w:val="1"/>
      <w:numFmt w:val="decimal"/>
      <w:lvlText w:val="%1.%2.%3."/>
      <w:lvlJc w:val="left"/>
      <w:pPr>
        <w:ind w:left="720" w:hanging="720"/>
      </w:pPr>
      <w:rPr>
        <w:b w:val="1"/>
        <w:sz w:val="24"/>
        <w:szCs w:val="24"/>
      </w:rPr>
    </w:lvl>
    <w:lvl w:ilvl="3">
      <w:start w:val="1"/>
      <w:numFmt w:val="decimal"/>
      <w:lvlText w:val="%1.%2.%3.%4."/>
      <w:lvlJc w:val="left"/>
      <w:pPr>
        <w:ind w:left="720" w:hanging="720"/>
      </w:pPr>
      <w:rPr>
        <w:b w:val="1"/>
        <w:sz w:val="24"/>
        <w:szCs w:val="24"/>
      </w:rPr>
    </w:lvl>
    <w:lvl w:ilvl="4">
      <w:start w:val="1"/>
      <w:numFmt w:val="decimal"/>
      <w:lvlText w:val="%1.%2.%3.%4.%5."/>
      <w:lvlJc w:val="left"/>
      <w:pPr>
        <w:ind w:left="1080" w:hanging="1080"/>
      </w:pPr>
      <w:rPr>
        <w:b w:val="1"/>
        <w:sz w:val="24"/>
        <w:szCs w:val="24"/>
      </w:rPr>
    </w:lvl>
    <w:lvl w:ilvl="5">
      <w:start w:val="1"/>
      <w:numFmt w:val="decimal"/>
      <w:lvlText w:val="%1.%2.%3.%4.%5.%6."/>
      <w:lvlJc w:val="left"/>
      <w:pPr>
        <w:ind w:left="1080" w:hanging="1080"/>
      </w:pPr>
      <w:rPr>
        <w:b w:val="1"/>
        <w:sz w:val="24"/>
        <w:szCs w:val="24"/>
      </w:rPr>
    </w:lvl>
    <w:lvl w:ilvl="6">
      <w:start w:val="1"/>
      <w:numFmt w:val="decimal"/>
      <w:lvlText w:val="%1.%2.%3.%4.%5.%6.%7."/>
      <w:lvlJc w:val="left"/>
      <w:pPr>
        <w:ind w:left="1440" w:hanging="1440"/>
      </w:pPr>
      <w:rPr>
        <w:b w:val="1"/>
        <w:sz w:val="24"/>
        <w:szCs w:val="24"/>
      </w:rPr>
    </w:lvl>
    <w:lvl w:ilvl="7">
      <w:start w:val="1"/>
      <w:numFmt w:val="decimal"/>
      <w:lvlText w:val="%1.%2.%3.%4.%5.%6.%7.%8."/>
      <w:lvlJc w:val="left"/>
      <w:pPr>
        <w:ind w:left="1440" w:hanging="1440"/>
      </w:pPr>
      <w:rPr>
        <w:b w:val="1"/>
        <w:sz w:val="24"/>
        <w:szCs w:val="24"/>
      </w:rPr>
    </w:lvl>
    <w:lvl w:ilvl="8">
      <w:start w:val="1"/>
      <w:numFmt w:val="decimal"/>
      <w:lvlText w:val="%1.%2.%3.%4.%5.%6.%7.%8.%9."/>
      <w:lvlJc w:val="left"/>
      <w:pPr>
        <w:ind w:left="1800" w:hanging="1800"/>
      </w:pPr>
      <w:rPr>
        <w:b w:val="1"/>
        <w:sz w:val="24"/>
        <w:szCs w:val="24"/>
      </w:rPr>
    </w:lvl>
  </w:abstractNum>
  <w:abstractNum w:abstractNumId="12">
    <w:lvl w:ilvl="0">
      <w:start w:val="1"/>
      <w:numFmt w:val="decimal"/>
      <w:lvlText w:val="%1."/>
      <w:lvlJc w:val="left"/>
      <w:pPr>
        <w:ind w:left="360" w:hanging="360"/>
      </w:pPr>
      <w:rPr/>
    </w:lvl>
    <w:lvl w:ilvl="1">
      <w:start w:val="1"/>
      <w:numFmt w:val="decimal"/>
      <w:lvlText w:val="%1.%2."/>
      <w:lvlJc w:val="left"/>
      <w:pPr>
        <w:ind w:left="360" w:hanging="360"/>
      </w:pPr>
      <w:rPr>
        <w:b w:val="1"/>
      </w:rPr>
    </w:lvl>
    <w:lvl w:ilvl="2">
      <w:start w:val="1"/>
      <w:numFmt w:val="decimal"/>
      <w:lvlText w:val="%1.%2.%3."/>
      <w:lvlJc w:val="left"/>
      <w:pPr>
        <w:ind w:left="720" w:hanging="720"/>
      </w:pPr>
      <w:rPr>
        <w:b w:val="1"/>
      </w:rPr>
    </w:lvl>
    <w:lvl w:ilvl="3">
      <w:start w:val="1"/>
      <w:numFmt w:val="decimal"/>
      <w:lvlText w:val="%1.%2.%3.%4."/>
      <w:lvlJc w:val="left"/>
      <w:pPr>
        <w:ind w:left="720" w:hanging="720"/>
      </w:pPr>
      <w:rPr>
        <w:b w:val="1"/>
      </w:rPr>
    </w:lvl>
    <w:lvl w:ilvl="4">
      <w:start w:val="1"/>
      <w:numFmt w:val="decimal"/>
      <w:lvlText w:val="%1.%2.%3.%4.%5."/>
      <w:lvlJc w:val="left"/>
      <w:pPr>
        <w:ind w:left="1080" w:hanging="1080"/>
      </w:pPr>
      <w:rPr>
        <w:b w:val="1"/>
      </w:rPr>
    </w:lvl>
    <w:lvl w:ilvl="5">
      <w:start w:val="1"/>
      <w:numFmt w:val="decimal"/>
      <w:lvlText w:val="%1.%2.%3.%4.%5.%6."/>
      <w:lvlJc w:val="left"/>
      <w:pPr>
        <w:ind w:left="1080" w:hanging="1080"/>
      </w:pPr>
      <w:rPr>
        <w:b w:val="1"/>
      </w:rPr>
    </w:lvl>
    <w:lvl w:ilvl="6">
      <w:start w:val="1"/>
      <w:numFmt w:val="decimal"/>
      <w:lvlText w:val="%1.%2.%3.%4.%5.%6.%7."/>
      <w:lvlJc w:val="left"/>
      <w:pPr>
        <w:ind w:left="1440" w:hanging="1440"/>
      </w:pPr>
      <w:rPr>
        <w:b w:val="1"/>
      </w:rPr>
    </w:lvl>
    <w:lvl w:ilvl="7">
      <w:start w:val="1"/>
      <w:numFmt w:val="decimal"/>
      <w:lvlText w:val="%1.%2.%3.%4.%5.%6.%7.%8."/>
      <w:lvlJc w:val="left"/>
      <w:pPr>
        <w:ind w:left="1440" w:hanging="1440"/>
      </w:pPr>
      <w:rPr>
        <w:b w:val="1"/>
      </w:rPr>
    </w:lvl>
    <w:lvl w:ilvl="8">
      <w:start w:val="1"/>
      <w:numFmt w:val="decimal"/>
      <w:lvlText w:val="%1.%2.%3.%4.%5.%6.%7.%8.%9."/>
      <w:lvlJc w:val="left"/>
      <w:pPr>
        <w:ind w:left="1800" w:hanging="1800"/>
      </w:pPr>
      <w:rPr>
        <w:b w:val="1"/>
      </w:rPr>
    </w:lvl>
  </w:abstractNum>
  <w:abstractNum w:abstractNumId="13">
    <w:lvl w:ilvl="0">
      <w:start w:val="2"/>
      <w:numFmt w:val="decimal"/>
      <w:lvlText w:val="%1."/>
      <w:lvlJc w:val="left"/>
      <w:pPr>
        <w:ind w:left="540" w:hanging="540"/>
      </w:pPr>
      <w:rPr>
        <w:rFonts w:ascii="Times New Roman" w:cs="Times New Roman" w:eastAsia="Times New Roman" w:hAnsi="Times New Roman"/>
        <w:b w:val="1"/>
      </w:rPr>
    </w:lvl>
    <w:lvl w:ilvl="1">
      <w:start w:val="1"/>
      <w:numFmt w:val="decimal"/>
      <w:lvlText w:val="%1.%2."/>
      <w:lvlJc w:val="left"/>
      <w:pPr>
        <w:ind w:left="540" w:hanging="540"/>
      </w:pPr>
      <w:rPr>
        <w:rFonts w:ascii="Times New Roman" w:cs="Times New Roman" w:eastAsia="Times New Roman" w:hAnsi="Times New Roman"/>
        <w:b w:val="1"/>
      </w:rPr>
    </w:lvl>
    <w:lvl w:ilvl="2">
      <w:start w:val="1"/>
      <w:numFmt w:val="decimal"/>
      <w:lvlText w:val="%1.%2.%3."/>
      <w:lvlJc w:val="left"/>
      <w:pPr>
        <w:ind w:left="720" w:hanging="720"/>
      </w:pPr>
      <w:rPr>
        <w:rFonts w:ascii="Times New Roman" w:cs="Times New Roman" w:eastAsia="Times New Roman" w:hAnsi="Times New Roman"/>
        <w:b w:val="1"/>
      </w:rPr>
    </w:lvl>
    <w:lvl w:ilvl="3">
      <w:start w:val="1"/>
      <w:numFmt w:val="decimal"/>
      <w:lvlText w:val="%1.%2.%3.%4."/>
      <w:lvlJc w:val="left"/>
      <w:pPr>
        <w:ind w:left="720" w:hanging="720"/>
      </w:pPr>
      <w:rPr>
        <w:rFonts w:ascii="Times New Roman" w:cs="Times New Roman" w:eastAsia="Times New Roman" w:hAnsi="Times New Roman"/>
        <w:b w:val="1"/>
      </w:rPr>
    </w:lvl>
    <w:lvl w:ilvl="4">
      <w:start w:val="1"/>
      <w:numFmt w:val="decimal"/>
      <w:lvlText w:val="%1.%2.%3.%4.%5."/>
      <w:lvlJc w:val="left"/>
      <w:pPr>
        <w:ind w:left="1080" w:hanging="1080"/>
      </w:pPr>
      <w:rPr>
        <w:rFonts w:ascii="Times New Roman" w:cs="Times New Roman" w:eastAsia="Times New Roman" w:hAnsi="Times New Roman"/>
        <w:b w:val="1"/>
      </w:rPr>
    </w:lvl>
    <w:lvl w:ilvl="5">
      <w:start w:val="1"/>
      <w:numFmt w:val="decimal"/>
      <w:lvlText w:val="%1.%2.%3.%4.%5.%6."/>
      <w:lvlJc w:val="left"/>
      <w:pPr>
        <w:ind w:left="1080" w:hanging="1080"/>
      </w:pPr>
      <w:rPr>
        <w:rFonts w:ascii="Times New Roman" w:cs="Times New Roman" w:eastAsia="Times New Roman" w:hAnsi="Times New Roman"/>
        <w:b w:val="1"/>
      </w:rPr>
    </w:lvl>
    <w:lvl w:ilvl="6">
      <w:start w:val="1"/>
      <w:numFmt w:val="decimal"/>
      <w:lvlText w:val="%1.%2.%3.%4.%5.%6.%7."/>
      <w:lvlJc w:val="left"/>
      <w:pPr>
        <w:ind w:left="1440" w:hanging="1440"/>
      </w:pPr>
      <w:rPr>
        <w:rFonts w:ascii="Times New Roman" w:cs="Times New Roman" w:eastAsia="Times New Roman" w:hAnsi="Times New Roman"/>
        <w:b w:val="1"/>
      </w:rPr>
    </w:lvl>
    <w:lvl w:ilvl="7">
      <w:start w:val="1"/>
      <w:numFmt w:val="decimal"/>
      <w:lvlText w:val="%1.%2.%3.%4.%5.%6.%7.%8."/>
      <w:lvlJc w:val="left"/>
      <w:pPr>
        <w:ind w:left="1440" w:hanging="1440"/>
      </w:pPr>
      <w:rPr>
        <w:rFonts w:ascii="Times New Roman" w:cs="Times New Roman" w:eastAsia="Times New Roman" w:hAnsi="Times New Roman"/>
        <w:b w:val="1"/>
      </w:rPr>
    </w:lvl>
    <w:lvl w:ilvl="8">
      <w:start w:val="1"/>
      <w:numFmt w:val="decimal"/>
      <w:lvlText w:val="%1.%2.%3.%4.%5.%6.%7.%8.%9."/>
      <w:lvlJc w:val="left"/>
      <w:pPr>
        <w:ind w:left="1800" w:hanging="1800"/>
      </w:pPr>
      <w:rPr>
        <w:rFonts w:ascii="Times New Roman" w:cs="Times New Roman" w:eastAsia="Times New Roman" w:hAnsi="Times New Roman"/>
        <w:b w:val="1"/>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1080" w:hanging="360"/>
      </w:pPr>
      <w:rPr>
        <w:rFonts w:ascii="Noto Sans Symbols" w:cs="Noto Sans Symbols" w:eastAsia="Noto Sans Symbols" w:hAnsi="Noto Sans Symbols"/>
      </w:rPr>
    </w:lvl>
    <w:lvl w:ilvl="1">
      <w:start w:val="1"/>
      <w:numFmt w:val="decimal"/>
      <w:lvlText w:val="%2."/>
      <w:lvlJc w:val="left"/>
      <w:pPr>
        <w:ind w:left="1800" w:hanging="360"/>
      </w:pPr>
      <w:rPr/>
    </w:lvl>
    <w:lvl w:ilvl="2">
      <w:start w:val="1"/>
      <w:numFmt w:val="decimal"/>
      <w:lvlText w:val="%3."/>
      <w:lvlJc w:val="left"/>
      <w:pPr>
        <w:ind w:left="2520" w:hanging="360"/>
      </w:pPr>
      <w:rPr/>
    </w:lvl>
    <w:lvl w:ilvl="3">
      <w:start w:val="1"/>
      <w:numFmt w:val="decimal"/>
      <w:lvlText w:val="%4."/>
      <w:lvlJc w:val="left"/>
      <w:pPr>
        <w:ind w:left="3240" w:hanging="360"/>
      </w:pPr>
      <w:rPr/>
    </w:lvl>
    <w:lvl w:ilvl="4">
      <w:start w:val="1"/>
      <w:numFmt w:val="decimal"/>
      <w:lvlText w:val="%5."/>
      <w:lvlJc w:val="left"/>
      <w:pPr>
        <w:ind w:left="3960" w:hanging="360"/>
      </w:pPr>
      <w:rPr/>
    </w:lvl>
    <w:lvl w:ilvl="5">
      <w:start w:val="1"/>
      <w:numFmt w:val="decimal"/>
      <w:lvlText w:val="%6."/>
      <w:lvlJc w:val="left"/>
      <w:pPr>
        <w:ind w:left="4680" w:hanging="360"/>
      </w:pPr>
      <w:rPr/>
    </w:lvl>
    <w:lvl w:ilvl="6">
      <w:start w:val="1"/>
      <w:numFmt w:val="decimal"/>
      <w:lvlText w:val="%7."/>
      <w:lvlJc w:val="left"/>
      <w:pPr>
        <w:ind w:left="5400" w:hanging="360"/>
      </w:pPr>
      <w:rPr/>
    </w:lvl>
    <w:lvl w:ilvl="7">
      <w:start w:val="1"/>
      <w:numFmt w:val="decimal"/>
      <w:lvlText w:val="%8."/>
      <w:lvlJc w:val="left"/>
      <w:pPr>
        <w:ind w:left="6120" w:hanging="360"/>
      </w:pPr>
      <w:rPr/>
    </w:lvl>
    <w:lvl w:ilvl="8">
      <w:start w:val="1"/>
      <w:numFmt w:val="decimal"/>
      <w:lvlText w:val="%9."/>
      <w:lvlJc w:val="left"/>
      <w:pPr>
        <w:ind w:left="684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Times New Roman" w:cs="Times New Roman" w:eastAsia="Times New Roman" w:hAnsi="Times New Roman"/>
      <w:b w:val="1"/>
      <w:color w:val="000000"/>
      <w:sz w:val="28"/>
      <w:szCs w:val="2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link w:val="Heading1Char"/>
    <w:uiPriority w:val="9"/>
    <w:qFormat w:val="1"/>
    <w:rsid w:val="00A0761B"/>
    <w:pPr>
      <w:keepNext w:val="1"/>
      <w:keepLines w:val="1"/>
      <w:spacing w:after="0" w:before="240"/>
      <w:outlineLvl w:val="0"/>
    </w:pPr>
    <w:rPr>
      <w:rFonts w:ascii="Times New Roman" w:hAnsi="Times New Roman" w:cstheme="majorBidi" w:eastAsiaTheme="majorEastAsia"/>
      <w:b w:val="1"/>
      <w:color w:val="000000" w:themeColor="text1"/>
      <w:sz w:val="28"/>
      <w:szCs w:val="32"/>
    </w:rPr>
  </w:style>
  <w:style w:type="paragraph" w:styleId="Heading2">
    <w:name w:val="heading 2"/>
    <w:basedOn w:val="Normal"/>
    <w:next w:val="Normal"/>
    <w:link w:val="Heading2Char"/>
    <w:uiPriority w:val="9"/>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character" w:styleId="Heading1Char" w:customStyle="1">
    <w:name w:val="Heading 1 Char"/>
    <w:basedOn w:val="DefaultParagraphFont"/>
    <w:link w:val="Heading1"/>
    <w:uiPriority w:val="9"/>
    <w:rsid w:val="00A0761B"/>
    <w:rPr>
      <w:rFonts w:ascii="Times New Roman" w:hAnsi="Times New Roman" w:cstheme="majorBidi" w:eastAsiaTheme="majorEastAsia"/>
      <w:b w:val="1"/>
      <w:color w:val="000000" w:themeColor="text1"/>
      <w:sz w:val="28"/>
      <w:szCs w:val="32"/>
    </w:rPr>
  </w:style>
  <w:style w:type="paragraph" w:styleId="ListParagraph">
    <w:name w:val="List Paragraph"/>
    <w:basedOn w:val="Normal"/>
    <w:uiPriority w:val="34"/>
    <w:qFormat w:val="1"/>
    <w:rsid w:val="007A08E8"/>
    <w:pPr>
      <w:ind w:left="720"/>
      <w:contextualSpacing w:val="1"/>
    </w:pPr>
  </w:style>
  <w:style w:type="paragraph" w:styleId="TOCHeading">
    <w:name w:val="TOC Heading"/>
    <w:basedOn w:val="Heading1"/>
    <w:next w:val="Normal"/>
    <w:uiPriority w:val="39"/>
    <w:unhideWhenUsed w:val="1"/>
    <w:qFormat w:val="1"/>
    <w:rsid w:val="00A559F9"/>
    <w:pPr>
      <w:outlineLvl w:val="9"/>
    </w:pPr>
    <w:rPr>
      <w:rFonts w:asciiTheme="majorHAnsi" w:hAnsiTheme="majorHAnsi"/>
      <w:b w:val="0"/>
      <w:color w:val="2f5496" w:themeColor="accent1" w:themeShade="0000BF"/>
      <w:sz w:val="32"/>
      <w:lang/>
    </w:rPr>
  </w:style>
  <w:style w:type="paragraph" w:styleId="TOC1">
    <w:name w:val="toc 1"/>
    <w:basedOn w:val="Normal"/>
    <w:next w:val="Normal"/>
    <w:autoRedefine w:val="1"/>
    <w:uiPriority w:val="39"/>
    <w:unhideWhenUsed w:val="1"/>
    <w:rsid w:val="00A559F9"/>
    <w:pPr>
      <w:tabs>
        <w:tab w:val="right" w:leader="dot" w:pos="9016"/>
      </w:tabs>
      <w:spacing w:after="100"/>
    </w:pPr>
    <w:rPr>
      <w:rFonts w:asciiTheme="majorBidi" w:cstheme="majorBidi" w:hAnsiTheme="majorBidi"/>
      <w:b w:val="1"/>
      <w:bCs w:val="1"/>
      <w:noProof w:val="1"/>
      <w:sz w:val="24"/>
      <w:szCs w:val="24"/>
    </w:rPr>
  </w:style>
  <w:style w:type="character" w:styleId="Hyperlink">
    <w:name w:val="Hyperlink"/>
    <w:basedOn w:val="DefaultParagraphFont"/>
    <w:uiPriority w:val="99"/>
    <w:unhideWhenUsed w:val="1"/>
    <w:rsid w:val="00A559F9"/>
    <w:rPr>
      <w:color w:val="0563c1" w:themeColor="hyperlink"/>
      <w:u w:val="single"/>
    </w:rPr>
  </w:style>
  <w:style w:type="paragraph" w:styleId="Header">
    <w:name w:val="header"/>
    <w:basedOn w:val="Normal"/>
    <w:link w:val="HeaderChar"/>
    <w:uiPriority w:val="99"/>
    <w:unhideWhenUsed w:val="1"/>
    <w:rsid w:val="00A559F9"/>
    <w:pPr>
      <w:tabs>
        <w:tab w:val="center" w:pos="4513"/>
        <w:tab w:val="right" w:pos="9026"/>
      </w:tabs>
      <w:spacing w:after="0" w:line="240" w:lineRule="auto"/>
    </w:pPr>
  </w:style>
  <w:style w:type="character" w:styleId="HeaderChar" w:customStyle="1">
    <w:name w:val="Header Char"/>
    <w:basedOn w:val="DefaultParagraphFont"/>
    <w:link w:val="Header"/>
    <w:uiPriority w:val="99"/>
    <w:rsid w:val="00A559F9"/>
  </w:style>
  <w:style w:type="paragraph" w:styleId="Footer">
    <w:name w:val="footer"/>
    <w:basedOn w:val="Normal"/>
    <w:link w:val="FooterChar"/>
    <w:uiPriority w:val="99"/>
    <w:unhideWhenUsed w:val="1"/>
    <w:rsid w:val="00A559F9"/>
    <w:pPr>
      <w:tabs>
        <w:tab w:val="center" w:pos="4513"/>
        <w:tab w:val="right" w:pos="9026"/>
      </w:tabs>
      <w:spacing w:after="0" w:line="240" w:lineRule="auto"/>
    </w:pPr>
  </w:style>
  <w:style w:type="character" w:styleId="FooterChar" w:customStyle="1">
    <w:name w:val="Footer Char"/>
    <w:basedOn w:val="DefaultParagraphFont"/>
    <w:link w:val="Footer"/>
    <w:uiPriority w:val="99"/>
    <w:rsid w:val="00A559F9"/>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paragraph" w:styleId="TOC2">
    <w:name w:val="toc 2"/>
    <w:basedOn w:val="Normal"/>
    <w:next w:val="Normal"/>
    <w:autoRedefine w:val="1"/>
    <w:uiPriority w:val="39"/>
    <w:unhideWhenUsed w:val="1"/>
    <w:rsid w:val="00D53E7C"/>
    <w:pPr>
      <w:spacing w:after="100"/>
      <w:ind w:left="220"/>
    </w:pPr>
  </w:style>
  <w:style w:type="character" w:styleId="Heading2Char" w:customStyle="1">
    <w:name w:val="Heading 2 Char"/>
    <w:basedOn w:val="DefaultParagraphFont"/>
    <w:link w:val="Heading2"/>
    <w:uiPriority w:val="9"/>
    <w:rsid w:val="00256743"/>
    <w:rPr>
      <w:b w:val="1"/>
      <w:sz w:val="36"/>
      <w:szCs w:val="36"/>
    </w:rPr>
  </w:style>
  <w:style w:type="character" w:styleId="Strong">
    <w:name w:val="Strong"/>
    <w:basedOn w:val="DefaultParagraphFont"/>
    <w:uiPriority w:val="22"/>
    <w:qFormat w:val="1"/>
    <w:rsid w:val="00375DE4"/>
    <w:rPr>
      <w:b w:val="1"/>
      <w:bCs w:val="1"/>
    </w:rPr>
  </w:style>
  <w:style w:type="paragraph" w:styleId="NormalWeb">
    <w:name w:val="Normal (Web)"/>
    <w:basedOn w:val="Normal"/>
    <w:uiPriority w:val="99"/>
    <w:semiHidden w:val="1"/>
    <w:unhideWhenUsed w:val="1"/>
    <w:rsid w:val="00375DE4"/>
    <w:pPr>
      <w:spacing w:after="100" w:afterAutospacing="1" w:before="100" w:beforeAutospacing="1" w:line="240" w:lineRule="auto"/>
    </w:pPr>
    <w:rPr>
      <w:rFonts w:ascii="Times New Roman" w:cs="Times New Roman" w:eastAsia="Times New Roman" w:hAnsi="Times New Roman"/>
      <w:sz w:val="24"/>
      <w:szCs w:val="24"/>
      <w:lang w:val="en-GB"/>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00U649vyXj97a2etYQjvW+AoaSw==">CgMxLjAyCGguZ2pkZ3hzMgloLjF5ODEwdHcyCWguNGk3b2pocDIJaC4yeGN5dHBpMgloLjFjaTkzeGIyCWguM3dod21sNDIJaC4yYm42d3N4Mg5oLjN2c2dwanQ4ZWk0eDIIaC5xc2g3MHEyCWguM2FzNHBvajIJaC4xcHhlendjMgloLjQ5eDJpazUyCWguMnAyY3NyeTIJaC4xNDduMnpyMgloLjNvN2FsbmsyCWguMjNja3Z2ZDIIaC5paHY2MzYyCWguMzJoaW9xejIJaC4xaG1zeXlzMgloLjQxbWdobWwyCWguMmdycXJ1ZTIIaC52eDEyMjcyCWguM2Z3b2txMDIJaC4xdjF5dXh0OAByITF3WDl5Ujg3RzFkbnN2ZmRTTnFHdlg0ZDBCckJTMUNaV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2025-01-14T23:10:00Z</dcterms:created>
  <dc:creator>victory otamiri</dc:creator>
</cp:coreProperties>
</file>