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after="0" w:before="240" w:lineRule="auto"/>
        <w:jc w:val="both"/>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Contents</w:t>
      </w:r>
    </w:p>
    <w:sdt>
      <w:sdtPr>
        <w:id w:val="334741610"/>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after="0"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whwml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G.1. MEANING OF “RESIDENT” AND RESOLUTION OF CASES OF DUAL RESIDENCE – ARTICLE 4, OECD &amp; UN MTC</w:t>
            </w:r>
          </w:hyperlink>
          <w:hyperlink w:anchor="_heading=h.3whwml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bn6ws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 Background: The Relevance of the Residence Concept</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 Article 4(1): Full Liability as Determined by Domestic Law</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as4poj">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 Article 4(2): Double Residence of Individuals</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 Article 4(3): Double Residence of Companies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 Case Law</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 Comparison of Article 4 of the OECD MTC (2017) and UN MTC (2021)</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G.2. PERMANENT ESTABLISHMENT CONCEPT: DETERMINING THE EXISTENCE OF A PERMANENT ESTABLISHMENT –ARTICLE 5, OECD MTC &amp; UN MTC</w:t>
            </w:r>
          </w:hyperlink>
          <w:hyperlink w:anchor="_heading=h.147n2z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o7al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 Background (OECD)</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 Article 5(1): PE Test – Fixed Place of Business</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 Article 5(2) – List of Prima Facie PEs</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2hioq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 Article 5(3) – Projected PE vs. Physical PE</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hmsyy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 Article 5(4): Exception for Preparatory and Auxiliary Activities</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 Article 5(5): Dependent Agent PE</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grqru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 Article 5(6): Independent Agent Exception</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vx122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 Article 5(7): Subsidiaries and PE</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 Article 5(8): Distinguishing a PE from an Associated Enterprise Under Article 9</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v1yux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10. Electronic Commerce and Permanent Establishment</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f1mdl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 Services PE Provisions – An Alternative Provision Included in Some Treaties</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u6wntf">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 Comparison of Article 5 of the OECD MTC (2017) and UN MTC (2021)</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19c6y1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G.3. BEPS ACTION 7: PREVENTING THE ARTIFICIAL AVOIDANCE OF A PERMANENT ESTABLISHMENT</w:t>
            </w:r>
          </w:hyperlink>
          <w:hyperlink w:anchor="_heading=h.19c6y18">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p2sfchnc84dl">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 Introduction</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8h4qwu">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 Commissionnaire Arrangements and Similar Strategies</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9xnpqolbmnf">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 Artificial Avoidance of PE Status Through Specific Exceptions in Article 5(4)</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jtr8fshpa0w">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 Splitting of Contracts in Construction Projects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sz w:val="30"/>
          <w:szCs w:val="30"/>
          <w:u w:val="single"/>
        </w:rPr>
      </w:pPr>
      <w:r w:rsidDel="00000000" w:rsidR="00000000" w:rsidRPr="00000000">
        <w:br w:type="page"/>
      </w: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G. KEY DEFINITIONAL PROVISIONS</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1"/>
        <w:jc w:val="both"/>
        <w:rPr/>
      </w:pPr>
      <w:bookmarkStart w:colFirst="0" w:colLast="0" w:name="_heading=h.3whwml4" w:id="0"/>
      <w:bookmarkEnd w:id="0"/>
      <w:r w:rsidDel="00000000" w:rsidR="00000000" w:rsidRPr="00000000">
        <w:rPr>
          <w:rtl w:val="0"/>
        </w:rPr>
        <w:t xml:space="preserve">G.1. MEANING OF “RESIDENT” AND RESOLUTION OF CASES OF DUAL RESIDENCE – ARTICLE 4, OECD &amp; UN MTC</w:t>
      </w:r>
    </w:p>
    <w:p w:rsidR="00000000" w:rsidDel="00000000" w:rsidP="00000000" w:rsidRDefault="00000000" w:rsidRPr="00000000" w14:paraId="00000020">
      <w:pPr>
        <w:pStyle w:val="Heading2"/>
        <w:numPr>
          <w:ilvl w:val="0"/>
          <w:numId w:val="9"/>
        </w:numPr>
        <w:ind w:left="360" w:hanging="360"/>
        <w:jc w:val="both"/>
        <w:rPr>
          <w:rFonts w:ascii="Times New Roman" w:cs="Times New Roman" w:eastAsia="Times New Roman" w:hAnsi="Times New Roman"/>
          <w:sz w:val="27"/>
          <w:szCs w:val="27"/>
        </w:rPr>
      </w:pPr>
      <w:bookmarkStart w:colFirst="0" w:colLast="0" w:name="_heading=h.2bn6wsx" w:id="1"/>
      <w:bookmarkEnd w:id="1"/>
      <w:r w:rsidDel="00000000" w:rsidR="00000000" w:rsidRPr="00000000">
        <w:rPr>
          <w:rFonts w:ascii="Times New Roman" w:cs="Times New Roman" w:eastAsia="Times New Roman" w:hAnsi="Times New Roman"/>
          <w:sz w:val="27"/>
          <w:szCs w:val="27"/>
          <w:rtl w:val="0"/>
        </w:rPr>
        <w:t xml:space="preserve">Background: The Relevance of the Residence Concept</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"residence" is fundamental in international tax law, determining the scope of a state's taxing rights over individuals and entities. In essence, a tax resident is a person or entity that is liable to tax in a particular jurisdiction based on criteria such as domicile, habitual abode, or place of incorporation. The concept of residence is crucial for determining which country has the primary right to tax an individual's or a company's income.</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Organisation for Economic Co-operation and Development (OECD) has developed the Model Tax Convention (MTC) to prevent double taxation and provide a framework for resolving disputes over tax matters between countries. Article 4 of the OECD MTC defines the term "resident" and provides rules for resolving cases of dual residence, where an individual or company may be considered a resident of two or more jurisdictions simultaneously. Dual residence can lead to double taxation, where the same income is taxed by more than one country, thus making the resolution of such cases critical for international tax policy.</w:t>
      </w:r>
    </w:p>
    <w:p w:rsidR="00000000" w:rsidDel="00000000" w:rsidP="00000000" w:rsidRDefault="00000000" w:rsidRPr="00000000" w14:paraId="00000023">
      <w:pPr>
        <w:pStyle w:val="Heading2"/>
        <w:numPr>
          <w:ilvl w:val="0"/>
          <w:numId w:val="9"/>
        </w:numPr>
        <w:ind w:left="360" w:hanging="360"/>
        <w:jc w:val="both"/>
        <w:rPr>
          <w:rFonts w:ascii="Times New Roman" w:cs="Times New Roman" w:eastAsia="Times New Roman" w:hAnsi="Times New Roman"/>
          <w:sz w:val="27"/>
          <w:szCs w:val="27"/>
        </w:rPr>
      </w:pPr>
      <w:bookmarkStart w:colFirst="0" w:colLast="0" w:name="_heading=h.qsh70q" w:id="2"/>
      <w:bookmarkEnd w:id="2"/>
      <w:r w:rsidDel="00000000" w:rsidR="00000000" w:rsidRPr="00000000">
        <w:rPr>
          <w:rFonts w:ascii="Times New Roman" w:cs="Times New Roman" w:eastAsia="Times New Roman" w:hAnsi="Times New Roman"/>
          <w:sz w:val="27"/>
          <w:szCs w:val="27"/>
          <w:rtl w:val="0"/>
        </w:rPr>
        <w:t xml:space="preserve">Article 4(1): Full Liability as Determined by Domestic Law</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4(1) of the OECD MTC sets out the basic rule for determining tax residence. It states that for the purposes of the Convention, the term "resident of a Contracting State" means any person who, under the laws of that State, is liable to tax therein by reason of his domicile, residence, place of management, or any other criterion of a similar nature. This establishes a broad principle that residence is primarily determined by the domestic tax laws of each contracting state.</w:t>
      </w:r>
    </w:p>
    <w:p w:rsidR="00000000" w:rsidDel="00000000" w:rsidP="00000000" w:rsidRDefault="00000000" w:rsidRPr="00000000" w14:paraId="0000002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Full Liability vs. Limited Liability:</w:t>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liability to tax generally means that an individual or entity is subject to taxation on worldwide income, as opposed to limited liability, which usually applies only to income sourced within the jurisdiction. If a person is subject to tax in a state only on income derived from sources within that state or on capital situated there, they are not considered a resident for the purposes of the treaty.</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instance, if a country taxes a non-resident individual only on the income earned within that country (e.g., through a property or business located there), this does not make the individual a tax resident of that country under Article 4(1). The distinction between full and limited liability ensures that only those with a sufficient connection to a country are treated as residents for treaty purposes.</w:t>
      </w:r>
    </w:p>
    <w:p w:rsidR="00000000" w:rsidDel="00000000" w:rsidP="00000000" w:rsidRDefault="00000000" w:rsidRPr="00000000" w14:paraId="00000028">
      <w:pPr>
        <w:pStyle w:val="Heading2"/>
        <w:numPr>
          <w:ilvl w:val="0"/>
          <w:numId w:val="9"/>
        </w:numPr>
        <w:ind w:left="360" w:hanging="360"/>
        <w:jc w:val="both"/>
        <w:rPr>
          <w:rFonts w:ascii="Times New Roman" w:cs="Times New Roman" w:eastAsia="Times New Roman" w:hAnsi="Times New Roman"/>
          <w:sz w:val="27"/>
          <w:szCs w:val="27"/>
        </w:rPr>
      </w:pPr>
      <w:bookmarkStart w:colFirst="0" w:colLast="0" w:name="_heading=h.3as4poj" w:id="3"/>
      <w:bookmarkEnd w:id="3"/>
      <w:r w:rsidDel="00000000" w:rsidR="00000000" w:rsidRPr="00000000">
        <w:rPr>
          <w:rFonts w:ascii="Times New Roman" w:cs="Times New Roman" w:eastAsia="Times New Roman" w:hAnsi="Times New Roman"/>
          <w:sz w:val="27"/>
          <w:szCs w:val="27"/>
          <w:rtl w:val="0"/>
        </w:rPr>
        <w:t xml:space="preserve">Article 4(2): Double Residence of Individuals</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resolving dual residence cases for individuals, Article 4(2) of the OECD Model Tax Convention (MTC) establishes a clear, hierarchical approach. This article helps determine which of the two contracting states should be considered the individual's place of residence for tax purposes when an individual is considered a resident of both states according to their domestic laws. </w:t>
      </w:r>
    </w:p>
    <w:p w:rsidR="00000000" w:rsidDel="00000000" w:rsidP="00000000" w:rsidRDefault="00000000" w:rsidRPr="00000000" w14:paraId="0000002A">
      <w:pPr>
        <w:numPr>
          <w:ilvl w:val="0"/>
          <w:numId w:val="4"/>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Preference for Permanent Home</w:t>
      </w:r>
    </w:p>
    <w:p w:rsidR="00000000" w:rsidDel="00000000" w:rsidP="00000000" w:rsidRDefault="00000000" w:rsidRPr="00000000" w14:paraId="0000002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and primary criterion to resolve dual residence is the location of the individual's "permanent home." If an individual has a permanent home in one of the contracting states, they are deemed a resident of that state for the purposes of the tax treaty.</w:t>
      </w:r>
    </w:p>
    <w:p w:rsidR="00000000" w:rsidDel="00000000" w:rsidP="00000000" w:rsidRDefault="00000000" w:rsidRPr="00000000" w14:paraId="0000002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Permanent Home Criterion:</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"permanent home" refers to a place where the individual has arranged to reside on a continuous basis. This could be a house, apartment, or any other form of dwelling that is consistently available to the individual. The permanence of this home is essential; it must be a place the individual can return to at any time, not just a temporary lodging for travel, business, or education.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For example, if an individual has a permanent home in State A but frequently travels to State B for work or leisure, State A would typically be regarded as the individual's residence, given that the home in State A is available to them continuously.</w:t>
      </w:r>
    </w:p>
    <w:p w:rsidR="00000000" w:rsidDel="00000000" w:rsidP="00000000" w:rsidRDefault="00000000" w:rsidRPr="00000000" w14:paraId="0000002F">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200" w:line="259" w:lineRule="auto"/>
        <w:ind w:left="720" w:right="0" w:hanging="72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Centre of Vital Interests (Sub-Criterion of Permanent Home):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the individual has a permanent home in both contracting states, the next step is to determine where their "centre of vital interests" lies. The centre of vital interests is a sub-criterion under the concept of the permanent home and considers where the individual's most significant personal and economic relationships are.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 ascertain the centre of vital interests, factors such as the location of family, social relations, occupations, political or cultural activities, and the place from which the individual manages their property are examined. For instance, if an individual maintains homes in both states but their family, work, and social life are predominantly in one state, that state would typically be considered their centre of vital interests.</w:t>
      </w:r>
    </w:p>
    <w:p w:rsidR="00000000" w:rsidDel="00000000" w:rsidP="00000000" w:rsidRDefault="00000000" w:rsidRPr="00000000" w14:paraId="0000003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Habitual Abode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the determination of the centre of vital interests remains inconclusive, or if the individual does not have a permanent home in either state, the next criterion is the "habitual abode." This refers to the place where the individual regularly stays over time, reflecting the settled routine of their life.</w:t>
      </w:r>
    </w:p>
    <w:p w:rsidR="00000000" w:rsidDel="00000000" w:rsidP="00000000" w:rsidRDefault="00000000" w:rsidRPr="00000000" w14:paraId="00000034">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200" w:line="259" w:lineRule="auto"/>
        <w:ind w:left="720" w:right="0" w:hanging="72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Understanding Habitual Abode: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habitual abode is identified by assessing the frequency, duration, and regularity of the individual's stays in each contracting state. It involves more than merely counting days; it requires evaluating where the individual is customarily present as part of their routine. If the individual habitually resides in one state more than the other, that state will typically be deemed their tax residence.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For example, if an individual spends a majority of their time regularly in State A due to work commitments but also has a residence in State B for occasional stays, State A would likely be considered their habitual abode.</w:t>
      </w:r>
    </w:p>
    <w:p w:rsidR="00000000" w:rsidDel="00000000" w:rsidP="00000000" w:rsidRDefault="00000000" w:rsidRPr="00000000" w14:paraId="0000003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Nationality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the criteria of habitual abode do not clearly establish residency (for instance, if the individual has habitual abodes in both states or neither), the next tie-breaker is the individual's nationality. The individual will be deemed a resident of the state of which they are a national.</w:t>
      </w:r>
    </w:p>
    <w:p w:rsidR="00000000" w:rsidDel="00000000" w:rsidP="00000000" w:rsidRDefault="00000000" w:rsidRPr="00000000" w14:paraId="00000039">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200" w:line="259" w:lineRule="auto"/>
        <w:ind w:left="720" w:right="0" w:hanging="72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Nationality as a Determining Factor:</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Nationality becomes the decisive factor when the previous criteria fail to resolve the dual residence issue. If the individual is a national of one contracting state and not the other, they will be considered a resident of the state of their nationality. However, if the individual is a national of both states or neither, further resolution is needed.</w:t>
      </w:r>
    </w:p>
    <w:p w:rsidR="00000000" w:rsidDel="00000000" w:rsidP="00000000" w:rsidRDefault="00000000" w:rsidRPr="00000000" w14:paraId="0000003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Mutual Agreement Procedure (MAP)</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cases where the individual's nationality does not resolve the issue (for example, if they are a national of both contracting states or neither), the final step is the Mutual Agreement Procedure (MAP) outlined in Article 25 of the OECD MTC.</w:t>
      </w:r>
    </w:p>
    <w:p w:rsidR="00000000" w:rsidDel="00000000" w:rsidP="00000000" w:rsidRDefault="00000000" w:rsidRPr="00000000" w14:paraId="0000003D">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200" w:line="259" w:lineRule="auto"/>
        <w:ind w:left="720" w:right="0" w:hanging="72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Resolving Through MAP:</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MAP allows the competent authorities of the contracting states to negotiate and come to a mutual agreement on the individual's residency status. This procedure is designed to resolve the issue amicably and avoid double taxation by ensuring that the individual is not unfairly taxed in both jurisdictions.</w:t>
      </w:r>
    </w:p>
    <w:p w:rsidR="00000000" w:rsidDel="00000000" w:rsidP="00000000" w:rsidRDefault="00000000" w:rsidRPr="00000000" w14:paraId="0000003F">
      <w:pPr>
        <w:pStyle w:val="Heading2"/>
        <w:numPr>
          <w:ilvl w:val="0"/>
          <w:numId w:val="9"/>
        </w:numPr>
        <w:ind w:left="360" w:hanging="360"/>
        <w:jc w:val="both"/>
        <w:rPr>
          <w:rFonts w:ascii="Times New Roman" w:cs="Times New Roman" w:eastAsia="Times New Roman" w:hAnsi="Times New Roman"/>
          <w:sz w:val="27"/>
          <w:szCs w:val="27"/>
        </w:rPr>
      </w:pPr>
      <w:bookmarkStart w:colFirst="0" w:colLast="0" w:name="_heading=h.1pxezwc" w:id="4"/>
      <w:bookmarkEnd w:id="4"/>
      <w:r w:rsidDel="00000000" w:rsidR="00000000" w:rsidRPr="00000000">
        <w:rPr>
          <w:rFonts w:ascii="Times New Roman" w:cs="Times New Roman" w:eastAsia="Times New Roman" w:hAnsi="Times New Roman"/>
          <w:sz w:val="27"/>
          <w:szCs w:val="27"/>
          <w:rtl w:val="0"/>
        </w:rPr>
        <w:t xml:space="preserve">Article 4(3): Double Residence of Companies</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4(3) deals with the issue of dual residence for entities, particularly companies. Unlike individuals, companies can be incorporated in one country and managed from another, leading to dual residence.</w:t>
      </w:r>
    </w:p>
    <w:p w:rsidR="00000000" w:rsidDel="00000000" w:rsidP="00000000" w:rsidRDefault="00000000" w:rsidRPr="00000000" w14:paraId="0000004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Mutual Agreement</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article states that when a person other than an individual is a resident of both contracting states, the competent authorities of the states will determine the state of residence by mutual agreement. In the absence of such agreement, the person shall not be entitled to any relief or exemption from tax provided by the Convention.</w:t>
      </w:r>
    </w:p>
    <w:p w:rsidR="00000000" w:rsidDel="00000000" w:rsidP="00000000" w:rsidRDefault="00000000" w:rsidRPr="00000000" w14:paraId="0000004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Relevance of Place of Effective Management</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Historically, the "place of effective management" (POEM) has been a key factor in determining the residence of companies under the OECD MTC. POEM refers to the place where key management and commercial decisions necessary for the conduct of the company’s business are made. This concept plays a critical role in resolving dual residence issues for companies because it helps identify the jurisdiction with the closest economic relationship to the company.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However, in recent years, the relevance of POEM has diminished somewhat in light of the Base Erosion and Profit Shifting (BEPS) project, which has emphasized the importance of substance over form in determining tax residence. The BEPS project encourages the use of a broader range of factors to establish the true residence of a company, including the location of senior management and the place where board meetings are held.</w:t>
      </w:r>
    </w:p>
    <w:p w:rsidR="00000000" w:rsidDel="00000000" w:rsidP="00000000" w:rsidRDefault="00000000" w:rsidRPr="00000000" w14:paraId="00000046">
      <w:pPr>
        <w:pStyle w:val="Heading2"/>
        <w:numPr>
          <w:ilvl w:val="0"/>
          <w:numId w:val="9"/>
        </w:numPr>
        <w:ind w:left="360" w:hanging="360"/>
        <w:jc w:val="both"/>
        <w:rPr>
          <w:rFonts w:ascii="Times New Roman" w:cs="Times New Roman" w:eastAsia="Times New Roman" w:hAnsi="Times New Roman"/>
          <w:sz w:val="27"/>
          <w:szCs w:val="27"/>
        </w:rPr>
      </w:pPr>
      <w:bookmarkStart w:colFirst="0" w:colLast="0" w:name="_heading=h.49x2ik5" w:id="5"/>
      <w:bookmarkEnd w:id="5"/>
      <w:r w:rsidDel="00000000" w:rsidR="00000000" w:rsidRPr="00000000">
        <w:rPr>
          <w:rFonts w:ascii="Times New Roman" w:cs="Times New Roman" w:eastAsia="Times New Roman" w:hAnsi="Times New Roman"/>
          <w:sz w:val="27"/>
          <w:szCs w:val="27"/>
          <w:rtl w:val="0"/>
        </w:rPr>
        <w:t xml:space="preserve">Case Law</w:t>
      </w:r>
    </w:p>
    <w:p w:rsidR="00000000" w:rsidDel="00000000" w:rsidP="00000000" w:rsidRDefault="00000000" w:rsidRPr="00000000" w14:paraId="0000004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Individuals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Case law on dual residence of individuals often revolves around the interpretation of the "centre of vital interests" and the "habitual abode." Courts have generally emphasized the importance of personal and economic ties over mere physical presence. For instance, in the case of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Levene v. Inland Revenue Commissioners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(1928), the House of Lords considered various factors such as family ties, business connections, and the individual’s intention to reside in determining the centre of vital interests.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Another significant case is Commr of Inland Revenue v. Lysaght (1928), where the New Zealand court held that the taxpayer was not a resident despite having substantial business activities in the country, as his personal ties were stronger elsewhere.</w:t>
      </w:r>
    </w:p>
    <w:p w:rsidR="00000000" w:rsidDel="00000000" w:rsidP="00000000" w:rsidRDefault="00000000" w:rsidRPr="00000000" w14:paraId="0000004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Companies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the context of companies, courts have focused on the place of effective management to resolve dual residence issues. A landmark case is De Beers Consolidated Mines Ltd v. Howe (1906), where the House of Lords held that a company's residence is where its real business is carried on, which was deemed to be the place where the company's board of directors controlled and managed the business.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recent years, the relevance of POEM has been challenged, especially in cases involving multinational corporations where management activities are spread across multiple jurisdictions. For example, in The Wood v. Holden (2006), the UK court considered various factors beyond the formal location of board meetings, such as where the actual decision-making took place, to determine the place of effective management.</w:t>
      </w:r>
    </w:p>
    <w:p w:rsidR="00000000" w:rsidDel="00000000" w:rsidP="00000000" w:rsidRDefault="00000000" w:rsidRPr="00000000" w14:paraId="0000004D">
      <w:pPr>
        <w:pStyle w:val="Heading2"/>
        <w:numPr>
          <w:ilvl w:val="0"/>
          <w:numId w:val="9"/>
        </w:numPr>
        <w:ind w:left="360" w:hanging="360"/>
        <w:jc w:val="both"/>
        <w:rPr>
          <w:rFonts w:ascii="Times New Roman" w:cs="Times New Roman" w:eastAsia="Times New Roman" w:hAnsi="Times New Roman"/>
          <w:sz w:val="27"/>
          <w:szCs w:val="27"/>
        </w:rPr>
      </w:pPr>
      <w:bookmarkStart w:colFirst="0" w:colLast="0" w:name="_heading=h.2p2csry" w:id="6"/>
      <w:bookmarkEnd w:id="6"/>
      <w:r w:rsidDel="00000000" w:rsidR="00000000" w:rsidRPr="00000000">
        <w:rPr>
          <w:rFonts w:ascii="Times New Roman" w:cs="Times New Roman" w:eastAsia="Times New Roman" w:hAnsi="Times New Roman"/>
          <w:sz w:val="27"/>
          <w:szCs w:val="27"/>
          <w:rtl w:val="0"/>
        </w:rPr>
        <w:t xml:space="preserve">Comparison of Article 4 of the OECD MTC (2017) and UN MTC (2021)</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distinction between the OECD and UN MTCs lies in the explicit inclusion of "place of incorporation" in paragraph 1 of the UN MTC as a criterion for determining residence, while the OECD MTC implies this under "any other criterion of a similar nature." Beyond this, both MTCs have identical tie-breaker rules and mutual agreement provisions for resolving dual residence issues for individuals and entities, with no substantive differences in paragraphs 2 and 3.</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1"/>
        <w:jc w:val="both"/>
        <w:rPr/>
      </w:pPr>
      <w:bookmarkStart w:colFirst="0" w:colLast="0" w:name="_heading=h.147n2zr" w:id="7"/>
      <w:bookmarkEnd w:id="7"/>
      <w:r w:rsidDel="00000000" w:rsidR="00000000" w:rsidRPr="00000000">
        <w:rPr>
          <w:rtl w:val="0"/>
        </w:rPr>
        <w:t xml:space="preserve">G.2. PERMANENT ESTABLISHMENT CONCEPT: DETERMINING THE EXISTENCE OF A PERMANENT ESTABLISHMENT –ARTICLE 5, OECD MTC &amp; UN MTC</w:t>
      </w:r>
    </w:p>
    <w:p w:rsidR="00000000" w:rsidDel="00000000" w:rsidP="00000000" w:rsidRDefault="00000000" w:rsidRPr="00000000" w14:paraId="00000055">
      <w:pPr>
        <w:pStyle w:val="Heading2"/>
        <w:numPr>
          <w:ilvl w:val="0"/>
          <w:numId w:val="11"/>
        </w:numPr>
        <w:ind w:left="360" w:hanging="360"/>
        <w:rPr>
          <w:rFonts w:ascii="Times New Roman" w:cs="Times New Roman" w:eastAsia="Times New Roman" w:hAnsi="Times New Roman"/>
          <w:sz w:val="27"/>
          <w:szCs w:val="27"/>
        </w:rPr>
      </w:pPr>
      <w:bookmarkStart w:colFirst="0" w:colLast="0" w:name="_heading=h.3o7alnk" w:id="8"/>
      <w:bookmarkEnd w:id="8"/>
      <w:r w:rsidDel="00000000" w:rsidR="00000000" w:rsidRPr="00000000">
        <w:rPr>
          <w:rFonts w:ascii="Times New Roman" w:cs="Times New Roman" w:eastAsia="Times New Roman" w:hAnsi="Times New Roman"/>
          <w:sz w:val="27"/>
          <w:szCs w:val="27"/>
          <w:rtl w:val="0"/>
        </w:rPr>
        <w:t xml:space="preserve">Background (OECD)</w:t>
      </w:r>
    </w:p>
    <w:p w:rsidR="00000000" w:rsidDel="00000000" w:rsidP="00000000" w:rsidRDefault="00000000" w:rsidRPr="00000000" w14:paraId="0000005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 of Article 5</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concept of a Permanent Establishment (PE) as defined in Article 5 of the OECD Model Tax Convention (MTC) plays a crucial role in determining when a country can tax the business profits of an enterprise operating from another country. The PE concept establishes the threshold for creating a taxable presence for foreign enterprises in a jurisdiction. Under this rule, a source country has the right to tax the profits of an enterprise if that enterprise has a PE in the country. Without a PE, the enterprise's profits generally remain untaxed in the source country. Therefore, the purpose of Article 5 is to balance the right to tax between the source country and the country of residence of the foreign enterprise by limiting the situations in which a foreign enterprise can be taxed in a source state to those where the enterprise has a significant economic presence.</w:t>
      </w:r>
    </w:p>
    <w:p w:rsidR="00000000" w:rsidDel="00000000" w:rsidP="00000000" w:rsidRDefault="00000000" w:rsidRPr="00000000" w14:paraId="0000005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Impact on Independent Personal Services (Article 14)</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Before the year 2000, Article 14 of the OECD MTC addressed the taxation of independent personal services, which referred to services performed by individuals such as doctors, lawyers, architects, and other professionals. Article 14 had its own "fixed base" test, which was essentially similar to the "fixed place of business" test in Article 5 for permanent establishments. The "fixed base" concept allowed countries to tax the income of non-resident individuals who maintained a fixed base in the source country. Over time, it became evident that there was no substantial difference between the concept of a PE and a fixed base.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Consequently, Article 14 was deleted from the OECD MTC in 2000, and the rules for taxing independent personal services were merged into Article 5. This streamlining allowed for a more consistent approach to taxing business profits, whether the services were provided by a company or an individual. As a result, the same PE test now applies to both corporate and individual service providers, ensuring uniformity and eliminating the potential confusion that arose from having two separate provisions that essentially achieved the same purpose.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Recent Updates (2017) to Article 5: Reflecting BEPS Action 7</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2017, the OECD made significant updates to Article 5 as part of the BEPS (Base Erosion and Profit Shifting) Action Plan, specifically under Action 7, which aims to address the artificial avoidance of PE status. Multinational enterprises (MNEs) often employed tax planning strategies to avoid establishing a PE in a jurisdiction, thereby limiting their exposure to taxation in the source country. These strategies included fragmenting business operations, using commissionaire arrangements, and minimizing the physical presence of personnel in a country.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2017 updates to Article 5 sought to close these loopholes and ensure that businesses are taxed where their economic activities actually occur. The key changes included:</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Introduction of Article 5(4.1):</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provision introduced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anti-fragmentation rule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which prevents businesses from splitting up activities across different related entities or dividing activities within the same group to avoid PE status. The rule ensures that if activities of a "preparatory or auxiliary" nature are fragmented across multiple entities, the cumulative effect of these activities will be considered when determining whether a PE exists.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Modification of Articles 5(4), 5(5), and 5(6):</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These articles were modified to broaden the definition of a PE, particularly in relation to dependent agents and the scope of "auxiliary or preparatory activities." The changes also targeted dependent agent arrangements where contracts are habitually concluded without creating a PE, further aligning the tax rules with the underlying economic reality.</w:t>
      </w:r>
      <w:r w:rsidDel="00000000" w:rsidR="00000000" w:rsidRPr="00000000">
        <w:rPr>
          <w:rtl w:val="0"/>
        </w:rPr>
      </w:r>
    </w:p>
    <w:p w:rsidR="00000000" w:rsidDel="00000000" w:rsidP="00000000" w:rsidRDefault="00000000" w:rsidRPr="00000000" w14:paraId="00000062">
      <w:pPr>
        <w:pStyle w:val="Heading2"/>
        <w:numPr>
          <w:ilvl w:val="0"/>
          <w:numId w:val="11"/>
        </w:numPr>
        <w:ind w:left="360" w:hanging="360"/>
        <w:rPr>
          <w:rFonts w:ascii="Times New Roman" w:cs="Times New Roman" w:eastAsia="Times New Roman" w:hAnsi="Times New Roman"/>
          <w:sz w:val="27"/>
          <w:szCs w:val="27"/>
        </w:rPr>
      </w:pPr>
      <w:bookmarkStart w:colFirst="0" w:colLast="0" w:name="_heading=h.23ckvvd" w:id="9"/>
      <w:bookmarkEnd w:id="9"/>
      <w:r w:rsidDel="00000000" w:rsidR="00000000" w:rsidRPr="00000000">
        <w:rPr>
          <w:rFonts w:ascii="Times New Roman" w:cs="Times New Roman" w:eastAsia="Times New Roman" w:hAnsi="Times New Roman"/>
          <w:sz w:val="27"/>
          <w:szCs w:val="27"/>
          <w:rtl w:val="0"/>
        </w:rPr>
        <w:t xml:space="preserve">Article 5(1): PE Test – Fixed Place of Business</w:t>
      </w:r>
    </w:p>
    <w:p w:rsidR="00000000" w:rsidDel="00000000" w:rsidP="00000000" w:rsidRDefault="00000000" w:rsidRPr="00000000" w14:paraId="0000006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480" w:right="0" w:hanging="48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 Test: Fixed Place of Business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8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5(1) of the OECD MTC defines a PE as a "fixed place of business through which the business of an enterprise is wholly or partly carried on." This definition forms the cornerstone of PE determination and consists of three key elements:</w:t>
      </w:r>
    </w:p>
    <w:p w:rsidR="00000000" w:rsidDel="00000000" w:rsidP="00000000" w:rsidRDefault="00000000" w:rsidRPr="00000000" w14:paraId="0000006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Existence of a Place of Business: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PE can be established through a wide variety of places, including offices, factories, workshops, and installations like oil rigs or drilling platforms. Importantly, the place of business need not be owned by the enterprise; it only needs to be at its disposal.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BFI Holding BV v. France (2001)</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 French Conseil d'État ruled that a Dutch company’s temporary sales office in Paris constituted a PE because it had control over the premises for conducting business, even though the company did not own the office.</w:t>
      </w:r>
    </w:p>
    <w:p w:rsidR="00000000" w:rsidDel="00000000" w:rsidP="00000000" w:rsidRDefault="00000000" w:rsidRPr="00000000" w14:paraId="000000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At Disposal Requirement: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enterprise must have the place of business at its disposal, meaning it can use the premises to conduct business activities.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Royal Bank of Canada v. Canada (2007)</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 Tax Court of Canada emphasized that for a bank to establish a PE in a foreign country, it must have control over the branch premises, such as the ability to manage customer interactions and offer banking services from the location.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Effective Power to Use – Mere Presence Not Sufficient: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mere presence of employees or equipment does not automatically create a PE unless the enterprise has effective power to use the location for business purposes. For example, a traveling salesperson visiting client offices does not create a PE unless the company has control over the office space and uses it to carry out its core business activities.</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The Place of Business Must Be Fixed:</w:t>
      </w:r>
    </w:p>
    <w:p w:rsidR="00000000" w:rsidDel="00000000" w:rsidP="00000000" w:rsidRDefault="00000000" w:rsidRPr="00000000" w14:paraId="0000006B">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location used by the enterprise must have a degree of permanence to qualify as a fixed place of business. This means that the location cannot be temporary or transient, and it must be linked to a specific geographical point. The term "fixed" implies that the place of business has a certain continuity and is not simply a temporary arrangement.</w:t>
      </w:r>
      <w:r w:rsidDel="00000000" w:rsidR="00000000" w:rsidRPr="00000000">
        <w:rPr>
          <w:rtl w:val="0"/>
        </w:rPr>
      </w:r>
    </w:p>
    <w:p w:rsidR="00000000" w:rsidDel="00000000" w:rsidP="00000000" w:rsidRDefault="00000000" w:rsidRPr="00000000" w14:paraId="0000006C">
      <w:pPr>
        <w:numPr>
          <w:ilvl w:val="1"/>
          <w:numId w:val="17"/>
        </w:numPr>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Permanence requirement:</w:t>
      </w:r>
      <w:r w:rsidDel="00000000" w:rsidR="00000000" w:rsidRPr="00000000">
        <w:rPr>
          <w:rFonts w:ascii="Times New Roman" w:cs="Times New Roman" w:eastAsia="Times New Roman" w:hAnsi="Times New Roman"/>
          <w:sz w:val="24"/>
          <w:szCs w:val="24"/>
          <w:rtl w:val="0"/>
        </w:rPr>
        <w:t xml:space="preserve"> Typically, the OECD considers a period of at least six months sufficient to establish a fixed place of business, although shorter durations could also qualify if the business operations exhibit a pattern of regularity or recurrence. For example, a construction project lasting more than 12 months in a given country would generally be considered a PE under Article 5(3).</w:t>
      </w:r>
    </w:p>
    <w:p w:rsidR="00000000" w:rsidDel="00000000" w:rsidP="00000000" w:rsidRDefault="00000000" w:rsidRPr="00000000" w14:paraId="0000006D">
      <w:pPr>
        <w:numPr>
          <w:ilvl w:val="1"/>
          <w:numId w:val="1"/>
        </w:numPr>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Commissioner of Inland Revenue v. HK-TVB International Ltd (1992)</w:t>
      </w:r>
      <w:r w:rsidDel="00000000" w:rsidR="00000000" w:rsidRPr="00000000">
        <w:rPr>
          <w:rFonts w:ascii="Times New Roman" w:cs="Times New Roman" w:eastAsia="Times New Roman" w:hAnsi="Times New Roman"/>
          <w:sz w:val="24"/>
          <w:szCs w:val="24"/>
          <w:rtl w:val="0"/>
        </w:rPr>
        <w:t xml:space="preserve"> case in Hong Kong held that a television broadcaster’s temporary office in a foreign country for covering an international event did not constitute a PE because the office lacked the necessary permanence.</w:t>
      </w:r>
    </w:p>
    <w:p w:rsidR="00000000" w:rsidDel="00000000" w:rsidP="00000000" w:rsidRDefault="00000000" w:rsidRPr="00000000" w14:paraId="0000006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480" w:right="0" w:hanging="48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Fixed Duration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Link to a Specific Geographic Point:</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fixed place of business must be tied to a particular geographic location, and the business activities must be conducted from this specific place.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DaimlerChrysler AG v. Finland (2006)</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 Finnish court held that the presence of a branch office, with a permanent address and continuous business operations, established a PE because the business was tied to a specific geographic point in Finland.</w:t>
      </w:r>
    </w:p>
    <w:p w:rsidR="00000000" w:rsidDel="00000000" w:rsidP="00000000" w:rsidRDefault="00000000" w:rsidRPr="00000000" w14:paraId="0000007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Commercial and Geographic Coherence Requirement for Mobile Activities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For mobile activities, such as construction or consulting projects, the business must demonstrate coherence in the geographic location where it operates. If a business frequently moves locations but remains within a certain geographic area, the activities may still establish a PE.</w:t>
      </w:r>
    </w:p>
    <w:p w:rsidR="00000000" w:rsidDel="00000000" w:rsidP="00000000" w:rsidRDefault="00000000" w:rsidRPr="00000000" w14:paraId="0000007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Permanence Requirement</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Activities must be carried out over a substantial period to create a PE. Although the OECD generally considers six months sufficient, shorter periods can qualify if the business exhibits regularity or recurrence.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ITO v. South Africa (2003)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 South African court ruled that a foreign company’s temporary construction site lasting nine months constituted a PE due to the continuity and significance of the project.</w:t>
      </w:r>
    </w:p>
    <w:p w:rsidR="00000000" w:rsidDel="00000000" w:rsidP="00000000" w:rsidRDefault="00000000" w:rsidRPr="00000000" w14:paraId="0000007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Exceptions to the Rule:</w:t>
      </w:r>
      <w:r w:rsidDel="00000000" w:rsidR="00000000" w:rsidRPr="00000000">
        <w:rPr>
          <w:rtl w:val="0"/>
        </w:rPr>
      </w:r>
    </w:p>
    <w:p w:rsidR="00000000" w:rsidDel="00000000" w:rsidP="00000000" w:rsidRDefault="00000000" w:rsidRPr="00000000" w14:paraId="00000076">
      <w:pPr>
        <w:numPr>
          <w:ilvl w:val="1"/>
          <w:numId w:val="2"/>
        </w:numPr>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Recurrent Activities:</w:t>
      </w:r>
      <w:r w:rsidDel="00000000" w:rsidR="00000000" w:rsidRPr="00000000">
        <w:rPr>
          <w:rFonts w:ascii="Times New Roman" w:cs="Times New Roman" w:eastAsia="Times New Roman" w:hAnsi="Times New Roman"/>
          <w:sz w:val="24"/>
          <w:szCs w:val="24"/>
          <w:rtl w:val="0"/>
        </w:rPr>
        <w:t xml:space="preserve"> Even short-term activities can create a PE if they are part of a recurring business presence in the source country.</w:t>
      </w:r>
    </w:p>
    <w:p w:rsidR="00000000" w:rsidDel="00000000" w:rsidP="00000000" w:rsidRDefault="00000000" w:rsidRPr="00000000" w14:paraId="00000077">
      <w:pPr>
        <w:numPr>
          <w:ilvl w:val="1"/>
          <w:numId w:val="3"/>
        </w:numPr>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Temporary Interruptions:</w:t>
      </w:r>
      <w:r w:rsidDel="00000000" w:rsidR="00000000" w:rsidRPr="00000000">
        <w:rPr>
          <w:rFonts w:ascii="Times New Roman" w:cs="Times New Roman" w:eastAsia="Times New Roman" w:hAnsi="Times New Roman"/>
          <w:sz w:val="24"/>
          <w:szCs w:val="24"/>
          <w:rtl w:val="0"/>
        </w:rPr>
        <w:t xml:space="preserve"> Temporary breaks in business operations, such as seasonal closures or unexpected delays, do not negate the existence of a PE.</w:t>
      </w:r>
    </w:p>
    <w:p w:rsidR="00000000" w:rsidDel="00000000" w:rsidP="00000000" w:rsidRDefault="00000000" w:rsidRPr="00000000" w14:paraId="00000078">
      <w:pPr>
        <w:numPr>
          <w:ilvl w:val="1"/>
          <w:numId w:val="6"/>
        </w:numPr>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Aggregation of Use by Related Parties:</w:t>
      </w:r>
      <w:r w:rsidDel="00000000" w:rsidR="00000000" w:rsidRPr="00000000">
        <w:rPr>
          <w:rFonts w:ascii="Times New Roman" w:cs="Times New Roman" w:eastAsia="Times New Roman" w:hAnsi="Times New Roman"/>
          <w:sz w:val="24"/>
          <w:szCs w:val="24"/>
          <w:rtl w:val="0"/>
        </w:rPr>
        <w:t xml:space="preserve"> If multiple related entities conduct business activities from the same location, these activities may be aggregated to determine the existence of a PE.</w:t>
      </w:r>
    </w:p>
    <w:p w:rsidR="00000000" w:rsidDel="00000000" w:rsidP="00000000" w:rsidRDefault="00000000" w:rsidRPr="00000000" w14:paraId="0000007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480" w:right="0" w:hanging="48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Carried On Through</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8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For a PE to exist, the business activities of the enterprise must be conducted through the fixed place of business. It is not enough for an enterprise merely to have a physical presence in the jurisdiction; it must actively engage in business activities from that location. This includes activities such as manufacturing, selling goods, or providing services.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8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Zimmer Ltd v. Federal Tax Administration (2010)</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 Swiss court held that a representative office in Switzerland used primarily for promotional activities did not qualify as a PE because the office did not directly engage in profit-generating activities.</w:t>
      </w:r>
    </w:p>
    <w:p w:rsidR="00000000" w:rsidDel="00000000" w:rsidP="00000000" w:rsidRDefault="00000000" w:rsidRPr="00000000" w14:paraId="0000007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Leasing Activities and Leasing of Containers</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leasing of equipment, such as containers, may result in a PE if the leased assets are used in the jurisdiction for a significant period.</w:t>
      </w:r>
    </w:p>
    <w:p w:rsidR="00000000" w:rsidDel="00000000" w:rsidP="00000000" w:rsidRDefault="00000000" w:rsidRPr="00000000" w14:paraId="0000007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Carrying on Business Through Personnel and Subcontractors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PE can also be created if the enterprise conducts its business through employees, agents, or subcontractors acting on its behalf.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Nippon Steel Corporation v. Australia (2002)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case reinforced the idea that subcontracted personnel working in a foreign country could create a PE if their activities are integral to the core business of the enterprise.</w:t>
      </w:r>
    </w:p>
    <w:p w:rsidR="00000000" w:rsidDel="00000000" w:rsidP="00000000" w:rsidRDefault="00000000" w:rsidRPr="00000000" w14:paraId="00000080">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Carrying on Business Through Automatic Equipment</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use of automated equipment, such as ATMs, vending machines, or computer servers, can establish a PE if the equipment is used to carry out business operations.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Dell Products Ltd v. Norway (2011)</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 Norwegian courts ruled that Dell's use of computer servers located in Norway constituted a PE because the servers were integral to the company’s e-commerce operations.</w:t>
      </w:r>
    </w:p>
    <w:p w:rsidR="00000000" w:rsidDel="00000000" w:rsidP="00000000" w:rsidRDefault="00000000" w:rsidRPr="00000000" w14:paraId="00000082">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PE of a Partnership</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cases where a partnership conducts business activities in a foreign jurisdiction, the partners may be considered to have a PE in that jurisdiction if the business activities are substantial enough.</w:t>
      </w:r>
    </w:p>
    <w:p w:rsidR="00000000" w:rsidDel="00000000" w:rsidP="00000000" w:rsidRDefault="00000000" w:rsidRPr="00000000" w14:paraId="0000008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Commencement and Cessation of a PE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PE typically begins when the enterprise commences its business operations in the jurisdiction and ends when the activities cease or the place of business is no longer available. Temporary interruptions, such as those due to weather or other unforeseen circumstances, do not necessarily terminate the existence of a PE.</w:t>
      </w:r>
    </w:p>
    <w:p w:rsidR="00000000" w:rsidDel="00000000" w:rsidP="00000000" w:rsidRDefault="00000000" w:rsidRPr="00000000" w14:paraId="00000086">
      <w:pPr>
        <w:pStyle w:val="Heading2"/>
        <w:numPr>
          <w:ilvl w:val="0"/>
          <w:numId w:val="11"/>
        </w:numPr>
        <w:ind w:left="360" w:hanging="360"/>
        <w:rPr>
          <w:rFonts w:ascii="Times New Roman" w:cs="Times New Roman" w:eastAsia="Times New Roman" w:hAnsi="Times New Roman"/>
          <w:sz w:val="27"/>
          <w:szCs w:val="27"/>
        </w:rPr>
      </w:pPr>
      <w:bookmarkStart w:colFirst="0" w:colLast="0" w:name="_heading=h.ihv636" w:id="10"/>
      <w:bookmarkEnd w:id="10"/>
      <w:r w:rsidDel="00000000" w:rsidR="00000000" w:rsidRPr="00000000">
        <w:rPr>
          <w:rFonts w:ascii="Times New Roman" w:cs="Times New Roman" w:eastAsia="Times New Roman" w:hAnsi="Times New Roman"/>
          <w:sz w:val="27"/>
          <w:szCs w:val="27"/>
          <w:rtl w:val="0"/>
        </w:rPr>
        <w:t xml:space="preserve">Article 5(2) – List of Prima Facie PEs</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5(2) provides a non-exhaustive list of places that are generally accepted as constituting a PE. These include:</w:t>
      </w:r>
    </w:p>
    <w:p w:rsidR="00000000" w:rsidDel="00000000" w:rsidP="00000000" w:rsidRDefault="00000000" w:rsidRPr="00000000" w14:paraId="00000088">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of management</w:t>
      </w:r>
    </w:p>
    <w:p w:rsidR="00000000" w:rsidDel="00000000" w:rsidP="00000000" w:rsidRDefault="00000000" w:rsidRPr="00000000" w14:paraId="00000089">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branch</w:t>
      </w:r>
    </w:p>
    <w:p w:rsidR="00000000" w:rsidDel="00000000" w:rsidP="00000000" w:rsidRDefault="00000000" w:rsidRPr="00000000" w14:paraId="0000008A">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office</w:t>
      </w:r>
    </w:p>
    <w:p w:rsidR="00000000" w:rsidDel="00000000" w:rsidP="00000000" w:rsidRDefault="00000000" w:rsidRPr="00000000" w14:paraId="0000008B">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factory</w:t>
      </w:r>
    </w:p>
    <w:p w:rsidR="00000000" w:rsidDel="00000000" w:rsidP="00000000" w:rsidRDefault="00000000" w:rsidRPr="00000000" w14:paraId="0000008C">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workshop</w:t>
      </w:r>
    </w:p>
    <w:p w:rsidR="00000000" w:rsidDel="00000000" w:rsidP="00000000" w:rsidRDefault="00000000" w:rsidRPr="00000000" w14:paraId="0000008D">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mine, oil or gas well, quarry, or any other place of extraction of natural resources</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examples serve as prima facie evidence of a PE. If an enterprise has any of these types of fixed places of business, it will generally be deemed to have a PE in the jurisdiction unless it qualifies for an exemption under Article 5(4).</w:t>
      </w:r>
    </w:p>
    <w:p w:rsidR="00000000" w:rsidDel="00000000" w:rsidP="00000000" w:rsidRDefault="00000000" w:rsidRPr="00000000" w14:paraId="0000008F">
      <w:pPr>
        <w:pStyle w:val="Heading2"/>
        <w:numPr>
          <w:ilvl w:val="0"/>
          <w:numId w:val="11"/>
        </w:numPr>
        <w:ind w:left="360" w:hanging="360"/>
        <w:rPr>
          <w:rFonts w:ascii="Times New Roman" w:cs="Times New Roman" w:eastAsia="Times New Roman" w:hAnsi="Times New Roman"/>
          <w:sz w:val="27"/>
          <w:szCs w:val="27"/>
        </w:rPr>
      </w:pPr>
      <w:bookmarkStart w:colFirst="0" w:colLast="0" w:name="_heading=h.32hioqz" w:id="11"/>
      <w:bookmarkEnd w:id="11"/>
      <w:r w:rsidDel="00000000" w:rsidR="00000000" w:rsidRPr="00000000">
        <w:rPr>
          <w:rFonts w:ascii="Times New Roman" w:cs="Times New Roman" w:eastAsia="Times New Roman" w:hAnsi="Times New Roman"/>
          <w:sz w:val="27"/>
          <w:szCs w:val="27"/>
          <w:rtl w:val="0"/>
        </w:rPr>
        <w:t xml:space="preserve">Article 5(3) – Projected PE vs. Physical PE</w:t>
      </w:r>
    </w:p>
    <w:p w:rsidR="00000000" w:rsidDel="00000000" w:rsidP="00000000" w:rsidRDefault="00000000" w:rsidRPr="00000000" w14:paraId="0000009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480" w:right="0" w:hanging="48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Interaction Between Projected PE and Physical PE</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8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5(3) addresses situations where construction or installation projects create a PE. A construction project or building site typically creates a PE if it lasts more than 12 months. This is known as a "projected PE," which contrasts with the more common "physical PE" based on a fixed place of business.</w:t>
      </w:r>
    </w:p>
    <w:p w:rsidR="00000000" w:rsidDel="00000000" w:rsidP="00000000" w:rsidRDefault="00000000" w:rsidRPr="00000000" w14:paraId="00000092">
      <w:pPr>
        <w:numPr>
          <w:ilvl w:val="0"/>
          <w:numId w:val="8"/>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foreign construction company that engages in a building project in another country lasting over 12 months will have a PE in that country, even if it does not have a permanent office or physical headquarters there.</w:t>
      </w:r>
    </w:p>
    <w:p w:rsidR="00000000" w:rsidDel="00000000" w:rsidP="00000000" w:rsidRDefault="00000000" w:rsidRPr="00000000" w14:paraId="0000009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480" w:right="0" w:hanging="48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Anti-Abuse Rule to the 12-Month Test</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8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OECD introduced anti-abuse measures to prevent enterprises from splitting up contracts or artificially shortening the duration of projects to avoid surpassing the 12-month threshold. In cases where multiple related contracts are part of a single overall project, the duration of all contracts is aggregated to determine whether a PE exists. This rule prevents enterprises from circumventing the PE rules by manipulating contract terms.</w:t>
      </w:r>
    </w:p>
    <w:p w:rsidR="00000000" w:rsidDel="00000000" w:rsidP="00000000" w:rsidRDefault="00000000" w:rsidRPr="00000000" w14:paraId="00000095">
      <w:pPr>
        <w:pStyle w:val="Heading2"/>
        <w:numPr>
          <w:ilvl w:val="0"/>
          <w:numId w:val="11"/>
        </w:numPr>
        <w:ind w:left="360" w:hanging="360"/>
        <w:rPr>
          <w:rFonts w:ascii="Times New Roman" w:cs="Times New Roman" w:eastAsia="Times New Roman" w:hAnsi="Times New Roman"/>
          <w:sz w:val="27"/>
          <w:szCs w:val="27"/>
        </w:rPr>
      </w:pPr>
      <w:bookmarkStart w:colFirst="0" w:colLast="0" w:name="_heading=h.1hmsyys" w:id="12"/>
      <w:bookmarkEnd w:id="12"/>
      <w:r w:rsidDel="00000000" w:rsidR="00000000" w:rsidRPr="00000000">
        <w:rPr>
          <w:rFonts w:ascii="Times New Roman" w:cs="Times New Roman" w:eastAsia="Times New Roman" w:hAnsi="Times New Roman"/>
          <w:sz w:val="27"/>
          <w:szCs w:val="27"/>
          <w:rtl w:val="0"/>
        </w:rPr>
        <w:t xml:space="preserve">Article 5(4): Exception for Preparatory and Auxiliary Activities</w:t>
      </w:r>
    </w:p>
    <w:p w:rsidR="00000000" w:rsidDel="00000000" w:rsidP="00000000" w:rsidRDefault="00000000" w:rsidRPr="00000000" w14:paraId="0000009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480" w:right="0" w:hanging="48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Preparatory and Auxiliary Activities Exception</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8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5(4) of the OECD MTC provides exceptions for activities that are considered either preparatory or auxiliary. This is significant because even if an enterprise has a fixed place of business in a country, it may not create a PE if the activities conducted from that place are considered to be minor, non-core functions. The key distinction lies in whether the activities form part of the enterprise's main business or are simply supportive of the primary business operations.</w:t>
      </w:r>
    </w:p>
    <w:p w:rsidR="00000000" w:rsidDel="00000000" w:rsidP="00000000" w:rsidRDefault="00000000" w:rsidRPr="00000000" w14:paraId="0000009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Preparatory Activities</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These are activities that are essential for establishing or maintaining the infrastructure necessary for conducting core business activities. However, they do not in themselves contribute to income generation. For example,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Societe de Services Industriels et Commerciaux v. France (2007)</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 French case, involved a company that maintained a warehouse in France solely for the purpose of storing goods. The court found that the storage was merely preparatory to future sales activities and did not contribute directly to generating profits. As such, the warehouse did not constitute a PE under Article 5(4).</w:t>
      </w:r>
    </w:p>
    <w:p w:rsidR="00000000" w:rsidDel="00000000" w:rsidP="00000000" w:rsidRDefault="00000000" w:rsidRPr="00000000" w14:paraId="0000009A">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Auxiliary Activities</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Auxiliary activities are those that support the primary business operations but are not integral to the core revenue-generating activities.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Nippon Steel Corporation v. Australia (2002)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 court ruled that the temporary presence of an office used solely for promotional and marketing purposes in Australia did not constitute a PE because it was considered an auxiliary activity that supported the company’s primary business but did not directly involve income generation.</w:t>
      </w:r>
    </w:p>
    <w:p w:rsidR="00000000" w:rsidDel="00000000" w:rsidP="00000000" w:rsidRDefault="00000000" w:rsidRPr="00000000" w14:paraId="0000009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480" w:right="0" w:hanging="480"/>
        <w:jc w:val="both"/>
        <w:rPr>
          <w:rFonts w:ascii="Times New Roman" w:cs="Times New Roman" w:eastAsia="Times New Roman" w:hAnsi="Times New Roman"/>
          <w:b w:val="0"/>
          <w:i w:val="0"/>
          <w:smallCaps w:val="0"/>
          <w:strike w:val="0"/>
          <w:color w:val="000000"/>
          <w:sz w:val="24"/>
          <w:szCs w:val="24"/>
          <w:shd w:fill="auto" w:val="clear"/>
          <w:vertAlign w:val="baseline"/>
        </w:rPr>
      </w:pPr>
      <w:bookmarkStart w:colFirst="0" w:colLast="0" w:name="_heading=h.26in1rg" w:id="13"/>
      <w:bookmarkEnd w:id="1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5(4.1): Anti-Fragmentation Rule</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8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anti-fragmentation rule was introduced as part of the 2017 BEPS Action 7 updates to prevent enterprises from artificially splitting their activities to fall under the preparatory and auxiliary exceptions of Article 5(4). The rule ensures that the cumulative business activities of related parties are considered as a whole when determining whether a PE exists, rather than assessing each activity in isolation.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8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Before this update, enterprises could fragment their operations across several related entities, each performing seemingly preparatory or auxiliary tasks, thereby avoiding PE status. The anti-fragmentation rule closes this loophole by treating these activities in aggregate if they are part of a cohesive business operation that is integral to generating profits.</w:t>
      </w:r>
    </w:p>
    <w:p w:rsidR="00000000" w:rsidDel="00000000" w:rsidP="00000000" w:rsidRDefault="00000000" w:rsidRPr="00000000" w14:paraId="0000009F">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Examples of Anti-Fragmentation in Action</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group of related companies might establish multiple entities in a foreign country, with each entity engaging in different aspects of the production process. One company might handle product design, another the storage of goods, and another the delivery of products. Prior to the anti-fragmentation rule, each entity could argue that its activities were preparatory or auxiliary, thus avoiding PE status. Under the new rule, the combined activities of the group would be considered, likely resulting in the establishment of a PE.</w:t>
      </w:r>
      <w:r w:rsidDel="00000000" w:rsidR="00000000" w:rsidRPr="00000000">
        <w:rPr>
          <w:rtl w:val="0"/>
        </w:rPr>
      </w:r>
    </w:p>
    <w:p w:rsidR="00000000" w:rsidDel="00000000" w:rsidP="00000000" w:rsidRDefault="00000000" w:rsidRPr="00000000" w14:paraId="000000A1">
      <w:pPr>
        <w:pStyle w:val="Heading2"/>
        <w:numPr>
          <w:ilvl w:val="0"/>
          <w:numId w:val="11"/>
        </w:numPr>
        <w:ind w:left="360" w:hanging="360"/>
        <w:rPr>
          <w:rFonts w:ascii="Times New Roman" w:cs="Times New Roman" w:eastAsia="Times New Roman" w:hAnsi="Times New Roman"/>
          <w:sz w:val="27"/>
          <w:szCs w:val="27"/>
        </w:rPr>
      </w:pPr>
      <w:bookmarkStart w:colFirst="0" w:colLast="0" w:name="_heading=h.41mghml" w:id="14"/>
      <w:bookmarkEnd w:id="14"/>
      <w:r w:rsidDel="00000000" w:rsidR="00000000" w:rsidRPr="00000000">
        <w:rPr>
          <w:rFonts w:ascii="Times New Roman" w:cs="Times New Roman" w:eastAsia="Times New Roman" w:hAnsi="Times New Roman"/>
          <w:sz w:val="27"/>
          <w:szCs w:val="27"/>
          <w:rtl w:val="0"/>
        </w:rPr>
        <w:t xml:space="preserve">Article 5(5): Dependent Agent PE</w:t>
      </w:r>
    </w:p>
    <w:p w:rsidR="00000000" w:rsidDel="00000000" w:rsidP="00000000" w:rsidRDefault="00000000" w:rsidRPr="00000000" w14:paraId="000000A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480" w:right="0" w:hanging="48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 and Scope</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8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5(5) addresses situations where a foreign enterprise operates through a dependent agent in a source country. A dependent agent, unlike an independent agent, works primarily for one enterprise and can bind the enterprise to contracts or other business obligations. The existence of a dependent agent can create a PE, even in the absence of a fixed place of business, if the agent habitually concludes contracts or plays the principal role in the conclusion of contracts.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8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Commissioner of Taxation v. Lamesa Holdings BV (1997)</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 Australian case, the court held that an Australian subsidiary of Lamesa Holdings acted as a dependent agent for the parent company. The subsidiary habitually concluded contracts on behalf of Lamesa Holdings, thus creating a PE for the parent company under Article 5(5). The decision clarified that the habitual nature of contract conclusion was a key factor in establishing a dependent agent PE.</w:t>
      </w:r>
    </w:p>
    <w:p w:rsidR="00000000" w:rsidDel="00000000" w:rsidP="00000000" w:rsidRDefault="00000000" w:rsidRPr="00000000" w14:paraId="000000A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480" w:right="0" w:hanging="48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Dependent Agent Requirements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Acts "On Behalf Of" the Enterprise</w:t>
      </w:r>
      <w:r w:rsidDel="00000000" w:rsidR="00000000" w:rsidRPr="00000000">
        <w:rPr>
          <w:rtl w:val="0"/>
        </w:rPr>
      </w:r>
    </w:p>
    <w:p w:rsidR="00000000" w:rsidDel="00000000" w:rsidP="00000000" w:rsidRDefault="00000000" w:rsidRPr="00000000" w14:paraId="000000A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dependent agent must act in the interests of the foreign enterprise in the source country. In </w:t>
      </w:r>
      <w:r w:rsidDel="00000000" w:rsidR="00000000" w:rsidRPr="00000000">
        <w:rPr>
          <w:rFonts w:ascii="Times New Roman" w:cs="Times New Roman" w:eastAsia="Times New Roman" w:hAnsi="Times New Roman"/>
          <w:b w:val="1"/>
          <w:sz w:val="24"/>
          <w:szCs w:val="24"/>
          <w:rtl w:val="0"/>
        </w:rPr>
        <w:t xml:space="preserve">Zimmer Ltd v. Federal Tax Administration (2010)</w:t>
      </w:r>
      <w:r w:rsidDel="00000000" w:rsidR="00000000" w:rsidRPr="00000000">
        <w:rPr>
          <w:rFonts w:ascii="Times New Roman" w:cs="Times New Roman" w:eastAsia="Times New Roman" w:hAnsi="Times New Roman"/>
          <w:sz w:val="24"/>
          <w:szCs w:val="24"/>
          <w:rtl w:val="0"/>
        </w:rPr>
        <w:t xml:space="preserve">, a Swiss case, the court found that a Swiss distributor, although legally independent, effectively acted on behalf of the foreign parent company by exclusively marketing and selling its products. The distributor's activities were deemed sufficient to establish a dependent agent PE, even though the enterprise had no physical office in Switzerland.</w:t>
      </w:r>
    </w:p>
    <w:p w:rsidR="00000000" w:rsidDel="00000000" w:rsidP="00000000" w:rsidRDefault="00000000" w:rsidRPr="00000000" w14:paraId="000000A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Habitually Concludes Contracts or Plays a Principal Role:</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agent must habitually conclude contracts or play a principal role in contract negotiations, which ultimately result in the conclusion of contracts. The key factor is the regularity of the agent’s involvement in the contracting process.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Taisei Fire and Marine Insurance Co. Ltd. v. Commissioner of Taxation (2003)</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 Australian court held that a representative office in Australia, which was used to negotiate and finalize insurance contracts on behalf of a foreign parent company, created a PE under Article 5(5).</w:t>
      </w:r>
    </w:p>
    <w:p w:rsidR="00000000" w:rsidDel="00000000" w:rsidP="00000000" w:rsidRDefault="00000000" w:rsidRPr="00000000" w14:paraId="000000AA">
      <w:pPr>
        <w:numPr>
          <w:ilvl w:val="0"/>
          <w:numId w:val="5"/>
        </w:numPr>
        <w:ind w:left="10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Plays a Principal Role in Contract Conclusion:</w:t>
      </w:r>
      <w:r w:rsidDel="00000000" w:rsidR="00000000" w:rsidRPr="00000000">
        <w:rPr>
          <w:rFonts w:ascii="Times New Roman" w:cs="Times New Roman" w:eastAsia="Times New Roman" w:hAnsi="Times New Roman"/>
          <w:sz w:val="24"/>
          <w:szCs w:val="24"/>
          <w:rtl w:val="0"/>
        </w:rPr>
        <w:t xml:space="preserve"> The 2017 BEPS updates clarified that an agent may also create a PE if they play the principal role in concluding contracts, even if the final contract is formally signed by someone else outside the jurisdiction. This addresses arrangements where agents in the source country perform the substantive negotiations but leave the formal signing of contracts to individuals in another jurisdiction to avoid PE status.</w:t>
      </w:r>
    </w:p>
    <w:p w:rsidR="00000000" w:rsidDel="00000000" w:rsidP="00000000" w:rsidRDefault="00000000" w:rsidRPr="00000000" w14:paraId="000000AB">
      <w:pPr>
        <w:numPr>
          <w:ilvl w:val="0"/>
          <w:numId w:val="5"/>
        </w:numPr>
        <w:ind w:left="10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Contracts in the Name of the Enterprise:</w:t>
      </w:r>
      <w:r w:rsidDel="00000000" w:rsidR="00000000" w:rsidRPr="00000000">
        <w:rPr>
          <w:rFonts w:ascii="Times New Roman" w:cs="Times New Roman" w:eastAsia="Times New Roman" w:hAnsi="Times New Roman"/>
          <w:sz w:val="24"/>
          <w:szCs w:val="24"/>
          <w:rtl w:val="0"/>
        </w:rPr>
        <w:t xml:space="preserve"> The contracts concluded by the agent must either be in the name of the enterprise or result in the transfer of ownership of property, including the granting of rights to use intangible assets such as patents or trademarks. This includes contracts that bind the enterprise legally and result in obligations for the enterprise to deliver goods or provide services.</w:t>
      </w:r>
    </w:p>
    <w:p w:rsidR="00000000" w:rsidDel="00000000" w:rsidP="00000000" w:rsidRDefault="00000000" w:rsidRPr="00000000" w14:paraId="000000A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480" w:right="0" w:hanging="48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Exception to Dependent Agent Rule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8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There are exceptions to the dependent agent rule under certain circumstances: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Independent Agents</w:t>
      </w:r>
      <w:r w:rsidDel="00000000" w:rsidR="00000000" w:rsidRPr="00000000">
        <w:rPr>
          <w:rtl w:val="0"/>
        </w:rPr>
      </w:r>
    </w:p>
    <w:p w:rsidR="00000000" w:rsidDel="00000000" w:rsidP="00000000" w:rsidRDefault="00000000" w:rsidRPr="00000000" w14:paraId="000000A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agent is legally and economically independent of the enterprise and acts in the ordinary course of their own business, they will not create a PE. Independent agents, such as brokers or commission agents, who act on behalf of multiple clients and are not under the control of any one enterprise, are generally exempt from creating a PE.</w:t>
      </w:r>
    </w:p>
    <w:p w:rsidR="00000000" w:rsidDel="00000000" w:rsidP="00000000" w:rsidRDefault="00000000" w:rsidRPr="00000000" w14:paraId="000000B0">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Preparatory or Auxiliary Activities</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Even if a dependent agent habitually concludes contracts, a PE may still not be created if the activities they perform are preparatory or auxiliary in nature.</w:t>
      </w:r>
    </w:p>
    <w:p w:rsidR="00000000" w:rsidDel="00000000" w:rsidP="00000000" w:rsidRDefault="00000000" w:rsidRPr="00000000" w14:paraId="000000B2">
      <w:pPr>
        <w:pStyle w:val="Heading2"/>
        <w:numPr>
          <w:ilvl w:val="0"/>
          <w:numId w:val="11"/>
        </w:numPr>
        <w:ind w:left="360" w:hanging="360"/>
        <w:rPr>
          <w:rFonts w:ascii="Times New Roman" w:cs="Times New Roman" w:eastAsia="Times New Roman" w:hAnsi="Times New Roman"/>
          <w:sz w:val="27"/>
          <w:szCs w:val="27"/>
        </w:rPr>
      </w:pPr>
      <w:bookmarkStart w:colFirst="0" w:colLast="0" w:name="_heading=h.2grqrue" w:id="15"/>
      <w:bookmarkEnd w:id="15"/>
      <w:r w:rsidDel="00000000" w:rsidR="00000000" w:rsidRPr="00000000">
        <w:rPr>
          <w:rFonts w:ascii="Times New Roman" w:cs="Times New Roman" w:eastAsia="Times New Roman" w:hAnsi="Times New Roman"/>
          <w:sz w:val="27"/>
          <w:szCs w:val="27"/>
          <w:rtl w:val="0"/>
        </w:rPr>
        <w:t xml:space="preserve">Article 5(6): Independent Agent Exception</w:t>
      </w:r>
    </w:p>
    <w:p w:rsidR="00000000" w:rsidDel="00000000" w:rsidP="00000000" w:rsidRDefault="00000000" w:rsidRPr="00000000" w14:paraId="000000B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480" w:right="0" w:hanging="48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Independent Agent Exception</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8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5(6) provides an important exception to the dependent agent rule. If an enterprise operates through an independent agent, the agent’s activities generally will not create a PE for the enterprise. To qualify for this exception, the agent must act in the ordinary course of their business and be legally and economically independent from the enterprise.</w:t>
      </w:r>
    </w:p>
    <w:p w:rsidR="00000000" w:rsidDel="00000000" w:rsidP="00000000" w:rsidRDefault="00000000" w:rsidRPr="00000000" w14:paraId="000000B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480" w:right="0" w:hanging="48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Determining Independence</w:t>
      </w:r>
    </w:p>
    <w:p w:rsidR="00000000" w:rsidDel="00000000" w:rsidP="00000000" w:rsidRDefault="00000000" w:rsidRPr="00000000" w14:paraId="000000B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Legal Independence: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agent must not be subject to the control or authority of the enterprise in terms of how they carry out their business. They must have the freedom to decide how to perform their services, and they should not be an employee or have a relationship of subordination with the enterprise.</w:t>
      </w:r>
    </w:p>
    <w:p w:rsidR="00000000" w:rsidDel="00000000" w:rsidP="00000000" w:rsidRDefault="00000000" w:rsidRPr="00000000" w14:paraId="000000B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Economic Independence</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agent should not be economically dependent on the enterprise for their income. If the agent derives most or all of their revenue from a single enterprise, they may be considered dependent. Conversely, an agent who represents multiple clients and has diversified income sources is likely to be deemed independent.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distinction is important because independent agents, such as brokers or commission agents, do not create a PE for the enterprises they represent, as long as they are genuinely acting independently and in the ordinary course of their business.</w:t>
      </w:r>
    </w:p>
    <w:p w:rsidR="00000000" w:rsidDel="00000000" w:rsidP="00000000" w:rsidRDefault="00000000" w:rsidRPr="00000000" w14:paraId="000000BB">
      <w:pPr>
        <w:pStyle w:val="Heading2"/>
        <w:numPr>
          <w:ilvl w:val="0"/>
          <w:numId w:val="11"/>
        </w:numPr>
        <w:ind w:left="360" w:hanging="360"/>
        <w:rPr>
          <w:rFonts w:ascii="Times New Roman" w:cs="Times New Roman" w:eastAsia="Times New Roman" w:hAnsi="Times New Roman"/>
          <w:sz w:val="27"/>
          <w:szCs w:val="27"/>
        </w:rPr>
      </w:pPr>
      <w:bookmarkStart w:colFirst="0" w:colLast="0" w:name="_heading=h.vx1227" w:id="16"/>
      <w:bookmarkEnd w:id="16"/>
      <w:r w:rsidDel="00000000" w:rsidR="00000000" w:rsidRPr="00000000">
        <w:rPr>
          <w:rFonts w:ascii="Times New Roman" w:cs="Times New Roman" w:eastAsia="Times New Roman" w:hAnsi="Times New Roman"/>
          <w:sz w:val="27"/>
          <w:szCs w:val="27"/>
          <w:rtl w:val="0"/>
        </w:rPr>
        <w:t xml:space="preserve">Article 5(7): Subsidiaries and PE</w:t>
      </w:r>
    </w:p>
    <w:p w:rsidR="00000000" w:rsidDel="00000000" w:rsidP="00000000" w:rsidRDefault="00000000" w:rsidRPr="00000000" w14:paraId="000000B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480" w:right="0" w:hanging="48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Subsidiaries Generally Accepted as Independent</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8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5(7) clarifies that the existence of a subsidiary does not, in itself, constitute a PE for the parent company. A subsidiary is considered a separate legal entity, and the fact that it operates in a different jurisdiction does not automatically create a PE for the parent company, even if the subsidiary is wholly owned. The activities of the subsidiary are attributed to the subsidiary itself, and the parent company will not be deemed to have a PE unless the subsidiary acts as a dependent agent or carries on activities that would otherwise create a PE under Article 5.</w:t>
      </w:r>
    </w:p>
    <w:p w:rsidR="00000000" w:rsidDel="00000000" w:rsidP="00000000" w:rsidRDefault="00000000" w:rsidRPr="00000000" w14:paraId="000000B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480" w:right="0" w:hanging="48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When a Subsidiary May Create a PE for Its Parent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8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subsidiary may create a PE for its parent company if it acts as a dependent agent of the parent. If the subsidiary habitually concludes contracts on behalf of the parent company or plays a principal role in contract negotiations, it could be deemed to create a PE for the parent company. Additionally, if the subsidiary's activities go beyond the scope of auxiliary or preparatory functions, the parent company could be considered to have a PE in the jurisdiction.</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subsidiary that manages and concludes contracts for the sale of goods on behalf of the parent company would likely create a PE for the parent under Article 5(5), especially if the subsidiary is controlled by the parent company and acts primarily in the interests of the parent.</w:t>
      </w:r>
    </w:p>
    <w:p w:rsidR="00000000" w:rsidDel="00000000" w:rsidP="00000000" w:rsidRDefault="00000000" w:rsidRPr="00000000" w14:paraId="000000C2">
      <w:pPr>
        <w:pStyle w:val="Heading2"/>
        <w:numPr>
          <w:ilvl w:val="0"/>
          <w:numId w:val="11"/>
        </w:numPr>
        <w:ind w:left="360" w:hanging="360"/>
        <w:rPr>
          <w:rFonts w:ascii="Times New Roman" w:cs="Times New Roman" w:eastAsia="Times New Roman" w:hAnsi="Times New Roman"/>
          <w:sz w:val="27"/>
          <w:szCs w:val="27"/>
        </w:rPr>
      </w:pPr>
      <w:bookmarkStart w:colFirst="0" w:colLast="0" w:name="_heading=h.3fwokq0" w:id="17"/>
      <w:bookmarkEnd w:id="17"/>
      <w:r w:rsidDel="00000000" w:rsidR="00000000" w:rsidRPr="00000000">
        <w:rPr>
          <w:rFonts w:ascii="Times New Roman" w:cs="Times New Roman" w:eastAsia="Times New Roman" w:hAnsi="Times New Roman"/>
          <w:sz w:val="27"/>
          <w:szCs w:val="27"/>
          <w:rtl w:val="0"/>
        </w:rPr>
        <w:t xml:space="preserve">Article 5(8): Distinguishing a PE from an Associated Enterprise Under Article 9</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5(8) of the OECD Model Tax Convention distinguishes between the concepts of "closely related" enterprises and "associated enterprises" under Article 9. While both refer to relationships involving control or ownership between entities, they serve different purposes. "Closely related" enterprises, as described in Article 5(8), are defined by control, which can be direct or indirect, or through special arrangements where one party holds over 50% of the beneficial interest or voting power in the other. This ensures that such relationships are automatically recognized for determining permanent establishment (PE) status, aligning with the anti-avoidance measures of paragraphs 4.1 and 6.</w:t>
      </w:r>
    </w:p>
    <w:p w:rsidR="00000000" w:rsidDel="00000000" w:rsidP="00000000" w:rsidRDefault="00000000" w:rsidRPr="00000000" w14:paraId="000000C4">
      <w:pPr>
        <w:pStyle w:val="Heading2"/>
        <w:numPr>
          <w:ilvl w:val="0"/>
          <w:numId w:val="11"/>
        </w:numPr>
        <w:ind w:left="360" w:hanging="360"/>
        <w:rPr>
          <w:rFonts w:ascii="Times New Roman" w:cs="Times New Roman" w:eastAsia="Times New Roman" w:hAnsi="Times New Roman"/>
          <w:sz w:val="27"/>
          <w:szCs w:val="27"/>
        </w:rPr>
      </w:pPr>
      <w:bookmarkStart w:colFirst="0" w:colLast="0" w:name="_heading=h.1v1yuxt" w:id="18"/>
      <w:bookmarkEnd w:id="18"/>
      <w:r w:rsidDel="00000000" w:rsidR="00000000" w:rsidRPr="00000000">
        <w:rPr>
          <w:rFonts w:ascii="Times New Roman" w:cs="Times New Roman" w:eastAsia="Times New Roman" w:hAnsi="Times New Roman"/>
          <w:sz w:val="27"/>
          <w:szCs w:val="27"/>
          <w:rtl w:val="0"/>
        </w:rPr>
        <w:t xml:space="preserve">Electronic Commerce and Permanent Establishment</w:t>
      </w:r>
    </w:p>
    <w:p w:rsidR="00000000" w:rsidDel="00000000" w:rsidP="00000000" w:rsidRDefault="00000000" w:rsidRPr="00000000" w14:paraId="000000C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480" w:right="0" w:hanging="48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 of Computer Equipment and Servers as a Fixed Place of Business</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8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the digital age, the question of whether computer equipment or servers can create a PE has become increasingly important. The OECD has clarified that a server or other tangible computer equipment can constitute a "fixed place of business" if it is located in a specific jurisdiction and used to carry out core business activities.</w:t>
      </w:r>
    </w:p>
    <w:p w:rsidR="00000000" w:rsidDel="00000000" w:rsidP="00000000" w:rsidRDefault="00000000" w:rsidRPr="00000000" w14:paraId="000000C7">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Servers/Tangible Computer Equipment Constituting a Fixed Place of Business</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an enterprise uses a server located in a foreign jurisdiction to carry out its business operations, such as processing transactions or providing digital services, that server could create a PE if it meets the requirements of being fixed and used to carry on the business. The server must be physically located in the jurisdiction, and the enterprise must have effective control over its use.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company that sells digital products and stores its inventory of digital content on a server located in another country could create a PE if that server is used to process customer transactions and deliver the products. If the server is used solely for auxiliary activities, such as data storage or customer support, it may not constitute a PE under Article 5(4).</w:t>
      </w:r>
      <w:r w:rsidDel="00000000" w:rsidR="00000000" w:rsidRPr="00000000">
        <w:rPr>
          <w:rtl w:val="0"/>
        </w:rPr>
      </w:r>
    </w:p>
    <w:p w:rsidR="00000000" w:rsidDel="00000000" w:rsidP="00000000" w:rsidRDefault="00000000" w:rsidRPr="00000000" w14:paraId="000000CB">
      <w:pPr>
        <w:pStyle w:val="Heading2"/>
        <w:numPr>
          <w:ilvl w:val="0"/>
          <w:numId w:val="11"/>
        </w:numPr>
        <w:ind w:left="360" w:hanging="360"/>
        <w:rPr>
          <w:rFonts w:ascii="Times New Roman" w:cs="Times New Roman" w:eastAsia="Times New Roman" w:hAnsi="Times New Roman"/>
          <w:sz w:val="27"/>
          <w:szCs w:val="27"/>
        </w:rPr>
      </w:pPr>
      <w:bookmarkStart w:colFirst="0" w:colLast="0" w:name="_heading=h.4f1mdlm" w:id="19"/>
      <w:bookmarkEnd w:id="19"/>
      <w:r w:rsidDel="00000000" w:rsidR="00000000" w:rsidRPr="00000000">
        <w:rPr>
          <w:rFonts w:ascii="Times New Roman" w:cs="Times New Roman" w:eastAsia="Times New Roman" w:hAnsi="Times New Roman"/>
          <w:sz w:val="27"/>
          <w:szCs w:val="27"/>
          <w:rtl w:val="0"/>
        </w:rPr>
        <w:t xml:space="preserve">Services PE Provisions – An Alternative Provision Included in Some Treaties</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tax treaties include a "services PE" provision, which establishes a PE based on the duration of the presence of individuals providing services in the source country. This provision recognizes that a foreign enterprise may establish a PE without having a fixed place of business if its employees or agents are present in the source country for an extended period while providing services.</w:t>
      </w:r>
    </w:p>
    <w:p w:rsidR="00000000" w:rsidDel="00000000" w:rsidP="00000000" w:rsidRDefault="00000000" w:rsidRPr="00000000" w14:paraId="000000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Single Individual</w:t>
      </w:r>
    </w:p>
    <w:p w:rsidR="00000000" w:rsidDel="00000000" w:rsidP="00000000" w:rsidRDefault="00000000" w:rsidRPr="00000000" w14:paraId="000000C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Sole Proprietorship, Partnership, or Employee of a Company</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services PE can be created if an individual performs services in a source country for a period exceeding 183 days in any twelve-month period. This individual could be a sole proprietor, partner in a partnership, or employee of a company. For a PE to exist, the individual must be engaged in the active conduct of the enterprise’s business activities within the source country.</w:t>
      </w:r>
    </w:p>
    <w:p w:rsidR="00000000" w:rsidDel="00000000" w:rsidP="00000000" w:rsidRDefault="00000000" w:rsidRPr="00000000" w14:paraId="000000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Revenue Threshold</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some treaties, a PE may only be created if more than 50% of the gross revenues attributable to the enterprise are derived from services performed in the source country. This ensures that only substantial business activities result in a PE, preventing the taxation of minor or incidental services.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Services Relating to a Project (or Connected Projects)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PE can also be created if services are provided in connection with a specific project or set of connected projects that last for a substantial period. This provision is often found in treaties involving construction, engineering, or consulting services, where projects may require prolonged stays by employees or contractors in the source country.</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If an engineering firm sends a team of employees to work on a construction project in another country for more than 183 days, the firm may be deemed to have a PE under the services PE provision, even if it does not have a fixed office or place of business in that country.</w:t>
      </w:r>
      <w:r w:rsidDel="00000000" w:rsidR="00000000" w:rsidRPr="00000000">
        <w:rPr>
          <w:rtl w:val="0"/>
        </w:rPr>
      </w:r>
    </w:p>
    <w:p w:rsidR="00000000" w:rsidDel="00000000" w:rsidP="00000000" w:rsidRDefault="00000000" w:rsidRPr="00000000" w14:paraId="000000D5">
      <w:pPr>
        <w:pStyle w:val="Heading2"/>
        <w:numPr>
          <w:ilvl w:val="0"/>
          <w:numId w:val="11"/>
        </w:numPr>
        <w:ind w:left="360" w:hanging="360"/>
        <w:rPr>
          <w:rFonts w:ascii="Times New Roman" w:cs="Times New Roman" w:eastAsia="Times New Roman" w:hAnsi="Times New Roman"/>
          <w:sz w:val="27"/>
          <w:szCs w:val="27"/>
        </w:rPr>
      </w:pPr>
      <w:bookmarkStart w:colFirst="0" w:colLast="0" w:name="_heading=h.2u6wntf" w:id="20"/>
      <w:bookmarkEnd w:id="20"/>
      <w:r w:rsidDel="00000000" w:rsidR="00000000" w:rsidRPr="00000000">
        <w:rPr>
          <w:rFonts w:ascii="Times New Roman" w:cs="Times New Roman" w:eastAsia="Times New Roman" w:hAnsi="Times New Roman"/>
          <w:sz w:val="27"/>
          <w:szCs w:val="27"/>
          <w:rtl w:val="0"/>
        </w:rPr>
        <w:t xml:space="preserve">Comparison of Article 5 of the OECD MTC (2017) and UN MTC (2021)</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distinctions between the OECD MTC and UN MTC in the following paragraphs, as the text is identical in both conventions. </w:t>
      </w:r>
    </w:p>
    <w:p w:rsidR="00000000" w:rsidDel="00000000" w:rsidP="00000000" w:rsidRDefault="00000000" w:rsidRPr="00000000" w14:paraId="000000D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5 (1)</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5 (2)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5 (4)</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5 (4.1)</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5 (7) UN MTC</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is the same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5 (6) OECD MTC</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5 (8)</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 MTC</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is the same a OECD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5 (7)</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5 (9)</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 MTC</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is the same a OECD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5 (8)</w:t>
      </w: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 with distinctions are discusses below. </w:t>
      </w:r>
    </w:p>
    <w:p w:rsidR="00000000" w:rsidDel="00000000" w:rsidP="00000000" w:rsidRDefault="00000000" w:rsidRPr="00000000" w14:paraId="000000D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480" w:right="0" w:hanging="48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5 (3): Construction and Service Permanent Establishments</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8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UN MTC reduces the time threshold for a construction, assembly, or installation project (including supervisory activities) to 6 months, whereas the OECD MTC requires the project to last more than 12 months. Additionally, the UN MTC introduces a provision for service PEs, stating that furnishing services (including consultancy services) through employees or other personnel constitutes a PE if such activities last more than 183 days in any 12-month period, a provision not included in the OECD MTC.</w:t>
      </w:r>
    </w:p>
    <w:p w:rsidR="00000000" w:rsidDel="00000000" w:rsidP="00000000" w:rsidRDefault="00000000" w:rsidRPr="00000000" w14:paraId="000000E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480" w:right="0" w:hanging="48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5 (5): Dependent Agent Permanent Establishment (DAPE)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8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UN MTC expands the scope of DAPE to include situations where a person habitually maintains a stock of goods and regularly delivers them on behalf of the enterprise, thereby constituting a PE under certain conditions. In contrast, the OECD MTC does not include this provision and instead focuses on the habitual conclusion of contracts or playing a principal role leading to their conclusion.</w:t>
      </w:r>
    </w:p>
    <w:p w:rsidR="00000000" w:rsidDel="00000000" w:rsidP="00000000" w:rsidRDefault="00000000" w:rsidRPr="00000000" w14:paraId="000000E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480" w:right="0" w:hanging="48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5 (6): Insurance Permanent Establishment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8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UN MTC introduces specific provisions for insurance enterprises, deeming them to have a PE if they collect premiums or insure risks in the other state, excluding reinsurance. In contrast, the OECD MTC does not include any provisions specifically addressing insurance enterprises.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8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1"/>
        <w:jc w:val="both"/>
        <w:rPr/>
      </w:pPr>
      <w:bookmarkStart w:colFirst="0" w:colLast="0" w:name="_heading=h.19c6y18" w:id="21"/>
      <w:bookmarkEnd w:id="21"/>
      <w:r w:rsidDel="00000000" w:rsidR="00000000" w:rsidRPr="00000000">
        <w:rPr>
          <w:rtl w:val="0"/>
        </w:rPr>
        <w:t xml:space="preserve">G.3. BEPS ACTION 7: PREVENTING THE ARTIFICIAL AVOIDANCE OF A PERMANENT ESTABLISHMENT</w:t>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pStyle w:val="Heading2"/>
        <w:numPr>
          <w:ilvl w:val="0"/>
          <w:numId w:val="18"/>
        </w:numPr>
        <w:spacing w:after="200" w:lineRule="auto"/>
        <w:ind w:left="720" w:hanging="360"/>
        <w:jc w:val="both"/>
        <w:rPr>
          <w:rFonts w:ascii="Times New Roman" w:cs="Times New Roman" w:eastAsia="Times New Roman" w:hAnsi="Times New Roman"/>
          <w:sz w:val="27"/>
          <w:szCs w:val="27"/>
        </w:rPr>
      </w:pPr>
      <w:bookmarkStart w:colFirst="0" w:colLast="0" w:name="_heading=h.p2sfchnc84dl" w:id="22"/>
      <w:bookmarkEnd w:id="22"/>
      <w:r w:rsidDel="00000000" w:rsidR="00000000" w:rsidRPr="00000000">
        <w:rPr>
          <w:rFonts w:ascii="Times New Roman" w:cs="Times New Roman" w:eastAsia="Times New Roman" w:hAnsi="Times New Roman"/>
          <w:sz w:val="27"/>
          <w:szCs w:val="27"/>
          <w:rtl w:val="0"/>
        </w:rPr>
        <w:t xml:space="preserve">Introduction</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w:t>
      </w:r>
      <w:r w:rsidDel="00000000" w:rsidR="00000000" w:rsidRPr="00000000">
        <w:rPr>
          <w:rFonts w:ascii="Times New Roman" w:cs="Times New Roman" w:eastAsia="Times New Roman" w:hAnsi="Times New Roman"/>
          <w:b w:val="1"/>
          <w:sz w:val="24"/>
          <w:szCs w:val="24"/>
          <w:rtl w:val="0"/>
        </w:rPr>
        <w:t xml:space="preserve">Permanent Establishment (PE)</w:t>
      </w:r>
      <w:r w:rsidDel="00000000" w:rsidR="00000000" w:rsidRPr="00000000">
        <w:rPr>
          <w:rFonts w:ascii="Times New Roman" w:cs="Times New Roman" w:eastAsia="Times New Roman" w:hAnsi="Times New Roman"/>
          <w:sz w:val="24"/>
          <w:szCs w:val="24"/>
          <w:rtl w:val="0"/>
        </w:rPr>
        <w:t xml:space="preserve"> is fundamental to international tax treaties, determining whether and to what extent a foreign enterprise must pay income tax in a particular jurisdiction. The term "PE" typically refers to a fixed place of business through which the operations of a foreign company are wholly or partially carried out. Under the framework of international tax treaties, particularly those following the OECD Model Tax Convention, foreign businesses are generally taxed in a country only if they have a PE there. However, multinational enterprises (MNEs) have developed strategies to artificially avoid creating a PE in certain jurisdictions, thereby shifting profits out of higher-tax jurisdictions into lower-tax ones, thus eroding the tax base of many countries.</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concerns, the </w:t>
      </w:r>
      <w:r w:rsidDel="00000000" w:rsidR="00000000" w:rsidRPr="00000000">
        <w:rPr>
          <w:rFonts w:ascii="Times New Roman" w:cs="Times New Roman" w:eastAsia="Times New Roman" w:hAnsi="Times New Roman"/>
          <w:b w:val="1"/>
          <w:sz w:val="24"/>
          <w:szCs w:val="24"/>
          <w:rtl w:val="0"/>
        </w:rPr>
        <w:t xml:space="preserve">Base Erosion and Profit Shifting (BEPS) Action Plan</w:t>
      </w:r>
      <w:r w:rsidDel="00000000" w:rsidR="00000000" w:rsidRPr="00000000">
        <w:rPr>
          <w:rFonts w:ascii="Times New Roman" w:cs="Times New Roman" w:eastAsia="Times New Roman" w:hAnsi="Times New Roman"/>
          <w:sz w:val="24"/>
          <w:szCs w:val="24"/>
          <w:rtl w:val="0"/>
        </w:rPr>
        <w:t xml:space="preserve">, initiated by the OECD, introduced </w:t>
      </w:r>
      <w:r w:rsidDel="00000000" w:rsidR="00000000" w:rsidRPr="00000000">
        <w:rPr>
          <w:rFonts w:ascii="Times New Roman" w:cs="Times New Roman" w:eastAsia="Times New Roman" w:hAnsi="Times New Roman"/>
          <w:b w:val="1"/>
          <w:sz w:val="24"/>
          <w:szCs w:val="24"/>
          <w:rtl w:val="0"/>
        </w:rPr>
        <w:t xml:space="preserve">Action 7: Preventing the Artificial Avoidance of Permanent Establishment Status</w:t>
      </w:r>
      <w:r w:rsidDel="00000000" w:rsidR="00000000" w:rsidRPr="00000000">
        <w:rPr>
          <w:rFonts w:ascii="Times New Roman" w:cs="Times New Roman" w:eastAsia="Times New Roman" w:hAnsi="Times New Roman"/>
          <w:sz w:val="24"/>
          <w:szCs w:val="24"/>
          <w:rtl w:val="0"/>
        </w:rPr>
        <w:t xml:space="preserve">. This initiative focuses on revising the PE definition in tax treaties to prevent tax avoidance strategies that exploit weaknesses in the existing framework. Action 7 is particularly important in the digital economy, where companies often operate without a significant physical presence but still generate substantial revenue.</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note explores the key definitional provisions related to PE under BEPS Action 7, focusing on three main areas: </w:t>
      </w:r>
    </w:p>
    <w:p w:rsidR="00000000" w:rsidDel="00000000" w:rsidP="00000000" w:rsidRDefault="00000000" w:rsidRPr="00000000" w14:paraId="000000FA">
      <w:pPr>
        <w:numPr>
          <w:ilvl w:val="0"/>
          <w:numId w:val="16"/>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artificial avoidance of PE status through </w:t>
      </w:r>
      <w:r w:rsidDel="00000000" w:rsidR="00000000" w:rsidRPr="00000000">
        <w:rPr>
          <w:rFonts w:ascii="Times New Roman" w:cs="Times New Roman" w:eastAsia="Times New Roman" w:hAnsi="Times New Roman"/>
          <w:b w:val="1"/>
          <w:sz w:val="24"/>
          <w:szCs w:val="24"/>
          <w:rtl w:val="0"/>
        </w:rPr>
        <w:t xml:space="preserve">commissionnaire arrangements</w:t>
      </w:r>
      <w:r w:rsidDel="00000000" w:rsidR="00000000" w:rsidRPr="00000000">
        <w:rPr>
          <w:rFonts w:ascii="Times New Roman" w:cs="Times New Roman" w:eastAsia="Times New Roman" w:hAnsi="Times New Roman"/>
          <w:sz w:val="24"/>
          <w:szCs w:val="24"/>
          <w:rtl w:val="0"/>
        </w:rPr>
        <w:t xml:space="preserve"> and similar strategies, </w:t>
      </w:r>
    </w:p>
    <w:p w:rsidR="00000000" w:rsidDel="00000000" w:rsidP="00000000" w:rsidRDefault="00000000" w:rsidRPr="00000000" w14:paraId="000000FB">
      <w:pPr>
        <w:numPr>
          <w:ilvl w:val="0"/>
          <w:numId w:val="16"/>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exploitation of </w:t>
      </w:r>
      <w:r w:rsidDel="00000000" w:rsidR="00000000" w:rsidRPr="00000000">
        <w:rPr>
          <w:rFonts w:ascii="Times New Roman" w:cs="Times New Roman" w:eastAsia="Times New Roman" w:hAnsi="Times New Roman"/>
          <w:b w:val="1"/>
          <w:sz w:val="24"/>
          <w:szCs w:val="24"/>
          <w:rtl w:val="0"/>
        </w:rPr>
        <w:t xml:space="preserve">specific exceptions</w:t>
      </w:r>
      <w:r w:rsidDel="00000000" w:rsidR="00000000" w:rsidRPr="00000000">
        <w:rPr>
          <w:rFonts w:ascii="Times New Roman" w:cs="Times New Roman" w:eastAsia="Times New Roman" w:hAnsi="Times New Roman"/>
          <w:sz w:val="24"/>
          <w:szCs w:val="24"/>
          <w:rtl w:val="0"/>
        </w:rPr>
        <w:t xml:space="preserve"> to the PE definition found in Article 5(4) of the OECD Model Tax Convention, and </w:t>
      </w:r>
    </w:p>
    <w:p w:rsidR="00000000" w:rsidDel="00000000" w:rsidP="00000000" w:rsidRDefault="00000000" w:rsidRPr="00000000" w14:paraId="000000FC">
      <w:pPr>
        <w:numPr>
          <w:ilvl w:val="0"/>
          <w:numId w:val="16"/>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strategies involving the </w:t>
      </w:r>
      <w:r w:rsidDel="00000000" w:rsidR="00000000" w:rsidRPr="00000000">
        <w:rPr>
          <w:rFonts w:ascii="Times New Roman" w:cs="Times New Roman" w:eastAsia="Times New Roman" w:hAnsi="Times New Roman"/>
          <w:b w:val="1"/>
          <w:sz w:val="24"/>
          <w:szCs w:val="24"/>
          <w:rtl w:val="0"/>
        </w:rPr>
        <w:t xml:space="preserve">splitting of contracts</w:t>
      </w:r>
      <w:r w:rsidDel="00000000" w:rsidR="00000000" w:rsidRPr="00000000">
        <w:rPr>
          <w:rFonts w:ascii="Times New Roman" w:cs="Times New Roman" w:eastAsia="Times New Roman" w:hAnsi="Times New Roman"/>
          <w:sz w:val="24"/>
          <w:szCs w:val="24"/>
          <w:rtl w:val="0"/>
        </w:rPr>
        <w:t xml:space="preserve"> to avoid PE creation in construction projects.</w:t>
      </w:r>
    </w:p>
    <w:p w:rsidR="00000000" w:rsidDel="00000000" w:rsidP="00000000" w:rsidRDefault="00000000" w:rsidRPr="00000000" w14:paraId="000000FD">
      <w:pPr>
        <w:pStyle w:val="Heading2"/>
        <w:numPr>
          <w:ilvl w:val="0"/>
          <w:numId w:val="18"/>
        </w:numPr>
        <w:spacing w:after="200" w:lineRule="auto"/>
        <w:ind w:left="720" w:hanging="360"/>
        <w:jc w:val="both"/>
        <w:rPr>
          <w:rFonts w:ascii="Times New Roman" w:cs="Times New Roman" w:eastAsia="Times New Roman" w:hAnsi="Times New Roman"/>
          <w:sz w:val="27"/>
          <w:szCs w:val="27"/>
        </w:rPr>
      </w:pPr>
      <w:bookmarkStart w:colFirst="0" w:colLast="0" w:name="_heading=h.28h4qwu" w:id="23"/>
      <w:bookmarkEnd w:id="23"/>
      <w:r w:rsidDel="00000000" w:rsidR="00000000" w:rsidRPr="00000000">
        <w:rPr>
          <w:rFonts w:ascii="Times New Roman" w:cs="Times New Roman" w:eastAsia="Times New Roman" w:hAnsi="Times New Roman"/>
          <w:sz w:val="27"/>
          <w:szCs w:val="27"/>
          <w:rtl w:val="0"/>
        </w:rPr>
        <w:t xml:space="preserve">Commissionnaire Arrangements and Similar Strategies</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concern addressed under BEPS Action 7 is the artificial avoidance of PE status through the use of </w:t>
      </w:r>
      <w:r w:rsidDel="00000000" w:rsidR="00000000" w:rsidRPr="00000000">
        <w:rPr>
          <w:rFonts w:ascii="Times New Roman" w:cs="Times New Roman" w:eastAsia="Times New Roman" w:hAnsi="Times New Roman"/>
          <w:b w:val="1"/>
          <w:sz w:val="24"/>
          <w:szCs w:val="24"/>
          <w:rtl w:val="0"/>
        </w:rPr>
        <w:t xml:space="preserve">commissionnaire arrangements</w:t>
      </w:r>
      <w:r w:rsidDel="00000000" w:rsidR="00000000" w:rsidRPr="00000000">
        <w:rPr>
          <w:rFonts w:ascii="Times New Roman" w:cs="Times New Roman" w:eastAsia="Times New Roman" w:hAnsi="Times New Roman"/>
          <w:sz w:val="24"/>
          <w:szCs w:val="24"/>
          <w:rtl w:val="0"/>
        </w:rPr>
        <w:t xml:space="preserve">. In such arrangements, a commissionnaire, acting in its own name, sells products or services on behalf of a foreign enterprise. Despite the sales being made within a country, the foreign enterprise avoids creating a PE because the commissionnaire is not considered a dependent agent under the existing rules, particularly Article 5(5) of the OECD Model Tax Convention.</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Commissionnaire arrangements allow MNEs to structure their operations in a way that avoids establishing a taxable presence (PE) in the jurisdiction where sales are made. By shifting the sales process to an intermediary who does not own the products being sold, the foreign enterprise avoids being taxed on the profits from these sales, even though the business functions performed within the country remain unchanged. Instead, the commissionnaire is only taxed on the small commission it earns for its services, while the bulk of the profits is shifted to the foreign enterprise, often in a low-tax jurisdiction.</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BEPS Action 7 tackles this issue by amending Article 5(5) and Article 5(6) of the OECD Model Tax Convention to ensure that foreign enterprises cannot avoid PE status when an intermediary (such as a commissionnaire) habitually concludes contracts, or plays a key role in the negotiation and conclusion of contracts, on behalf of the foreign enterprise. The revised provisions focus on the substance of the activities performed rather than the formalities of who concludes the contract. If the intermediary is acting on behalf of the foreign enterprise and is closely related to it, the foreign enterprise is deemed to have a PE in the country where the intermediary operates unless the intermediary qualifies as an independent agent acting in the ordinary course of its own business.</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change prevents foreign enterprises from using intermediaries to artificially avoid creating a taxable presence and ensures that profits derived from activities in a country are subject to taxation in that jurisdiction.</w:t>
      </w:r>
    </w:p>
    <w:p w:rsidR="00000000" w:rsidDel="00000000" w:rsidP="00000000" w:rsidRDefault="00000000" w:rsidRPr="00000000" w14:paraId="00000102">
      <w:pPr>
        <w:pStyle w:val="Heading2"/>
        <w:numPr>
          <w:ilvl w:val="0"/>
          <w:numId w:val="18"/>
        </w:numPr>
        <w:spacing w:after="200" w:lineRule="auto"/>
        <w:ind w:left="720" w:hanging="360"/>
        <w:jc w:val="both"/>
        <w:rPr>
          <w:rFonts w:ascii="Times New Roman" w:cs="Times New Roman" w:eastAsia="Times New Roman" w:hAnsi="Times New Roman"/>
          <w:sz w:val="27"/>
          <w:szCs w:val="27"/>
        </w:rPr>
      </w:pPr>
      <w:bookmarkStart w:colFirst="0" w:colLast="0" w:name="_heading=h.9xnpqolbmnf" w:id="24"/>
      <w:bookmarkEnd w:id="24"/>
      <w:r w:rsidDel="00000000" w:rsidR="00000000" w:rsidRPr="00000000">
        <w:rPr>
          <w:rFonts w:ascii="Times New Roman" w:cs="Times New Roman" w:eastAsia="Times New Roman" w:hAnsi="Times New Roman"/>
          <w:sz w:val="27"/>
          <w:szCs w:val="27"/>
          <w:rtl w:val="0"/>
        </w:rPr>
        <w:t xml:space="preserve">Artificial Avoidance of PE Status Through Specific Exceptions in Article 5(4)</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major area of concern addressed by BEPS Action 7 involves the use of </w:t>
      </w:r>
      <w:r w:rsidDel="00000000" w:rsidR="00000000" w:rsidRPr="00000000">
        <w:rPr>
          <w:rFonts w:ascii="Times New Roman" w:cs="Times New Roman" w:eastAsia="Times New Roman" w:hAnsi="Times New Roman"/>
          <w:b w:val="1"/>
          <w:sz w:val="24"/>
          <w:szCs w:val="24"/>
          <w:rtl w:val="0"/>
        </w:rPr>
        <w:t xml:space="preserve">specific exceptions</w:t>
      </w:r>
      <w:r w:rsidDel="00000000" w:rsidR="00000000" w:rsidRPr="00000000">
        <w:rPr>
          <w:rFonts w:ascii="Times New Roman" w:cs="Times New Roman" w:eastAsia="Times New Roman" w:hAnsi="Times New Roman"/>
          <w:sz w:val="24"/>
          <w:szCs w:val="24"/>
          <w:rtl w:val="0"/>
        </w:rPr>
        <w:t xml:space="preserve"> to PE status found in </w:t>
      </w:r>
      <w:r w:rsidDel="00000000" w:rsidR="00000000" w:rsidRPr="00000000">
        <w:rPr>
          <w:rFonts w:ascii="Times New Roman" w:cs="Times New Roman" w:eastAsia="Times New Roman" w:hAnsi="Times New Roman"/>
          <w:b w:val="1"/>
          <w:sz w:val="24"/>
          <w:szCs w:val="24"/>
          <w:rtl w:val="0"/>
        </w:rPr>
        <w:t xml:space="preserve">Article 5(4)</w:t>
      </w:r>
      <w:r w:rsidDel="00000000" w:rsidR="00000000" w:rsidRPr="00000000">
        <w:rPr>
          <w:rFonts w:ascii="Times New Roman" w:cs="Times New Roman" w:eastAsia="Times New Roman" w:hAnsi="Times New Roman"/>
          <w:sz w:val="24"/>
          <w:szCs w:val="24"/>
          <w:rtl w:val="0"/>
        </w:rPr>
        <w:t xml:space="preserve"> of the OECD Model Tax Convention. These exceptions allow certain activities to be conducted in a country without creating a PE, provided that these activities are of a "preparatory or auxiliary" nature. Historically, the activities covered by these exceptions, such as warehousing or purchasing goods, were considered minor and did not justify a taxable presence.</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changes in business practices, particularly due to the rise of the digital economy, have made some of these activities central to a company’s core operations. For example, a warehouse used to store goods may no longer be merely "preparatory" if it forms an integral part of a company’s distribution network. As a result, MNEs can exploit these exceptions by arguing that their activities in a country are only preparatory or auxiliary, even when they are critical to the business’s overall operation.</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issue, BEPS Action 7 introduces changes to Article 5(4) that narrow the scope of these exceptions. The modifications ensure that activities can only benefit from the exceptions if they are genuinely preparatory or auxiliary in nature. If the activities performed in a country go beyond this threshold and form an essential part of the business, they can no longer be excluded from creating a PE. This change is especially relevant for digital businesses, where traditional physical presence may be minimal, but significant value is generated from operations conducted remotely or through digital platforms.</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clarifying the preparatory or auxiliary nature of activities, BEPS Action 7 also addresses the issue of </w:t>
      </w:r>
      <w:r w:rsidDel="00000000" w:rsidR="00000000" w:rsidRPr="00000000">
        <w:rPr>
          <w:rFonts w:ascii="Times New Roman" w:cs="Times New Roman" w:eastAsia="Times New Roman" w:hAnsi="Times New Roman"/>
          <w:b w:val="1"/>
          <w:sz w:val="24"/>
          <w:szCs w:val="24"/>
          <w:rtl w:val="0"/>
        </w:rPr>
        <w:t xml:space="preserve">fragmentation</w:t>
      </w:r>
      <w:r w:rsidDel="00000000" w:rsidR="00000000" w:rsidRPr="00000000">
        <w:rPr>
          <w:rFonts w:ascii="Times New Roman" w:cs="Times New Roman" w:eastAsia="Times New Roman" w:hAnsi="Times New Roman"/>
          <w:sz w:val="24"/>
          <w:szCs w:val="24"/>
          <w:rtl w:val="0"/>
        </w:rPr>
        <w:t xml:space="preserve">. Fragmentation occurs when an MNE artificially splits its operations into smaller, seemingly independent activities to take advantage of the exceptions in Article 5(4). By fragmenting its business functions across multiple entities, each of which conducts a small part of the overall business in a country, an enterprise can argue that none of these activities, taken individually, create a PE. The </w:t>
      </w:r>
      <w:r w:rsidDel="00000000" w:rsidR="00000000" w:rsidRPr="00000000">
        <w:rPr>
          <w:rFonts w:ascii="Times New Roman" w:cs="Times New Roman" w:eastAsia="Times New Roman" w:hAnsi="Times New Roman"/>
          <w:b w:val="1"/>
          <w:sz w:val="24"/>
          <w:szCs w:val="24"/>
          <w:rtl w:val="0"/>
        </w:rPr>
        <w:t xml:space="preserve">anti-fragmentation rule</w:t>
      </w:r>
      <w:r w:rsidDel="00000000" w:rsidR="00000000" w:rsidRPr="00000000">
        <w:rPr>
          <w:rFonts w:ascii="Times New Roman" w:cs="Times New Roman" w:eastAsia="Times New Roman" w:hAnsi="Times New Roman"/>
          <w:sz w:val="24"/>
          <w:szCs w:val="24"/>
          <w:rtl w:val="0"/>
        </w:rPr>
        <w:t xml:space="preserve"> introduced in BEPS Action 7 ensures that businesses cannot avoid PE status by fragmenting their activities. If different parts of a business, even if conducted by separate entities, are part of a cohesive operation, they will be treated as a whole, and PE status will be assessed accordingly.</w:t>
      </w:r>
    </w:p>
    <w:p w:rsidR="00000000" w:rsidDel="00000000" w:rsidP="00000000" w:rsidRDefault="00000000" w:rsidRPr="00000000" w14:paraId="00000107">
      <w:pPr>
        <w:pStyle w:val="Heading2"/>
        <w:numPr>
          <w:ilvl w:val="0"/>
          <w:numId w:val="18"/>
        </w:numPr>
        <w:spacing w:after="200" w:lineRule="auto"/>
        <w:ind w:left="720" w:hanging="360"/>
        <w:jc w:val="both"/>
        <w:rPr>
          <w:rFonts w:ascii="Times New Roman" w:cs="Times New Roman" w:eastAsia="Times New Roman" w:hAnsi="Times New Roman"/>
          <w:sz w:val="27"/>
          <w:szCs w:val="27"/>
        </w:rPr>
      </w:pPr>
      <w:bookmarkStart w:colFirst="0" w:colLast="0" w:name="_heading=h.jtr8fshpa0w" w:id="25"/>
      <w:bookmarkEnd w:id="25"/>
      <w:r w:rsidDel="00000000" w:rsidR="00000000" w:rsidRPr="00000000">
        <w:rPr>
          <w:rFonts w:ascii="Times New Roman" w:cs="Times New Roman" w:eastAsia="Times New Roman" w:hAnsi="Times New Roman"/>
          <w:sz w:val="27"/>
          <w:szCs w:val="27"/>
          <w:rtl w:val="0"/>
        </w:rPr>
        <w:t xml:space="preserve">Splitting of Contracts in Construction Projects</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area addressed by BEPS Action 7 involves the </w:t>
      </w:r>
      <w:r w:rsidDel="00000000" w:rsidR="00000000" w:rsidRPr="00000000">
        <w:rPr>
          <w:rFonts w:ascii="Times New Roman" w:cs="Times New Roman" w:eastAsia="Times New Roman" w:hAnsi="Times New Roman"/>
          <w:b w:val="1"/>
          <w:sz w:val="24"/>
          <w:szCs w:val="24"/>
          <w:rtl w:val="0"/>
        </w:rPr>
        <w:t xml:space="preserve">splitting of contracts</w:t>
      </w:r>
      <w:r w:rsidDel="00000000" w:rsidR="00000000" w:rsidRPr="00000000">
        <w:rPr>
          <w:rFonts w:ascii="Times New Roman" w:cs="Times New Roman" w:eastAsia="Times New Roman" w:hAnsi="Times New Roman"/>
          <w:sz w:val="24"/>
          <w:szCs w:val="24"/>
          <w:rtl w:val="0"/>
        </w:rPr>
        <w:t xml:space="preserve"> in construction and installation projects. Under Article 5(3) of the OECD Model Tax Convention, construction sites create a PE if they last for more than a certain period, typically 12 months. To avoid PE status, MNEs may split a large construction project into several smaller contracts, each lasting less than the threshold period, and allocate them to different related entities. This practice allows the enterprise to carry out significant construction activities in a country without creating a PE.</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BEPS Action 7 introduces the </w:t>
      </w:r>
      <w:r w:rsidDel="00000000" w:rsidR="00000000" w:rsidRPr="00000000">
        <w:rPr>
          <w:rFonts w:ascii="Times New Roman" w:cs="Times New Roman" w:eastAsia="Times New Roman" w:hAnsi="Times New Roman"/>
          <w:b w:val="1"/>
          <w:sz w:val="24"/>
          <w:szCs w:val="24"/>
          <w:rtl w:val="0"/>
        </w:rPr>
        <w:t xml:space="preserve">Principal Purposes Test (PPT)</w:t>
      </w:r>
      <w:r w:rsidDel="00000000" w:rsidR="00000000" w:rsidRPr="00000000">
        <w:rPr>
          <w:rFonts w:ascii="Times New Roman" w:cs="Times New Roman" w:eastAsia="Times New Roman" w:hAnsi="Times New Roman"/>
          <w:sz w:val="24"/>
          <w:szCs w:val="24"/>
          <w:rtl w:val="0"/>
        </w:rPr>
        <w:t xml:space="preserve"> to combat this strategy. The PPT is designed to prevent tax avoidance by denying treaty benefits, such as the PE threshold for construction sites, when one of the principal purposes of an arrangement is to obtain those benefits. The PPT applies broadly and ensures that businesses cannot artificially structure their operations to avoid creating a taxable presence. This measure is especially important for countries that may lack strong domestic anti-abuse rules.</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PPT, BEPS Action 7 also proposes an </w:t>
      </w:r>
      <w:r w:rsidDel="00000000" w:rsidR="00000000" w:rsidRPr="00000000">
        <w:rPr>
          <w:rFonts w:ascii="Times New Roman" w:cs="Times New Roman" w:eastAsia="Times New Roman" w:hAnsi="Times New Roman"/>
          <w:b w:val="1"/>
          <w:sz w:val="24"/>
          <w:szCs w:val="24"/>
          <w:rtl w:val="0"/>
        </w:rPr>
        <w:t xml:space="preserve">automatic rule</w:t>
      </w:r>
      <w:r w:rsidDel="00000000" w:rsidR="00000000" w:rsidRPr="00000000">
        <w:rPr>
          <w:rFonts w:ascii="Times New Roman" w:cs="Times New Roman" w:eastAsia="Times New Roman" w:hAnsi="Times New Roman"/>
          <w:sz w:val="24"/>
          <w:szCs w:val="24"/>
          <w:rtl w:val="0"/>
        </w:rPr>
        <w:t xml:space="preserve"> for countries that are particularly concerned with the splitting of contracts. This rule provides an alternative to the PPT and ensures that construction activities carried out by closely related enterprises are aggregated for the purpose of determining whether the PE threshold is met.</w:t>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pBdr>
        <w:top w:color="d9d9d9" w:space="1" w:sz="4" w:val="single"/>
        <w:left w:space="0" w:sz="0" w:val="nil"/>
        <w:bottom w:space="0" w:sz="0" w:val="nil"/>
        <w:right w:space="0" w:sz="0" w:val="nil"/>
        <w:between w:space="0" w:sz="0" w:val="nil"/>
      </w:pBdr>
      <w:tabs>
        <w:tab w:val="center" w:leader="none" w:pos="4513"/>
        <w:tab w:val="right" w:leader="none" w:pos="9026"/>
      </w:tabs>
      <w:spacing w:after="0" w:line="240" w:lineRule="auto"/>
      <w:ind w:left="3407" w:firstLine="4513"/>
      <w:rPr>
        <w:b w:val="1"/>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b w:val="1"/>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360" w:hanging="360"/>
      </w:pPr>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10">
    <w:lvl w:ilvl="0">
      <w:start w:val="1"/>
      <w:numFmt w:val="decimal"/>
      <w:lvlText w:val="%1."/>
      <w:lvlJc w:val="left"/>
      <w:pPr>
        <w:ind w:left="360" w:hanging="360"/>
      </w:pPr>
      <w:rPr>
        <w:b w:val="1"/>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11">
    <w:lvl w:ilvl="0">
      <w:start w:val="1"/>
      <w:numFmt w:val="decimal"/>
      <w:lvlText w:val="%1."/>
      <w:lvlJc w:val="left"/>
      <w:pPr>
        <w:ind w:left="360" w:hanging="360"/>
      </w:pPr>
      <w:rPr/>
    </w:lvl>
    <w:lvl w:ilvl="1">
      <w:start w:val="1"/>
      <w:numFmt w:val="decimal"/>
      <w:lvlText w:val="%1.%2."/>
      <w:lvlJc w:val="left"/>
      <w:pPr>
        <w:ind w:left="480" w:hanging="48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color w:val="000000"/>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443E7"/>
  </w:style>
  <w:style w:type="paragraph" w:styleId="Heading1">
    <w:name w:val="heading 1"/>
    <w:basedOn w:val="Normal"/>
    <w:next w:val="Normal"/>
    <w:link w:val="Heading1Char"/>
    <w:uiPriority w:val="9"/>
    <w:qFormat w:val="1"/>
    <w:rsid w:val="00A0761B"/>
    <w:pPr>
      <w:keepNext w:val="1"/>
      <w:keepLines w:val="1"/>
      <w:spacing w:after="0" w:before="240"/>
      <w:outlineLvl w:val="0"/>
    </w:pPr>
    <w:rPr>
      <w:rFonts w:ascii="Times New Roman" w:hAnsi="Times New Roman" w:cstheme="majorBidi" w:eastAsiaTheme="majorEastAsia"/>
      <w:b w:val="1"/>
      <w:color w:val="000000" w:themeColor="text1"/>
      <w:sz w:val="28"/>
      <w:szCs w:val="32"/>
    </w:rPr>
  </w:style>
  <w:style w:type="paragraph" w:styleId="Heading2">
    <w:name w:val="heading 2"/>
    <w:basedOn w:val="Normal"/>
    <w:next w:val="Normal"/>
    <w:link w:val="Heading2Char"/>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
    <w:rsid w:val="00A0761B"/>
    <w:rPr>
      <w:rFonts w:ascii="Times New Roman" w:hAnsi="Times New Roman" w:cstheme="majorBidi" w:eastAsiaTheme="majorEastAsia"/>
      <w:b w:val="1"/>
      <w:color w:val="000000" w:themeColor="text1"/>
      <w:sz w:val="28"/>
      <w:szCs w:val="32"/>
    </w:rPr>
  </w:style>
  <w:style w:type="paragraph" w:styleId="TOCHeading">
    <w:name w:val="TOC Heading"/>
    <w:basedOn w:val="Heading1"/>
    <w:next w:val="Normal"/>
    <w:uiPriority w:val="39"/>
    <w:unhideWhenUsed w:val="1"/>
    <w:qFormat w:val="1"/>
    <w:rsid w:val="00592740"/>
    <w:pPr>
      <w:outlineLvl w:val="9"/>
    </w:pPr>
    <w:rPr>
      <w:rFonts w:asciiTheme="majorHAnsi" w:hAnsiTheme="majorHAnsi"/>
      <w:b w:val="0"/>
      <w:color w:val="2f5496" w:themeColor="accent1" w:themeShade="0000BF"/>
      <w:sz w:val="32"/>
      <w:lang/>
    </w:rPr>
  </w:style>
  <w:style w:type="paragraph" w:styleId="TOC1">
    <w:name w:val="toc 1"/>
    <w:basedOn w:val="Normal"/>
    <w:next w:val="Normal"/>
    <w:autoRedefine w:val="1"/>
    <w:uiPriority w:val="39"/>
    <w:unhideWhenUsed w:val="1"/>
    <w:rsid w:val="00592740"/>
    <w:pPr>
      <w:spacing w:after="100"/>
    </w:pPr>
  </w:style>
  <w:style w:type="character" w:styleId="Hyperlink">
    <w:name w:val="Hyperlink"/>
    <w:basedOn w:val="DefaultParagraphFont"/>
    <w:uiPriority w:val="99"/>
    <w:unhideWhenUsed w:val="1"/>
    <w:rsid w:val="00592740"/>
    <w:rPr>
      <w:color w:val="0563c1" w:themeColor="hyperlink"/>
      <w:u w:val="single"/>
    </w:rPr>
  </w:style>
  <w:style w:type="paragraph" w:styleId="Header">
    <w:name w:val="header"/>
    <w:basedOn w:val="Normal"/>
    <w:link w:val="HeaderChar"/>
    <w:uiPriority w:val="99"/>
    <w:unhideWhenUsed w:val="1"/>
    <w:rsid w:val="00592740"/>
    <w:pPr>
      <w:tabs>
        <w:tab w:val="center" w:pos="4513"/>
        <w:tab w:val="right" w:pos="9026"/>
      </w:tabs>
      <w:spacing w:after="0" w:line="240" w:lineRule="auto"/>
    </w:pPr>
  </w:style>
  <w:style w:type="character" w:styleId="HeaderChar" w:customStyle="1">
    <w:name w:val="Header Char"/>
    <w:basedOn w:val="DefaultParagraphFont"/>
    <w:link w:val="Header"/>
    <w:uiPriority w:val="99"/>
    <w:rsid w:val="00592740"/>
  </w:style>
  <w:style w:type="paragraph" w:styleId="Footer">
    <w:name w:val="footer"/>
    <w:basedOn w:val="Normal"/>
    <w:link w:val="FooterChar"/>
    <w:uiPriority w:val="99"/>
    <w:unhideWhenUsed w:val="1"/>
    <w:rsid w:val="00592740"/>
    <w:pPr>
      <w:tabs>
        <w:tab w:val="center" w:pos="4513"/>
        <w:tab w:val="right" w:pos="9026"/>
      </w:tabs>
      <w:spacing w:after="0" w:line="240" w:lineRule="auto"/>
    </w:pPr>
  </w:style>
  <w:style w:type="character" w:styleId="FooterChar" w:customStyle="1">
    <w:name w:val="Footer Char"/>
    <w:basedOn w:val="DefaultParagraphFont"/>
    <w:link w:val="Footer"/>
    <w:uiPriority w:val="99"/>
    <w:rsid w:val="00592740"/>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uiPriority w:val="34"/>
    <w:qFormat w:val="1"/>
    <w:rsid w:val="002E24A1"/>
    <w:pPr>
      <w:ind w:left="720"/>
      <w:contextualSpacing w:val="1"/>
    </w:pPr>
  </w:style>
  <w:style w:type="character" w:styleId="Heading2Char" w:customStyle="1">
    <w:name w:val="Heading 2 Char"/>
    <w:basedOn w:val="DefaultParagraphFont"/>
    <w:link w:val="Heading2"/>
    <w:uiPriority w:val="9"/>
    <w:rsid w:val="002443E7"/>
    <w:rPr>
      <w:b w:val="1"/>
      <w:sz w:val="36"/>
      <w:szCs w:val="36"/>
    </w:rPr>
  </w:style>
  <w:style w:type="paragraph" w:styleId="TOC2">
    <w:name w:val="toc 2"/>
    <w:basedOn w:val="Normal"/>
    <w:next w:val="Normal"/>
    <w:autoRedefine w:val="1"/>
    <w:uiPriority w:val="39"/>
    <w:unhideWhenUsed w:val="1"/>
    <w:rsid w:val="008C3334"/>
    <w:pPr>
      <w:spacing w:after="100"/>
      <w:ind w:left="22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f/xFr4M2PBb61lMjxgCEUpS8Sg==">CgMxLjAyCWguM3dod21sNDIJaC4yYm42d3N4MghoLnFzaDcwcTIJaC4zYXM0cG9qMgloLjFweGV6d2MyCWguNDl4MmlrNTIJaC4ycDJjc3J5MgloLjE0N24yenIyCWguM283YWxuazIJaC4yM2NrdnZkMghoLmlodjYzNjIJaC4zMmhpb3F6MgloLjFobXN5eXMyCWguMjZpbjFyZzIJaC40MW1naG1sMgloLjJncnFydWUyCGgudngxMjI3MgloLjNmd29rcTAyCWguMXYxeXV4dDIJaC40ZjFtZGxtMgloLjJ1NndudGYyCWguMTljNnkxODIOaC5wMnNmY2huYzg0ZGwyCWguMjhoNHF3dTINaC45eG5wcW9sYm1uZjINaC5qdHI4ZnNocGEwdzgAciExYkR5SGJhX1NFWmkxOWg0czA4TlNUX3QybGN6bGlXT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2025-01-15T22:17:00Z</dcterms:created>
  <dc:creator>victory otamiri</dc:creator>
</cp:coreProperties>
</file>