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space="0" w:sz="0" w:val="nil"/>
          <w:left w:space="0" w:sz="0" w:val="nil"/>
          <w:bottom w:space="0" w:sz="0" w:val="nil"/>
          <w:right w:space="0" w:sz="0" w:val="nil"/>
          <w:between w:space="0" w:sz="0" w:val="nil"/>
        </w:pBdr>
        <w:spacing w:after="0" w:before="240" w:lineRule="auto"/>
        <w:jc w:val="both"/>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Contents</w:t>
      </w:r>
    </w:p>
    <w:sdt>
      <w:sdtPr>
        <w:id w:val="811116465"/>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H.1. BUSINESS PROFITS (WITH OR WITHOUT A PERMANENT ESTABLISHMENT) – ARTICLE 7, OECD MTC &amp; UN MTC</w:t>
              <w:tab/>
              <w:t xml:space="preserve">2</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Background</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Article 7(1)</w:t>
            </w:r>
          </w:hyperlink>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Article 7(2)</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Article 7(3)</w:t>
            </w:r>
          </w:hyperlink>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Article 7(4)</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w:t>
            </w:r>
          </w:hyperlink>
          <w:hyperlink w:anchor="_heading=h.1ci93x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Comparative Analysis of Article 7: OECD and UN Model Tax Conventions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H.2. SHIPPING AND AIR TRANSPORT PROFITS – ARTICLE 8, OECD MTC</w:t>
              <w:tab/>
              <w:t xml:space="preserve">8</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hyperlink>
          <w:hyperlink w:anchor="_heading=h.2bn6ws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Article 8 (1): Taxation Rights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hyperlink>
          <w:hyperlink w:anchor="_heading=h.qsh70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Article 8 (2): Extension to Pools, Joint Businesses, and International Operating Agencies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hyperlink>
          <w:hyperlink w:anchor="_heading=h.3as4po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Interpretation and Application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hyperlink>
          <w:hyperlink w:anchor="_heading=h.1pxezw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Comparison of Article 8 of the OECD and UN Model Tax Conventions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H.3. ASSOCIATED ENTERPRISES – ARTICLE 9, OECD MTC AND UN MDTC: STATUS OF ARTICLE 9 AND LINK TO TRANSFER PRICING LEGISLATION</w:t>
              <w:tab/>
              <w:t xml:space="preserve">12</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hyperlink>
          <w:hyperlink w:anchor="_heading=h.2p2csr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Scope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hyperlink>
          <w:hyperlink w:anchor="_heading=h.147n2z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Article 9 (1)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hyperlink>
          <w:hyperlink w:anchor="_heading=h.3o7al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_heading=h.3o7alnk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Article 9 (2)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r>
          </w:hyperlink>
          <w:hyperlink w:anchor="_heading=h.23ckvv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Comparison of Article 9 of the OECD and UN Model Tax Conventions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jc w:val="both"/>
            <w:rPr>
              <w:rFonts w:ascii="Arial" w:cs="Arial" w:eastAsia="Arial" w:hAnsi="Arial"/>
              <w:b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sz w:val="30"/>
          <w:szCs w:val="30"/>
          <w:u w:val="single"/>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Title"/>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 DTC PROVISIONS RELATING TO BUSINESSES</w:t>
      </w:r>
    </w:p>
    <w:p w:rsidR="00000000" w:rsidDel="00000000" w:rsidP="00000000" w:rsidRDefault="00000000" w:rsidRPr="00000000" w14:paraId="00000017">
      <w:pPr>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8">
      <w:pPr>
        <w:pStyle w:val="Heading1"/>
        <w:jc w:val="both"/>
        <w:rPr/>
      </w:pPr>
      <w:bookmarkStart w:colFirst="0" w:colLast="0" w:name="_heading=h.2jxsxqh" w:id="0"/>
      <w:bookmarkEnd w:id="0"/>
      <w:r w:rsidDel="00000000" w:rsidR="00000000" w:rsidRPr="00000000">
        <w:rPr>
          <w:rtl w:val="0"/>
        </w:rPr>
        <w:t xml:space="preserve">H.1. BUSINESS PROFITS (WITH OR WITHOUT A PERMANENT ESTABLISHMENT) – ARTICLE 7, OECD MTC &amp; UN MTC</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7 of both the OECD and the UN Model Tax Convention (MTC) outlines the principles for taxing the business profits of a non-resident enterprise in a jurisdiction. The core principle is that such profits may only be taxed if the enterprise has a "permanent establishment" (PE) in the taxing country, as defined under Article 5. Article 7 goes further to explain how profits should be attributed to such a PE, focusing on the </w:t>
      </w:r>
      <w:r w:rsidDel="00000000" w:rsidR="00000000" w:rsidRPr="00000000">
        <w:rPr>
          <w:rFonts w:ascii="Times New Roman" w:cs="Times New Roman" w:eastAsia="Times New Roman" w:hAnsi="Times New Roman"/>
          <w:b w:val="1"/>
          <w:sz w:val="24"/>
          <w:szCs w:val="24"/>
          <w:rtl w:val="0"/>
        </w:rPr>
        <w:t xml:space="preserve">arm's length principle</w:t>
      </w:r>
      <w:r w:rsidDel="00000000" w:rsidR="00000000" w:rsidRPr="00000000">
        <w:rPr>
          <w:rFonts w:ascii="Times New Roman" w:cs="Times New Roman" w:eastAsia="Times New Roman" w:hAnsi="Times New Roman"/>
          <w:sz w:val="24"/>
          <w:szCs w:val="24"/>
          <w:rtl w:val="0"/>
        </w:rPr>
        <w:t xml:space="preserve"> and emphasizing the importance of </w:t>
      </w:r>
      <w:r w:rsidDel="00000000" w:rsidR="00000000" w:rsidRPr="00000000">
        <w:rPr>
          <w:rFonts w:ascii="Times New Roman" w:cs="Times New Roman" w:eastAsia="Times New Roman" w:hAnsi="Times New Roman"/>
          <w:b w:val="1"/>
          <w:sz w:val="24"/>
          <w:szCs w:val="24"/>
          <w:rtl w:val="0"/>
        </w:rPr>
        <w:t xml:space="preserve">functional analysis</w:t>
      </w:r>
      <w:r w:rsidDel="00000000" w:rsidR="00000000" w:rsidRPr="00000000">
        <w:rPr>
          <w:rFonts w:ascii="Times New Roman" w:cs="Times New Roman" w:eastAsia="Times New Roman" w:hAnsi="Times New Roman"/>
          <w:sz w:val="24"/>
          <w:szCs w:val="24"/>
          <w:rtl w:val="0"/>
        </w:rPr>
        <w:t xml:space="preserve"> in determining the appropriate allocation of profits between jurisdictions.</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explanation covers the background and principles for taxation of business profits, the key elements of Article 7(1) to 7(4), and various technical nuances, such as relief for double taxation and interactions with other articles of the MTC.</w:t>
      </w:r>
    </w:p>
    <w:p w:rsidR="00000000" w:rsidDel="00000000" w:rsidP="00000000" w:rsidRDefault="00000000" w:rsidRPr="00000000" w14:paraId="0000001C">
      <w:pPr>
        <w:pStyle w:val="Heading2"/>
        <w:rPr>
          <w:rFonts w:ascii="Times New Roman" w:cs="Times New Roman" w:eastAsia="Times New Roman" w:hAnsi="Times New Roman"/>
          <w:sz w:val="27"/>
          <w:szCs w:val="27"/>
        </w:rPr>
      </w:pPr>
      <w:bookmarkStart w:colFirst="0" w:colLast="0" w:name="_heading=h.z337ya" w:id="1"/>
      <w:bookmarkEnd w:id="1"/>
      <w:r w:rsidDel="00000000" w:rsidR="00000000" w:rsidRPr="00000000">
        <w:rPr>
          <w:rFonts w:ascii="Times New Roman" w:cs="Times New Roman" w:eastAsia="Times New Roman" w:hAnsi="Times New Roman"/>
          <w:sz w:val="27"/>
          <w:szCs w:val="27"/>
          <w:rtl w:val="0"/>
        </w:rPr>
        <w:t xml:space="preserve">1. Background</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Basic Principles for Taxation of Business Profits</w:t>
      </w: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concept in international taxation is that business profits of an enterprise should be taxed only in the country where the enterprise is a resident unless the enterprise operates through a permanent establishment (PE) in another country. The PE creates a nexus that allows the non-resident country to tax profits attributable to that PE. The </w:t>
      </w:r>
      <w:r w:rsidDel="00000000" w:rsidR="00000000" w:rsidRPr="00000000">
        <w:rPr>
          <w:rFonts w:ascii="Times New Roman" w:cs="Times New Roman" w:eastAsia="Times New Roman" w:hAnsi="Times New Roman"/>
          <w:b w:val="1"/>
          <w:sz w:val="24"/>
          <w:szCs w:val="24"/>
          <w:rtl w:val="0"/>
        </w:rPr>
        <w:t xml:space="preserve">separate entity principle</w:t>
      </w:r>
      <w:r w:rsidDel="00000000" w:rsidR="00000000" w:rsidRPr="00000000">
        <w:rPr>
          <w:rFonts w:ascii="Times New Roman" w:cs="Times New Roman" w:eastAsia="Times New Roman" w:hAnsi="Times New Roman"/>
          <w:sz w:val="24"/>
          <w:szCs w:val="24"/>
          <w:rtl w:val="0"/>
        </w:rPr>
        <w:t xml:space="preserve"> applies to these PEs, treating them as independent entities for tax purposes, even though they are part of the broader enterprise.</w:t>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Interaction Between Article 7 and Article 5</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connection between Articles 7 and 5 is essential for understanding how business profits are taxed. Article 5 defines what constitutes a PE and provides the threshold for when a non-resident enterprise becomes liable to tax in another jurisdiction. Once a PE is established under Article 5, Article 7 governs how the profits attributable to that PE are taxed, ensuring that only the profits related to the activities of the PE are subject to taxation in that country. This interaction ensures that a non-resident enterprise is not taxed on its entire global income but only on income attributable to activities in the country where it operates through a PE.</w:t>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Separate Entity and Arm's Length Principle</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separate entity principle</w:t>
      </w:r>
      <w:r w:rsidDel="00000000" w:rsidR="00000000" w:rsidRPr="00000000">
        <w:rPr>
          <w:rFonts w:ascii="Times New Roman" w:cs="Times New Roman" w:eastAsia="Times New Roman" w:hAnsi="Times New Roman"/>
          <w:sz w:val="24"/>
          <w:szCs w:val="24"/>
          <w:rtl w:val="0"/>
        </w:rPr>
        <w:t xml:space="preserve"> treats a PE as a distinct and independent entity from its head office. This principle is coupled with the </w:t>
      </w:r>
      <w:r w:rsidDel="00000000" w:rsidR="00000000" w:rsidRPr="00000000">
        <w:rPr>
          <w:rFonts w:ascii="Times New Roman" w:cs="Times New Roman" w:eastAsia="Times New Roman" w:hAnsi="Times New Roman"/>
          <w:b w:val="1"/>
          <w:sz w:val="24"/>
          <w:szCs w:val="24"/>
          <w:rtl w:val="0"/>
        </w:rPr>
        <w:t xml:space="preserve">arm’s length principle</w:t>
      </w:r>
      <w:r w:rsidDel="00000000" w:rsidR="00000000" w:rsidRPr="00000000">
        <w:rPr>
          <w:rFonts w:ascii="Times New Roman" w:cs="Times New Roman" w:eastAsia="Times New Roman" w:hAnsi="Times New Roman"/>
          <w:sz w:val="24"/>
          <w:szCs w:val="24"/>
          <w:rtl w:val="0"/>
        </w:rPr>
        <w:t xml:space="preserve">, which requires that transactions between the PE and the head office (or between related entities) be priced as if they were between independent parties. The OECD Transfer Pricing Guidelines outline the procedures for determining the arm's length nature of these transactions. The principle ensures that the profits attributed to the PE are appropriate and consistent with how independent entities would allocate income and costs.</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OECD's Report on Attribution of Profits: 2008 and 2010 Reports</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OECD's reports on the attribution of profits to PEs, published in 2008 and 2010, had a significant impact on the interpretation of Article 7. These reports introduced the concept of a two-step approach for attributing profits to a PE. The first step is the </w:t>
      </w:r>
      <w:r w:rsidDel="00000000" w:rsidR="00000000" w:rsidRPr="00000000">
        <w:rPr>
          <w:rFonts w:ascii="Times New Roman" w:cs="Times New Roman" w:eastAsia="Times New Roman" w:hAnsi="Times New Roman"/>
          <w:b w:val="1"/>
          <w:sz w:val="24"/>
          <w:szCs w:val="24"/>
          <w:rtl w:val="0"/>
        </w:rPr>
        <w:t xml:space="preserve">functional and factual analysis</w:t>
      </w:r>
      <w:r w:rsidDel="00000000" w:rsidR="00000000" w:rsidRPr="00000000">
        <w:rPr>
          <w:rFonts w:ascii="Times New Roman" w:cs="Times New Roman" w:eastAsia="Times New Roman" w:hAnsi="Times New Roman"/>
          <w:sz w:val="24"/>
          <w:szCs w:val="24"/>
          <w:rtl w:val="0"/>
        </w:rPr>
        <w:t xml:space="preserve">, which identifies the functions performed, assets used, and risks assumed by the PE. The second step is the application of the </w:t>
      </w:r>
      <w:r w:rsidDel="00000000" w:rsidR="00000000" w:rsidRPr="00000000">
        <w:rPr>
          <w:rFonts w:ascii="Times New Roman" w:cs="Times New Roman" w:eastAsia="Times New Roman" w:hAnsi="Times New Roman"/>
          <w:b w:val="1"/>
          <w:sz w:val="24"/>
          <w:szCs w:val="24"/>
          <w:rtl w:val="0"/>
        </w:rPr>
        <w:t xml:space="preserve">arm's length principle</w:t>
      </w:r>
      <w:r w:rsidDel="00000000" w:rsidR="00000000" w:rsidRPr="00000000">
        <w:rPr>
          <w:rFonts w:ascii="Times New Roman" w:cs="Times New Roman" w:eastAsia="Times New Roman" w:hAnsi="Times New Roman"/>
          <w:sz w:val="24"/>
          <w:szCs w:val="24"/>
          <w:rtl w:val="0"/>
        </w:rPr>
        <w:t xml:space="preserve"> to allocate profits in line with the functions, assets, and risks. These reports also emphasized the importance of aligning the tax treatment of PEs with the principles applied to related entities under transfer pricing rules, helping reduce disputes over profit attribution and double taxation.</w:t>
      </w:r>
    </w:p>
    <w:p w:rsidR="00000000" w:rsidDel="00000000" w:rsidP="00000000" w:rsidRDefault="00000000" w:rsidRPr="00000000" w14:paraId="00000025">
      <w:pPr>
        <w:pStyle w:val="Heading2"/>
        <w:rPr>
          <w:rFonts w:ascii="Times New Roman" w:cs="Times New Roman" w:eastAsia="Times New Roman" w:hAnsi="Times New Roman"/>
          <w:sz w:val="27"/>
          <w:szCs w:val="27"/>
        </w:rPr>
      </w:pPr>
      <w:bookmarkStart w:colFirst="0" w:colLast="0" w:name="_heading=h.3j2qqm3" w:id="2"/>
      <w:bookmarkEnd w:id="2"/>
      <w:r w:rsidDel="00000000" w:rsidR="00000000" w:rsidRPr="00000000">
        <w:rPr>
          <w:rFonts w:ascii="Times New Roman" w:cs="Times New Roman" w:eastAsia="Times New Roman" w:hAnsi="Times New Roman"/>
          <w:sz w:val="27"/>
          <w:szCs w:val="27"/>
          <w:rtl w:val="0"/>
        </w:rPr>
        <w:t xml:space="preserve">2. Article 7(1)</w:t>
      </w:r>
    </w:p>
    <w:p w:rsidR="00000000" w:rsidDel="00000000" w:rsidP="00000000" w:rsidRDefault="00000000" w:rsidRPr="00000000" w14:paraId="0000002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Allocation of Taxing Rights on Business Profits</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Article 7(1), a state can only tax the business profits of a non-resident enterprise if the enterprise has a PE in that state. Once a PE is established, only the profits attributable to that PE are subject to tax. The allocation of taxing rights is restricted to the profits arising from the functions and activities of the PE. The seminal case </w:t>
      </w:r>
      <w:r w:rsidDel="00000000" w:rsidR="00000000" w:rsidRPr="00000000">
        <w:rPr>
          <w:rFonts w:ascii="Times New Roman" w:cs="Times New Roman" w:eastAsia="Times New Roman" w:hAnsi="Times New Roman"/>
          <w:b w:val="1"/>
          <w:sz w:val="24"/>
          <w:szCs w:val="24"/>
          <w:rtl w:val="0"/>
        </w:rPr>
        <w:t xml:space="preserve">Inland Revenue v. SG Warburg &amp; Co. Ltd (1992)</w:t>
      </w:r>
      <w:r w:rsidDel="00000000" w:rsidR="00000000" w:rsidRPr="00000000">
        <w:rPr>
          <w:rFonts w:ascii="Times New Roman" w:cs="Times New Roman" w:eastAsia="Times New Roman" w:hAnsi="Times New Roman"/>
          <w:sz w:val="24"/>
          <w:szCs w:val="24"/>
          <w:rtl w:val="0"/>
        </w:rPr>
        <w:t xml:space="preserve"> explored the nuances of profit attribution, where the UK court ruled that only profits arising from specific activities linked to the PE could be taxed, preventing the taxation of overall enterprise profits.</w:t>
      </w:r>
    </w:p>
    <w:p w:rsidR="00000000" w:rsidDel="00000000" w:rsidP="00000000" w:rsidRDefault="00000000" w:rsidRPr="00000000" w14:paraId="0000002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Force of Attraction Rule</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7 rejects the “</w:t>
      </w:r>
      <w:r w:rsidDel="00000000" w:rsidR="00000000" w:rsidRPr="00000000">
        <w:rPr>
          <w:rFonts w:ascii="Times New Roman" w:cs="Times New Roman" w:eastAsia="Times New Roman" w:hAnsi="Times New Roman"/>
          <w:b w:val="1"/>
          <w:sz w:val="24"/>
          <w:szCs w:val="24"/>
          <w:rtl w:val="0"/>
        </w:rPr>
        <w:t xml:space="preserve">force of attraction</w:t>
      </w:r>
      <w:r w:rsidDel="00000000" w:rsidR="00000000" w:rsidRPr="00000000">
        <w:rPr>
          <w:rFonts w:ascii="Times New Roman" w:cs="Times New Roman" w:eastAsia="Times New Roman" w:hAnsi="Times New Roman"/>
          <w:sz w:val="24"/>
          <w:szCs w:val="24"/>
          <w:rtl w:val="0"/>
        </w:rPr>
        <w:t xml:space="preserve">” rule, which would otherwise allow the source state to tax all profits of the enterprise simply because a PE exists. Instead, only the profits directly connected to the PE’s activities can be taxed. This ensures that only income attributable to the PE’s economic activities is subject to tax, safeguarding the principle of fairness in taxation.</w:t>
      </w:r>
    </w:p>
    <w:p w:rsidR="00000000" w:rsidDel="00000000" w:rsidP="00000000" w:rsidRDefault="00000000" w:rsidRPr="00000000" w14:paraId="000000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Controlled Foreign Corporation (CFC) Regimes</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7(1) does not override or conflict with </w:t>
      </w:r>
      <w:r w:rsidDel="00000000" w:rsidR="00000000" w:rsidRPr="00000000">
        <w:rPr>
          <w:rFonts w:ascii="Times New Roman" w:cs="Times New Roman" w:eastAsia="Times New Roman" w:hAnsi="Times New Roman"/>
          <w:b w:val="1"/>
          <w:sz w:val="24"/>
          <w:szCs w:val="24"/>
          <w:rtl w:val="0"/>
        </w:rPr>
        <w:t xml:space="preserve">Controlled Foreign Corporation (CFC) regimes</w:t>
      </w:r>
      <w:r w:rsidDel="00000000" w:rsidR="00000000" w:rsidRPr="00000000">
        <w:rPr>
          <w:rFonts w:ascii="Times New Roman" w:cs="Times New Roman" w:eastAsia="Times New Roman" w:hAnsi="Times New Roman"/>
          <w:sz w:val="24"/>
          <w:szCs w:val="24"/>
          <w:rtl w:val="0"/>
        </w:rPr>
        <w:t xml:space="preserve">, which seek to tax passive income or profits shifted to low-tax jurisdictions by foreign subsidiaries. CFC rules operate independently from Article 7’s PE rules, focusing on the taxation of profits that would otherwise escape taxation due to artificial arrangements rather than profits generated by the PE's direct business activities.</w:t>
      </w:r>
    </w:p>
    <w:p w:rsidR="00000000" w:rsidDel="00000000" w:rsidP="00000000" w:rsidRDefault="00000000" w:rsidRPr="00000000" w14:paraId="0000002C">
      <w:pPr>
        <w:pStyle w:val="Heading2"/>
        <w:rPr/>
      </w:pPr>
      <w:bookmarkStart w:colFirst="0" w:colLast="0" w:name="_heading=h.1y810tw" w:id="3"/>
      <w:bookmarkEnd w:id="3"/>
      <w:r w:rsidDel="00000000" w:rsidR="00000000" w:rsidRPr="00000000">
        <w:rPr>
          <w:rFonts w:ascii="Times New Roman" w:cs="Times New Roman" w:eastAsia="Times New Roman" w:hAnsi="Times New Roman"/>
          <w:sz w:val="27"/>
          <w:szCs w:val="27"/>
          <w:rtl w:val="0"/>
        </w:rPr>
        <w:t xml:space="preserve">3. Article 7(2)</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Separate Entity Principle</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7(2) mandates the use of the </w:t>
      </w:r>
      <w:r w:rsidDel="00000000" w:rsidR="00000000" w:rsidRPr="00000000">
        <w:rPr>
          <w:rFonts w:ascii="Times New Roman" w:cs="Times New Roman" w:eastAsia="Times New Roman" w:hAnsi="Times New Roman"/>
          <w:b w:val="1"/>
          <w:sz w:val="24"/>
          <w:szCs w:val="24"/>
          <w:rtl w:val="0"/>
        </w:rPr>
        <w:t xml:space="preserve">separate entity principle</w:t>
      </w:r>
      <w:r w:rsidDel="00000000" w:rsidR="00000000" w:rsidRPr="00000000">
        <w:rPr>
          <w:rFonts w:ascii="Times New Roman" w:cs="Times New Roman" w:eastAsia="Times New Roman" w:hAnsi="Times New Roman"/>
          <w:sz w:val="24"/>
          <w:szCs w:val="24"/>
          <w:rtl w:val="0"/>
        </w:rPr>
        <w:t xml:space="preserve"> for profit attribution, ensuring that the PE is treated as a distinct entity from the head office. This treatment ensures that profits attributed to the PE reflect the functions performed, risks assumed, and assets used by the PE, distinct from those of the rest of the enterprise.</w:t>
      </w:r>
    </w:p>
    <w:p w:rsidR="00000000" w:rsidDel="00000000" w:rsidP="00000000" w:rsidRDefault="00000000" w:rsidRPr="00000000" w14:paraId="0000002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Arm's Length Principle</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arm's length principle is the cornerstone of profit attribution under Article 7(2). The principle is that profits should be attributed to the PE based on transactions priced as if they were between independent parties. For instance, in </w:t>
      </w:r>
      <w:r w:rsidDel="00000000" w:rsidR="00000000" w:rsidRPr="00000000">
        <w:rPr>
          <w:rFonts w:ascii="Times New Roman" w:cs="Times New Roman" w:eastAsia="Times New Roman" w:hAnsi="Times New Roman"/>
          <w:b w:val="1"/>
          <w:sz w:val="24"/>
          <w:szCs w:val="24"/>
          <w:rtl w:val="0"/>
        </w:rPr>
        <w:t xml:space="preserve">Toyota Motor Corporation v. Commissioner of Taxation (2004)</w:t>
      </w:r>
      <w:r w:rsidDel="00000000" w:rsidR="00000000" w:rsidRPr="00000000">
        <w:rPr>
          <w:rFonts w:ascii="Times New Roman" w:cs="Times New Roman" w:eastAsia="Times New Roman" w:hAnsi="Times New Roman"/>
          <w:sz w:val="24"/>
          <w:szCs w:val="24"/>
          <w:rtl w:val="0"/>
        </w:rPr>
        <w:t xml:space="preserve">, the court ruled that the attribution of profits to a PE must reflect the profits that would have been earned had the PE been an independent entity transacting at arm’s length.</w:t>
      </w:r>
    </w:p>
    <w:p w:rsidR="00000000" w:rsidDel="00000000" w:rsidP="00000000" w:rsidRDefault="00000000" w:rsidRPr="00000000" w14:paraId="0000003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Double Taxation of Improperly Attributed Profits</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Improper attribution of profits may result in </w:t>
      </w:r>
      <w:r w:rsidDel="00000000" w:rsidR="00000000" w:rsidRPr="00000000">
        <w:rPr>
          <w:rFonts w:ascii="Times New Roman" w:cs="Times New Roman" w:eastAsia="Times New Roman" w:hAnsi="Times New Roman"/>
          <w:b w:val="1"/>
          <w:sz w:val="24"/>
          <w:szCs w:val="24"/>
          <w:rtl w:val="0"/>
        </w:rPr>
        <w:t xml:space="preserve">double taxation</w:t>
      </w:r>
      <w:r w:rsidDel="00000000" w:rsidR="00000000" w:rsidRPr="00000000">
        <w:rPr>
          <w:rFonts w:ascii="Times New Roman" w:cs="Times New Roman" w:eastAsia="Times New Roman" w:hAnsi="Times New Roman"/>
          <w:sz w:val="24"/>
          <w:szCs w:val="24"/>
          <w:rtl w:val="0"/>
        </w:rPr>
        <w:t xml:space="preserve">, as both the residence and source states may tax the same profits. For instance, if a source state attributes more profits to a PE than warranted, the profits might also be taxed in the residence state, creating double taxation. Taxpayers often use </w:t>
      </w:r>
      <w:r w:rsidDel="00000000" w:rsidR="00000000" w:rsidRPr="00000000">
        <w:rPr>
          <w:rFonts w:ascii="Times New Roman" w:cs="Times New Roman" w:eastAsia="Times New Roman" w:hAnsi="Times New Roman"/>
          <w:b w:val="1"/>
          <w:sz w:val="24"/>
          <w:szCs w:val="24"/>
          <w:rtl w:val="0"/>
        </w:rPr>
        <w:t xml:space="preserve">Mutual Agreement Procedures (MAP)</w:t>
      </w:r>
      <w:r w:rsidDel="00000000" w:rsidR="00000000" w:rsidRPr="00000000">
        <w:rPr>
          <w:rFonts w:ascii="Times New Roman" w:cs="Times New Roman" w:eastAsia="Times New Roman" w:hAnsi="Times New Roman"/>
          <w:sz w:val="24"/>
          <w:szCs w:val="24"/>
          <w:rtl w:val="0"/>
        </w:rPr>
        <w:t xml:space="preserve"> to resolve such disputes.</w:t>
      </w:r>
    </w:p>
    <w:p w:rsidR="00000000" w:rsidDel="00000000" w:rsidP="00000000" w:rsidRDefault="00000000" w:rsidRPr="00000000" w14:paraId="000000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2010 Report Guidance – Two-Step Approach</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two-step approach</w:t>
      </w:r>
      <w:r w:rsidDel="00000000" w:rsidR="00000000" w:rsidRPr="00000000">
        <w:rPr>
          <w:rFonts w:ascii="Times New Roman" w:cs="Times New Roman" w:eastAsia="Times New Roman" w:hAnsi="Times New Roman"/>
          <w:sz w:val="24"/>
          <w:szCs w:val="24"/>
          <w:rtl w:val="0"/>
        </w:rPr>
        <w:t xml:space="preserve"> outlined in the 2010 OECD Report provides detailed guidance on profit attribution:</w:t>
      </w:r>
    </w:p>
    <w:p w:rsidR="00000000" w:rsidDel="00000000" w:rsidP="00000000" w:rsidRDefault="00000000" w:rsidRPr="00000000" w14:paraId="00000035">
      <w:pPr>
        <w:numPr>
          <w:ilvl w:val="0"/>
          <w:numId w:val="20"/>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Functional and factual analysis</w:t>
      </w:r>
      <w:r w:rsidDel="00000000" w:rsidR="00000000" w:rsidRPr="00000000">
        <w:rPr>
          <w:rFonts w:ascii="Times New Roman" w:cs="Times New Roman" w:eastAsia="Times New Roman" w:hAnsi="Times New Roman"/>
          <w:sz w:val="24"/>
          <w:szCs w:val="24"/>
          <w:rtl w:val="0"/>
        </w:rPr>
        <w:t xml:space="preserve">: This step identifies the functions performed, assets used, and risks assumed by the PE. For instance, a PE engaged in sales functions would have profits attributed based on those activities, while risks and rewards related to marketing or R&amp;D might remain with the head office.</w:t>
      </w:r>
      <w:r w:rsidDel="00000000" w:rsidR="00000000" w:rsidRPr="00000000">
        <w:rPr>
          <w:rtl w:val="0"/>
        </w:rPr>
      </w:r>
    </w:p>
    <w:p w:rsidR="00000000" w:rsidDel="00000000" w:rsidP="00000000" w:rsidRDefault="00000000" w:rsidRPr="00000000" w14:paraId="00000036">
      <w:pPr>
        <w:numPr>
          <w:ilvl w:val="0"/>
          <w:numId w:val="20"/>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Arm’s length attribution</w:t>
      </w:r>
      <w:r w:rsidDel="00000000" w:rsidR="00000000" w:rsidRPr="00000000">
        <w:rPr>
          <w:rFonts w:ascii="Times New Roman" w:cs="Times New Roman" w:eastAsia="Times New Roman" w:hAnsi="Times New Roman"/>
          <w:sz w:val="24"/>
          <w:szCs w:val="24"/>
          <w:rtl w:val="0"/>
        </w:rPr>
        <w:t xml:space="preserve">: After identifying the functions and risks, the next step is to apply the arm’s length principle, ensuring that the PE's profits align with what independent enterprises would have earned under similar circumstances.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Documentation Requirements</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documentation</w:t>
      </w:r>
      <w:r w:rsidDel="00000000" w:rsidR="00000000" w:rsidRPr="00000000">
        <w:rPr>
          <w:rFonts w:ascii="Times New Roman" w:cs="Times New Roman" w:eastAsia="Times New Roman" w:hAnsi="Times New Roman"/>
          <w:sz w:val="24"/>
          <w:szCs w:val="24"/>
          <w:rtl w:val="0"/>
        </w:rPr>
        <w:t xml:space="preserve"> supporting profit attribution under Article 7(2) is critical in ensuring transparency and reducing disputes with tax authorities. As with transfer pricing documentation, the goal is to strike a balance between providing sufficient evidence for tax authorities and avoiding excessive compliance burdens on taxpayers.</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Taxpayers must provide documentation that clearly supports the recognition of dealings between the PE and the rest of the enterprise. This includes </w:t>
      </w:r>
      <w:r w:rsidDel="00000000" w:rsidR="00000000" w:rsidRPr="00000000">
        <w:rPr>
          <w:rFonts w:ascii="Times New Roman" w:cs="Times New Roman" w:eastAsia="Times New Roman" w:hAnsi="Times New Roman"/>
          <w:b w:val="1"/>
          <w:sz w:val="24"/>
          <w:szCs w:val="24"/>
          <w:rtl w:val="0"/>
        </w:rPr>
        <w:t xml:space="preserve">contemporaneous documentation</w:t>
      </w:r>
      <w:r w:rsidDel="00000000" w:rsidR="00000000" w:rsidRPr="00000000">
        <w:rPr>
          <w:rFonts w:ascii="Times New Roman" w:cs="Times New Roman" w:eastAsia="Times New Roman" w:hAnsi="Times New Roman"/>
          <w:sz w:val="24"/>
          <w:szCs w:val="24"/>
          <w:rtl w:val="0"/>
        </w:rPr>
        <w:t xml:space="preserve"> that details the functions performed, risks assumed, and benefits enjoyed by the PE. For example, documentation showing the transfer of economically significant risks and responsibilities between the head office and the PE will be vital in justifying the profits allocated to the PE.</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minimize the potential for controversy, tax administrations typically respect this documentation if:</w:t>
      </w:r>
    </w:p>
    <w:p w:rsidR="00000000" w:rsidDel="00000000" w:rsidP="00000000" w:rsidRDefault="00000000" w:rsidRPr="00000000" w14:paraId="0000003B">
      <w:pPr>
        <w:numPr>
          <w:ilvl w:val="0"/>
          <w:numId w:val="21"/>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It is consistent with the </w:t>
      </w:r>
      <w:r w:rsidDel="00000000" w:rsidR="00000000" w:rsidRPr="00000000">
        <w:rPr>
          <w:rFonts w:ascii="Times New Roman" w:cs="Times New Roman" w:eastAsia="Times New Roman" w:hAnsi="Times New Roman"/>
          <w:b w:val="1"/>
          <w:sz w:val="24"/>
          <w:szCs w:val="24"/>
          <w:rtl w:val="0"/>
        </w:rPr>
        <w:t xml:space="preserve">economic substance</w:t>
      </w:r>
      <w:r w:rsidDel="00000000" w:rsidR="00000000" w:rsidRPr="00000000">
        <w:rPr>
          <w:rFonts w:ascii="Times New Roman" w:cs="Times New Roman" w:eastAsia="Times New Roman" w:hAnsi="Times New Roman"/>
          <w:sz w:val="24"/>
          <w:szCs w:val="24"/>
          <w:rtl w:val="0"/>
        </w:rPr>
        <w:t xml:space="preserve"> of the activities.</w:t>
      </w:r>
      <w:r w:rsidDel="00000000" w:rsidR="00000000" w:rsidRPr="00000000">
        <w:rPr>
          <w:rtl w:val="0"/>
        </w:rPr>
      </w:r>
    </w:p>
    <w:p w:rsidR="00000000" w:rsidDel="00000000" w:rsidP="00000000" w:rsidRDefault="00000000" w:rsidRPr="00000000" w14:paraId="0000003C">
      <w:pPr>
        <w:numPr>
          <w:ilvl w:val="0"/>
          <w:numId w:val="2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arrangements do not diverge from what independent enterprises would have adopted, or any differences do not hinder the ability of tax authorities to determine the correct transfer price.</w:t>
      </w:r>
    </w:p>
    <w:p w:rsidR="00000000" w:rsidDel="00000000" w:rsidP="00000000" w:rsidRDefault="00000000" w:rsidRPr="00000000" w14:paraId="0000003D">
      <w:pPr>
        <w:numPr>
          <w:ilvl w:val="0"/>
          <w:numId w:val="2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dealings do not transfer risks in a manner that contradicts the principles outlined in the OECD Report.</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documentation, while not legally binding, significantly reduces the scope for tax disputes and facilitates the proper attribution of profits.</w:t>
      </w:r>
    </w:p>
    <w:p w:rsidR="00000000" w:rsidDel="00000000" w:rsidP="00000000" w:rsidRDefault="00000000" w:rsidRPr="00000000" w14:paraId="0000003F">
      <w:pPr>
        <w:pStyle w:val="Heading2"/>
        <w:rPr>
          <w:rFonts w:ascii="Times New Roman" w:cs="Times New Roman" w:eastAsia="Times New Roman" w:hAnsi="Times New Roman"/>
          <w:sz w:val="27"/>
          <w:szCs w:val="27"/>
        </w:rPr>
      </w:pPr>
      <w:bookmarkStart w:colFirst="0" w:colLast="0" w:name="_heading=h.4i7ojhp" w:id="4"/>
      <w:bookmarkEnd w:id="4"/>
      <w:r w:rsidDel="00000000" w:rsidR="00000000" w:rsidRPr="00000000">
        <w:rPr>
          <w:rFonts w:ascii="Times New Roman" w:cs="Times New Roman" w:eastAsia="Times New Roman" w:hAnsi="Times New Roman"/>
          <w:sz w:val="27"/>
          <w:szCs w:val="27"/>
          <w:rtl w:val="0"/>
        </w:rPr>
        <w:t xml:space="preserve">4. Article 7(3)</w:t>
      </w:r>
    </w:p>
    <w:p w:rsidR="00000000" w:rsidDel="00000000" w:rsidP="00000000" w:rsidRDefault="00000000" w:rsidRPr="00000000" w14:paraId="0000004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Relief/Elimination of Double Taxation of Business Profits</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7(3) provides mechanisms to prevent double taxation of business profits, particularly in cases where different tax authorities interpret the rules for attributing profits to a PE differently.</w:t>
      </w:r>
    </w:p>
    <w:p w:rsidR="00000000" w:rsidDel="00000000" w:rsidP="00000000" w:rsidRDefault="00000000" w:rsidRPr="00000000" w14:paraId="0000004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Different Interpretations of Paragraph 2</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common cause of double taxation is different interpretations of the arm's length principle under Article 7(2). For instance, one country may attribute more profits to a PE than another country, leading to taxation of the same income in both countries. Article 7(3) offers relief in these situations by providing for </w:t>
      </w:r>
      <w:r w:rsidDel="00000000" w:rsidR="00000000" w:rsidRPr="00000000">
        <w:rPr>
          <w:rFonts w:ascii="Times New Roman" w:cs="Times New Roman" w:eastAsia="Times New Roman" w:hAnsi="Times New Roman"/>
          <w:b w:val="1"/>
          <w:sz w:val="24"/>
          <w:szCs w:val="24"/>
          <w:rtl w:val="0"/>
        </w:rPr>
        <w:t xml:space="preserve">corresponding adjustments</w:t>
      </w:r>
      <w:r w:rsidDel="00000000" w:rsidR="00000000" w:rsidRPr="00000000">
        <w:rPr>
          <w:rFonts w:ascii="Times New Roman" w:cs="Times New Roman" w:eastAsia="Times New Roman" w:hAnsi="Times New Roman"/>
          <w:sz w:val="24"/>
          <w:szCs w:val="24"/>
          <w:rtl w:val="0"/>
        </w:rPr>
        <w:t xml:space="preserve"> to ensure that profits are not taxed twice.</w:t>
      </w:r>
    </w:p>
    <w:p w:rsidR="00000000" w:rsidDel="00000000" w:rsidP="00000000" w:rsidRDefault="00000000" w:rsidRPr="00000000" w14:paraId="0000004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Adjustments for Improper Profit Attribution</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tax authority adjusts the profits of a PE, Article 7(3) requires corresponding adjustments in the other jurisdiction to prevent double taxation. This coordination is typically achieved through </w:t>
      </w:r>
      <w:r w:rsidDel="00000000" w:rsidR="00000000" w:rsidRPr="00000000">
        <w:rPr>
          <w:rFonts w:ascii="Times New Roman" w:cs="Times New Roman" w:eastAsia="Times New Roman" w:hAnsi="Times New Roman"/>
          <w:b w:val="1"/>
          <w:sz w:val="24"/>
          <w:szCs w:val="24"/>
          <w:rtl w:val="0"/>
        </w:rPr>
        <w:t xml:space="preserve">Mutual Agreement Procedures (MAP)</w:t>
      </w:r>
      <w:r w:rsidDel="00000000" w:rsidR="00000000" w:rsidRPr="00000000">
        <w:rPr>
          <w:rFonts w:ascii="Times New Roman" w:cs="Times New Roman" w:eastAsia="Times New Roman" w:hAnsi="Times New Roman"/>
          <w:sz w:val="24"/>
          <w:szCs w:val="24"/>
          <w:rtl w:val="0"/>
        </w:rPr>
        <w:t xml:space="preserve">, where the tax authorities of the relevant jurisdictions work together to resolve disputes over profit attribution and eliminate double taxation.</w:t>
      </w:r>
    </w:p>
    <w:p w:rsidR="00000000" w:rsidDel="00000000" w:rsidP="00000000" w:rsidRDefault="00000000" w:rsidRPr="00000000" w14:paraId="0000004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Suggested Provisions on Resolution of Correspondent Adjustments via MAP</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the effectiveness of MAP, the OECD suggests provisions that ensure timely and efficient resolution of disputes over correspondent adjustments. These provisions are aimed at ensuring that taxpayers can access relief from double taxation without prolonged litigation or uncertainty.</w:t>
      </w:r>
    </w:p>
    <w:p w:rsidR="00000000" w:rsidDel="00000000" w:rsidP="00000000" w:rsidRDefault="00000000" w:rsidRPr="00000000" w14:paraId="00000048">
      <w:pPr>
        <w:pStyle w:val="Heading2"/>
        <w:rPr>
          <w:rFonts w:ascii="Times New Roman" w:cs="Times New Roman" w:eastAsia="Times New Roman" w:hAnsi="Times New Roman"/>
          <w:sz w:val="27"/>
          <w:szCs w:val="27"/>
        </w:rPr>
      </w:pPr>
      <w:bookmarkStart w:colFirst="0" w:colLast="0" w:name="_heading=h.2xcytpi" w:id="5"/>
      <w:bookmarkEnd w:id="5"/>
      <w:r w:rsidDel="00000000" w:rsidR="00000000" w:rsidRPr="00000000">
        <w:rPr>
          <w:rFonts w:ascii="Times New Roman" w:cs="Times New Roman" w:eastAsia="Times New Roman" w:hAnsi="Times New Roman"/>
          <w:sz w:val="27"/>
          <w:szCs w:val="27"/>
          <w:rtl w:val="0"/>
        </w:rPr>
        <w:t xml:space="preserve">5. Article 7(4)</w:t>
      </w:r>
    </w:p>
    <w:p w:rsidR="00000000" w:rsidDel="00000000" w:rsidP="00000000" w:rsidRDefault="00000000" w:rsidRPr="00000000" w14:paraId="0000004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Broad Meaning of Profits</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7(4) provides a broad definition of "profits" that includes all forms of income derived from the business activities of a PE, not limited to traditional business income. This broad definition ensures that all economically relevant income streams related to the PE’s activities are subject to tax in the source state.</w:t>
      </w:r>
    </w:p>
    <w:p w:rsidR="00000000" w:rsidDel="00000000" w:rsidP="00000000" w:rsidRDefault="00000000" w:rsidRPr="00000000" w14:paraId="0000004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Interaction of Profits with Income Under Other Articles</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7(4) clarifies the interaction of business profits with other categories of income taxed under the MTC. Specifically, it refers to situations where income might be classified under both Article 7 and other articles, such as:</w:t>
      </w:r>
    </w:p>
    <w:p w:rsidR="00000000" w:rsidDel="00000000" w:rsidP="00000000" w:rsidRDefault="00000000" w:rsidRPr="00000000" w14:paraId="0000004D">
      <w:pPr>
        <w:numPr>
          <w:ilvl w:val="0"/>
          <w:numId w:val="22"/>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 6 (Income from Immovable Property)</w:t>
      </w:r>
      <w:r w:rsidDel="00000000" w:rsidR="00000000" w:rsidRPr="00000000">
        <w:rPr>
          <w:rFonts w:ascii="Times New Roman" w:cs="Times New Roman" w:eastAsia="Times New Roman" w:hAnsi="Times New Roman"/>
          <w:sz w:val="24"/>
          <w:szCs w:val="24"/>
          <w:rtl w:val="0"/>
        </w:rPr>
        <w:t xml:space="preserve">: Income from real estate used in a business may be subject to taxation under Article 6, with priority over Article 7.</w:t>
      </w:r>
      <w:r w:rsidDel="00000000" w:rsidR="00000000" w:rsidRPr="00000000">
        <w:rPr>
          <w:rtl w:val="0"/>
        </w:rPr>
      </w:r>
    </w:p>
    <w:p w:rsidR="00000000" w:rsidDel="00000000" w:rsidP="00000000" w:rsidRDefault="00000000" w:rsidRPr="00000000" w14:paraId="0000004E">
      <w:pPr>
        <w:numPr>
          <w:ilvl w:val="0"/>
          <w:numId w:val="22"/>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 10 (Dividends)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Article 11 (Interest)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Article 12 (Royalties)</w:t>
      </w:r>
      <w:r w:rsidDel="00000000" w:rsidR="00000000" w:rsidRPr="00000000">
        <w:rPr>
          <w:rFonts w:ascii="Times New Roman" w:cs="Times New Roman" w:eastAsia="Times New Roman" w:hAnsi="Times New Roman"/>
          <w:sz w:val="24"/>
          <w:szCs w:val="24"/>
          <w:rtl w:val="0"/>
        </w:rPr>
        <w:t xml:space="preserve">: These articles take priority over Article 7 when the income in question falls under their scope.</w:t>
      </w:r>
      <w:r w:rsidDel="00000000" w:rsidR="00000000" w:rsidRPr="00000000">
        <w:rPr>
          <w:rtl w:val="0"/>
        </w:rPr>
      </w:r>
    </w:p>
    <w:p w:rsidR="00000000" w:rsidDel="00000000" w:rsidP="00000000" w:rsidRDefault="00000000" w:rsidRPr="00000000" w14:paraId="0000004F">
      <w:pPr>
        <w:numPr>
          <w:ilvl w:val="0"/>
          <w:numId w:val="22"/>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 17 (Entertainers and Sportsmen)</w:t>
      </w:r>
      <w:r w:rsidDel="00000000" w:rsidR="00000000" w:rsidRPr="00000000">
        <w:rPr>
          <w:rFonts w:ascii="Times New Roman" w:cs="Times New Roman" w:eastAsia="Times New Roman" w:hAnsi="Times New Roman"/>
          <w:sz w:val="24"/>
          <w:szCs w:val="24"/>
          <w:rtl w:val="0"/>
        </w:rPr>
        <w:t xml:space="preserve">: Income earned by entertainers and sportsmen is taxed under Article 17, with Article 7 applying only to the extent that the income is not specifically covered by Article 17.</w:t>
      </w:r>
      <w:r w:rsidDel="00000000" w:rsidR="00000000" w:rsidRPr="00000000">
        <w:rPr>
          <w:rtl w:val="0"/>
        </w:rPr>
      </w:r>
    </w:p>
    <w:p w:rsidR="00000000" w:rsidDel="00000000" w:rsidP="00000000" w:rsidRDefault="00000000" w:rsidRPr="00000000" w14:paraId="00000050">
      <w:pPr>
        <w:numPr>
          <w:ilvl w:val="0"/>
          <w:numId w:val="22"/>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 21 (Other Income)</w:t>
      </w:r>
      <w:r w:rsidDel="00000000" w:rsidR="00000000" w:rsidRPr="00000000">
        <w:rPr>
          <w:rFonts w:ascii="Times New Roman" w:cs="Times New Roman" w:eastAsia="Times New Roman" w:hAnsi="Times New Roman"/>
          <w:sz w:val="24"/>
          <w:szCs w:val="24"/>
          <w:rtl w:val="0"/>
        </w:rPr>
        <w:t xml:space="preserve">: Any other income that does not fall under a specific article may be taxed under Article 7, ensuring that all income derived from the PE’s activities is subject to tax.</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Priority Given to Special Articles (Article 10(4), 11(4), 12(3), 21(2))</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MTC gives priority to specific articles (such as Article 10(4), 11(4), 12(3), and 21(2)) over Article 7 in situations where income falls under their purview. This ensures that income types like dividends, interest, and royalties are taxed according to the rules set out in their respective articles, with Article 7 applying as a residual rule for business profits not covered elsewhere.</w:t>
      </w:r>
    </w:p>
    <w:p w:rsidR="00000000" w:rsidDel="00000000" w:rsidP="00000000" w:rsidRDefault="00000000" w:rsidRPr="00000000" w14:paraId="00000053">
      <w:pPr>
        <w:pStyle w:val="Heading2"/>
        <w:numPr>
          <w:ilvl w:val="0"/>
          <w:numId w:val="5"/>
        </w:numPr>
        <w:ind w:left="360" w:hanging="360"/>
        <w:rPr>
          <w:rFonts w:ascii="Times New Roman" w:cs="Times New Roman" w:eastAsia="Times New Roman" w:hAnsi="Times New Roman"/>
          <w:sz w:val="27"/>
          <w:szCs w:val="27"/>
        </w:rPr>
      </w:pPr>
      <w:bookmarkStart w:colFirst="0" w:colLast="0" w:name="_heading=h.1ci93xb" w:id="6"/>
      <w:bookmarkEnd w:id="6"/>
      <w:r w:rsidDel="00000000" w:rsidR="00000000" w:rsidRPr="00000000">
        <w:rPr>
          <w:rFonts w:ascii="Times New Roman" w:cs="Times New Roman" w:eastAsia="Times New Roman" w:hAnsi="Times New Roman"/>
          <w:sz w:val="27"/>
          <w:szCs w:val="27"/>
          <w:rtl w:val="0"/>
        </w:rPr>
        <w:t xml:space="preserve">Comparative Analysis of Article 7: OECD and UN Model Tax Conventions </w:t>
      </w:r>
    </w:p>
    <w:p w:rsidR="00000000" w:rsidDel="00000000" w:rsidP="00000000" w:rsidRDefault="00000000" w:rsidRPr="00000000" w14:paraId="0000005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 and Application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the OECD and UN Model Article 7(1) grant the primary taxing right to the residence state unless the enterprise conducts business through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permanent establishment (PE)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other contracting state. The profits taxable in the source state are limited to those attributable to the PE:</w:t>
      </w:r>
    </w:p>
    <w:p w:rsidR="00000000" w:rsidDel="00000000" w:rsidP="00000000" w:rsidRDefault="00000000" w:rsidRPr="00000000" w14:paraId="00000056">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OECD Model Article 7(1):</w:t>
      </w:r>
      <w:r w:rsidDel="00000000" w:rsidR="00000000" w:rsidRPr="00000000">
        <w:rPr>
          <w:rFonts w:ascii="Times New Roman" w:cs="Times New Roman" w:eastAsia="Times New Roman" w:hAnsi="Times New Roman"/>
          <w:sz w:val="24"/>
          <w:szCs w:val="24"/>
          <w:rtl w:val="0"/>
        </w:rPr>
        <w:t xml:space="preserve"> Restricts taxation in the source state to profits attributable to the PE.</w:t>
      </w:r>
    </w:p>
    <w:p w:rsidR="00000000" w:rsidDel="00000000" w:rsidP="00000000" w:rsidRDefault="00000000" w:rsidRPr="00000000" w14:paraId="00000057">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 Model Article 7(1):</w:t>
      </w:r>
      <w:r w:rsidDel="00000000" w:rsidR="00000000" w:rsidRPr="00000000">
        <w:rPr>
          <w:rFonts w:ascii="Times New Roman" w:cs="Times New Roman" w:eastAsia="Times New Roman" w:hAnsi="Times New Roman"/>
          <w:sz w:val="24"/>
          <w:szCs w:val="24"/>
          <w:rtl w:val="0"/>
        </w:rPr>
        <w:t xml:space="preserve"> Expands the scope by also taxing profits from sales of goods or services of the same or similar kind as those sold through the PE, and other business activities of the same or similar kind conducted in the source state.</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 Model's additional taxing rights reflect its focus on ensuring broader participation for source countries, typically developing nations​​.</w:t>
      </w:r>
    </w:p>
    <w:p w:rsidR="00000000" w:rsidDel="00000000" w:rsidP="00000000" w:rsidRDefault="00000000" w:rsidRPr="00000000" w14:paraId="0000005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Attribution of Profits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methods for attributing profits differ as follows:</w:t>
      </w:r>
    </w:p>
    <w:p w:rsidR="00000000" w:rsidDel="00000000" w:rsidP="00000000" w:rsidRDefault="00000000" w:rsidRPr="00000000" w14:paraId="0000005B">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OECD Model Article 7(2):</w:t>
      </w:r>
      <w:r w:rsidDel="00000000" w:rsidR="00000000" w:rsidRPr="00000000">
        <w:rPr>
          <w:rFonts w:ascii="Times New Roman" w:cs="Times New Roman" w:eastAsia="Times New Roman" w:hAnsi="Times New Roman"/>
          <w:sz w:val="24"/>
          <w:szCs w:val="24"/>
          <w:rtl w:val="0"/>
        </w:rPr>
        <w:t xml:space="preserve"> Mandates the </w:t>
      </w:r>
      <w:r w:rsidDel="00000000" w:rsidR="00000000" w:rsidRPr="00000000">
        <w:rPr>
          <w:rFonts w:ascii="Times New Roman" w:cs="Times New Roman" w:eastAsia="Times New Roman" w:hAnsi="Times New Roman"/>
          <w:b w:val="1"/>
          <w:sz w:val="24"/>
          <w:szCs w:val="24"/>
          <w:rtl w:val="0"/>
        </w:rPr>
        <w:t xml:space="preserve">Authorised OECD Approach (AOA)</w:t>
      </w:r>
      <w:r w:rsidDel="00000000" w:rsidR="00000000" w:rsidRPr="00000000">
        <w:rPr>
          <w:rFonts w:ascii="Times New Roman" w:cs="Times New Roman" w:eastAsia="Times New Roman" w:hAnsi="Times New Roman"/>
          <w:sz w:val="24"/>
          <w:szCs w:val="24"/>
          <w:rtl w:val="0"/>
        </w:rPr>
        <w:t xml:space="preserve">, attributing profits to the PE as if it were a separate and independent entity under arm's length conditions. It requires detailed analysis of the functions performed, assets used, and risks assumed.</w:t>
      </w:r>
    </w:p>
    <w:p w:rsidR="00000000" w:rsidDel="00000000" w:rsidP="00000000" w:rsidRDefault="00000000" w:rsidRPr="00000000" w14:paraId="0000005C">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 Model Article 7(2):</w:t>
      </w:r>
      <w:r w:rsidDel="00000000" w:rsidR="00000000" w:rsidRPr="00000000">
        <w:rPr>
          <w:rFonts w:ascii="Times New Roman" w:cs="Times New Roman" w:eastAsia="Times New Roman" w:hAnsi="Times New Roman"/>
          <w:sz w:val="24"/>
          <w:szCs w:val="24"/>
          <w:rtl w:val="0"/>
        </w:rPr>
        <w:t xml:space="preserve"> Adopts a similar approach but allows source states greater flexibility by permitting other allocation methods consistent with the general principles of the article​​.</w:t>
      </w:r>
    </w:p>
    <w:p w:rsidR="00000000" w:rsidDel="00000000" w:rsidP="00000000" w:rsidRDefault="00000000" w:rsidRPr="00000000" w14:paraId="0000005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Deductions for Expenses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models allow deductions for expenses incurred by the PE but impose specific restrictions:</w:t>
      </w:r>
    </w:p>
    <w:p w:rsidR="00000000" w:rsidDel="00000000" w:rsidP="00000000" w:rsidRDefault="00000000" w:rsidRPr="00000000" w14:paraId="0000005F">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OECD Model Article 7(3):</w:t>
      </w:r>
      <w:r w:rsidDel="00000000" w:rsidR="00000000" w:rsidRPr="00000000">
        <w:rPr>
          <w:rFonts w:ascii="Times New Roman" w:cs="Times New Roman" w:eastAsia="Times New Roman" w:hAnsi="Times New Roman"/>
          <w:sz w:val="24"/>
          <w:szCs w:val="24"/>
          <w:rtl w:val="0"/>
        </w:rPr>
        <w:t xml:space="preserve"> Prohibits deductions for payments such as royalties, fees, and interest from the PE to other parts of the same enterprise unless they represent actual reimbursements.</w:t>
      </w:r>
    </w:p>
    <w:p w:rsidR="00000000" w:rsidDel="00000000" w:rsidP="00000000" w:rsidRDefault="00000000" w:rsidRPr="00000000" w14:paraId="00000060">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 Model Article 7(3):</w:t>
      </w:r>
      <w:r w:rsidDel="00000000" w:rsidR="00000000" w:rsidRPr="00000000">
        <w:rPr>
          <w:rFonts w:ascii="Times New Roman" w:cs="Times New Roman" w:eastAsia="Times New Roman" w:hAnsi="Times New Roman"/>
          <w:sz w:val="24"/>
          <w:szCs w:val="24"/>
          <w:rtl w:val="0"/>
        </w:rPr>
        <w:t xml:space="preserve"> Contains identical restrictions but explicitly exempts banking enterprises from the prohibition on interest deductions. This reflects the UN Model's intent to support specific financial activities in source states​​.</w:t>
      </w:r>
    </w:p>
    <w:p w:rsidR="00000000" w:rsidDel="00000000" w:rsidP="00000000" w:rsidRDefault="00000000" w:rsidRPr="00000000" w14:paraId="0000006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Apportionment of Total Profits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treatment of apportionment diverges significantly:</w:t>
      </w:r>
    </w:p>
    <w:p w:rsidR="00000000" w:rsidDel="00000000" w:rsidP="00000000" w:rsidRDefault="00000000" w:rsidRPr="00000000" w14:paraId="00000063">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OECD Model Article 7(4):</w:t>
      </w:r>
      <w:r w:rsidDel="00000000" w:rsidR="00000000" w:rsidRPr="00000000">
        <w:rPr>
          <w:rFonts w:ascii="Times New Roman" w:cs="Times New Roman" w:eastAsia="Times New Roman" w:hAnsi="Times New Roman"/>
          <w:sz w:val="24"/>
          <w:szCs w:val="24"/>
          <w:rtl w:val="0"/>
        </w:rPr>
        <w:t xml:space="preserve"> Does not generally allow apportionment methods unless they adhere strictly to the arm's length principle.</w:t>
      </w:r>
    </w:p>
    <w:p w:rsidR="00000000" w:rsidDel="00000000" w:rsidP="00000000" w:rsidRDefault="00000000" w:rsidRPr="00000000" w14:paraId="00000064">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 Model Article 7(4):</w:t>
      </w:r>
      <w:r w:rsidDel="00000000" w:rsidR="00000000" w:rsidRPr="00000000">
        <w:rPr>
          <w:rFonts w:ascii="Times New Roman" w:cs="Times New Roman" w:eastAsia="Times New Roman" w:hAnsi="Times New Roman"/>
          <w:sz w:val="24"/>
          <w:szCs w:val="24"/>
          <w:rtl w:val="0"/>
        </w:rPr>
        <w:t xml:space="preserve"> Recognizes customary practices in source countries, allowing apportionment methods, provided they yield results consistent with the article's principles. This flexibility acknowledges the administrative constraints of developing nations​​.</w:t>
      </w:r>
    </w:p>
    <w:p w:rsidR="00000000" w:rsidDel="00000000" w:rsidP="00000000" w:rsidRDefault="00000000" w:rsidRPr="00000000" w14:paraId="0000006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Taxation Consistency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models emphasize consistent application of profit attribution methods:</w:t>
      </w:r>
    </w:p>
    <w:p w:rsidR="00000000" w:rsidDel="00000000" w:rsidP="00000000" w:rsidRDefault="00000000" w:rsidRPr="00000000" w14:paraId="00000067">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OECD Model Article 7(5):</w:t>
      </w:r>
      <w:r w:rsidDel="00000000" w:rsidR="00000000" w:rsidRPr="00000000">
        <w:rPr>
          <w:rFonts w:ascii="Times New Roman" w:cs="Times New Roman" w:eastAsia="Times New Roman" w:hAnsi="Times New Roman"/>
          <w:sz w:val="24"/>
          <w:szCs w:val="24"/>
          <w:rtl w:val="0"/>
        </w:rPr>
        <w:t xml:space="preserve"> Requires consistent application of the profit attribution method unless there is a valid reason for change.</w:t>
      </w:r>
    </w:p>
    <w:p w:rsidR="00000000" w:rsidDel="00000000" w:rsidP="00000000" w:rsidRDefault="00000000" w:rsidRPr="00000000" w14:paraId="00000068">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 Model Article 7(5):</w:t>
      </w:r>
      <w:r w:rsidDel="00000000" w:rsidR="00000000" w:rsidRPr="00000000">
        <w:rPr>
          <w:rFonts w:ascii="Times New Roman" w:cs="Times New Roman" w:eastAsia="Times New Roman" w:hAnsi="Times New Roman"/>
          <w:sz w:val="24"/>
          <w:szCs w:val="24"/>
          <w:rtl w:val="0"/>
        </w:rPr>
        <w:t xml:space="preserve"> Contains similar provisions to ensure stability in tax treatment​​.</w:t>
      </w:r>
    </w:p>
    <w:p w:rsidR="00000000" w:rsidDel="00000000" w:rsidP="00000000" w:rsidRDefault="00000000" w:rsidRPr="00000000" w14:paraId="0000006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Exclusions and Specific Provisions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OECD and UN Models exclude profits covered by other articles:</w:t>
      </w:r>
    </w:p>
    <w:p w:rsidR="00000000" w:rsidDel="00000000" w:rsidP="00000000" w:rsidRDefault="00000000" w:rsidRPr="00000000" w14:paraId="0000006B">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OECD Model Article 7(4):</w:t>
      </w:r>
      <w:r w:rsidDel="00000000" w:rsidR="00000000" w:rsidRPr="00000000">
        <w:rPr>
          <w:rFonts w:ascii="Times New Roman" w:cs="Times New Roman" w:eastAsia="Times New Roman" w:hAnsi="Times New Roman"/>
          <w:sz w:val="24"/>
          <w:szCs w:val="24"/>
          <w:rtl w:val="0"/>
        </w:rPr>
        <w:t xml:space="preserve"> Excludes profits that fall under specific articles (e.g., dividends, royalties).</w:t>
      </w:r>
    </w:p>
    <w:p w:rsidR="00000000" w:rsidDel="00000000" w:rsidP="00000000" w:rsidRDefault="00000000" w:rsidRPr="00000000" w14:paraId="0000006C">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 Model Article 7(6):</w:t>
      </w:r>
      <w:r w:rsidDel="00000000" w:rsidR="00000000" w:rsidRPr="00000000">
        <w:rPr>
          <w:rFonts w:ascii="Times New Roman" w:cs="Times New Roman" w:eastAsia="Times New Roman" w:hAnsi="Times New Roman"/>
          <w:sz w:val="24"/>
          <w:szCs w:val="24"/>
          <w:rtl w:val="0"/>
        </w:rPr>
        <w:t xml:space="preserve"> Similarly excludes such profits but also includes additional clauses under Article 7(1)(b) and (c) to tax certain income types related to the PE's activities, reflecting its broader source-state focus</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1"/>
        <w:jc w:val="both"/>
        <w:rPr/>
      </w:pPr>
      <w:bookmarkStart w:colFirst="0" w:colLast="0" w:name="_heading=h.3whwml4" w:id="7"/>
      <w:bookmarkEnd w:id="7"/>
      <w:r w:rsidDel="00000000" w:rsidR="00000000" w:rsidRPr="00000000">
        <w:rPr>
          <w:rtl w:val="0"/>
        </w:rPr>
        <w:t xml:space="preserve">H.2. SHIPPING AND AIR TRANSPORT PROFITS – ARTICLE 8, OECD MTC</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8 of the OECD Model Tax Convention (OECD MTC) addresses the taxation of profits derived from the international operation of ships and aircraft. It plays a crucial role in the realm of international taxation, providing clear guidelines on which state has the taxing rights over such profits. The 2017 version of Article 8, which is the focus of this discussion, remains a key element in the efforts to eliminate double taxation and promote fair taxation of international transport enterprises. </w:t>
      </w:r>
    </w:p>
    <w:p w:rsidR="00000000" w:rsidDel="00000000" w:rsidP="00000000" w:rsidRDefault="00000000" w:rsidRPr="00000000" w14:paraId="00000078">
      <w:pPr>
        <w:pStyle w:val="Heading1"/>
        <w:numPr>
          <w:ilvl w:val="0"/>
          <w:numId w:val="6"/>
        </w:numPr>
        <w:ind w:left="360" w:hanging="360"/>
        <w:jc w:val="both"/>
        <w:rPr>
          <w:sz w:val="27"/>
          <w:szCs w:val="27"/>
        </w:rPr>
      </w:pPr>
      <w:bookmarkStart w:colFirst="0" w:colLast="0" w:name="_heading=h.2bn6wsx" w:id="8"/>
      <w:bookmarkEnd w:id="8"/>
      <w:r w:rsidDel="00000000" w:rsidR="00000000" w:rsidRPr="00000000">
        <w:rPr>
          <w:sz w:val="27"/>
          <w:szCs w:val="27"/>
          <w:rtl w:val="0"/>
        </w:rPr>
        <w:t xml:space="preserve">Article 8 (1): Taxation Rights</w:t>
      </w:r>
    </w:p>
    <w:p w:rsidR="00000000" w:rsidDel="00000000" w:rsidP="00000000" w:rsidRDefault="00000000" w:rsidRPr="00000000" w14:paraId="000000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"Profits of an enterprise of a Contracting State from the operation of ships or aircraft in international traffic shall be taxable only in that State."</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provision establishes the exclusive right of the state of residence to tax the profits from international shipping and air transport. The rationale behind this exclusive right is to avoid administrative difficulties and double taxation that could arise if multiple states attempted to tax these profits.</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key components of Article 8(1)</w:t>
      </w:r>
    </w:p>
    <w:p w:rsidR="00000000" w:rsidDel="00000000" w:rsidP="00000000" w:rsidRDefault="00000000" w:rsidRPr="00000000" w14:paraId="0000007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Enterprise of a Contracting State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term refers to an entity that is considered a resident under the domestic laws of one of the contracting states. The definition of residence is crucial as it determines which state has the exclusive taxing right.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determination of residence often hinges on various factors, including the place of effective management, the location of the head office, and the place where the key decisions are made. This can sometimes lead to complex assessments, particularly for multinational enterprises with operations in multiple countries. For instance, a shipping company incorporated in Country A but with its central management and control in Country B might be considered a resident of Country B for tax purposes.</w:t>
      </w:r>
    </w:p>
    <w:p w:rsidR="00000000" w:rsidDel="00000000" w:rsidP="00000000" w:rsidRDefault="00000000" w:rsidRPr="00000000" w14:paraId="0000007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Operation of Ships or Aircraft: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scope of "operation" includes the actual transportation of goods or passengers across international boundaries. It encompasses activities directly related to the transportation function such as loading, unloading, and maintenance.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term "operation" is interpreted broadly to cover not only the direct transportation activities but also ancillary activities that are integral to the transportation service. For example, the operation of ships may include the activities of chartering, leasing, and sub-leasing of ships, provided these activities are related to the international transport function. Similarly, in the context of aircraft, activities such as ground handling services, ticketing, and inflight services are considered part of the operation.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International Traffic</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Defined in Article 3 of the OECD MTC, this term covers any transport by a ship or aircraft except when both the origin and destination are within the same state.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definition of international traffic ensures that the taxing rights are limited to cross-border transport, thereby excluding domestic transportation from the scope of Article 8. This distinction is crucial as it prevents domestic transport profits from being taxed solely in the state of residence, which might lead to significant revenue loss for the source state. For example, if a ship transports goods from one port to another within the same country, the profits from this transport are not covered under Article 8.</w:t>
      </w:r>
      <w:r w:rsidDel="00000000" w:rsidR="00000000" w:rsidRPr="00000000">
        <w:rPr>
          <w:rtl w:val="0"/>
        </w:rPr>
      </w:r>
    </w:p>
    <w:p w:rsidR="00000000" w:rsidDel="00000000" w:rsidP="00000000" w:rsidRDefault="00000000" w:rsidRPr="00000000" w14:paraId="00000085">
      <w:pPr>
        <w:pStyle w:val="Heading1"/>
        <w:numPr>
          <w:ilvl w:val="0"/>
          <w:numId w:val="6"/>
        </w:numPr>
        <w:ind w:left="360" w:hanging="360"/>
        <w:jc w:val="both"/>
        <w:rPr>
          <w:sz w:val="27"/>
          <w:szCs w:val="27"/>
        </w:rPr>
      </w:pPr>
      <w:bookmarkStart w:colFirst="0" w:colLast="0" w:name="_heading=h.qsh70q" w:id="9"/>
      <w:bookmarkEnd w:id="9"/>
      <w:r w:rsidDel="00000000" w:rsidR="00000000" w:rsidRPr="00000000">
        <w:rPr>
          <w:sz w:val="27"/>
          <w:szCs w:val="27"/>
          <w:rtl w:val="0"/>
        </w:rPr>
        <w:t xml:space="preserve">Article 8 (2): Extension to Pools, Joint Businesses, and International Operating Agencies</w:t>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provisions of paragraph 1 shall also apply to profits from the participation in a pool, a joint business or an international operating agency."</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paragraph extends the exclusive taxing right to profits derived from cooperative arrangements among enterprises, such as pooling resources, forming joint ventures, or participating in international operating agencies. Such arrangements are common in the shipping and air transport industries to optimize resources and enhance efficiency.</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Components of Paragraph 2</w:t>
      </w:r>
    </w:p>
    <w:p w:rsidR="00000000" w:rsidDel="00000000" w:rsidP="00000000" w:rsidRDefault="00000000" w:rsidRPr="00000000" w14:paraId="0000008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Participation in a Pool</w:t>
      </w:r>
      <w:r w:rsidDel="00000000" w:rsidR="00000000" w:rsidRPr="00000000">
        <w:rPr>
          <w:rtl w:val="0"/>
        </w:rPr>
      </w:r>
    </w:p>
    <w:p w:rsidR="00000000" w:rsidDel="00000000" w:rsidP="00000000" w:rsidRDefault="00000000" w:rsidRPr="00000000" w14:paraId="0000008A">
      <w:pPr>
        <w:ind w:left="720" w:firstLine="0"/>
        <w:jc w:val="both"/>
        <w:rPr>
          <w:sz w:val="24"/>
          <w:szCs w:val="24"/>
        </w:rPr>
      </w:pPr>
      <w:r w:rsidDel="00000000" w:rsidR="00000000" w:rsidRPr="00000000">
        <w:rPr>
          <w:rFonts w:ascii="Times New Roman" w:cs="Times New Roman" w:eastAsia="Times New Roman" w:hAnsi="Times New Roman"/>
          <w:sz w:val="24"/>
          <w:szCs w:val="24"/>
          <w:rtl w:val="0"/>
        </w:rPr>
        <w:t xml:space="preserve">This involves multiple shipping or air transport enterprises sharing resources or services to improve operational efficiency and reduce costs.</w:t>
      </w:r>
      <w:r w:rsidDel="00000000" w:rsidR="00000000" w:rsidRPr="00000000">
        <w:rPr>
          <w:rtl w:val="0"/>
        </w:rPr>
      </w:r>
    </w:p>
    <w:p w:rsidR="00000000" w:rsidDel="00000000" w:rsidP="00000000" w:rsidRDefault="00000000" w:rsidRPr="00000000" w14:paraId="0000008B">
      <w:pPr>
        <w:ind w:left="720" w:firstLine="0"/>
        <w:jc w:val="both"/>
        <w:rPr>
          <w:sz w:val="24"/>
          <w:szCs w:val="24"/>
        </w:rPr>
      </w:pPr>
      <w:r w:rsidDel="00000000" w:rsidR="00000000" w:rsidRPr="00000000">
        <w:rPr>
          <w:rFonts w:ascii="Times New Roman" w:cs="Times New Roman" w:eastAsia="Times New Roman" w:hAnsi="Times New Roman"/>
          <w:sz w:val="24"/>
          <w:szCs w:val="24"/>
          <w:rtl w:val="0"/>
        </w:rPr>
        <w:t xml:space="preserve">Pools are typically formed to allow participating enterprises to share the use of their vessels or aircraft, thereby optimizing fleet utilization and reducing idle time. The profits derived from such pooling arrangements are considered part of the international transport profits and are taxed exclusively in the state of residence of the participating enterprises. The management of these pools, the allocation of profits, and the residence status of each participant are critical factors in determining the tax implications.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Joint Business</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refers to collaboration between enterprises to jointly conduct shipping or air transport activities. It ensures that profits from such joint operations are taxed only in the state of residence of the enterprises involved.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Joint businesses often involve the formation of partnerships or alliances where two or more enterprises share risks and profits from the joint operation of ships or aircraft. For example, two airlines might enter into a joint business arrangement to operate certain international routes together, sharing revenue and expenses. The profits from such joint operations are treated as if they were derived directly by the individual enterprises, thus taxed in their respective states of residence.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International Operating Agency</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are organizations formed by multiple enterprises to manage and operate international shipping or air transport activities collectively. Profits from such operations also fall under the exclusive taxing rights of the state of residence.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International operating agencies are often established to coordinate large-scale operations that require significant infrastructure and management capabilities. These agencies might manage fleets of ships or aircraft on behalf of the participating enterprises, providing operational efficiency and cost savings. The taxation of profits from these agencies follows the principle that each participating enterprise is taxed in its state of residence on its share of the profits.</w:t>
      </w:r>
      <w:r w:rsidDel="00000000" w:rsidR="00000000" w:rsidRPr="00000000">
        <w:rPr>
          <w:rtl w:val="0"/>
        </w:rPr>
      </w:r>
    </w:p>
    <w:p w:rsidR="00000000" w:rsidDel="00000000" w:rsidP="00000000" w:rsidRDefault="00000000" w:rsidRPr="00000000" w14:paraId="00000092">
      <w:pPr>
        <w:pStyle w:val="Heading1"/>
        <w:numPr>
          <w:ilvl w:val="0"/>
          <w:numId w:val="6"/>
        </w:numPr>
        <w:ind w:left="360" w:hanging="360"/>
        <w:jc w:val="both"/>
        <w:rPr>
          <w:sz w:val="27"/>
          <w:szCs w:val="27"/>
        </w:rPr>
      </w:pPr>
      <w:bookmarkStart w:colFirst="0" w:colLast="0" w:name="_heading=h.3as4poj" w:id="10"/>
      <w:bookmarkEnd w:id="10"/>
      <w:r w:rsidDel="00000000" w:rsidR="00000000" w:rsidRPr="00000000">
        <w:rPr>
          <w:sz w:val="27"/>
          <w:szCs w:val="27"/>
          <w:rtl w:val="0"/>
        </w:rPr>
        <w:t xml:space="preserve">Interpretation and Application</w:t>
      </w:r>
    </w:p>
    <w:p w:rsidR="00000000" w:rsidDel="00000000" w:rsidP="00000000" w:rsidRDefault="00000000" w:rsidRPr="00000000" w14:paraId="0000009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Commentary on the OECD Model Tax Convention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OECD Commentary provides detailed explanations and interpretations of Article 8, aiding in its consistent application across jurisdictions. It emphasizes the importance of mutual agreement procedures to resolve any disputes arising from the interpretation or application of Article 8.</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Interpretative Insights</w:t>
      </w:r>
    </w:p>
    <w:p w:rsidR="00000000" w:rsidDel="00000000" w:rsidP="00000000" w:rsidRDefault="00000000" w:rsidRPr="00000000" w14:paraId="00000096">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Residence Principle: </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Commentary underscores that the residence principle simplifies tax administration and compliance, reducing the risk of double taxation.The residence principle is based on the notion that the state where the enterprise is resident is best placed to tax its worldwide income, including profits from international shipping and air transport. This approach reduces the administrative burden on enterprises, as they do not need to comply with multiple tax regimes for the same income. Furthermore, it provides certainty and predictability in tax treatment, which is crucial for long-term business planning.</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Economic Ownership</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clarifies that economic ownership, rather than mere legal ownership, is crucial in determining the state of residence for tax purposes.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Economic ownership refers to the entity that bears the economic risks and rewards associated with the operation of ships or aircraft. This concept is particularly relevant in cases where legal ownership is separated from operational control. For example, a ship might be legally owned by a subsidiary in a low-tax jurisdiction but operated by a parent company in a high-tax jurisdiction. The OECD Commentary suggests that the taxing rights should be aligned with the economic substance, meaning the state where the actual management and control occur should have the taxing rights.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Attribution of Profits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profits attributed to international traffic should reflect the actual economic activity and functions performed by the enterprise in the state of residence.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attribution of profits involves determining the portion of the total profits that can be reasonably allocated to the activities carried out in the state of residence. This process requires a thorough analysis of the functions performed, assets used, and risks assumed by the enterprise in the state of residence. Transfer pricing principles, which ensure that transactions between related parties are conducted at arm's length, are often applied to ensure a fair allocation of profits.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Judicial Interpretations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National courts and tax authorities have occasionally provided interpretations that further elucidate the application of Article 8. These interpretations often focus on specific case scenarios, offering precedents for future cases.</w:t>
      </w:r>
      <w:r w:rsidDel="00000000" w:rsidR="00000000" w:rsidRPr="00000000">
        <w:rPr>
          <w:rtl w:val="0"/>
        </w:rPr>
      </w:r>
    </w:p>
    <w:p w:rsidR="00000000" w:rsidDel="00000000" w:rsidP="00000000" w:rsidRDefault="00000000" w:rsidRPr="00000000" w14:paraId="000000A0">
      <w:pPr>
        <w:pStyle w:val="Heading1"/>
        <w:numPr>
          <w:ilvl w:val="0"/>
          <w:numId w:val="6"/>
        </w:numPr>
        <w:ind w:left="360" w:hanging="360"/>
        <w:jc w:val="both"/>
        <w:rPr>
          <w:sz w:val="27"/>
          <w:szCs w:val="27"/>
        </w:rPr>
      </w:pPr>
      <w:bookmarkStart w:colFirst="0" w:colLast="0" w:name="_heading=h.1pxezwc" w:id="11"/>
      <w:bookmarkEnd w:id="11"/>
      <w:r w:rsidDel="00000000" w:rsidR="00000000" w:rsidRPr="00000000">
        <w:rPr>
          <w:sz w:val="27"/>
          <w:szCs w:val="27"/>
          <w:rtl w:val="0"/>
        </w:rPr>
        <w:t xml:space="preserve">Comparison of Article 8 of the OECD and UN Model Tax Conventions</w:t>
      </w:r>
    </w:p>
    <w:p w:rsidR="00000000" w:rsidDel="00000000" w:rsidP="00000000" w:rsidRDefault="00000000" w:rsidRPr="00000000" w14:paraId="000000A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Common Principles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the OECD and UN Model Tax Conventions address the taxation of profits from international shipping and air transport under Article 8. They generally assign exclusive taxing rights to the state of residence of the enterprise deriving such profits. </w:t>
      </w:r>
    </w:p>
    <w:p w:rsidR="00000000" w:rsidDel="00000000" w:rsidP="00000000" w:rsidRDefault="00000000" w:rsidRPr="00000000" w14:paraId="000000A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Application to Ships and Aircraft</w:t>
      </w:r>
    </w:p>
    <w:p w:rsidR="00000000" w:rsidDel="00000000" w:rsidP="00000000" w:rsidRDefault="00000000" w:rsidRPr="00000000" w14:paraId="000000A4">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OECD MTC (Article 8)</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Profits derived from the operation of ships and aircraft in international traffic are taxable only in the state of residence of the enterprise (paragraph 1). This applies uniformly to all international shipping and air transport operations.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UN MTC (Article 8)</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UN Model provides two alternatives:</w:t>
      </w:r>
    </w:p>
    <w:p w:rsidR="00000000" w:rsidDel="00000000" w:rsidP="00000000" w:rsidRDefault="00000000" w:rsidRPr="00000000" w14:paraId="000000A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Alternative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Mirrors the OECD approach, granting exclusive taxing rights to the state of residence.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Alternative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Diverges by allowing the source state to tax profits from the operation of ships if the activities in that state are more than casual (paragraph 2). The source state’s taxation is limited to profits appropriately allocable to its territory.</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 of Participation in Pools or Agencies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models extend the provisions to profits from participation in pools, joint businesses, or international operating agencies. However, under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Alternative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UN Model, source taxation may also apply if the conditions for taxing ship operations in the source state are satisfied.</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Style w:val="Heading1"/>
        <w:rPr/>
      </w:pPr>
      <w:bookmarkStart w:colFirst="0" w:colLast="0" w:name="_heading=h.49x2ik5" w:id="12"/>
      <w:bookmarkEnd w:id="12"/>
      <w:r w:rsidDel="00000000" w:rsidR="00000000" w:rsidRPr="00000000">
        <w:rPr>
          <w:rtl w:val="0"/>
        </w:rPr>
        <w:t xml:space="preserve">H.3. ASSOCIATED ENTERPRISES – ARTICLE 9, OECD MTC AND UN MDTC: STATUS OF ARTICLE 9 AND LINK TO TRANSFER PRICING LEGISLATION</w:t>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Style w:val="Heading2"/>
        <w:numPr>
          <w:ilvl w:val="0"/>
          <w:numId w:val="14"/>
        </w:numPr>
        <w:ind w:left="360" w:hanging="360"/>
        <w:rPr>
          <w:rFonts w:ascii="Times New Roman" w:cs="Times New Roman" w:eastAsia="Times New Roman" w:hAnsi="Times New Roman"/>
          <w:sz w:val="27"/>
          <w:szCs w:val="27"/>
        </w:rPr>
      </w:pPr>
      <w:bookmarkStart w:colFirst="0" w:colLast="0" w:name="_heading=h.2p2csry" w:id="13"/>
      <w:bookmarkEnd w:id="13"/>
      <w:r w:rsidDel="00000000" w:rsidR="00000000" w:rsidRPr="00000000">
        <w:rPr>
          <w:rFonts w:ascii="Times New Roman" w:cs="Times New Roman" w:eastAsia="Times New Roman" w:hAnsi="Times New Roman"/>
          <w:sz w:val="27"/>
          <w:szCs w:val="27"/>
          <w:rtl w:val="0"/>
        </w:rPr>
        <w:t xml:space="preserve">Scope</w:t>
      </w:r>
    </w:p>
    <w:p w:rsidR="00000000" w:rsidDel="00000000" w:rsidP="00000000" w:rsidRDefault="00000000" w:rsidRPr="00000000" w14:paraId="000000C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 of Article 9</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 9 of the OECD Model Tax Convention (MTC) provides the basis for addressing the taxation of cross-border transactions between "associated enterprises" (AEs). Its primary purpose is to ensure that profits allocated between such enterprises reflect an arm's length price, promoting fairness and preventing tax evasion by multinational enterprises (MNEs). The concept of "associated enterprises" typically involves entities under common control, such as a parent-subsidiary relationship or companies controlled by the same person(s).</w:t>
      </w:r>
    </w:p>
    <w:p w:rsidR="00000000" w:rsidDel="00000000" w:rsidP="00000000" w:rsidRDefault="00000000" w:rsidRPr="00000000" w14:paraId="000000C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Arm's Length Principle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arm's length principle is the cornerstone of transfer pricing and is enshrined in Article 9 of the OECD MTC. The principle aims to ensure that transactions between associated enterprises are priced as if they were conducted between independent entities in comparable market conditions. This approach prevents AEs from manipulating prices to shift profits to low-tax jurisdictions. According to Article 9, profits which would have accrued to one enterprise under arm's length conditions but have not due to the relationship between AEs may be adjusted by tax authorities to reflect the true arm's length price.</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Associated Enterprises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Associated enterprises typically include:</w:t>
      </w:r>
      <w:r w:rsidDel="00000000" w:rsidR="00000000" w:rsidRPr="00000000">
        <w:rPr>
          <w:rtl w:val="0"/>
        </w:rPr>
      </w:r>
    </w:p>
    <w:p w:rsidR="00000000" w:rsidDel="00000000" w:rsidP="00000000" w:rsidRDefault="00000000" w:rsidRPr="00000000" w14:paraId="000000C8">
      <w:pPr>
        <w:numPr>
          <w:ilvl w:val="0"/>
          <w:numId w:val="19"/>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Parent-subsidiary relationships</w:t>
      </w:r>
      <w:r w:rsidDel="00000000" w:rsidR="00000000" w:rsidRPr="00000000">
        <w:rPr>
          <w:rFonts w:ascii="Times New Roman" w:cs="Times New Roman" w:eastAsia="Times New Roman" w:hAnsi="Times New Roman"/>
          <w:sz w:val="24"/>
          <w:szCs w:val="24"/>
          <w:rtl w:val="0"/>
        </w:rPr>
        <w:t xml:space="preserve">, where one company controls another.</w:t>
      </w:r>
      <w:r w:rsidDel="00000000" w:rsidR="00000000" w:rsidRPr="00000000">
        <w:rPr>
          <w:rtl w:val="0"/>
        </w:rPr>
      </w:r>
    </w:p>
    <w:p w:rsidR="00000000" w:rsidDel="00000000" w:rsidP="00000000" w:rsidRDefault="00000000" w:rsidRPr="00000000" w14:paraId="000000C9">
      <w:pPr>
        <w:numPr>
          <w:ilvl w:val="0"/>
          <w:numId w:val="19"/>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Common control</w:t>
      </w:r>
      <w:r w:rsidDel="00000000" w:rsidR="00000000" w:rsidRPr="00000000">
        <w:rPr>
          <w:rFonts w:ascii="Times New Roman" w:cs="Times New Roman" w:eastAsia="Times New Roman" w:hAnsi="Times New Roman"/>
          <w:sz w:val="24"/>
          <w:szCs w:val="24"/>
          <w:rtl w:val="0"/>
        </w:rPr>
        <w:t xml:space="preserve"> situations, where two or more entities are under the control of the same individuals or entities.</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 can be direct or indirect, and it extends to management and capital participation. Under this concept, Article 9 addresses how tax authorities should adjust profits if the conditions between AEs differ from those that would be expected in an arm's length transaction.</w:t>
      </w:r>
    </w:p>
    <w:p w:rsidR="00000000" w:rsidDel="00000000" w:rsidP="00000000" w:rsidRDefault="00000000" w:rsidRPr="00000000" w14:paraId="000000C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OECD's Transfer Pricing Guidelines (TPG)</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OECD's Transfer Pricing Guidelines provide detailed methods and recommendations for applying the arm's length principle. These guidelines are recognized as the international standard for transfer pricing and offer a framework for ensuring that the income allocation among countries reflects the economic activities that generate profits. The guidelines focus on the comparability analysis and selecting the most appropriate transfer pricing method for each transaction.</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9 and OECD Transfer Pricing Guidelines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 9 is often referred to as the authoritative statement of the OECD TPG. The Model Tax Convention sets the legal framework for resolving transfer pricing disputes, while the TPG elaborates on the practical implementation of the arm's length principle. Thus, Article 9 provides the legal basis for the adjustment of taxable profits, while the TPG outlines how these adjustments should be made, ensuring consistency and fairness in taxation across different jurisdictions.</w:t>
      </w:r>
      <w:r w:rsidDel="00000000" w:rsidR="00000000" w:rsidRPr="00000000">
        <w:rPr>
          <w:rtl w:val="0"/>
        </w:rPr>
      </w:r>
    </w:p>
    <w:p w:rsidR="00000000" w:rsidDel="00000000" w:rsidP="00000000" w:rsidRDefault="00000000" w:rsidRPr="00000000" w14:paraId="000000CF">
      <w:pPr>
        <w:pStyle w:val="Heading2"/>
        <w:numPr>
          <w:ilvl w:val="0"/>
          <w:numId w:val="14"/>
        </w:numPr>
        <w:ind w:left="360" w:hanging="360"/>
        <w:rPr>
          <w:rFonts w:ascii="Times New Roman" w:cs="Times New Roman" w:eastAsia="Times New Roman" w:hAnsi="Times New Roman"/>
          <w:sz w:val="27"/>
          <w:szCs w:val="27"/>
        </w:rPr>
      </w:pPr>
      <w:bookmarkStart w:colFirst="0" w:colLast="0" w:name="_heading=h.147n2zr" w:id="14"/>
      <w:bookmarkEnd w:id="14"/>
      <w:r w:rsidDel="00000000" w:rsidR="00000000" w:rsidRPr="00000000">
        <w:rPr>
          <w:rFonts w:ascii="Times New Roman" w:cs="Times New Roman" w:eastAsia="Times New Roman" w:hAnsi="Times New Roman"/>
          <w:sz w:val="27"/>
          <w:szCs w:val="27"/>
          <w:rtl w:val="0"/>
        </w:rPr>
        <w:t xml:space="preserve">Article 9 (1)</w:t>
      </w:r>
    </w:p>
    <w:p w:rsidR="00000000" w:rsidDel="00000000" w:rsidP="00000000" w:rsidRDefault="00000000" w:rsidRPr="00000000" w14:paraId="000000D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Adjustment of Profits</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 9(1) authorizes tax authorities to adjust profits between AEs if transactions between them do not reflect an arm's length price. This could involve inflating or deflating profits to reflect the appropriate market value of goods, services, or intangibles exchanged between AEs. The profit adjustment mechanism ensures that all jurisdictions involved receive their fair share of tax based on the actual economic contribution of each party to the transaction.</w:t>
      </w:r>
    </w:p>
    <w:p w:rsidR="00000000" w:rsidDel="00000000" w:rsidP="00000000" w:rsidRDefault="00000000" w:rsidRPr="00000000" w14:paraId="000000D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Thin Capitalization Rules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 capitalization rules are designed to prevent companies from excessively leveraging their subsidiaries to reduce taxable income through interest deductions. These rules are linked to Article 9 as they deal with the financing transactions between associated enterprises, where the conditions of loans (interest rates, loan amount, etc.) must be consistent with what would be agreed upon by independent parties. If the level of debt or interest rates does not align with the arm's length principle, tax authorities may recharacterize a portion of the loan as equity or adjust the interest expense for tax purposes.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notable case involving profit adjustment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Philip Morris (Australia)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 Australian tax authorities challenged the pricing of intercompany transactions. Philip Morris was found to have overcharged its Australian subsidiary for cigarette supplies, which resulted in profit shifting. The court upheld the ATO’s adjustments based on the arm's length principle.</w:t>
      </w:r>
      <w:r w:rsidDel="00000000" w:rsidR="00000000" w:rsidRPr="00000000">
        <w:rPr>
          <w:rtl w:val="0"/>
        </w:rPr>
      </w:r>
    </w:p>
    <w:p w:rsidR="00000000" w:rsidDel="00000000" w:rsidP="00000000" w:rsidRDefault="00000000" w:rsidRPr="00000000" w14:paraId="000000D5">
      <w:pPr>
        <w:pStyle w:val="Heading2"/>
        <w:numPr>
          <w:ilvl w:val="0"/>
          <w:numId w:val="14"/>
        </w:numPr>
        <w:ind w:left="360" w:hanging="360"/>
        <w:rPr>
          <w:rFonts w:ascii="Times New Roman" w:cs="Times New Roman" w:eastAsia="Times New Roman" w:hAnsi="Times New Roman"/>
          <w:sz w:val="27"/>
          <w:szCs w:val="27"/>
        </w:rPr>
      </w:pPr>
      <w:bookmarkStart w:colFirst="0" w:colLast="0" w:name="_heading=h.3o7alnk" w:id="15"/>
      <w:bookmarkEnd w:id="15"/>
      <w:r w:rsidDel="00000000" w:rsidR="00000000" w:rsidRPr="00000000">
        <w:rPr>
          <w:rFonts w:ascii="Times New Roman" w:cs="Times New Roman" w:eastAsia="Times New Roman" w:hAnsi="Times New Roman"/>
          <w:sz w:val="27"/>
          <w:szCs w:val="27"/>
          <w:rtl w:val="0"/>
        </w:rPr>
        <w:t xml:space="preserve">Article 9 (2)</w:t>
      </w:r>
    </w:p>
    <w:p w:rsidR="00000000" w:rsidDel="00000000" w:rsidP="00000000" w:rsidRDefault="00000000" w:rsidRPr="00000000" w14:paraId="000000D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Relief for Economic Double Taxation</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 9(2) addresses situations where adjustments made by one tax authority lead to economic double taxation. Double taxation can arise when profits adjusted upwards in one jurisdiction are not correspondingly adjusted downwards in the counterparty jurisdiction. Article 9(2) provides relief by encouraging corresponding adjustments to be made in the other jurisdiction to avoid double taxation.</w:t>
      </w:r>
    </w:p>
    <w:p w:rsidR="00000000" w:rsidDel="00000000" w:rsidP="00000000" w:rsidRDefault="00000000" w:rsidRPr="00000000" w14:paraId="000000D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Corresponding Adjustments and Secondary Adjustments</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one tax authority adjusts the profits of an enterprise in its jurisdiction, Article 9(2) allows for a corresponding adjustment in the other jurisdiction involved in the transaction. This ensures the profit is not taxed twice and provides relief from double taxation. A corresponding adjustment may lead to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secondary adjustment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aims to address the financial consequences of the initial adjustment, such as treating the difference as a deemed dividend or a capital contribution.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example of corresponding adjustment is found in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GlaxoSmithKline case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 the IRS and HMRC engaged in transfer pricing disputes. After extensive negotiations and Mutual Agreement Procedures (MAP), the jurisdictions agreed on corresponding adjustments to prevent double taxation.</w:t>
      </w:r>
    </w:p>
    <w:p w:rsidR="00000000" w:rsidDel="00000000" w:rsidP="00000000" w:rsidRDefault="00000000" w:rsidRPr="00000000" w14:paraId="000000D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Time Limit for Corresponding Adjustments</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time limit for making corresponding adjustments is subject to domestic law and bilateral treaties. Some treaties provide specific time frames (e.g., 5-7 years) within which corresponding adjustments must be requested or made. If the time limit expires, tax authorities may not entertain further claims for relief.</w:t>
      </w:r>
    </w:p>
    <w:p w:rsidR="00000000" w:rsidDel="00000000" w:rsidP="00000000" w:rsidRDefault="00000000" w:rsidRPr="00000000" w14:paraId="000000D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Mutual Agreement Procedure (MAP)</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Mutual Agreement Procedure (MAP), outlined in Article 25 of the OECD MTC, is an important mechanism for resolving disputes related to double taxation, including transfer pricing issues under Article 9. Through MAP, tax authorities of the involved jurisdictions engage in discussions to resolve the dispute and eliminate double taxation. If MAP fails, some treaties also offer arbitration as a last resort.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Danone case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highlights the importance of MAP in resolving transfer pricing disputes. In this case, Danone faced double taxation due to adjustments made by the French and Italian tax authorities. Through the MAP process, a mutual agreement was reached to provide relief and prevent double taxation.</w:t>
      </w:r>
      <w:r w:rsidDel="00000000" w:rsidR="00000000" w:rsidRPr="00000000">
        <w:rPr>
          <w:rtl w:val="0"/>
        </w:rPr>
      </w:r>
    </w:p>
    <w:p w:rsidR="00000000" w:rsidDel="00000000" w:rsidP="00000000" w:rsidRDefault="00000000" w:rsidRPr="00000000" w14:paraId="000000E0">
      <w:pPr>
        <w:pStyle w:val="Heading2"/>
        <w:numPr>
          <w:ilvl w:val="0"/>
          <w:numId w:val="14"/>
        </w:numPr>
        <w:ind w:left="360" w:hanging="360"/>
        <w:rPr>
          <w:rFonts w:ascii="Times New Roman" w:cs="Times New Roman" w:eastAsia="Times New Roman" w:hAnsi="Times New Roman"/>
          <w:sz w:val="27"/>
          <w:szCs w:val="27"/>
        </w:rPr>
      </w:pPr>
      <w:bookmarkStart w:colFirst="0" w:colLast="0" w:name="_heading=h.23ckvvd" w:id="16"/>
      <w:bookmarkEnd w:id="16"/>
      <w:r w:rsidDel="00000000" w:rsidR="00000000" w:rsidRPr="00000000">
        <w:rPr>
          <w:rFonts w:ascii="Times New Roman" w:cs="Times New Roman" w:eastAsia="Times New Roman" w:hAnsi="Times New Roman"/>
          <w:sz w:val="27"/>
          <w:szCs w:val="27"/>
          <w:rtl w:val="0"/>
        </w:rPr>
        <w:t xml:space="preserve">Comparison of Article 9 of the OECD and UN Model Tax Conventions</w:t>
      </w:r>
    </w:p>
    <w:p w:rsidR="00000000" w:rsidDel="00000000" w:rsidP="00000000" w:rsidRDefault="00000000" w:rsidRPr="00000000" w14:paraId="000000E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Adjustments of Profits (Paragraph 1)</w:t>
      </w:r>
      <w:r w:rsidDel="00000000" w:rsidR="00000000" w:rsidRPr="00000000">
        <w:rPr>
          <w:rtl w:val="0"/>
        </w:rPr>
      </w:r>
    </w:p>
    <w:p w:rsidR="00000000" w:rsidDel="00000000" w:rsidP="00000000" w:rsidRDefault="00000000" w:rsidRPr="00000000" w14:paraId="000000E2">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OECD MTC Article 9(1):</w:t>
      </w:r>
      <w:r w:rsidDel="00000000" w:rsidR="00000000" w:rsidRPr="00000000">
        <w:rPr>
          <w:rFonts w:ascii="Times New Roman" w:cs="Times New Roman" w:eastAsia="Times New Roman" w:hAnsi="Times New Roman"/>
          <w:sz w:val="24"/>
          <w:szCs w:val="24"/>
          <w:rtl w:val="0"/>
        </w:rPr>
        <w:t xml:space="preserve"> Allows adjustments to profits of associated enterprises where transactions between them are not consistent with the arm’s length principle. The article refers to cases where one enterprise participates in the management, control, or capital of another, or both are under common control.</w:t>
      </w:r>
    </w:p>
    <w:p w:rsidR="00000000" w:rsidDel="00000000" w:rsidP="00000000" w:rsidRDefault="00000000" w:rsidRPr="00000000" w14:paraId="000000E3">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 MTC Article 9(1):</w:t>
      </w:r>
      <w:r w:rsidDel="00000000" w:rsidR="00000000" w:rsidRPr="00000000">
        <w:rPr>
          <w:rFonts w:ascii="Times New Roman" w:cs="Times New Roman" w:eastAsia="Times New Roman" w:hAnsi="Times New Roman"/>
          <w:sz w:val="24"/>
          <w:szCs w:val="24"/>
          <w:rtl w:val="0"/>
        </w:rPr>
        <w:t xml:space="preserve"> Contains similar provisions, allowing adjustments to ensure profits are aligned with what would have accrued under independent enterprise conditions. However, the UN MTC emphasizes the need for clear documentation to justify such adjustments, considering the administrative constraints faced by developing countries.</w:t>
      </w:r>
    </w:p>
    <w:p w:rsidR="00000000" w:rsidDel="00000000" w:rsidP="00000000" w:rsidRDefault="00000000" w:rsidRPr="00000000" w14:paraId="000000E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Corresponding Adjustments (Paragraph 2)</w:t>
      </w:r>
      <w:r w:rsidDel="00000000" w:rsidR="00000000" w:rsidRPr="00000000">
        <w:rPr>
          <w:rtl w:val="0"/>
        </w:rPr>
      </w:r>
    </w:p>
    <w:p w:rsidR="00000000" w:rsidDel="00000000" w:rsidP="00000000" w:rsidRDefault="00000000" w:rsidRPr="00000000" w14:paraId="000000E5">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OECD MTC Article 9(2):</w:t>
      </w:r>
      <w:r w:rsidDel="00000000" w:rsidR="00000000" w:rsidRPr="00000000">
        <w:rPr>
          <w:rFonts w:ascii="Times New Roman" w:cs="Times New Roman" w:eastAsia="Times New Roman" w:hAnsi="Times New Roman"/>
          <w:sz w:val="24"/>
          <w:szCs w:val="24"/>
          <w:rtl w:val="0"/>
        </w:rPr>
        <w:t xml:space="preserve"> Stipulates that if a contracting state adjusts the profits of an enterprise, the other contracting state should make a corresponding adjustment to avoid double taxation, provided the adjustment aligns with the convention's principles.</w:t>
      </w:r>
    </w:p>
    <w:p w:rsidR="00000000" w:rsidDel="00000000" w:rsidP="00000000" w:rsidRDefault="00000000" w:rsidRPr="00000000" w14:paraId="000000E6">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 MTC Article 9(2):</w:t>
      </w:r>
      <w:r w:rsidDel="00000000" w:rsidR="00000000" w:rsidRPr="00000000">
        <w:rPr>
          <w:rFonts w:ascii="Times New Roman" w:cs="Times New Roman" w:eastAsia="Times New Roman" w:hAnsi="Times New Roman"/>
          <w:sz w:val="24"/>
          <w:szCs w:val="24"/>
          <w:rtl w:val="0"/>
        </w:rPr>
        <w:t xml:space="preserve"> Similarly provides for corresponding adjustments. However, it acknowledges that disputes might arise more frequently in cases involving developing nations and emphasizes mutual consultation between competent authorities to resolve differences.</w:t>
      </w:r>
    </w:p>
    <w:p w:rsidR="00000000" w:rsidDel="00000000" w:rsidP="00000000" w:rsidRDefault="00000000" w:rsidRPr="00000000" w14:paraId="000000E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Addressing Fraud and Misconduct (Paragraph 3 - UN MTC only)</w:t>
      </w:r>
      <w:r w:rsidDel="00000000" w:rsidR="00000000" w:rsidRPr="00000000">
        <w:rPr>
          <w:rtl w:val="0"/>
        </w:rPr>
      </w:r>
    </w:p>
    <w:p w:rsidR="00000000" w:rsidDel="00000000" w:rsidP="00000000" w:rsidRDefault="00000000" w:rsidRPr="00000000" w14:paraId="000000E8">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 MTC Article 9(3):</w:t>
      </w:r>
      <w:r w:rsidDel="00000000" w:rsidR="00000000" w:rsidRPr="00000000">
        <w:rPr>
          <w:rFonts w:ascii="Times New Roman" w:cs="Times New Roman" w:eastAsia="Times New Roman" w:hAnsi="Times New Roman"/>
          <w:sz w:val="24"/>
          <w:szCs w:val="24"/>
          <w:rtl w:val="0"/>
        </w:rPr>
        <w:t xml:space="preserve"> Explicitly states that the provisions of paragraph 2 (corresponding adjustments) do not apply where adjustments are due to fraud, gross negligence, or willful default by the enterprise. This provision reflects the UN MTC's concern with ensuring fair tax administration, particularly for developing nations that may face challenges in monitoring compliance.</w:t>
      </w:r>
    </w:p>
    <w:p w:rsidR="00000000" w:rsidDel="00000000" w:rsidP="00000000" w:rsidRDefault="00000000" w:rsidRPr="00000000" w14:paraId="000000E9">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OECD MTC:</w:t>
      </w:r>
      <w:r w:rsidDel="00000000" w:rsidR="00000000" w:rsidRPr="00000000">
        <w:rPr>
          <w:rFonts w:ascii="Times New Roman" w:cs="Times New Roman" w:eastAsia="Times New Roman" w:hAnsi="Times New Roman"/>
          <w:sz w:val="24"/>
          <w:szCs w:val="24"/>
          <w:rtl w:val="0"/>
        </w:rPr>
        <w:t xml:space="preserve"> Does not include a similar provision, indicating a broader reliance on the presumption of good faith in transfer pricing practices.</w:t>
      </w:r>
    </w:p>
    <w:p w:rsidR="00000000" w:rsidDel="00000000" w:rsidP="00000000" w:rsidRDefault="00000000" w:rsidRPr="00000000" w14:paraId="000000E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Emphasis on Administrative Capacity</w:t>
      </w:r>
      <w:r w:rsidDel="00000000" w:rsidR="00000000" w:rsidRPr="00000000">
        <w:rPr>
          <w:rtl w:val="0"/>
        </w:rPr>
      </w:r>
    </w:p>
    <w:p w:rsidR="00000000" w:rsidDel="00000000" w:rsidP="00000000" w:rsidRDefault="00000000" w:rsidRPr="00000000" w14:paraId="000000EB">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UN MTC</w:t>
      </w:r>
      <w:r w:rsidDel="00000000" w:rsidR="00000000" w:rsidRPr="00000000">
        <w:rPr>
          <w:rFonts w:ascii="Times New Roman" w:cs="Times New Roman" w:eastAsia="Times New Roman" w:hAnsi="Times New Roman"/>
          <w:sz w:val="24"/>
          <w:szCs w:val="24"/>
          <w:rtl w:val="0"/>
        </w:rPr>
        <w:t xml:space="preserve"> places greater emphasis on the practical challenges faced by developing countries in applying the arm’s length principle. It highlights the need for simplified approaches and cooperation between tax authorities to address the lack of comparable data and administrative resources.</w:t>
      </w:r>
    </w:p>
    <w:p w:rsidR="00000000" w:rsidDel="00000000" w:rsidP="00000000" w:rsidRDefault="00000000" w:rsidRPr="00000000" w14:paraId="000000EC">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OECD MTC</w:t>
      </w:r>
      <w:r w:rsidDel="00000000" w:rsidR="00000000" w:rsidRPr="00000000">
        <w:rPr>
          <w:rFonts w:ascii="Times New Roman" w:cs="Times New Roman" w:eastAsia="Times New Roman" w:hAnsi="Times New Roman"/>
          <w:sz w:val="24"/>
          <w:szCs w:val="24"/>
          <w:rtl w:val="0"/>
        </w:rPr>
        <w:t xml:space="preserve">, while also advocating for mutual agreement procedures, focuses more on aligning international practices with detailed functional and comparability analyses.</w:t>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pBdr>
        <w:top w:color="d9d9d9" w:space="1" w:sz="4" w:val="single"/>
        <w:left w:space="0" w:sz="0" w:val="nil"/>
        <w:bottom w:space="0" w:sz="0" w:val="nil"/>
        <w:right w:space="0" w:sz="0" w:val="nil"/>
        <w:between w:space="0" w:sz="0" w:val="nil"/>
      </w:pBdr>
      <w:tabs>
        <w:tab w:val="center" w:leader="none" w:pos="4513"/>
        <w:tab w:val="right" w:leader="none" w:pos="9026"/>
      </w:tabs>
      <w:spacing w:after="0" w:line="240" w:lineRule="auto"/>
      <w:ind w:left="3407" w:firstLine="4513"/>
      <w:rPr>
        <w:b w:val="1"/>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b w:val="1"/>
        <w:color w:val="000000"/>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2">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4"/>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6">
    <w:lvl w:ilvl="0">
      <w:start w:val="1"/>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decimal"/>
      <w:lvlText w:val="%1."/>
      <w:lvlJc w:val="left"/>
      <w:pPr>
        <w:ind w:left="360" w:hanging="360"/>
      </w:pPr>
      <w:rPr>
        <w:b w:val="1"/>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color w:val="000000"/>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A0761B"/>
    <w:pPr>
      <w:keepNext w:val="1"/>
      <w:keepLines w:val="1"/>
      <w:spacing w:after="0" w:before="240"/>
      <w:outlineLvl w:val="0"/>
    </w:pPr>
    <w:rPr>
      <w:rFonts w:ascii="Times New Roman" w:hAnsi="Times New Roman" w:cstheme="majorBidi" w:eastAsiaTheme="majorEastAsia"/>
      <w:b w:val="1"/>
      <w:color w:val="000000" w:themeColor="text1"/>
      <w:sz w:val="28"/>
      <w:szCs w:val="32"/>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
    <w:rsid w:val="00A0761B"/>
    <w:rPr>
      <w:rFonts w:ascii="Times New Roman" w:hAnsi="Times New Roman" w:cstheme="majorBidi" w:eastAsiaTheme="majorEastAsia"/>
      <w:b w:val="1"/>
      <w:color w:val="000000" w:themeColor="text1"/>
      <w:sz w:val="28"/>
      <w:szCs w:val="32"/>
    </w:rPr>
  </w:style>
  <w:style w:type="paragraph" w:styleId="ListParagraph">
    <w:name w:val="List Paragraph"/>
    <w:basedOn w:val="Normal"/>
    <w:uiPriority w:val="34"/>
    <w:qFormat w:val="1"/>
    <w:rsid w:val="00E656B6"/>
    <w:pPr>
      <w:ind w:left="720"/>
      <w:contextualSpacing w:val="1"/>
    </w:pPr>
  </w:style>
  <w:style w:type="paragraph" w:styleId="TOCHeading">
    <w:name w:val="TOC Heading"/>
    <w:basedOn w:val="Heading1"/>
    <w:next w:val="Normal"/>
    <w:uiPriority w:val="39"/>
    <w:unhideWhenUsed w:val="1"/>
    <w:qFormat w:val="1"/>
    <w:rsid w:val="00E656B6"/>
    <w:pPr>
      <w:outlineLvl w:val="9"/>
    </w:pPr>
    <w:rPr>
      <w:rFonts w:asciiTheme="majorHAnsi" w:hAnsiTheme="majorHAnsi"/>
      <w:b w:val="0"/>
      <w:color w:val="2f5496" w:themeColor="accent1" w:themeShade="0000BF"/>
      <w:sz w:val="32"/>
      <w:lang/>
    </w:rPr>
  </w:style>
  <w:style w:type="paragraph" w:styleId="TOC1">
    <w:name w:val="toc 1"/>
    <w:basedOn w:val="Normal"/>
    <w:next w:val="Normal"/>
    <w:autoRedefine w:val="1"/>
    <w:uiPriority w:val="39"/>
    <w:unhideWhenUsed w:val="1"/>
    <w:rsid w:val="00E656B6"/>
    <w:pPr>
      <w:spacing w:after="100"/>
    </w:pPr>
  </w:style>
  <w:style w:type="character" w:styleId="Hyperlink">
    <w:name w:val="Hyperlink"/>
    <w:basedOn w:val="DefaultParagraphFont"/>
    <w:uiPriority w:val="99"/>
    <w:unhideWhenUsed w:val="1"/>
    <w:rsid w:val="00E656B6"/>
    <w:rPr>
      <w:color w:val="0563c1" w:themeColor="hyperlink"/>
      <w:u w:val="single"/>
    </w:rPr>
  </w:style>
  <w:style w:type="paragraph" w:styleId="Header">
    <w:name w:val="header"/>
    <w:basedOn w:val="Normal"/>
    <w:link w:val="HeaderChar"/>
    <w:uiPriority w:val="99"/>
    <w:unhideWhenUsed w:val="1"/>
    <w:rsid w:val="00D0225F"/>
    <w:pPr>
      <w:tabs>
        <w:tab w:val="center" w:pos="4513"/>
        <w:tab w:val="right" w:pos="9026"/>
      </w:tabs>
      <w:spacing w:after="0" w:line="240" w:lineRule="auto"/>
    </w:pPr>
  </w:style>
  <w:style w:type="character" w:styleId="HeaderChar" w:customStyle="1">
    <w:name w:val="Header Char"/>
    <w:basedOn w:val="DefaultParagraphFont"/>
    <w:link w:val="Header"/>
    <w:uiPriority w:val="99"/>
    <w:rsid w:val="00D0225F"/>
  </w:style>
  <w:style w:type="paragraph" w:styleId="Footer">
    <w:name w:val="footer"/>
    <w:basedOn w:val="Normal"/>
    <w:link w:val="FooterChar"/>
    <w:uiPriority w:val="99"/>
    <w:unhideWhenUsed w:val="1"/>
    <w:rsid w:val="00D0225F"/>
    <w:pPr>
      <w:tabs>
        <w:tab w:val="center" w:pos="4513"/>
        <w:tab w:val="right" w:pos="9026"/>
      </w:tabs>
      <w:spacing w:after="0" w:line="240" w:lineRule="auto"/>
    </w:pPr>
  </w:style>
  <w:style w:type="character" w:styleId="FooterChar" w:customStyle="1">
    <w:name w:val="Footer Char"/>
    <w:basedOn w:val="DefaultParagraphFont"/>
    <w:link w:val="Footer"/>
    <w:uiPriority w:val="99"/>
    <w:rsid w:val="00D0225F"/>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NormalWeb">
    <w:name w:val="Normal (Web)"/>
    <w:basedOn w:val="Normal"/>
    <w:uiPriority w:val="99"/>
    <w:semiHidden w:val="1"/>
    <w:unhideWhenUsed w:val="1"/>
    <w:rsid w:val="004109BA"/>
    <w:pPr>
      <w:spacing w:after="100" w:afterAutospacing="1" w:before="100" w:beforeAutospacing="1" w:line="240" w:lineRule="auto"/>
    </w:pPr>
    <w:rPr>
      <w:rFonts w:ascii="Times New Roman" w:cs="Times New Roman" w:eastAsia="Times New Roman" w:hAnsi="Times New Roman"/>
      <w:sz w:val="24"/>
      <w:szCs w:val="24"/>
      <w:lang w:val="en-GB"/>
    </w:rPr>
  </w:style>
  <w:style w:type="character" w:styleId="Strong">
    <w:name w:val="Strong"/>
    <w:basedOn w:val="DefaultParagraphFont"/>
    <w:uiPriority w:val="22"/>
    <w:qFormat w:val="1"/>
    <w:rsid w:val="004109BA"/>
    <w:rPr>
      <w:b w:val="1"/>
      <w:bCs w:val="1"/>
    </w:rPr>
  </w:style>
  <w:style w:type="paragraph" w:styleId="TOC2">
    <w:name w:val="toc 2"/>
    <w:basedOn w:val="Normal"/>
    <w:next w:val="Normal"/>
    <w:autoRedefine w:val="1"/>
    <w:uiPriority w:val="39"/>
    <w:unhideWhenUsed w:val="1"/>
    <w:rsid w:val="004109BA"/>
    <w:pPr>
      <w:spacing w:after="100"/>
      <w:ind w:left="22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ymjpfbQ9/FP5EGNKcRdK1lze0w==">CgMxLjAyCWguMmp4c3hxaDIIaC56MzM3eWEyCWguM2oycXFtMzIJaC4xeTgxMHR3MgloLjRpN29qaHAyCWguMnhjeXRwaTIJaC4xY2k5M3hiMgloLjN3aHdtbDQyCWguMmJuNndzeDIIaC5xc2g3MHEyCWguM2FzNHBvajIJaC4xcHhlendjMgloLjQ5eDJpazUyCWguMnAyY3NyeTIJaC4xNDduMnpyMgloLjNvN2FsbmsyCWguMjNja3Z2ZDgAciExZ3pfVjJzSFRDSU1jaGM4MnBjZGs1RVZBcVZuWjhyV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2024-09-06T18:54:00Z</dcterms:created>
  <dc:creator>victory otamiri</dc:creator>
</cp:coreProperties>
</file>