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pPr>
      <w:bookmarkStart w:colFirst="0" w:colLast="0" w:name="_heading=h.f77ie59xsu5j" w:id="0"/>
      <w:bookmarkEnd w:id="0"/>
      <w:r w:rsidDel="00000000" w:rsidR="00000000" w:rsidRPr="00000000">
        <w:rPr>
          <w:rtl w:val="0"/>
        </w:rPr>
        <w:t xml:space="preserve">I. DTC PROVISIONS RELATING TO INDEPENDENT PERSONAL SERVICES – ARTICLE 14, UN MDTC</w:t>
      </w:r>
    </w:p>
    <w:p w:rsidR="00000000" w:rsidDel="00000000" w:rsidP="00000000" w:rsidRDefault="00000000" w:rsidRPr="00000000" w14:paraId="00000002">
      <w:pPr>
        <w:rPr/>
      </w:pPr>
      <w:r w:rsidDel="00000000" w:rsidR="00000000" w:rsidRPr="00000000">
        <w:rPr>
          <w:rtl w:val="0"/>
        </w:rPr>
        <w:t xml:space="preserve">Article 14 of the UN Model Tax Convention (UN MTC) governs the taxation of income from independent personal services. It provides a framework for determining the allocation of taxing rights between a resident's state and a source state. This provision is crucial in addressing cross-border professional services, ensuring that taxing rights are balanced between developed and developing countries. By critically examining the provisions of Article 14 and using its commentary as an interpretative guide, this note aims to provide a detailed discussion of its application and implications for international tax policy.</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provisions of Article 14 must be understood in the context of the increasing globalization of services and the need to balance equitable taxation with administrative simplicity. By examining its historical development, practical application, and challenges, we can evaluate its effectiveness in achieving its stated goals.</w:t>
      </w:r>
    </w:p>
    <w:p w:rsidR="00000000" w:rsidDel="00000000" w:rsidP="00000000" w:rsidRDefault="00000000" w:rsidRPr="00000000" w14:paraId="00000004">
      <w:pPr>
        <w:pStyle w:val="Heading2"/>
        <w:numPr>
          <w:ilvl w:val="0"/>
          <w:numId w:val="2"/>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Overview of Article 14</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14(1) establishes the general principle that income derived by a resident of one Contracting State from professional or other independent activities is taxable only in the resident state unless one of two exceptions applies:</w:t>
      </w:r>
    </w:p>
    <w:p w:rsidR="00000000" w:rsidDel="00000000" w:rsidP="00000000" w:rsidRDefault="00000000" w:rsidRPr="00000000" w14:paraId="0000000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Fixed Base Exception (Article 14(1)(a)):</w:t>
      </w:r>
      <w:r w:rsidDel="00000000" w:rsidR="00000000" w:rsidRPr="00000000">
        <w:rPr>
          <w:rFonts w:ascii="Times New Roman" w:cs="Times New Roman" w:eastAsia="Times New Roman" w:hAnsi="Times New Roman"/>
          <w:sz w:val="24"/>
          <w:szCs w:val="24"/>
          <w:rtl w:val="0"/>
        </w:rPr>
        <w:t xml:space="preserve"> The income may be taxed in the source state if the individual has a fixed base in that state, provided the income is attributable to that base.</w:t>
      </w:r>
    </w:p>
    <w:p w:rsidR="00000000" w:rsidDel="00000000" w:rsidP="00000000" w:rsidRDefault="00000000" w:rsidRPr="00000000" w14:paraId="0000000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Duration of Stay Exception (Article 14(1)(b)):</w:t>
      </w:r>
      <w:r w:rsidDel="00000000" w:rsidR="00000000" w:rsidRPr="00000000">
        <w:rPr>
          <w:rFonts w:ascii="Times New Roman" w:cs="Times New Roman" w:eastAsia="Times New Roman" w:hAnsi="Times New Roman"/>
          <w:sz w:val="24"/>
          <w:szCs w:val="24"/>
          <w:rtl w:val="0"/>
        </w:rPr>
        <w:t xml:space="preserve"> The source state may tax the income if the individual is present for 183 days or more within any twelve-month period, with taxation limited to income earned during the stay.</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14(2) defines "professional services" broadly, including independent activities by various professionals such as lawyers, doctors, engineers, architects, and accountants. The commentary emphasizes that this list is not exhaustive, allowing flexibility for inclusion of other similar activities.</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dual criteria approach recognizes the need for source-based taxation in specific circumstances while maintaining the primacy of residence-based taxation for administrative simplicity. This balance is critical to the broader objectives of the UN MTC in fostering equitable international tax relations.</w:t>
      </w:r>
    </w:p>
    <w:p w:rsidR="00000000" w:rsidDel="00000000" w:rsidP="00000000" w:rsidRDefault="00000000" w:rsidRPr="00000000" w14:paraId="0000000A">
      <w:pPr>
        <w:pStyle w:val="Heading2"/>
        <w:numPr>
          <w:ilvl w:val="0"/>
          <w:numId w:val="2"/>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Analysis of Article 14(1)(a) – Fixed Base Exception</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fixed base exception under Article 14(1)(a) aligns with the principle of nexus, enabling the source state to tax income linked to activities performed through a base. The concept of a "fixed base," though undefined, mirrors the permanent establishment (PE) concept in Article 5 but is tailored for independent services.</w:t>
      </w:r>
    </w:p>
    <w:p w:rsidR="00000000" w:rsidDel="00000000" w:rsidP="00000000" w:rsidRDefault="00000000" w:rsidRPr="00000000" w14:paraId="0000000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Interpretative Issues: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Nature of the Fixed Base</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clarified in the commentary, a fixed base includes centers of activity such as consulting rooms, studios, or offices that are regularly available for the performance of professional activities. This term excludes industrial and commercial operations, underscoring the personal and professional nature of services covered by this Article. The lack of a fixed definition, however, may result in divergent interpretations, depending on treaty language and administrative practices.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Attribution Rules: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Income attribution follows principles akin to Article 7 on business profits. This means only income directly connected to the activities performed through the fixed base is taxable in the source state. Deductions for expenses incurred in connection with the fixed base, including administrative and operational costs, ensure that only net income is taxed. This principle prevents over-taxation and encourages fair allocation of taxing rights.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Critical Observations:</w:t>
      </w:r>
      <w:r w:rsidDel="00000000" w:rsidR="00000000" w:rsidRPr="00000000">
        <w:rPr>
          <w:rtl w:val="0"/>
        </w:rPr>
      </w:r>
    </w:p>
    <w:p w:rsidR="00000000" w:rsidDel="00000000" w:rsidP="00000000" w:rsidRDefault="00000000" w:rsidRPr="00000000" w14:paraId="00000012">
      <w:pPr>
        <w:numPr>
          <w:ilvl w:val="0"/>
          <w:numId w:val="3"/>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fixed base concept provides clarity, its overlap with Article 5 creates interpretative challenges in distinguishing PEs and fixed bases. For instance, a consulting firm operating through a shared office space may face uncertainty regarding whether this constitutes a fixed base.</w:t>
      </w:r>
    </w:p>
    <w:p w:rsidR="00000000" w:rsidDel="00000000" w:rsidP="00000000" w:rsidRDefault="00000000" w:rsidRPr="00000000" w14:paraId="00000013">
      <w:pPr>
        <w:numPr>
          <w:ilvl w:val="0"/>
          <w:numId w:val="3"/>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developing countries, reliance on a fixed base may limit taxation rights due to the transient nature of many professional activities. This may lead to missed revenue opportunities unless robust monitoring mechanisms are implemented.</w:t>
      </w:r>
    </w:p>
    <w:p w:rsidR="00000000" w:rsidDel="00000000" w:rsidP="00000000" w:rsidRDefault="00000000" w:rsidRPr="00000000" w14:paraId="00000014">
      <w:pPr>
        <w:pStyle w:val="Heading2"/>
        <w:numPr>
          <w:ilvl w:val="0"/>
          <w:numId w:val="2"/>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Analysis of Article 14(1)(b) – Duration of Stay Exception</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14(1)(b) expands the source state's taxing rights, enabling taxation if the individual's stay in the source state exceeds 183 days. This criterion provides an alternative to the fixed base test, accommodating situations where services are rendered without a physical base.</w:t>
      </w:r>
    </w:p>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Points of Discussion:</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Calculation of the 183-Day Threshold</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commentary adopts a rolling twelve-month period, ensuring flexibility and alignment with Article 15(2)(b) of the UN MTC. This approach prevents avoidance strategies that exploit fiscal year differences to manipulate stay durations. Practical implementation, however, requires robust record-keeping and information exchange mechanisms to track the cumulative duration of an individual's stay.</w:t>
      </w:r>
    </w:p>
    <w:p w:rsidR="00000000" w:rsidDel="00000000" w:rsidP="00000000" w:rsidRDefault="00000000" w:rsidRPr="00000000" w14:paraId="0000001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59" w:lineRule="auto"/>
        <w:ind w:left="720" w:right="0" w:hanging="720"/>
        <w:jc w:val="both"/>
        <w:rPr>
          <w:i w:val="1"/>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Income Attribution</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Taxation under this exception is limited to income derived from activities performed during the qualifying stay. This ensures proportionality and respects the principle of source-based taxation while preventing overreach by the source state.</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Implications</w:t>
      </w:r>
    </w:p>
    <w:p w:rsidR="00000000" w:rsidDel="00000000" w:rsidP="00000000" w:rsidRDefault="00000000" w:rsidRPr="00000000" w14:paraId="0000001C">
      <w:pPr>
        <w:numPr>
          <w:ilvl w:val="0"/>
          <w:numId w:val="4"/>
        </w:numPr>
        <w:spacing w:after="20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duration test recognizes the economic connection created by prolonged presence in the source state. However, its application may disproportionately affect mobile professionals, such as consultants, trainers, or freelance workers, who frequently travel across jurisdictions. In such cases, administrative burdens may outweigh revenue gains.</w:t>
      </w:r>
    </w:p>
    <w:p w:rsidR="00000000" w:rsidDel="00000000" w:rsidP="00000000" w:rsidRDefault="00000000" w:rsidRPr="00000000" w14:paraId="0000001D">
      <w:pPr>
        <w:numPr>
          <w:ilvl w:val="0"/>
          <w:numId w:val="4"/>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countries have advocated for a lower threshold to capture a broader tax base. While this may align with their revenue priorities, it raises concerns about administrative complexity and compliance costs.</w:t>
      </w:r>
    </w:p>
    <w:p w:rsidR="00000000" w:rsidDel="00000000" w:rsidP="00000000" w:rsidRDefault="00000000" w:rsidRPr="00000000" w14:paraId="0000001E">
      <w:pPr>
        <w:pStyle w:val="Heading2"/>
        <w:numPr>
          <w:ilvl w:val="0"/>
          <w:numId w:val="2"/>
        </w:numPr>
        <w:spacing w:after="200" w:lineRule="auto"/>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Relationship Between Article 14 and Other Provisions</w:t>
      </w:r>
    </w:p>
    <w:p w:rsidR="00000000" w:rsidDel="00000000" w:rsidP="00000000" w:rsidRDefault="00000000" w:rsidRPr="00000000" w14:paraId="0000001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commentary highlights overlaps between Article 14 and Articles 5, 7, and 15, raising questions of precedence and interpretation. These interactions are critical to understanding the scope of Article 14 and ensuring coherent application within bilateral treaties.</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Overlap with Article 5 (PE)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Payments to enterprises for activities performed by their employees are governed by Articles 5 and 7, not Article 14. However, ambiguity arises when independent contractors operate through enterprises, requiring careful delineation during negotiations. The commentary suggests that income paid directly to individuals is within the scope of Article 14, but this distinction must be explicitly clarified in treaty language to prevent disputes.</w:t>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Distinction from Article 15 (Employment)</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14 excludes income derived from dependent employment, as such income is covered under Article 15. This reflects a clear functional distinction, emphasizing that Article 14 applies to self-employed professionals rather than salaried employees. However, in practice, the line between independent and dependent services can blur, necessitating robust functional analysis.</w:t>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Critical Observations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overlaps necessitate precise drafting in tax treaties to avoid disputes and ensure clarity in application. The optional clarification of relationships in treaty negotiations is an effective but underutilized tool for resolving ambiguities.</w:t>
      </w:r>
    </w:p>
    <w:p w:rsidR="00000000" w:rsidDel="00000000" w:rsidP="00000000" w:rsidRDefault="00000000" w:rsidRPr="00000000" w14:paraId="00000026">
      <w:pPr>
        <w:pStyle w:val="Heading2"/>
        <w:numPr>
          <w:ilvl w:val="0"/>
          <w:numId w:val="2"/>
        </w:numPr>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Historical Context and Policy Evolution</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evolution of Article 14 reflects ongoing debates between developed and developing countries regarding source taxation. These debates have shaped its provisions and their practical implications.</w:t>
      </w:r>
    </w:p>
    <w:p w:rsidR="00000000" w:rsidDel="00000000" w:rsidP="00000000" w:rsidRDefault="00000000" w:rsidRPr="00000000" w14:paraId="000000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Introduction of the Duration Test</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1980 UN MTC included the duration test as a compromise to accommodate source-state taxation without requiring a fixed base. This test recognized the economic presence of service providers in the source state, aligning with developing countries' revenue priorities.</w:t>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Deletion of the Remuneration Criterion</w:t>
      </w:r>
      <w:r w:rsidDel="00000000" w:rsidR="00000000" w:rsidRPr="00000000">
        <w:rPr>
          <w:rtl w:val="0"/>
        </w:rPr>
      </w:r>
    </w:p>
    <w:p w:rsidR="00000000" w:rsidDel="00000000" w:rsidP="00000000" w:rsidRDefault="00000000" w:rsidRPr="00000000" w14:paraId="0000002B">
      <w:pPr>
        <w:spacing w:after="20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Earlier versions of Article 14 included a remuneration threshold, allowing source taxation for high-income services irrespective of the fixed base or duration tests. Its removal reflects practical challenges, such as inflationary adjustments and low treaty adoption rates. The deletion was also influenced by concerns about administrative complexity and potential distortions in tax treaty negotiations.</w:t>
      </w:r>
    </w:p>
    <w:p w:rsidR="00000000" w:rsidDel="00000000" w:rsidP="00000000" w:rsidRDefault="00000000" w:rsidRPr="00000000" w14:paraId="000000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Policy Implications: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duration test strikes a balance between simplicity and enforceability, providing a pragmatic approach to source-based taxation. However, its effectiveness depends on robust administrative cooperation and the availability of reliable data.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deletion of the remuneration test, while logical, limits options for taxing high-value services, a priority for some developing states. Alternative mechanisms, such as withholding taxes, may offer a viable solution.</w:t>
      </w:r>
    </w:p>
    <w:p w:rsidR="00000000" w:rsidDel="00000000" w:rsidP="00000000" w:rsidRDefault="00000000" w:rsidRPr="00000000" w14:paraId="0000002F">
      <w:pPr>
        <w:pStyle w:val="Heading2"/>
        <w:numPr>
          <w:ilvl w:val="0"/>
          <w:numId w:val="2"/>
        </w:numPr>
        <w:spacing w:after="0" w:lineRule="auto"/>
        <w:ind w:left="360" w:hanging="360"/>
        <w:rPr>
          <w:rFonts w:ascii="Times New Roman" w:cs="Times New Roman" w:eastAsia="Times New Roman" w:hAnsi="Times New Roman"/>
          <w:b w:val="1"/>
          <w:color w:val="000000"/>
          <w:sz w:val="27"/>
          <w:szCs w:val="27"/>
        </w:rPr>
      </w:pPr>
      <w:r w:rsidDel="00000000" w:rsidR="00000000" w:rsidRPr="00000000">
        <w:rPr>
          <w:rFonts w:ascii="Times New Roman" w:cs="Times New Roman" w:eastAsia="Times New Roman" w:hAnsi="Times New Roman"/>
          <w:b w:val="1"/>
          <w:color w:val="000000"/>
          <w:sz w:val="27"/>
          <w:szCs w:val="27"/>
          <w:rtl w:val="0"/>
        </w:rPr>
        <w:t xml:space="preserve">Practical Challenges and Recommendations</w:t>
      </w:r>
    </w:p>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Interpretative Ambiguities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lack of a fixed definition for terms like "fixed base" leads to inconsistent application. In some treaties, the ambiguity creates significant room for dispute between taxpayers and tax authorities. For instance, shared workspaces or home offices raise questions about whether they qualify as a fixed base. Further, some tax administrations interpret "regular availability" too stringently, creating compliance challenges for professionals who use temporary facilities. Clear guidelines in treaties or mutual agreements could enhance uniformity and reduce disputes.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address this, international organizations like the OECD and UN could issue supplementary guidance detailing practical examples of what constitutes a fixed base. For example, outlining scenarios where co-working spaces, hotel business centers, or temporary consulting setups might meet the threshold would bring much-needed clarity.</w:t>
      </w:r>
    </w:p>
    <w:p w:rsidR="00000000" w:rsidDel="00000000" w:rsidP="00000000" w:rsidRDefault="00000000" w:rsidRPr="00000000" w14:paraId="000000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Tax Avoidance Risks</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Professionals may structure activities to avoid crossing the 183-day threshold or establishing a fixed base. For instance, splitting contracts between multiple entities or ensuring stays are shorter than the threshold are common avoidance tactics. Such practices undermine the spirit of Article 14, limiting source countries' ability to collect tax on income effectively derived from their jurisdictions.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Enhanced information exchange mechanisms, supported by modern technology, can mitigate these risks. Digital tools, such as real-time travel monitoring or centralized reporting systems, could help tax authorities track cross-border movements and assess risks proactively. Further, treaties could incorporate anti-avoidance provisions that aggregate fragmented contracts or stays into a single taxable presence.</w:t>
      </w:r>
    </w:p>
    <w:p w:rsidR="00000000" w:rsidDel="00000000" w:rsidP="00000000" w:rsidRDefault="00000000" w:rsidRPr="00000000" w14:paraId="000000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Administrative Complexity</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Developing countries often face challenges in monitoring and enforcing Article 14 provisions due to limited resources and expertise. Small tax administrations may lack the technical infrastructure or trained personnel needed to assess income derived from complex professional arrangements. Additionally, bilateral treaties may place undue burdens on these countries by requiring detailed documentation for enforcing taxing rights.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Capacity-building initiatives, such as targeted training programs and technical assistance from international bodies, are vital. Programs designed to train tax officials in interpreting Article 14, implementing anti-avoidance measures, and leveraging technology can significantly enhance enforcement capabilities. Similarly, streamlined administrative processes, such as presumptive taxation or safe harbor rules, could reduce the compliance burden on both taxpayers and authorities.</w:t>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Recommendations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Encourage Biateral Negotiations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Encourage bilateral negotiations to address ambiguities and customize provisions based on mutual priorities. Tailored treaty language can ensure that Article 14 aligns with the specific needs of Contracting States. For example, countries could agree on thresholds for defining a fixed base or specific exclusions for certain types of services.</w:t>
      </w:r>
    </w:p>
    <w:p w:rsidR="00000000" w:rsidDel="00000000" w:rsidP="00000000" w:rsidRDefault="00000000" w:rsidRPr="00000000" w14:paraId="000000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Develop Simplified Administrative Frameworks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simplified administrative frameworks, such as safe harbors or presumptive taxation rules, to reduce compliance burdens and enhance enforceability. Safe harbors could specify minimum thresholds for taxing rights, while presumptive taxation could provide fixed rates for professionals earning below a certain income level, simplifying enforcement.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Promote International Cooperation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Promote international cooperation through information-sharing agreements, joint audits, and technical assistance programs. These measures can strengthen the administrative capacity of developing countries and foster trust between treaty partners. For instance, collaborative audits could ensure accurate income attribution, while technical assistance programs could facilitate the adoption of best practices.</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20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Leverage Technology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72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Leverage technology to modernize tax compliance systems. Implementing electronic filing systems and cross-border digital platforms could enhance data accuracy and reduce administrative burdens. For instance, a shared platform for reporting cross-border professional services could streamline compliance while providing real-time data for enforcement purposes.</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3">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080" w:hanging="360"/>
      </w:pPr>
      <w:rPr>
        <w:rFonts w:ascii="Noto Sans Symbols" w:cs="Noto Sans Symbols" w:eastAsia="Noto Sans Symbols" w:hAnsi="Noto Sans Symbols"/>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200" w:before="240" w:line="278.00000000000006" w:lineRule="auto"/>
      <w:ind w:left="360"/>
    </w:pPr>
    <w:rPr>
      <w:b w:val="1"/>
      <w:sz w:val="27"/>
      <w:szCs w:val="27"/>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jc w:val="center"/>
    </w:pPr>
    <w:rPr>
      <w:rFonts w:ascii="Times New Roman" w:cs="Times New Roman" w:eastAsia="Times New Roman" w:hAnsi="Times New Roman"/>
      <w:b w:val="1"/>
      <w:sz w:val="32"/>
      <w:szCs w:val="32"/>
    </w:rPr>
  </w:style>
  <w:style w:type="paragraph" w:styleId="Normal" w:default="1">
    <w:name w:val="Normal"/>
    <w:qFormat w:val="1"/>
  </w:style>
  <w:style w:type="paragraph" w:styleId="Heading1">
    <w:name w:val="heading 1"/>
    <w:basedOn w:val="Normal"/>
    <w:next w:val="Normal"/>
    <w:link w:val="Heading1Char"/>
    <w:uiPriority w:val="9"/>
    <w:qFormat w:val="1"/>
    <w:rsid w:val="009509BF"/>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9509BF"/>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9509BF"/>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9509BF"/>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9509BF"/>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9509BF"/>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9509B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509B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509B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509B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9509B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509B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509B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509B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509B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509B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509B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509BF"/>
    <w:rPr>
      <w:rFonts w:cstheme="majorBidi" w:eastAsiaTheme="majorEastAsia"/>
      <w:color w:val="272727" w:themeColor="text1" w:themeTint="0000D8"/>
    </w:rPr>
  </w:style>
  <w:style w:type="paragraph" w:styleId="Title">
    <w:name w:val="Title"/>
    <w:basedOn w:val="Normal"/>
    <w:next w:val="Normal"/>
    <w:link w:val="TitleChar"/>
    <w:uiPriority w:val="10"/>
    <w:qFormat w:val="1"/>
    <w:rsid w:val="009509BF"/>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9509BF"/>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9509BF"/>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9509B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509B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509BF"/>
    <w:rPr>
      <w:i w:val="1"/>
      <w:iCs w:val="1"/>
      <w:color w:val="404040" w:themeColor="text1" w:themeTint="0000BF"/>
    </w:rPr>
  </w:style>
  <w:style w:type="paragraph" w:styleId="ListParagraph">
    <w:name w:val="List Paragraph"/>
    <w:basedOn w:val="Normal"/>
    <w:uiPriority w:val="34"/>
    <w:qFormat w:val="1"/>
    <w:rsid w:val="009509BF"/>
    <w:pPr>
      <w:ind w:left="720"/>
      <w:contextualSpacing w:val="1"/>
    </w:pPr>
  </w:style>
  <w:style w:type="character" w:styleId="IntenseEmphasis">
    <w:name w:val="Intense Emphasis"/>
    <w:basedOn w:val="DefaultParagraphFont"/>
    <w:uiPriority w:val="21"/>
    <w:qFormat w:val="1"/>
    <w:rsid w:val="009509BF"/>
    <w:rPr>
      <w:i w:val="1"/>
      <w:iCs w:val="1"/>
      <w:color w:val="0f4761" w:themeColor="accent1" w:themeShade="0000BF"/>
    </w:rPr>
  </w:style>
  <w:style w:type="paragraph" w:styleId="IntenseQuote">
    <w:name w:val="Intense Quote"/>
    <w:basedOn w:val="Normal"/>
    <w:next w:val="Normal"/>
    <w:link w:val="IntenseQuoteChar"/>
    <w:uiPriority w:val="30"/>
    <w:qFormat w:val="1"/>
    <w:rsid w:val="009509B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509BF"/>
    <w:rPr>
      <w:i w:val="1"/>
      <w:iCs w:val="1"/>
      <w:color w:val="0f4761" w:themeColor="accent1" w:themeShade="0000BF"/>
    </w:rPr>
  </w:style>
  <w:style w:type="character" w:styleId="IntenseReference">
    <w:name w:val="Intense Reference"/>
    <w:basedOn w:val="DefaultParagraphFont"/>
    <w:uiPriority w:val="32"/>
    <w:qFormat w:val="1"/>
    <w:rsid w:val="009509BF"/>
    <w:rPr>
      <w:b w:val="1"/>
      <w:bCs w:val="1"/>
      <w:smallCaps w:val="1"/>
      <w:color w:val="0f4761" w:themeColor="accent1" w:themeShade="0000BF"/>
      <w:spacing w:val="5"/>
    </w:rPr>
  </w:style>
  <w:style w:type="paragraph" w:styleId="NormalWeb">
    <w:name w:val="Normal (Web)"/>
    <w:basedOn w:val="Normal"/>
    <w:uiPriority w:val="99"/>
    <w:unhideWhenUsed w:val="1"/>
    <w:rsid w:val="00A454D3"/>
    <w:pPr>
      <w:spacing w:after="100" w:afterAutospacing="1" w:before="100" w:beforeAutospacing="1" w:line="240" w:lineRule="auto"/>
    </w:pPr>
    <w:rPr>
      <w:rFonts w:ascii="Times New Roman" w:cs="Times New Roman" w:eastAsia="Times New Roman" w:hAnsi="Times New Roman"/>
      <w:kern w:val="0"/>
      <w:sz w:val="24"/>
      <w:szCs w:val="24"/>
      <w:lang w:eastAsia="en-GB"/>
    </w:rPr>
  </w:style>
  <w:style w:type="character" w:styleId="Strong">
    <w:name w:val="Strong"/>
    <w:basedOn w:val="DefaultParagraphFont"/>
    <w:uiPriority w:val="22"/>
    <w:qFormat w:val="1"/>
    <w:rsid w:val="00860CAF"/>
    <w:rPr>
      <w:b w:val="1"/>
      <w:b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TiQatW8mWM5vdtkMMsVrgUFwuA==">CgMxLjAyDmguZjc3aWU1OXhzdTVqOAByITFlT3k1bVM1OVFBcTJ5SkZSWHdJaXZxektBQlRWbDh4Zg==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2025-01-16T10:47:00Z</dcterms:created>
  <dc:creator>Munachiso Ogu-Jude</dc:creator>
</cp:coreProperties>
</file>