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Bdr>
          <w:top w:space="0" w:sz="0" w:val="nil"/>
          <w:left w:space="0" w:sz="0" w:val="nil"/>
          <w:bottom w:space="0" w:sz="0" w:val="nil"/>
          <w:right w:space="0" w:sz="0" w:val="nil"/>
          <w:between w:space="0" w:sz="0" w:val="nil"/>
        </w:pBdr>
        <w:spacing w:after="0" w:before="240" w:lineRule="auto"/>
        <w:rPr>
          <w:b w:val="1"/>
          <w:color w:val="2f5496"/>
        </w:rPr>
      </w:pPr>
      <w:r w:rsidDel="00000000" w:rsidR="00000000" w:rsidRPr="00000000">
        <w:rPr>
          <w:b w:val="1"/>
          <w:color w:val="2f5496"/>
          <w:rtl w:val="0"/>
        </w:rPr>
        <w:t xml:space="preserve">Contents</w:t>
      </w:r>
    </w:p>
    <w:sdt>
      <w:sdtPr>
        <w:id w:val="236301632"/>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after="0" w:before="60" w:line="240" w:lineRule="auto"/>
            <w:rPr>
              <w:b w:val="1"/>
              <w:i w:val="0"/>
              <w:smallCaps w:val="0"/>
              <w:strike w:val="0"/>
              <w:color w:val="00000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hmsyys">
            <w:r w:rsidDel="00000000" w:rsidR="00000000" w:rsidRPr="00000000">
              <w:rPr>
                <w:b w:val="1"/>
                <w:i w:val="0"/>
                <w:smallCaps w:val="0"/>
                <w:strike w:val="0"/>
                <w:color w:val="000000"/>
                <w:u w:val="none"/>
                <w:shd w:fill="auto" w:val="clear"/>
                <w:vertAlign w:val="baseline"/>
                <w:rtl w:val="0"/>
              </w:rPr>
              <w:t xml:space="preserve">J.1. EMPLOYMENT INCOME – ARTICLE 15, OECD and UN MTC</w:t>
              <w:tab/>
              <w:t xml:space="preserve">2</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after="0" w:before="60" w:line="240" w:lineRule="auto"/>
            <w:ind w:left="360" w:firstLine="0"/>
            <w:rPr>
              <w:i w:val="0"/>
              <w:smallCaps w:val="0"/>
              <w:strike w:val="0"/>
              <w:color w:val="000000"/>
              <w:u w:val="none"/>
              <w:shd w:fill="auto" w:val="clear"/>
              <w:vertAlign w:val="baseline"/>
            </w:rPr>
          </w:pPr>
          <w:hyperlink w:anchor="_heading=h.41mghml">
            <w:r w:rsidDel="00000000" w:rsidR="00000000" w:rsidRPr="00000000">
              <w:rPr>
                <w:i w:val="0"/>
                <w:smallCaps w:val="0"/>
                <w:strike w:val="0"/>
                <w:color w:val="000000"/>
                <w:u w:val="none"/>
                <w:shd w:fill="auto" w:val="clear"/>
                <w:vertAlign w:val="baseline"/>
                <w:rtl w:val="0"/>
              </w:rPr>
              <w:t xml:space="preserve">1. Article 15(1) - The General Rule</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after="0" w:before="60" w:line="240" w:lineRule="auto"/>
            <w:ind w:left="360" w:firstLine="0"/>
            <w:rPr>
              <w:i w:val="0"/>
              <w:smallCaps w:val="0"/>
              <w:strike w:val="0"/>
              <w:color w:val="000000"/>
              <w:u w:val="none"/>
              <w:shd w:fill="auto" w:val="clear"/>
              <w:vertAlign w:val="baseline"/>
            </w:rPr>
          </w:pPr>
          <w:hyperlink w:anchor="_heading=h.2grqrue">
            <w:r w:rsidDel="00000000" w:rsidR="00000000" w:rsidRPr="00000000">
              <w:rPr>
                <w:i w:val="0"/>
                <w:smallCaps w:val="0"/>
                <w:strike w:val="0"/>
                <w:color w:val="000000"/>
                <w:u w:val="none"/>
                <w:shd w:fill="auto" w:val="clear"/>
                <w:vertAlign w:val="baseline"/>
                <w:rtl w:val="0"/>
              </w:rPr>
              <w:t xml:space="preserve">2. Issues Concerning Termination of Employment and OECD Commentary</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after="0" w:before="60" w:line="240" w:lineRule="auto"/>
            <w:ind w:left="360" w:firstLine="0"/>
            <w:rPr>
              <w:i w:val="0"/>
              <w:smallCaps w:val="0"/>
              <w:strike w:val="0"/>
              <w:color w:val="000000"/>
              <w:u w:val="none"/>
              <w:shd w:fill="auto" w:val="clear"/>
              <w:vertAlign w:val="baseline"/>
            </w:rPr>
          </w:pPr>
          <w:hyperlink w:anchor="_heading=h.vx1227">
            <w:r w:rsidDel="00000000" w:rsidR="00000000" w:rsidRPr="00000000">
              <w:rPr>
                <w:i w:val="0"/>
                <w:smallCaps w:val="0"/>
                <w:strike w:val="0"/>
                <w:color w:val="000000"/>
                <w:u w:val="none"/>
                <w:shd w:fill="auto" w:val="clear"/>
                <w:vertAlign w:val="baseline"/>
                <w:rtl w:val="0"/>
              </w:rPr>
              <w:t xml:space="preserve">3. Article 15(2) - General Exception to the Rule in Article 15(1)</w:t>
              <w:tab/>
              <w:t xml:space="preserve">5</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40" w:lineRule="auto"/>
            <w:ind w:left="360" w:firstLine="0"/>
            <w:rPr>
              <w:i w:val="0"/>
              <w:smallCaps w:val="0"/>
              <w:strike w:val="0"/>
              <w:color w:val="000000"/>
              <w:u w:val="none"/>
              <w:shd w:fill="auto" w:val="clear"/>
              <w:vertAlign w:val="baseline"/>
            </w:rPr>
          </w:pPr>
          <w:hyperlink w:anchor="_heading=h.3fwokq0">
            <w:r w:rsidDel="00000000" w:rsidR="00000000" w:rsidRPr="00000000">
              <w:rPr>
                <w:i w:val="0"/>
                <w:smallCaps w:val="0"/>
                <w:strike w:val="0"/>
                <w:color w:val="000000"/>
                <w:u w:val="none"/>
                <w:shd w:fill="auto" w:val="clear"/>
                <w:vertAlign w:val="baseline"/>
                <w:rtl w:val="0"/>
              </w:rPr>
              <w:t xml:space="preserve">4. Article 15(3) - Application to the Remuneration of Crews of Ships or Aircraft in International Traffic</w:t>
              <w:tab/>
              <w:t xml:space="preserve">6</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ind w:left="360" w:firstLine="0"/>
            <w:rPr>
              <w:i w:val="0"/>
              <w:smallCaps w:val="0"/>
              <w:strike w:val="0"/>
              <w:color w:val="000000"/>
              <w:u w:val="none"/>
              <w:shd w:fill="auto" w:val="clear"/>
              <w:vertAlign w:val="baseline"/>
            </w:rPr>
          </w:pPr>
          <w:hyperlink w:anchor="_heading=h.1v1yuxt">
            <w:r w:rsidDel="00000000" w:rsidR="00000000" w:rsidRPr="00000000">
              <w:rPr>
                <w:i w:val="0"/>
                <w:smallCaps w:val="0"/>
                <w:strike w:val="0"/>
                <w:color w:val="000000"/>
                <w:u w:val="none"/>
                <w:shd w:fill="auto" w:val="clear"/>
                <w:vertAlign w:val="baseline"/>
                <w:rtl w:val="0"/>
              </w:rPr>
              <w:t xml:space="preserve">5. Applying Article 15 to the Taxation of Stock Options</w:t>
              <w:tab/>
              <w:t xml:space="preserve">7</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ind w:left="360" w:firstLine="0"/>
            <w:rPr>
              <w:i w:val="0"/>
              <w:smallCaps w:val="0"/>
              <w:strike w:val="0"/>
              <w:color w:val="000000"/>
              <w:u w:val="none"/>
              <w:shd w:fill="auto" w:val="clear"/>
              <w:vertAlign w:val="baseline"/>
            </w:rPr>
          </w:pPr>
          <w:hyperlink w:anchor="_heading=h.4f1mdlm">
            <w:r w:rsidDel="00000000" w:rsidR="00000000" w:rsidRPr="00000000">
              <w:rPr>
                <w:i w:val="0"/>
                <w:smallCaps w:val="0"/>
                <w:strike w:val="0"/>
                <w:color w:val="000000"/>
                <w:u w:val="none"/>
                <w:shd w:fill="auto" w:val="clear"/>
                <w:vertAlign w:val="baseline"/>
                <w:rtl w:val="0"/>
              </w:rPr>
              <w:t xml:space="preserve">6. Comparison of Article 15 of the OECD MTC (2017) and UN MTC (2021)</w:t>
              <w:tab/>
              <w:t xml:space="preserve">8</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rPr>
              <w:b w:val="1"/>
              <w:i w:val="0"/>
              <w:smallCaps w:val="0"/>
              <w:strike w:val="0"/>
              <w:color w:val="000000"/>
              <w:u w:val="none"/>
              <w:shd w:fill="auto" w:val="clear"/>
              <w:vertAlign w:val="baseline"/>
            </w:rPr>
          </w:pPr>
          <w:hyperlink w:anchor="_heading=h.2u6wntf">
            <w:r w:rsidDel="00000000" w:rsidR="00000000" w:rsidRPr="00000000">
              <w:rPr>
                <w:b w:val="1"/>
                <w:i w:val="0"/>
                <w:smallCaps w:val="0"/>
                <w:strike w:val="0"/>
                <w:color w:val="000000"/>
                <w:u w:val="none"/>
                <w:shd w:fill="auto" w:val="clear"/>
                <w:vertAlign w:val="baseline"/>
                <w:rtl w:val="0"/>
              </w:rPr>
              <w:t xml:space="preserve">J.2. DIRECTORS’ FEES – ARTICLE 16, OECD and UN MDTC</w:t>
              <w:tab/>
              <w:t xml:space="preserve">9</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ind w:left="360" w:firstLine="0"/>
            <w:rPr>
              <w:i w:val="0"/>
              <w:smallCaps w:val="0"/>
              <w:strike w:val="0"/>
              <w:color w:val="000000"/>
              <w:u w:val="none"/>
              <w:shd w:fill="auto" w:val="clear"/>
              <w:vertAlign w:val="baseline"/>
            </w:rPr>
          </w:pPr>
          <w:hyperlink w:anchor="_heading=h.19c6y18">
            <w:r w:rsidDel="00000000" w:rsidR="00000000" w:rsidRPr="00000000">
              <w:rPr>
                <w:i w:val="0"/>
                <w:smallCaps w:val="0"/>
                <w:strike w:val="0"/>
                <w:color w:val="000000"/>
                <w:u w:val="none"/>
                <w:shd w:fill="auto" w:val="clear"/>
                <w:vertAlign w:val="baseline"/>
                <w:rtl w:val="0"/>
              </w:rPr>
              <w:t xml:space="preserve">1. Purpose and Scope of Article 16</w:t>
              <w:tab/>
              <w:t xml:space="preserve">9</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ind w:left="360" w:firstLine="0"/>
            <w:rPr>
              <w:i w:val="0"/>
              <w:smallCaps w:val="0"/>
              <w:strike w:val="0"/>
              <w:color w:val="000000"/>
              <w:u w:val="none"/>
              <w:shd w:fill="auto" w:val="clear"/>
              <w:vertAlign w:val="baseline"/>
            </w:rPr>
          </w:pPr>
          <w:hyperlink w:anchor="_heading=h.3tbugp1">
            <w:r w:rsidDel="00000000" w:rsidR="00000000" w:rsidRPr="00000000">
              <w:rPr>
                <w:i w:val="0"/>
                <w:smallCaps w:val="0"/>
                <w:strike w:val="0"/>
                <w:color w:val="000000"/>
                <w:u w:val="none"/>
                <w:shd w:fill="auto" w:val="clear"/>
                <w:vertAlign w:val="baseline"/>
                <w:rtl w:val="0"/>
              </w:rPr>
              <w:t xml:space="preserve">2. Stock Options and Their Taxation</w:t>
              <w:tab/>
              <w:t xml:space="preserve">9</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ind w:left="360" w:firstLine="0"/>
            <w:rPr>
              <w:i w:val="0"/>
              <w:smallCaps w:val="0"/>
              <w:strike w:val="0"/>
              <w:color w:val="000000"/>
              <w:u w:val="none"/>
              <w:shd w:fill="auto" w:val="clear"/>
              <w:vertAlign w:val="baseline"/>
            </w:rPr>
          </w:pPr>
          <w:hyperlink w:anchor="_heading=h.28h4qwu">
            <w:r w:rsidDel="00000000" w:rsidR="00000000" w:rsidRPr="00000000">
              <w:rPr>
                <w:i w:val="0"/>
                <w:smallCaps w:val="0"/>
                <w:strike w:val="0"/>
                <w:color w:val="000000"/>
                <w:u w:val="none"/>
                <w:shd w:fill="auto" w:val="clear"/>
                <w:vertAlign w:val="baseline"/>
                <w:rtl w:val="0"/>
              </w:rPr>
              <w:t xml:space="preserve">3. Directors’ Fees vs. Other Functions</w:t>
              <w:tab/>
              <w:t xml:space="preserve">10</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ind w:left="360" w:firstLine="0"/>
            <w:rPr>
              <w:i w:val="0"/>
              <w:smallCaps w:val="0"/>
              <w:strike w:val="0"/>
              <w:color w:val="000000"/>
              <w:u w:val="none"/>
              <w:shd w:fill="auto" w:val="clear"/>
              <w:vertAlign w:val="baseline"/>
            </w:rPr>
          </w:pPr>
          <w:hyperlink w:anchor="_heading=h.nmf14n">
            <w:r w:rsidDel="00000000" w:rsidR="00000000" w:rsidRPr="00000000">
              <w:rPr>
                <w:i w:val="0"/>
                <w:smallCaps w:val="0"/>
                <w:strike w:val="0"/>
                <w:color w:val="000000"/>
                <w:u w:val="none"/>
                <w:shd w:fill="auto" w:val="clear"/>
                <w:vertAlign w:val="baseline"/>
                <w:rtl w:val="0"/>
              </w:rPr>
              <w:t xml:space="preserve">4. Benefits in Kind</w:t>
              <w:tab/>
              <w:t xml:space="preserve">10</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ind w:left="360" w:firstLine="0"/>
            <w:rPr>
              <w:i w:val="0"/>
              <w:smallCaps w:val="0"/>
              <w:strike w:val="0"/>
              <w:color w:val="000000"/>
              <w:u w:val="none"/>
              <w:shd w:fill="auto" w:val="clear"/>
              <w:vertAlign w:val="baseline"/>
            </w:rPr>
          </w:pPr>
          <w:hyperlink w:anchor="_heading=h.37m2jsg">
            <w:r w:rsidDel="00000000" w:rsidR="00000000" w:rsidRPr="00000000">
              <w:rPr>
                <w:i w:val="0"/>
                <w:smallCaps w:val="0"/>
                <w:strike w:val="0"/>
                <w:color w:val="000000"/>
                <w:u w:val="none"/>
                <w:shd w:fill="auto" w:val="clear"/>
                <w:vertAlign w:val="baseline"/>
                <w:rtl w:val="0"/>
              </w:rPr>
              <w:t xml:space="preserve">5. Similar Organs to Boards of Directors</w:t>
              <w:tab/>
              <w:t xml:space="preserve">10</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ind w:left="360" w:firstLine="0"/>
            <w:rPr>
              <w:i w:val="0"/>
              <w:smallCaps w:val="0"/>
              <w:strike w:val="0"/>
              <w:color w:val="000000"/>
              <w:u w:val="none"/>
              <w:shd w:fill="auto" w:val="clear"/>
              <w:vertAlign w:val="baseline"/>
            </w:rPr>
          </w:pPr>
          <w:hyperlink w:anchor="_heading=h.1mrcu09">
            <w:r w:rsidDel="00000000" w:rsidR="00000000" w:rsidRPr="00000000">
              <w:rPr>
                <w:i w:val="0"/>
                <w:smallCaps w:val="0"/>
                <w:strike w:val="0"/>
                <w:color w:val="000000"/>
                <w:u w:val="none"/>
                <w:shd w:fill="auto" w:val="clear"/>
                <w:vertAlign w:val="baseline"/>
                <w:rtl w:val="0"/>
              </w:rPr>
              <w:t xml:space="preserve">6. Interaction with Article 13 (Capital Gains) and Article 15 (Employment Income)</w:t>
              <w:tab/>
              <w:t xml:space="preserve">11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360" w:firstLine="0"/>
            <w:rPr>
              <w:i w:val="0"/>
              <w:smallCaps w:val="0"/>
              <w:strike w:val="0"/>
              <w:color w:val="000000"/>
              <w:u w:val="none"/>
              <w:shd w:fill="auto" w:val="clear"/>
              <w:vertAlign w:val="baseline"/>
            </w:rPr>
          </w:pPr>
          <w:hyperlink w:anchor="_heading=h.46r0co2">
            <w:r w:rsidDel="00000000" w:rsidR="00000000" w:rsidRPr="00000000">
              <w:rPr>
                <w:i w:val="0"/>
                <w:smallCaps w:val="0"/>
                <w:strike w:val="0"/>
                <w:color w:val="000000"/>
                <w:u w:val="none"/>
                <w:shd w:fill="auto" w:val="clear"/>
                <w:vertAlign w:val="baseline"/>
                <w:rtl w:val="0"/>
              </w:rPr>
              <w:t xml:space="preserve">7. Challenges and Criticisms</w:t>
              <w:tab/>
              <w:t xml:space="preserve">11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360" w:firstLine="0"/>
            <w:rPr>
              <w:i w:val="0"/>
              <w:smallCaps w:val="0"/>
              <w:strike w:val="0"/>
              <w:color w:val="000000"/>
              <w:u w:val="none"/>
              <w:shd w:fill="auto" w:val="clear"/>
              <w:vertAlign w:val="baseline"/>
            </w:rPr>
          </w:pPr>
          <w:hyperlink w:anchor="_heading=h.2lwamvv">
            <w:r w:rsidDel="00000000" w:rsidR="00000000" w:rsidRPr="00000000">
              <w:rPr>
                <w:i w:val="0"/>
                <w:smallCaps w:val="0"/>
                <w:strike w:val="0"/>
                <w:color w:val="000000"/>
                <w:u w:val="none"/>
                <w:shd w:fill="auto" w:val="clear"/>
                <w:vertAlign w:val="baseline"/>
                <w:rtl w:val="0"/>
              </w:rPr>
              <w:t xml:space="preserve">8. Comparison of Article 16 of the OECD MTC (2017) and UN MTC (2021)</w:t>
              <w:tab/>
              <w:t xml:space="preserve">11</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rPr>
              <w:b w:val="1"/>
              <w:i w:val="0"/>
              <w:smallCaps w:val="0"/>
              <w:strike w:val="0"/>
              <w:color w:val="000000"/>
              <w:u w:val="none"/>
              <w:shd w:fill="auto" w:val="clear"/>
              <w:vertAlign w:val="baseline"/>
            </w:rPr>
          </w:pPr>
          <w:hyperlink w:anchor="_heading=h.111kx3o">
            <w:r w:rsidDel="00000000" w:rsidR="00000000" w:rsidRPr="00000000">
              <w:rPr>
                <w:b w:val="1"/>
                <w:i w:val="0"/>
                <w:smallCaps w:val="0"/>
                <w:strike w:val="0"/>
                <w:color w:val="000000"/>
                <w:u w:val="none"/>
                <w:shd w:fill="auto" w:val="clear"/>
                <w:vertAlign w:val="baseline"/>
                <w:rtl w:val="0"/>
              </w:rPr>
              <w:t xml:space="preserve">J.3. ENTERTAINERS AND SPORTSPERSONS – ARTICLE 17, OECD and UN MTC</w:t>
              <w:tab/>
              <w:t xml:space="preserve">13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rPr>
              <w:i w:val="0"/>
              <w:smallCaps w:val="0"/>
              <w:strike w:val="0"/>
              <w:color w:val="000000"/>
              <w:u w:val="none"/>
              <w:shd w:fill="auto" w:val="clear"/>
              <w:vertAlign w:val="baseline"/>
            </w:rPr>
          </w:pPr>
          <w:hyperlink w:anchor="_heading=h.3l18frh">
            <w:r w:rsidDel="00000000" w:rsidR="00000000" w:rsidRPr="00000000">
              <w:rPr>
                <w:i w:val="0"/>
                <w:smallCaps w:val="0"/>
                <w:strike w:val="0"/>
                <w:color w:val="000000"/>
                <w:u w:val="none"/>
                <w:shd w:fill="auto" w:val="clear"/>
                <w:vertAlign w:val="baseline"/>
                <w:rtl w:val="0"/>
              </w:rPr>
              <w:t xml:space="preserve">1. Background</w:t>
              <w:tab/>
              <w:t xml:space="preserve">13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rPr>
              <w:i w:val="0"/>
              <w:smallCaps w:val="0"/>
              <w:strike w:val="0"/>
              <w:color w:val="000000"/>
              <w:u w:val="none"/>
              <w:shd w:fill="auto" w:val="clear"/>
              <w:vertAlign w:val="baseline"/>
            </w:rPr>
          </w:pPr>
          <w:hyperlink w:anchor="_heading=h.206ipza">
            <w:r w:rsidDel="00000000" w:rsidR="00000000" w:rsidRPr="00000000">
              <w:rPr>
                <w:i w:val="0"/>
                <w:smallCaps w:val="0"/>
                <w:strike w:val="0"/>
                <w:color w:val="000000"/>
                <w:u w:val="none"/>
                <w:shd w:fill="auto" w:val="clear"/>
                <w:vertAlign w:val="baseline"/>
                <w:rtl w:val="0"/>
              </w:rPr>
              <w:t xml:space="preserve">2. Article 17 (1)</w:t>
              <w:tab/>
              <w:t xml:space="preserve">13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i w:val="0"/>
              <w:smallCaps w:val="0"/>
              <w:strike w:val="0"/>
              <w:color w:val="000000"/>
              <w:u w:val="none"/>
              <w:shd w:fill="auto" w:val="clear"/>
              <w:vertAlign w:val="baseline"/>
            </w:rPr>
          </w:pPr>
          <w:hyperlink w:anchor="_heading=h.4k668n3">
            <w:r w:rsidDel="00000000" w:rsidR="00000000" w:rsidRPr="00000000">
              <w:rPr>
                <w:i w:val="0"/>
                <w:smallCaps w:val="0"/>
                <w:strike w:val="0"/>
                <w:color w:val="000000"/>
                <w:u w:val="none"/>
                <w:shd w:fill="auto" w:val="clear"/>
                <w:vertAlign w:val="baseline"/>
                <w:rtl w:val="0"/>
              </w:rPr>
              <w:t xml:space="preserve">3. Article 17 (2)</w:t>
              <w:tab/>
              <w:t xml:space="preserve">15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i w:val="0"/>
              <w:smallCaps w:val="0"/>
              <w:strike w:val="0"/>
              <w:color w:val="000000"/>
              <w:u w:val="none"/>
              <w:shd w:fill="auto" w:val="clear"/>
              <w:vertAlign w:val="baseline"/>
            </w:rPr>
          </w:pPr>
          <w:hyperlink w:anchor="_heading=h.2zbgiuw">
            <w:r w:rsidDel="00000000" w:rsidR="00000000" w:rsidRPr="00000000">
              <w:rPr>
                <w:i w:val="0"/>
                <w:smallCaps w:val="0"/>
                <w:strike w:val="0"/>
                <w:color w:val="000000"/>
                <w:u w:val="none"/>
                <w:shd w:fill="auto" w:val="clear"/>
                <w:vertAlign w:val="baseline"/>
                <w:rtl w:val="0"/>
              </w:rPr>
              <w:t xml:space="preserve">4. Comparison of Article 17 of the OECD MTC (2017) and UN MTC (2021)</w:t>
              <w:tab/>
              <w:t xml:space="preserve">17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b w:val="1"/>
              <w:i w:val="0"/>
              <w:smallCaps w:val="0"/>
              <w:strike w:val="0"/>
              <w:color w:val="000000"/>
              <w:u w:val="none"/>
              <w:shd w:fill="auto" w:val="clear"/>
              <w:vertAlign w:val="baseline"/>
            </w:rPr>
          </w:pPr>
          <w:hyperlink w:anchor="_heading=h.1egqt2p">
            <w:r w:rsidDel="00000000" w:rsidR="00000000" w:rsidRPr="00000000">
              <w:rPr>
                <w:b w:val="1"/>
                <w:i w:val="0"/>
                <w:smallCaps w:val="0"/>
                <w:strike w:val="0"/>
                <w:color w:val="000000"/>
                <w:u w:val="none"/>
                <w:shd w:fill="auto" w:val="clear"/>
                <w:vertAlign w:val="baseline"/>
                <w:rtl w:val="0"/>
              </w:rPr>
              <w:t xml:space="preserve">J.4. PENSIONS – ARTICLE 18, OECD and UN MTC</w:t>
              <w:tab/>
              <w:t xml:space="preserve">18</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i w:val="0"/>
              <w:smallCaps w:val="0"/>
              <w:strike w:val="0"/>
              <w:color w:val="000000"/>
              <w:u w:val="none"/>
              <w:shd w:fill="auto" w:val="clear"/>
              <w:vertAlign w:val="baseline"/>
            </w:rPr>
          </w:pPr>
          <w:hyperlink w:anchor="_heading=h.3ygebqi">
            <w:r w:rsidDel="00000000" w:rsidR="00000000" w:rsidRPr="00000000">
              <w:rPr>
                <w:i w:val="0"/>
                <w:smallCaps w:val="0"/>
                <w:strike w:val="0"/>
                <w:color w:val="000000"/>
                <w:u w:val="none"/>
                <w:shd w:fill="auto" w:val="clear"/>
                <w:vertAlign w:val="baseline"/>
                <w:rtl w:val="0"/>
              </w:rPr>
              <w:t xml:space="preserve">1. Scope of Article 18: Payments Covered and the Term "Other Similar Remuneration"</w:t>
              <w:tab/>
              <w:t xml:space="preserve">18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i w:val="0"/>
              <w:smallCaps w:val="0"/>
              <w:strike w:val="0"/>
              <w:color w:val="000000"/>
              <w:u w:val="none"/>
              <w:shd w:fill="auto" w:val="clear"/>
              <w:vertAlign w:val="baseline"/>
            </w:rPr>
          </w:pPr>
          <w:hyperlink w:anchor="_heading=h.2dlolyb">
            <w:r w:rsidDel="00000000" w:rsidR="00000000" w:rsidRPr="00000000">
              <w:rPr>
                <w:i w:val="0"/>
                <w:smallCaps w:val="0"/>
                <w:strike w:val="0"/>
                <w:color w:val="000000"/>
                <w:u w:val="none"/>
                <w:shd w:fill="auto" w:val="clear"/>
                <w:vertAlign w:val="baseline"/>
                <w:rtl w:val="0"/>
              </w:rPr>
              <w:t xml:space="preserve">2. Cross-Border Issues Relating to Pensions</w:t>
              <w:tab/>
              <w:t xml:space="preserve">18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i w:val="0"/>
              <w:smallCaps w:val="0"/>
              <w:strike w:val="0"/>
              <w:color w:val="000000"/>
              <w:u w:val="none"/>
              <w:shd w:fill="auto" w:val="clear"/>
              <w:vertAlign w:val="baseline"/>
            </w:rPr>
          </w:pPr>
          <w:hyperlink w:anchor="_heading=h.sqyw64">
            <w:r w:rsidDel="00000000" w:rsidR="00000000" w:rsidRPr="00000000">
              <w:rPr>
                <w:i w:val="0"/>
                <w:smallCaps w:val="0"/>
                <w:strike w:val="0"/>
                <w:color w:val="000000"/>
                <w:u w:val="none"/>
                <w:shd w:fill="auto" w:val="clear"/>
                <w:vertAlign w:val="baseline"/>
                <w:rtl w:val="0"/>
              </w:rPr>
              <w:t xml:space="preserve">3. Allocation of Taxing Rights with Respect to Pension Benefits</w:t>
              <w:tab/>
              <w:t xml:space="preserve">19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i w:val="0"/>
              <w:smallCaps w:val="0"/>
              <w:strike w:val="0"/>
              <w:color w:val="000000"/>
              <w:u w:val="none"/>
              <w:shd w:fill="auto" w:val="clear"/>
              <w:vertAlign w:val="baseline"/>
            </w:rPr>
          </w:pPr>
          <w:hyperlink w:anchor="_heading=h.3cqmetx">
            <w:r w:rsidDel="00000000" w:rsidR="00000000" w:rsidRPr="00000000">
              <w:rPr>
                <w:i w:val="0"/>
                <w:smallCaps w:val="0"/>
                <w:strike w:val="0"/>
                <w:color w:val="000000"/>
                <w:u w:val="none"/>
                <w:shd w:fill="auto" w:val="clear"/>
                <w:vertAlign w:val="baseline"/>
                <w:rtl w:val="0"/>
              </w:rPr>
              <w:t xml:space="preserve">4. Alternative Provisions to Secure Source Taxation</w:t>
              <w:tab/>
              <w:t xml:space="preserve">20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i w:val="0"/>
              <w:smallCaps w:val="0"/>
              <w:strike w:val="0"/>
              <w:color w:val="000000"/>
              <w:u w:val="none"/>
              <w:shd w:fill="auto" w:val="clear"/>
              <w:vertAlign w:val="baseline"/>
            </w:rPr>
          </w:pPr>
          <w:hyperlink w:anchor="_heading=h.1rvwp1q">
            <w:r w:rsidDel="00000000" w:rsidR="00000000" w:rsidRPr="00000000">
              <w:rPr>
                <w:i w:val="0"/>
                <w:smallCaps w:val="0"/>
                <w:strike w:val="0"/>
                <w:color w:val="000000"/>
                <w:u w:val="none"/>
                <w:shd w:fill="auto" w:val="clear"/>
                <w:vertAlign w:val="baseline"/>
                <w:rtl w:val="0"/>
              </w:rPr>
              <w:t xml:space="preserve">5. Exempt Pensions</w:t>
              <w:tab/>
              <w:t xml:space="preserve">20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i w:val="0"/>
              <w:smallCaps w:val="0"/>
              <w:strike w:val="0"/>
              <w:color w:val="000000"/>
              <w:u w:val="none"/>
              <w:shd w:fill="auto" w:val="clear"/>
              <w:vertAlign w:val="baseline"/>
            </w:rPr>
          </w:pPr>
          <w:hyperlink w:anchor="_heading=h.4bvk7pj">
            <w:r w:rsidDel="00000000" w:rsidR="00000000" w:rsidRPr="00000000">
              <w:rPr>
                <w:i w:val="0"/>
                <w:smallCaps w:val="0"/>
                <w:strike w:val="0"/>
                <w:color w:val="000000"/>
                <w:u w:val="none"/>
                <w:shd w:fill="auto" w:val="clear"/>
                <w:vertAlign w:val="baseline"/>
                <w:rtl w:val="0"/>
              </w:rPr>
              <w:t xml:space="preserve">6. Specific Issues</w:t>
              <w:tab/>
              <w:t xml:space="preserve">20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i w:val="0"/>
              <w:smallCaps w:val="0"/>
              <w:strike w:val="0"/>
              <w:color w:val="000000"/>
              <w:u w:val="none"/>
              <w:shd w:fill="auto" w:val="clear"/>
              <w:vertAlign w:val="baseline"/>
            </w:rPr>
          </w:pPr>
          <w:hyperlink w:anchor="_heading=h.2r0uhxc">
            <w:r w:rsidDel="00000000" w:rsidR="00000000" w:rsidRPr="00000000">
              <w:rPr>
                <w:i w:val="0"/>
                <w:smallCaps w:val="0"/>
                <w:strike w:val="0"/>
                <w:color w:val="000000"/>
                <w:u w:val="none"/>
                <w:shd w:fill="auto" w:val="clear"/>
                <w:vertAlign w:val="baseline"/>
                <w:rtl w:val="0"/>
              </w:rPr>
              <w:t xml:space="preserve">7. Comparison of Article 18 of the OECD MTC (2017) and UN MTC (2021)</w:t>
              <w:tab/>
              <w:t xml:space="preserve">21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b w:val="1"/>
              <w:i w:val="0"/>
              <w:smallCaps w:val="0"/>
              <w:strike w:val="0"/>
              <w:color w:val="000000"/>
              <w:u w:val="none"/>
              <w:shd w:fill="auto" w:val="clear"/>
              <w:vertAlign w:val="baseline"/>
            </w:rPr>
          </w:pPr>
          <w:hyperlink w:anchor="_heading=h.1664s55">
            <w:r w:rsidDel="00000000" w:rsidR="00000000" w:rsidRPr="00000000">
              <w:rPr>
                <w:b w:val="1"/>
                <w:i w:val="0"/>
                <w:smallCaps w:val="0"/>
                <w:strike w:val="0"/>
                <w:color w:val="000000"/>
                <w:u w:val="none"/>
                <w:shd w:fill="auto" w:val="clear"/>
                <w:vertAlign w:val="baseline"/>
                <w:rtl w:val="0"/>
              </w:rPr>
              <w:t xml:space="preserve">J.5. GOVERNMENT SERVICE – ARTICLE 19, OECD and UN MTC</w:t>
              <w:tab/>
              <w:t xml:space="preserve">23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i w:val="0"/>
              <w:smallCaps w:val="0"/>
              <w:strike w:val="0"/>
              <w:color w:val="000000"/>
              <w:u w:val="none"/>
              <w:shd w:fill="auto" w:val="clear"/>
              <w:vertAlign w:val="baseline"/>
            </w:rPr>
          </w:pPr>
          <w:hyperlink w:anchor="_heading=h.3q5sasy">
            <w:r w:rsidDel="00000000" w:rsidR="00000000" w:rsidRPr="00000000">
              <w:rPr>
                <w:i w:val="0"/>
                <w:smallCaps w:val="0"/>
                <w:strike w:val="0"/>
                <w:color w:val="000000"/>
                <w:u w:val="none"/>
                <w:shd w:fill="auto" w:val="clear"/>
                <w:vertAlign w:val="baseline"/>
                <w:rtl w:val="0"/>
              </w:rPr>
              <w:t xml:space="preserve">1. Legal Framework and Application of Article 19</w:t>
              <w:tab/>
              <w:t xml:space="preserve">23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i w:val="0"/>
              <w:smallCaps w:val="0"/>
              <w:strike w:val="0"/>
              <w:color w:val="000000"/>
              <w:u w:val="none"/>
              <w:shd w:fill="auto" w:val="clear"/>
              <w:vertAlign w:val="baseline"/>
            </w:rPr>
          </w:pPr>
          <w:hyperlink w:anchor="_heading=h.25b2l0r">
            <w:r w:rsidDel="00000000" w:rsidR="00000000" w:rsidRPr="00000000">
              <w:rPr>
                <w:i w:val="0"/>
                <w:smallCaps w:val="0"/>
                <w:strike w:val="0"/>
                <w:color w:val="000000"/>
                <w:u w:val="none"/>
                <w:shd w:fill="auto" w:val="clear"/>
                <w:vertAlign w:val="baseline"/>
                <w:rtl w:val="0"/>
              </w:rPr>
              <w:t xml:space="preserve">2. Key Elements</w:t>
              <w:tab/>
              <w:t xml:space="preserve">24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i w:val="0"/>
              <w:smallCaps w:val="0"/>
              <w:strike w:val="0"/>
              <w:color w:val="000000"/>
              <w:u w:val="none"/>
              <w:shd w:fill="auto" w:val="clear"/>
              <w:vertAlign w:val="baseline"/>
            </w:rPr>
          </w:pPr>
          <w:hyperlink w:anchor="_heading=h.kgcv8k">
            <w:r w:rsidDel="00000000" w:rsidR="00000000" w:rsidRPr="00000000">
              <w:rPr>
                <w:i w:val="0"/>
                <w:smallCaps w:val="0"/>
                <w:strike w:val="0"/>
                <w:color w:val="000000"/>
                <w:u w:val="none"/>
                <w:shd w:fill="auto" w:val="clear"/>
                <w:vertAlign w:val="baseline"/>
                <w:rtl w:val="0"/>
              </w:rPr>
              <w:t xml:space="preserve">3. Comparison of Article 19 of the OECD MTC (2017) and UN MTC (2021)</w:t>
              <w:tab/>
              <w:t xml:space="preserve">24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rPr>
              <w:b w:val="1"/>
              <w:i w:val="0"/>
              <w:smallCaps w:val="0"/>
              <w:strike w:val="0"/>
              <w:color w:val="000000"/>
              <w:u w:val="none"/>
              <w:shd w:fill="auto" w:val="clear"/>
              <w:vertAlign w:val="baseline"/>
            </w:rPr>
          </w:pPr>
          <w:hyperlink w:anchor="_heading=h.34g0dwd">
            <w:r w:rsidDel="00000000" w:rsidR="00000000" w:rsidRPr="00000000">
              <w:rPr>
                <w:b w:val="1"/>
                <w:i w:val="0"/>
                <w:smallCaps w:val="0"/>
                <w:strike w:val="0"/>
                <w:color w:val="000000"/>
                <w:u w:val="none"/>
                <w:shd w:fill="auto" w:val="clear"/>
                <w:vertAlign w:val="baseline"/>
                <w:rtl w:val="0"/>
              </w:rPr>
              <w:t xml:space="preserve">J.6. STUDENTS – ARTICLE 20, OECD and UN MTC</w:t>
              <w:tab/>
              <w:t xml:space="preserve">25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i w:val="0"/>
              <w:smallCaps w:val="0"/>
              <w:strike w:val="0"/>
              <w:color w:val="000000"/>
              <w:u w:val="none"/>
              <w:shd w:fill="auto" w:val="clear"/>
              <w:vertAlign w:val="baseline"/>
            </w:rPr>
          </w:pPr>
          <w:hyperlink w:anchor="_heading=h.1jlao46">
            <w:r w:rsidDel="00000000" w:rsidR="00000000" w:rsidRPr="00000000">
              <w:rPr>
                <w:i w:val="0"/>
                <w:smallCaps w:val="0"/>
                <w:strike w:val="0"/>
                <w:color w:val="000000"/>
                <w:u w:val="none"/>
                <w:shd w:fill="auto" w:val="clear"/>
                <w:vertAlign w:val="baseline"/>
                <w:rtl w:val="0"/>
              </w:rPr>
              <w:t xml:space="preserve">1. Overview of Article 20</w:t>
              <w:tab/>
              <w:t xml:space="preserve">25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i w:val="0"/>
              <w:smallCaps w:val="0"/>
              <w:strike w:val="0"/>
              <w:color w:val="000000"/>
              <w:u w:val="none"/>
              <w:shd w:fill="auto" w:val="clear"/>
              <w:vertAlign w:val="baseline"/>
            </w:rPr>
          </w:pPr>
          <w:hyperlink w:anchor="_heading=h.43ky6rz">
            <w:r w:rsidDel="00000000" w:rsidR="00000000" w:rsidRPr="00000000">
              <w:rPr>
                <w:i w:val="0"/>
                <w:smallCaps w:val="0"/>
                <w:strike w:val="0"/>
                <w:color w:val="000000"/>
                <w:u w:val="none"/>
                <w:shd w:fill="auto" w:val="clear"/>
                <w:vertAlign w:val="baseline"/>
                <w:rtl w:val="0"/>
              </w:rPr>
              <w:t xml:space="preserve">2. Rationale Behind Article 20</w:t>
              <w:tab/>
              <w:t xml:space="preserve">25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i w:val="0"/>
              <w:smallCaps w:val="0"/>
              <w:strike w:val="0"/>
              <w:color w:val="000000"/>
              <w:u w:val="none"/>
              <w:shd w:fill="auto" w:val="clear"/>
              <w:vertAlign w:val="baseline"/>
            </w:rPr>
          </w:pPr>
          <w:hyperlink w:anchor="_heading=h.2iq8gzs">
            <w:r w:rsidDel="00000000" w:rsidR="00000000" w:rsidRPr="00000000">
              <w:rPr>
                <w:i w:val="0"/>
                <w:smallCaps w:val="0"/>
                <w:strike w:val="0"/>
                <w:color w:val="000000"/>
                <w:u w:val="none"/>
                <w:shd w:fill="auto" w:val="clear"/>
                <w:vertAlign w:val="baseline"/>
                <w:rtl w:val="0"/>
              </w:rPr>
              <w:t xml:space="preserve">3. Scope and Limitations</w:t>
              <w:tab/>
              <w:t xml:space="preserve">26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i w:val="0"/>
              <w:smallCaps w:val="0"/>
              <w:strike w:val="0"/>
              <w:color w:val="000000"/>
              <w:u w:val="none"/>
              <w:shd w:fill="auto" w:val="clear"/>
              <w:vertAlign w:val="baseline"/>
            </w:rPr>
          </w:pPr>
          <w:hyperlink w:anchor="_heading=h.xvir7l">
            <w:r w:rsidDel="00000000" w:rsidR="00000000" w:rsidRPr="00000000">
              <w:rPr>
                <w:i w:val="0"/>
                <w:smallCaps w:val="0"/>
                <w:strike w:val="0"/>
                <w:color w:val="000000"/>
                <w:u w:val="none"/>
                <w:shd w:fill="auto" w:val="clear"/>
                <w:vertAlign w:val="baseline"/>
                <w:rtl w:val="0"/>
              </w:rPr>
              <w:t xml:space="preserve">4. Interaction with Domestic Tax Laws and Other Treaty Provisions</w:t>
              <w:tab/>
              <w:t xml:space="preserve">26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i w:val="0"/>
              <w:smallCaps w:val="0"/>
              <w:strike w:val="0"/>
              <w:color w:val="000000"/>
              <w:u w:val="none"/>
              <w:shd w:fill="auto" w:val="clear"/>
              <w:vertAlign w:val="baseline"/>
            </w:rPr>
          </w:pPr>
          <w:hyperlink w:anchor="_heading=h.3hv69ve">
            <w:r w:rsidDel="00000000" w:rsidR="00000000" w:rsidRPr="00000000">
              <w:rPr>
                <w:i w:val="0"/>
                <w:smallCaps w:val="0"/>
                <w:strike w:val="0"/>
                <w:color w:val="000000"/>
                <w:u w:val="none"/>
                <w:shd w:fill="auto" w:val="clear"/>
                <w:vertAlign w:val="baseline"/>
                <w:rtl w:val="0"/>
              </w:rPr>
              <w:t xml:space="preserve">5. Challenges and Criticisms</w:t>
              <w:tab/>
              <w:t xml:space="preserve">26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i w:val="0"/>
              <w:smallCaps w:val="0"/>
              <w:strike w:val="0"/>
              <w:color w:val="000000"/>
              <w:u w:val="none"/>
              <w:shd w:fill="auto" w:val="clear"/>
              <w:vertAlign w:val="baseline"/>
            </w:rPr>
          </w:pPr>
          <w:hyperlink w:anchor="_heading=h.1x0gk37">
            <w:r w:rsidDel="00000000" w:rsidR="00000000" w:rsidRPr="00000000">
              <w:rPr>
                <w:i w:val="0"/>
                <w:smallCaps w:val="0"/>
                <w:strike w:val="0"/>
                <w:color w:val="000000"/>
                <w:u w:val="none"/>
                <w:shd w:fill="auto" w:val="clear"/>
                <w:vertAlign w:val="baseline"/>
                <w:rtl w:val="0"/>
              </w:rPr>
              <w:t xml:space="preserve">6. Comparison of Article 20 of the OECD MTC (2017) and UN MTC (2021)</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pStyle w:val="Title"/>
        <w:jc w:val="both"/>
        <w:rPr>
          <w:sz w:val="24"/>
          <w:szCs w:val="24"/>
        </w:rPr>
        <w:sectPr>
          <w:headerReference r:id="rId7" w:type="default"/>
          <w:footerReference r:id="rId8" w:type="default"/>
          <w:pgSz w:h="16838" w:w="11906"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2B">
      <w:pPr>
        <w:pStyle w:val="Title"/>
        <w:jc w:val="cente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sz w:val="32"/>
          <w:szCs w:val="32"/>
          <w:rtl w:val="0"/>
        </w:rPr>
        <w:t xml:space="preserve">J. DTC PROVISIONS RELATING TO INDIVIDUALS</w:t>
      </w:r>
      <w:r w:rsidDel="00000000" w:rsidR="00000000" w:rsidRPr="00000000">
        <w:rPr>
          <w:rtl w:val="0"/>
        </w:rPr>
      </w:r>
    </w:p>
    <w:p w:rsidR="00000000" w:rsidDel="00000000" w:rsidP="00000000" w:rsidRDefault="00000000" w:rsidRPr="00000000" w14:paraId="0000002C">
      <w:pPr>
        <w:pStyle w:val="Heading1"/>
        <w:rPr/>
      </w:pPr>
      <w:bookmarkStart w:colFirst="0" w:colLast="0" w:name="_heading=h.1hmsyys" w:id="0"/>
      <w:bookmarkEnd w:id="0"/>
      <w:r w:rsidDel="00000000" w:rsidR="00000000" w:rsidRPr="00000000">
        <w:rPr>
          <w:rtl w:val="0"/>
        </w:rPr>
        <w:t xml:space="preserve">J.1. EMPLOYMENT INCOME – ARTICLE 15, OECD and UN MTC</w:t>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Employment income taxation in cross-border situations is a complex topic, often guided by treaties that aim to avoid double taxation while allocating taxing rights between states. The OECD Model Tax Convention (MTC) plays a crucial role in standardizing these rules, and Article 15 of the OECD MTC specifically addresses the taxation of employment income. Article 15 sets out a general rule that the employment income is taxed in the country where the employee is physically present. However, several exceptions apply, notably Articles 15(2), 15(3), and other provisions such as Articles 16, 18, and 19, which alter the general rule depending on the nature of the employment and specific circumstances.</w:t>
      </w:r>
    </w:p>
    <w:p w:rsidR="00000000" w:rsidDel="00000000" w:rsidP="00000000" w:rsidRDefault="00000000" w:rsidRPr="00000000" w14:paraId="0000002E">
      <w:pPr>
        <w:pStyle w:val="Heading2"/>
        <w:numPr>
          <w:ilvl w:val="0"/>
          <w:numId w:val="6"/>
        </w:numPr>
        <w:ind w:left="720" w:hanging="360"/>
        <w:rPr>
          <w:rFonts w:ascii="Times New Roman" w:cs="Times New Roman" w:eastAsia="Times New Roman" w:hAnsi="Times New Roman"/>
          <w:b w:val="1"/>
          <w:color w:val="000000"/>
          <w:sz w:val="27"/>
          <w:szCs w:val="27"/>
        </w:rPr>
      </w:pPr>
      <w:bookmarkStart w:colFirst="0" w:colLast="0" w:name="_heading=h.41mghml" w:id="1"/>
      <w:bookmarkEnd w:id="1"/>
      <w:r w:rsidDel="00000000" w:rsidR="00000000" w:rsidRPr="00000000">
        <w:rPr>
          <w:rFonts w:ascii="Times New Roman" w:cs="Times New Roman" w:eastAsia="Times New Roman" w:hAnsi="Times New Roman"/>
          <w:b w:val="1"/>
          <w:color w:val="000000"/>
          <w:sz w:val="27"/>
          <w:szCs w:val="27"/>
          <w:rtl w:val="0"/>
        </w:rPr>
        <w:t xml:space="preserve">Article 15(1) - The General Rule</w:t>
      </w:r>
    </w:p>
    <w:p w:rsidR="00000000" w:rsidDel="00000000" w:rsidP="00000000" w:rsidRDefault="00000000" w:rsidRPr="00000000" w14:paraId="0000002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Taxation Based on Place of Physical Presence</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Article 15(1) stipulates that employment income is taxable in the country where the employee is physically present while performing their duties. This principle ensures that the economic activity, represented by the work of the employee, is taxed in the state where the work occurs. For example, an employee who resides in Country A but works in Country B will be taxed on their employment income in Country B under the general rule of Article 15(1).</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physical presence rule forms the foundation of cross-border employment taxation. The key factor is the place where the services are physically carried out, not where the employer is located or where the remuneration is paid. Importantly, Article 15(1) disregards the timing of the payment, focusing solely on the source of the income, which is the country where the work was physically performed.</w:t>
      </w:r>
    </w:p>
    <w:p w:rsidR="00000000" w:rsidDel="00000000" w:rsidP="00000000" w:rsidRDefault="00000000" w:rsidRPr="00000000" w14:paraId="0000003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Exceptions to Article 15(1)</w:t>
      </w:r>
    </w:p>
    <w:p w:rsidR="00000000" w:rsidDel="00000000" w:rsidP="00000000" w:rsidRDefault="00000000" w:rsidRPr="00000000" w14:paraId="00000033">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59" w:lineRule="auto"/>
        <w:ind w:left="1260" w:right="0" w:hanging="720"/>
        <w:jc w:val="both"/>
        <w:rPr>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Article 15(2) - Short-Term Employment Exception</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Article 15(2) provides a short-term employment exception to the general rule. It exempts employees from being taxed in the source state if three cumulative conditions are met:</w:t>
      </w:r>
      <w:r w:rsidDel="00000000" w:rsidR="00000000" w:rsidRPr="00000000">
        <w:rPr>
          <w:rtl w:val="0"/>
        </w:rPr>
      </w:r>
    </w:p>
    <w:p w:rsidR="00000000" w:rsidDel="00000000" w:rsidP="00000000" w:rsidRDefault="00000000" w:rsidRPr="00000000" w14:paraId="00000035">
      <w:pPr>
        <w:numPr>
          <w:ilvl w:val="0"/>
          <w:numId w:val="7"/>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employee is present in the source state for less than 183 days in any 12-month period.</w:t>
      </w:r>
    </w:p>
    <w:p w:rsidR="00000000" w:rsidDel="00000000" w:rsidP="00000000" w:rsidRDefault="00000000" w:rsidRPr="00000000" w14:paraId="00000036">
      <w:pPr>
        <w:numPr>
          <w:ilvl w:val="0"/>
          <w:numId w:val="7"/>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employer is not a resident of the source state.</w:t>
      </w:r>
    </w:p>
    <w:p w:rsidR="00000000" w:rsidDel="00000000" w:rsidP="00000000" w:rsidRDefault="00000000" w:rsidRPr="00000000" w14:paraId="00000037">
      <w:pPr>
        <w:numPr>
          <w:ilvl w:val="0"/>
          <w:numId w:val="7"/>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remuneration is not borne by a permanent establishment (PE) in the source state.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59" w:lineRule="auto"/>
        <w:ind w:left="7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This exception aims to relieve individuals who work temporarily in a foreign country from being taxed there, provided their employment ties remain with their home country.</w:t>
      </w:r>
    </w:p>
    <w:p w:rsidR="00000000" w:rsidDel="00000000" w:rsidP="00000000" w:rsidRDefault="00000000" w:rsidRPr="00000000" w14:paraId="00000039">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200" w:line="259" w:lineRule="auto"/>
        <w:ind w:left="1260" w:right="0" w:hanging="720"/>
        <w:jc w:val="both"/>
        <w:rPr>
          <w:rFonts w:ascii="Times New Roman" w:cs="Times New Roman" w:eastAsia="Times New Roman" w:hAnsi="Times New Roman"/>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Article 15(3) - Remuneration of Crews of Ships or Aircraft in International Traffic</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59" w:lineRule="auto"/>
        <w:ind w:left="72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Under Article 15(3), employees working on ships or aircraft engaged in international traffic are taxable only in the state of the employer's residence. This provision eliminates the administrative complexity of taxing employees who work in multiple jurisdictions while operating in international traffic.</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160" w:before="200" w:line="259" w:lineRule="auto"/>
        <w:ind w:left="1260" w:right="0" w:hanging="720"/>
        <w:jc w:val="both"/>
        <w:rPr>
          <w:rFonts w:ascii="Times New Roman" w:cs="Times New Roman" w:eastAsia="Times New Roman" w:hAnsi="Times New Roman"/>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Articles 18, 19, and 16 - Other Exceptions</w:t>
      </w:r>
    </w:p>
    <w:p w:rsidR="00000000" w:rsidDel="00000000" w:rsidP="00000000" w:rsidRDefault="00000000" w:rsidRPr="00000000" w14:paraId="0000003C">
      <w:pPr>
        <w:numPr>
          <w:ilvl w:val="0"/>
          <w:numId w:val="15"/>
        </w:numPr>
        <w:spacing w:before="200" w:lineRule="auto"/>
        <w:ind w:left="108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Article 18</w:t>
      </w:r>
      <w:r w:rsidDel="00000000" w:rsidR="00000000" w:rsidRPr="00000000">
        <w:rPr>
          <w:rFonts w:ascii="Times New Roman" w:cs="Times New Roman" w:eastAsia="Times New Roman" w:hAnsi="Times New Roman"/>
          <w:sz w:val="24"/>
          <w:szCs w:val="24"/>
          <w:rtl w:val="0"/>
        </w:rPr>
        <w:t xml:space="preserve"> governs pensions, stipulating that pensions and other similar remuneration are generally taxable only in the recipient's state of residence.</w:t>
      </w:r>
    </w:p>
    <w:p w:rsidR="00000000" w:rsidDel="00000000" w:rsidP="00000000" w:rsidRDefault="00000000" w:rsidRPr="00000000" w14:paraId="0000003D">
      <w:pPr>
        <w:numPr>
          <w:ilvl w:val="0"/>
          <w:numId w:val="15"/>
        </w:numPr>
        <w:spacing w:before="200" w:lineRule="auto"/>
        <w:ind w:left="108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Article 19</w:t>
      </w:r>
      <w:r w:rsidDel="00000000" w:rsidR="00000000" w:rsidRPr="00000000">
        <w:rPr>
          <w:rFonts w:ascii="Times New Roman" w:cs="Times New Roman" w:eastAsia="Times New Roman" w:hAnsi="Times New Roman"/>
          <w:sz w:val="24"/>
          <w:szCs w:val="24"/>
          <w:rtl w:val="0"/>
        </w:rPr>
        <w:t xml:space="preserve"> deals with government service, allowing government employees' remuneration to be taxed solely by the government paying the salary, unless the individual is a resident and national of the host state.</w:t>
      </w:r>
    </w:p>
    <w:p w:rsidR="00000000" w:rsidDel="00000000" w:rsidP="00000000" w:rsidRDefault="00000000" w:rsidRPr="00000000" w14:paraId="0000003E">
      <w:pPr>
        <w:numPr>
          <w:ilvl w:val="0"/>
          <w:numId w:val="15"/>
        </w:numPr>
        <w:spacing w:before="200" w:lineRule="auto"/>
        <w:ind w:left="108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Article 16</w:t>
      </w:r>
      <w:r w:rsidDel="00000000" w:rsidR="00000000" w:rsidRPr="00000000">
        <w:rPr>
          <w:rFonts w:ascii="Times New Roman" w:cs="Times New Roman" w:eastAsia="Times New Roman" w:hAnsi="Times New Roman"/>
          <w:sz w:val="24"/>
          <w:szCs w:val="24"/>
          <w:rtl w:val="0"/>
        </w:rPr>
        <w:t xml:space="preserve"> addresses the taxation of directors' fees, mandating that directors are taxed in the country where the company they serve as directors is resident, regardless of where they physically perform their duties.</w:t>
      </w:r>
    </w:p>
    <w:p w:rsidR="00000000" w:rsidDel="00000000" w:rsidP="00000000" w:rsidRDefault="00000000" w:rsidRPr="00000000" w14:paraId="0000003F">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200" w:line="259" w:lineRule="auto"/>
        <w:ind w:left="1260" w:right="0" w:hanging="720"/>
        <w:jc w:val="both"/>
        <w:rPr>
          <w:rFonts w:ascii="Times New Roman" w:cs="Times New Roman" w:eastAsia="Times New Roman" w:hAnsi="Times New Roman"/>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Goetze v. The Crown (Canada)</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259" w:lineRule="auto"/>
        <w:ind w:left="72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Goetze v. The Crown</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 Canadian court held that an employee who was temporarily working in the United States was not liable for taxation in Canada under Article 15(2). The employee had met the 183-day requirement and worked for an employer based in the United States without a PE in Canada. This case illustrates the application of the short-term employment exception under Article 15(2).</w:t>
      </w:r>
      <w:r w:rsidDel="00000000" w:rsidR="00000000" w:rsidRPr="00000000">
        <w:rPr>
          <w:rtl w:val="0"/>
        </w:rPr>
      </w:r>
    </w:p>
    <w:p w:rsidR="00000000" w:rsidDel="00000000" w:rsidP="00000000" w:rsidRDefault="00000000" w:rsidRPr="00000000" w14:paraId="00000041">
      <w:pPr>
        <w:pStyle w:val="Heading2"/>
        <w:numPr>
          <w:ilvl w:val="0"/>
          <w:numId w:val="6"/>
        </w:numPr>
        <w:spacing w:before="200" w:lineRule="auto"/>
        <w:ind w:left="720" w:hanging="360"/>
        <w:rPr>
          <w:rFonts w:ascii="Times New Roman" w:cs="Times New Roman" w:eastAsia="Times New Roman" w:hAnsi="Times New Roman"/>
          <w:b w:val="1"/>
          <w:color w:val="000000"/>
          <w:sz w:val="27"/>
          <w:szCs w:val="27"/>
        </w:rPr>
      </w:pPr>
      <w:bookmarkStart w:colFirst="0" w:colLast="0" w:name="_heading=h.2grqrue" w:id="2"/>
      <w:bookmarkEnd w:id="2"/>
      <w:r w:rsidDel="00000000" w:rsidR="00000000" w:rsidRPr="00000000">
        <w:rPr>
          <w:rFonts w:ascii="Times New Roman" w:cs="Times New Roman" w:eastAsia="Times New Roman" w:hAnsi="Times New Roman"/>
          <w:b w:val="1"/>
          <w:color w:val="000000"/>
          <w:sz w:val="27"/>
          <w:szCs w:val="27"/>
          <w:rtl w:val="0"/>
        </w:rPr>
        <w:t xml:space="preserve">Issues Concerning Termination of Employment and OECD Commentary</w:t>
      </w:r>
    </w:p>
    <w:p w:rsidR="00000000" w:rsidDel="00000000" w:rsidP="00000000" w:rsidRDefault="00000000" w:rsidRPr="00000000" w14:paraId="00000042">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employment is terminated, various types of payments can arise. These payments pose distinct challenges in determining which state holds the taxing rights, and the OECD commentaries on Article 15 provide guidance on addressing these issues.</w:t>
      </w:r>
    </w:p>
    <w:p w:rsidR="00000000" w:rsidDel="00000000" w:rsidP="00000000" w:rsidRDefault="00000000" w:rsidRPr="00000000" w14:paraId="0000004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200" w:line="259" w:lineRule="auto"/>
        <w:ind w:left="810" w:right="0" w:hanging="360"/>
        <w:jc w:val="both"/>
        <w:rPr>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Back Wages Derived from Work State</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59"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Back wages represent compensation for services previously performed. According to the OECD commentary, such payments are attributable to the state where the work was carried out. This ensures that the country benefiting from the employee’s work has the right to tax the related income, regardless of when the wages are paid.</w:t>
      </w:r>
    </w:p>
    <w:p w:rsidR="00000000" w:rsidDel="00000000" w:rsidP="00000000" w:rsidRDefault="00000000" w:rsidRPr="00000000" w14:paraId="0000004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200" w:line="259" w:lineRule="auto"/>
        <w:ind w:left="81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Payments from Unused Sick Days and Holidays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59"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Payments for unused sick leave and vacation days are generally considered deferred compensation for services previously rendered. As such, they are taxable in the state where the services were performed. The state retains the right to tax these amounts as part of the employment income.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200" w:line="259" w:lineRule="auto"/>
        <w:ind w:left="81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Payments from Termination Notice Period and Severance Payments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59"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Termination notice period payments and severance pay can be complex because they may not directly correspond to services rendered in a particular state. However, the OECD recommends that such payments be allocated to the state where the employee was physically present while working. Severance payments are thus taxable in the state where the employee last worked, as they compensate for the loss of employment derived from that state.</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200" w:line="259" w:lineRule="auto"/>
        <w:ind w:left="81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Payments for Damages and Non-Competition Covenants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59"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Payments made as compensation for damages or in consideration of a non-competition covenant may not always directly relate to employment services. If the payments compensate the employee for lost income, they should be taxed in the state where the employee would have worked had the damage or non-competition covenant not occurred. This aligns with the principle that income derived from a specific state should be taxed there.</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200" w:line="259" w:lineRule="auto"/>
        <w:ind w:left="81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Deferred Remuneration Schemes and Post-Termination Benefits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59"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Deferred remuneration, such as stock options or bonuses, often poses challenges in cross-border situations. The OECD commentary suggests that deferred payments should be taxed in the state where the services that earned the remuneration were performed. This ensures that the state benefiting from the employee’s work retains the right to tax the income.</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200" w:line="259" w:lineRule="auto"/>
        <w:ind w:left="81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Treatment of Incentive Compensation and Post-Termination Benefits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59"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Incentive compensation, such as performance bonuses, is treated similarly to deferred remuneration. Such payments should be taxed in the state where the services were performed that gave rise to the bonus. Post-termination benefits, like pensions or health insurance, are typically taxed in the employee’s state of residence unless the benefits can be directly linked to services performed in a specific state.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200" w:line="259" w:lineRule="auto"/>
        <w:ind w:left="81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Payments for Injury, Disability, and Loss of Future Income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59"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Payments for injuries or disabilities sustained during employment are generally taxed in the state where the injury occurred. The same applies to payments compensating for the loss of future income, which are taxed in the state where the employee last worked before termination.</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200" w:line="259" w:lineRule="auto"/>
        <w:ind w:left="81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Ease-Out Payments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59"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Ease-out payments, intended to encourage employees to leave their jobs, are treated as compensation for past services. As such, they are taxable in the state where the employee performed the services that led to the ease-out payment.</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200" w:line="259" w:lineRule="auto"/>
        <w:ind w:left="81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CIR v. Willers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59"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 the </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Willers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case, the South African court held that severance payments made to an employee who had worked in South Africa were taxable in South Africa, even though the employee was residing abroad when the payment was made. This ruling underscores the OECD’s recommendation that severance payments are taxable in the country where the employee was last employed.</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200" w:line="259" w:lineRule="auto"/>
        <w:ind w:left="81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Davis v. The Crown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Davis v. The Crown</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 UK court considered the taxation of stock options exercised after the employee had relocated to another country. The court ruled that the stock options were taxable in the UK because the options were linked to services performed in the UK, even though the payment occurred after the employee’s termination and relocation. This case highlights the OECD’s position that deferred remuneration should be taxed in the state where the work that earned the payment was performed.</w:t>
      </w:r>
      <w:r w:rsidDel="00000000" w:rsidR="00000000" w:rsidRPr="00000000">
        <w:rPr>
          <w:rtl w:val="0"/>
        </w:rPr>
      </w:r>
    </w:p>
    <w:p w:rsidR="00000000" w:rsidDel="00000000" w:rsidP="00000000" w:rsidRDefault="00000000" w:rsidRPr="00000000" w14:paraId="00000057">
      <w:pPr>
        <w:pStyle w:val="Heading2"/>
        <w:numPr>
          <w:ilvl w:val="0"/>
          <w:numId w:val="6"/>
        </w:numPr>
        <w:ind w:left="720" w:hanging="360"/>
        <w:rPr>
          <w:rFonts w:ascii="Times New Roman" w:cs="Times New Roman" w:eastAsia="Times New Roman" w:hAnsi="Times New Roman"/>
          <w:b w:val="1"/>
          <w:color w:val="000000"/>
          <w:sz w:val="27"/>
          <w:szCs w:val="27"/>
        </w:rPr>
      </w:pPr>
      <w:bookmarkStart w:colFirst="0" w:colLast="0" w:name="_heading=h.vx1227" w:id="3"/>
      <w:bookmarkEnd w:id="3"/>
      <w:r w:rsidDel="00000000" w:rsidR="00000000" w:rsidRPr="00000000">
        <w:rPr>
          <w:rFonts w:ascii="Times New Roman" w:cs="Times New Roman" w:eastAsia="Times New Roman" w:hAnsi="Times New Roman"/>
          <w:b w:val="1"/>
          <w:color w:val="000000"/>
          <w:sz w:val="27"/>
          <w:szCs w:val="27"/>
          <w:rtl w:val="0"/>
        </w:rPr>
        <w:t xml:space="preserve">Article 15(2) - General Exception to the Rule in Article 15(1)</w:t>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Article 15(1) establishes the primary rule that employment income is taxable where the employee is physically present, Article 15(2) creates an exception for short-term employment situations. Under this exception, income earned from employment in a state will not be taxed there if three specific conditions are met. These conditions aim to relieve individuals who work temporarily in a foreign country from being taxed in that country, provided their employment has no substantive connection to the local economy.</w:t>
      </w:r>
    </w:p>
    <w:p w:rsidR="00000000" w:rsidDel="00000000" w:rsidP="00000000" w:rsidRDefault="00000000" w:rsidRPr="00000000" w14:paraId="0000005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200" w:line="259" w:lineRule="auto"/>
        <w:ind w:left="81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Conditions for the Article 15(2) Exception</w:t>
      </w:r>
    </w:p>
    <w:p w:rsidR="00000000" w:rsidDel="00000000" w:rsidP="00000000" w:rsidRDefault="00000000" w:rsidRPr="00000000" w14:paraId="0000005A">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59" w:lineRule="auto"/>
        <w:ind w:left="1260" w:right="0" w:hanging="720"/>
        <w:jc w:val="both"/>
        <w:rPr>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183-Day Period</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59"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first condition is that the employee must not be present in the source state for more than 183 days in any 12-month period. This period is cumulative, meaning that all days spent in the source country during multiple visits count toward the 183-day limit. Days of physical presence include not only working days but also weekends, holidays, and any other days spent in the state. If the employee exceeds the 183-day limit, the exception is no longer applicable, and the general rule in Article 15(1) applies, meaning the employment income becomes taxable in the source state.</w:t>
      </w:r>
    </w:p>
    <w:p w:rsidR="00000000" w:rsidDel="00000000" w:rsidP="00000000" w:rsidRDefault="00000000" w:rsidRPr="00000000" w14:paraId="0000005C">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200" w:line="259" w:lineRule="auto"/>
        <w:ind w:left="1260" w:right="0" w:hanging="720"/>
        <w:jc w:val="both"/>
        <w:rPr>
          <w:rFonts w:ascii="Times New Roman" w:cs="Times New Roman" w:eastAsia="Times New Roman" w:hAnsi="Times New Roman"/>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Employer Not Resident in Source State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59"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second condition requires that the employer must not be a resident of the source state. This criterion is crucial because it reflects the intent of Article 15(2) to exempt employees whose economic ties remain with their home country. If the employer is a resident of the source state, the employee’s income will be subject to taxation in the source state, as the employee's work contributes to the domestic economy.</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200" w:line="259" w:lineRule="auto"/>
        <w:ind w:left="1260" w:right="0" w:hanging="720"/>
        <w:jc w:val="both"/>
        <w:rPr>
          <w:rFonts w:ascii="Times New Roman" w:cs="Times New Roman" w:eastAsia="Times New Roman" w:hAnsi="Times New Roman"/>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Remuneration Not Borne by Employer's Permanent Establishment (PE) in Source State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59"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third condition stipulates that the remuneration must not be borne by a permanent establishment (PE) that the employer has in the source state. This rule ensures that even if the employer is not a resident of the source state, the income will be taxable there if it is borne by the employer's PE, as the presence of a PE signifies a substantial economic connection between the employer and the source state. If the remuneration is borne by a PE, the employee's work is considered to support the local economic activity, and thus, the source state retains the right to tax the income.</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200" w:line="259" w:lineRule="auto"/>
        <w:ind w:left="81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b w:val="1"/>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Link Between Article 15(2) and Article 7</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59"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Article 7 of the OECD MTC governs the taxation of business profits and outlines the rules for attributing profits to a permanent establishment in the source state. Article 15(2) and Article 7 are closely linked because they both address the conditions under which a foreign entity (the employer) is subject to taxation in the source state. In particular, if an employer has a PE in the source state, profits attributable to that PE are taxable in the source state under Article 7. Similarly, if an employee’s remuneration is borne by the employer’s PE, it will be taxable in the source state under Article 15(2).</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This link ensures consistency in the treatment of employment income and business profits, maintaining a coherent framework for determining when economic activity creates a sufficient nexus with the source state to justify taxation.</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200" w:line="259" w:lineRule="auto"/>
        <w:ind w:left="810" w:right="0" w:hanging="360"/>
        <w:jc w:val="both"/>
        <w:rPr>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Differentiating Between Employment Services and Professional Services</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59"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 critical distinction must be made between employment services, which fall under Article 15, and professional services rendered by independent contractors, which are governed by Article 14 (in earlier versions of the OECD MTC) or Article 7 for business profits. Employment services are performed under the control and direction of an employer, whereas professional services involve independent contractors who provide services to clients without being employees. This distinction affects the application of Article 15(2) because the 183-day rule and the other conditions apply only to employment income, not to income derived from independent professional services.</w:t>
      </w:r>
    </w:p>
    <w:p w:rsidR="00000000" w:rsidDel="00000000" w:rsidP="00000000" w:rsidRDefault="00000000" w:rsidRPr="00000000" w14:paraId="00000065">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200" w:line="259" w:lineRule="auto"/>
        <w:ind w:left="1260" w:right="0" w:hanging="720"/>
        <w:jc w:val="both"/>
        <w:rPr>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Example: Short-Term Employee in Germany</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259"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An employee from France works in Germany for a French company without a permanent establishment in Germany. The employee spends 170 days in Germany over a 12-month period. Under Article 15(2), the employee's income will not be taxable in Germany because they meet all the conditions: they are present for less than 183 days, their employer is not a resident of Germany, and the remuneration is not borne by a German PE. In this case, the employee's income will be taxable only in France.</w:t>
      </w:r>
    </w:p>
    <w:p w:rsidR="00000000" w:rsidDel="00000000" w:rsidP="00000000" w:rsidRDefault="00000000" w:rsidRPr="00000000" w14:paraId="00000067">
      <w:pPr>
        <w:pStyle w:val="Heading2"/>
        <w:numPr>
          <w:ilvl w:val="0"/>
          <w:numId w:val="6"/>
        </w:numPr>
        <w:ind w:left="720" w:hanging="360"/>
        <w:rPr>
          <w:rFonts w:ascii="Times New Roman" w:cs="Times New Roman" w:eastAsia="Times New Roman" w:hAnsi="Times New Roman"/>
          <w:b w:val="1"/>
          <w:color w:val="000000"/>
        </w:rPr>
      </w:pPr>
      <w:bookmarkStart w:colFirst="0" w:colLast="0" w:name="_heading=h.3fwokq0" w:id="4"/>
      <w:bookmarkEnd w:id="4"/>
      <w:r w:rsidDel="00000000" w:rsidR="00000000" w:rsidRPr="00000000">
        <w:rPr>
          <w:rFonts w:ascii="Times New Roman" w:cs="Times New Roman" w:eastAsia="Times New Roman" w:hAnsi="Times New Roman"/>
          <w:b w:val="1"/>
          <w:color w:val="000000"/>
          <w:rtl w:val="0"/>
        </w:rPr>
        <w:t xml:space="preserve">Article 15(3) - Application to the Remuneration of Crews of Ships or Aircraft in International Traffic</w:t>
      </w:r>
    </w:p>
    <w:p w:rsidR="00000000" w:rsidDel="00000000" w:rsidP="00000000" w:rsidRDefault="00000000" w:rsidRPr="00000000" w14:paraId="00000068">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15(3) addresses the taxation of employment income earned by crews of ships or aircraft operating in international traffic. The general rule is that such income is taxable only in the state where the employer is a resident. This provision simplifies the taxation of individuals who work in multiple jurisdictions while operating in international traffic, such as airline pilots or ship crews. Given the international nature of their work, taxing their income in every state where they temporarily land or dock would create significant administrative complexity. Instead, Article 15(3) allows the state of the employer's residence to have exclusive taxing rights over this income.</w:t>
      </w:r>
    </w:p>
    <w:p w:rsidR="00000000" w:rsidDel="00000000" w:rsidP="00000000" w:rsidRDefault="00000000" w:rsidRPr="00000000" w14:paraId="0000006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Alternative Provision: Allowing Taxation by Both States</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59"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Some bilateral tax treaties include an alternative provision allowing both the state of the employer’s residence and the source state (where the employee works) to tax the income of crews operating in international traffic. However, the OECD recommends that, to avoid double taxation, these treaties should include mechanisms for eliminating double taxation, such as tax credits or exemptions.</w:t>
      </w:r>
    </w:p>
    <w:p w:rsidR="00000000" w:rsidDel="00000000" w:rsidP="00000000" w:rsidRDefault="00000000" w:rsidRPr="00000000" w14:paraId="0000006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200" w:line="259" w:lineRule="auto"/>
        <w:ind w:left="810" w:right="0" w:hanging="360"/>
        <w:jc w:val="both"/>
        <w:rPr>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 International Airline Pilot</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259"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 pilot employed by a Canadian airline regularly flies between Canada, the United States, and the United Kingdom. Under Article 15(3), the pilot’s employment income is taxable only in Canada, the state where the employer is a resident, despite the pilot’s work taking place in several countries.</w:t>
      </w:r>
    </w:p>
    <w:p w:rsidR="00000000" w:rsidDel="00000000" w:rsidP="00000000" w:rsidRDefault="00000000" w:rsidRPr="00000000" w14:paraId="0000006D">
      <w:pPr>
        <w:pStyle w:val="Heading2"/>
        <w:numPr>
          <w:ilvl w:val="0"/>
          <w:numId w:val="6"/>
        </w:numPr>
        <w:ind w:left="720" w:hanging="360"/>
        <w:rPr>
          <w:rFonts w:ascii="Times New Roman" w:cs="Times New Roman" w:eastAsia="Times New Roman" w:hAnsi="Times New Roman"/>
          <w:b w:val="1"/>
          <w:color w:val="000000"/>
        </w:rPr>
      </w:pPr>
      <w:bookmarkStart w:colFirst="0" w:colLast="0" w:name="_heading=h.1v1yuxt" w:id="5"/>
      <w:bookmarkEnd w:id="5"/>
      <w:r w:rsidDel="00000000" w:rsidR="00000000" w:rsidRPr="00000000">
        <w:rPr>
          <w:rFonts w:ascii="Times New Roman" w:cs="Times New Roman" w:eastAsia="Times New Roman" w:hAnsi="Times New Roman"/>
          <w:b w:val="1"/>
          <w:color w:val="000000"/>
          <w:rtl w:val="0"/>
        </w:rPr>
        <w:t xml:space="preserve">Applying Article 15 to the Taxation of Stock Options</w:t>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options present unique challenges in cross-border taxation because they often involve elements of both employment income and capital gains. The OECD MTC, through Article 15 and its commentary, provides guidance on how to allocate taxing rights over stock options in international employment situations.</w:t>
      </w:r>
    </w:p>
    <w:p w:rsidR="00000000" w:rsidDel="00000000" w:rsidP="00000000" w:rsidRDefault="00000000" w:rsidRPr="00000000" w14:paraId="0000006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59" w:lineRule="auto"/>
        <w:ind w:left="81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Problem with Cross-Border Taxation of Stock Options</w:t>
      </w:r>
    </w:p>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options are generally granted as part of an employee’s compensation package, but the income from exercising those options may be realized years after the employee has left the country where they performed the relevant services. This delay in income realization complicates the determination of which state has the right to tax the income. Furthermore, different states may classify the income differently—some may treat it as employment income, while others may view it as capital gains, leading to potential conflicts in the allocation of taxing rights.</w:t>
      </w:r>
    </w:p>
    <w:p w:rsidR="00000000" w:rsidDel="00000000" w:rsidP="00000000" w:rsidRDefault="00000000" w:rsidRPr="00000000" w14:paraId="0000007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Source State Entitlement</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To resolve these conflicts, the OECD commentary on Article 15 outlines the following principles: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59" w:lineRule="auto"/>
        <w:ind w:left="1260" w:right="0" w:hanging="720"/>
        <w:jc w:val="both"/>
        <w:rPr>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Differentiate Between Employment Benefit and Capital Gains</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59"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Stock options should generally be treated as employment income rather than capital gains. This treatment aligns with the fact that the options are usually granted as part of an employee’s remuneration package. By treating stock options as employment income, taxing rights are allocated to the state where the employee physically performed the services that earned the options.</w:t>
      </w:r>
    </w:p>
    <w:p w:rsidR="00000000" w:rsidDel="00000000" w:rsidP="00000000" w:rsidRDefault="00000000" w:rsidRPr="00000000" w14:paraId="00000075">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59" w:lineRule="auto"/>
        <w:ind w:left="1260" w:right="0" w:hanging="720"/>
        <w:jc w:val="both"/>
        <w:rPr>
          <w:rFonts w:ascii="Times New Roman" w:cs="Times New Roman" w:eastAsia="Times New Roman" w:hAnsi="Times New Roman"/>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Article 15(1) Rule - "Time of Payment is Irrelevant"</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59"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OECD emphasizes that the timing of payment or exercise of the stock options is irrelevant. Instead, the key factor is where the employee performed the services that earned the stock options. This means that even if the stock options are exercised after the employee has left the source state, the income is still taxable in the source state if it relates to services performed there.</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200" w:line="259" w:lineRule="auto"/>
        <w:ind w:left="81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State May Determine Domestic Tax Characteristics of the Payment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59"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Although the OECD MTC provides guidance on allocating taxing rights, each state retains the ability to determine the domestic tax treatment of stock options. Some states may treat stock options as employment income, while others may classify them as capital gains, which could lead to differences in the actual tax burden faced by the employee.</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200" w:line="259" w:lineRule="auto"/>
        <w:ind w:left="81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OECD’s Two Rules for Allocating Taxing Rights Over Stock Options</w:t>
      </w:r>
    </w:p>
    <w:p w:rsidR="00000000" w:rsidDel="00000000" w:rsidP="00000000" w:rsidRDefault="00000000" w:rsidRPr="00000000" w14:paraId="0000007A">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200" w:line="259" w:lineRule="auto"/>
        <w:ind w:left="1260" w:right="0" w:hanging="720"/>
        <w:jc w:val="both"/>
        <w:rPr>
          <w:rFonts w:ascii="Times New Roman" w:cs="Times New Roman" w:eastAsia="Times New Roman" w:hAnsi="Times New Roman"/>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First Rule: No Link to Post-Employment Services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59"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first rule is that employee stock options should not be considered to relate to any services rendered after the period of employment that is required for the employee to acquire the right to exercise the option. This means that once the employee has fulfilled the conditions necessary to acquire the stock options, any subsequent services are irrelevant for determining the taxing rights.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200" w:line="259" w:lineRule="auto"/>
        <w:ind w:left="1260" w:right="0" w:hanging="720"/>
        <w:jc w:val="both"/>
        <w:rPr>
          <w:rFonts w:ascii="Times New Roman" w:cs="Times New Roman" w:eastAsia="Times New Roman" w:hAnsi="Times New Roman"/>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Second Rule: Link to Pre-Grant Services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59"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second rule states that an employee stock option should only be considered to relate to services rendered before the time it is granted to the extent that the grant is intended to reward the provision of services by the employee for a specific period. This ensures that taxing rights are allocated based on the period during which the employee performed the services that earned the stock options.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200" w:line="259" w:lineRule="auto"/>
        <w:ind w:left="81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 Employee Receiving Stock Options in France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259"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An employee of a French company worked in France for three years and then moved to the United States. Two years after moving, the employee exercises stock options granted during their time in France. According to Article 15(1), the timing of the exercise is irrelevant, and France retains the right to tax the stock options as they were earned for services performed in France.</w:t>
      </w:r>
    </w:p>
    <w:p w:rsidR="00000000" w:rsidDel="00000000" w:rsidP="00000000" w:rsidRDefault="00000000" w:rsidRPr="00000000" w14:paraId="00000080">
      <w:pPr>
        <w:pStyle w:val="Heading2"/>
        <w:numPr>
          <w:ilvl w:val="0"/>
          <w:numId w:val="6"/>
        </w:numPr>
        <w:ind w:left="720" w:hanging="360"/>
        <w:rPr>
          <w:rFonts w:ascii="Times New Roman" w:cs="Times New Roman" w:eastAsia="Times New Roman" w:hAnsi="Times New Roman"/>
          <w:b w:val="1"/>
          <w:color w:val="000000"/>
        </w:rPr>
      </w:pPr>
      <w:bookmarkStart w:colFirst="0" w:colLast="0" w:name="_heading=h.4f1mdlm" w:id="6"/>
      <w:bookmarkEnd w:id="6"/>
      <w:r w:rsidDel="00000000" w:rsidR="00000000" w:rsidRPr="00000000">
        <w:rPr>
          <w:rFonts w:ascii="Times New Roman" w:cs="Times New Roman" w:eastAsia="Times New Roman" w:hAnsi="Times New Roman"/>
          <w:b w:val="1"/>
          <w:color w:val="000000"/>
          <w:rtl w:val="0"/>
        </w:rPr>
        <w:t xml:space="preserve">Comparison of Article 15 of the OECD MTC (2017) and UN MTC (2021)</w:t>
      </w:r>
    </w:p>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distinction between Article 15 OECD and UN MTCs lies in an additional text in Article 15 (2) UN MTC. The UN Model, while nearly identical in its structure and intent, introduces a notable distinction in condition (c). It specifies that remuneration must not be borne by a permanent establishment </w:t>
      </w:r>
      <w:r w:rsidDel="00000000" w:rsidR="00000000" w:rsidRPr="00000000">
        <w:rPr>
          <w:rFonts w:ascii="Times New Roman" w:cs="Times New Roman" w:eastAsia="Times New Roman" w:hAnsi="Times New Roman"/>
          <w:b w:val="1"/>
          <w:sz w:val="24"/>
          <w:szCs w:val="24"/>
          <w:rtl w:val="0"/>
        </w:rPr>
        <w:t xml:space="preserve">or fixed base</w:t>
      </w:r>
      <w:r w:rsidDel="00000000" w:rsidR="00000000" w:rsidRPr="00000000">
        <w:rPr>
          <w:rFonts w:ascii="Times New Roman" w:cs="Times New Roman" w:eastAsia="Times New Roman" w:hAnsi="Times New Roman"/>
          <w:sz w:val="24"/>
          <w:szCs w:val="24"/>
          <w:rtl w:val="0"/>
        </w:rPr>
        <w:t xml:space="preserve"> of the employer in the source State. This inclusion of "fixed base" broadens the scope of the provision and reflects the UN Model's emphasis on the specific needs of developing countries, where economic relationships and tax structures may include arrangements outside the narrower definition of a permanent establishment.</w:t>
      </w:r>
    </w:p>
    <w:p w:rsidR="00000000" w:rsidDel="00000000" w:rsidP="00000000" w:rsidRDefault="00000000" w:rsidRPr="00000000" w14:paraId="00000082">
      <w:pPr>
        <w:jc w:val="both"/>
        <w:rPr>
          <w:rFonts w:ascii="Times New Roman" w:cs="Times New Roman" w:eastAsia="Times New Roman" w:hAnsi="Times New Roman"/>
          <w:sz w:val="24"/>
          <w:szCs w:val="24"/>
        </w:rPr>
        <w:sectPr>
          <w:type w:val="nextPage"/>
          <w:pgSz w:h="16838" w:w="11906"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83">
      <w:pPr>
        <w:pStyle w:val="Heading1"/>
        <w:rPr>
          <w:sz w:val="24"/>
          <w:szCs w:val="24"/>
        </w:rPr>
      </w:pPr>
      <w:bookmarkStart w:colFirst="0" w:colLast="0" w:name="_heading=h.2u6wntf" w:id="7"/>
      <w:bookmarkEnd w:id="7"/>
      <w:r w:rsidDel="00000000" w:rsidR="00000000" w:rsidRPr="00000000">
        <w:rPr>
          <w:rtl w:val="0"/>
        </w:rPr>
        <w:t xml:space="preserve">J.2. DIRECTORS’ FEES – ARTICLE 16, OECD and UN MDTC</w:t>
      </w:r>
      <w:r w:rsidDel="00000000" w:rsidR="00000000" w:rsidRPr="00000000">
        <w:rPr>
          <w:rtl w:val="0"/>
        </w:rPr>
      </w:r>
    </w:p>
    <w:p w:rsidR="00000000" w:rsidDel="00000000" w:rsidP="00000000" w:rsidRDefault="00000000" w:rsidRPr="00000000" w14:paraId="00000084">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16 of the OECD Model Tax Convention (MTC) governs the taxation of directors’ fees. Specifically, it focuses on the remuneration of residents of one Contracting State when they serve on the board of directors of a company based in another Contracting State. This article plays a crucial role in the international tax framework by clarifying which state holds the taxing right over directors' fees and similar payments. In this analysis, we will explore the purpose, structure, and interpretation of Article 16, including its interaction with other articles of the OECD MTC, such as Article 13 and Article 15. Furthermore, we will look into specific issues that arise with stock options, benefits in kind, and overlapping functions of directors who serve in multiple capacities.</w:t>
      </w:r>
    </w:p>
    <w:p w:rsidR="00000000" w:rsidDel="00000000" w:rsidP="00000000" w:rsidRDefault="00000000" w:rsidRPr="00000000" w14:paraId="00000085">
      <w:pPr>
        <w:pStyle w:val="Heading2"/>
        <w:numPr>
          <w:ilvl w:val="0"/>
          <w:numId w:val="8"/>
        </w:numPr>
        <w:spacing w:before="200" w:lineRule="auto"/>
        <w:ind w:left="360" w:hanging="360"/>
        <w:rPr>
          <w:rFonts w:ascii="Times New Roman" w:cs="Times New Roman" w:eastAsia="Times New Roman" w:hAnsi="Times New Roman"/>
          <w:b w:val="1"/>
          <w:color w:val="000000"/>
          <w:sz w:val="27"/>
          <w:szCs w:val="27"/>
        </w:rPr>
      </w:pPr>
      <w:bookmarkStart w:colFirst="0" w:colLast="0" w:name="_heading=h.19c6y18" w:id="8"/>
      <w:bookmarkEnd w:id="8"/>
      <w:r w:rsidDel="00000000" w:rsidR="00000000" w:rsidRPr="00000000">
        <w:rPr>
          <w:rFonts w:ascii="Times New Roman" w:cs="Times New Roman" w:eastAsia="Times New Roman" w:hAnsi="Times New Roman"/>
          <w:b w:val="1"/>
          <w:color w:val="000000"/>
          <w:sz w:val="27"/>
          <w:szCs w:val="27"/>
          <w:rtl w:val="0"/>
        </w:rPr>
        <w:t xml:space="preserve">Purpose and Scope of Article 16</w:t>
      </w:r>
    </w:p>
    <w:p w:rsidR="00000000" w:rsidDel="00000000" w:rsidP="00000000" w:rsidRDefault="00000000" w:rsidRPr="00000000" w14:paraId="00000086">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16 provides clear guidelines regarding the taxation of directors’ fees. The article ensures that remuneration for board services is taxed in the state where the company is resident, irrespective of where the services are physically performed. This provision is vital because it can be difficult to determine the precise location where board-related duties are carried out. Often, directors’ meetings take place across multiple jurisdictions, and directors may perform advisory or oversight functions remotely. Hence, the provision simplifies the allocation of taxing rights by attributing the right to tax to the state in which the company is resident.</w:t>
      </w:r>
    </w:p>
    <w:p w:rsidR="00000000" w:rsidDel="00000000" w:rsidP="00000000" w:rsidRDefault="00000000" w:rsidRPr="00000000" w14:paraId="00000087">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Article 16 extends beyond simple monetary payments. Member countries generally understand the term "fees and other similar payments" to include both direct remuneration and benefits in kind. These may include stock options, company-provided vehicles, housing, health or life insurance, and club memberships. The inclusion of such non-cash benefits reflects the complexity of modern remuneration packages, which often extend beyond simple fees.</w:t>
      </w:r>
    </w:p>
    <w:p w:rsidR="00000000" w:rsidDel="00000000" w:rsidP="00000000" w:rsidRDefault="00000000" w:rsidRPr="00000000" w14:paraId="00000088">
      <w:pPr>
        <w:pStyle w:val="Heading2"/>
        <w:numPr>
          <w:ilvl w:val="0"/>
          <w:numId w:val="8"/>
        </w:numPr>
        <w:spacing w:before="200" w:lineRule="auto"/>
        <w:ind w:left="360" w:hanging="360"/>
        <w:rPr>
          <w:rFonts w:ascii="Times New Roman" w:cs="Times New Roman" w:eastAsia="Times New Roman" w:hAnsi="Times New Roman"/>
          <w:b w:val="1"/>
          <w:color w:val="000000"/>
          <w:sz w:val="27"/>
          <w:szCs w:val="27"/>
        </w:rPr>
      </w:pPr>
      <w:bookmarkStart w:colFirst="0" w:colLast="0" w:name="_heading=h.3tbugp1" w:id="9"/>
      <w:bookmarkEnd w:id="9"/>
      <w:r w:rsidDel="00000000" w:rsidR="00000000" w:rsidRPr="00000000">
        <w:rPr>
          <w:rFonts w:ascii="Times New Roman" w:cs="Times New Roman" w:eastAsia="Times New Roman" w:hAnsi="Times New Roman"/>
          <w:b w:val="1"/>
          <w:color w:val="000000"/>
          <w:sz w:val="27"/>
          <w:szCs w:val="27"/>
          <w:rtl w:val="0"/>
        </w:rPr>
        <w:t xml:space="preserve">Stock Options and Their Taxation</w:t>
      </w:r>
    </w:p>
    <w:p w:rsidR="00000000" w:rsidDel="00000000" w:rsidP="00000000" w:rsidRDefault="00000000" w:rsidRPr="00000000" w14:paraId="00000089">
      <w:pPr>
        <w:spacing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options are a critical part of many directors' remuneration packages, and Article 16 provides specific guidelines for their taxation. The OECD Commentary on Article 16 clarifies that the state in which the company is resident has the right to tax the stock-option benefit, even if the tax is imposed later when the individual is no longer a board member. This is a notable point since stock options often vest over time, and their exercise might occur long after the option was granted.</w:t>
      </w:r>
    </w:p>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Article 16 draws a distinction between benefits derived from the stock option itself and the capital gain realized upon the alienation (i.e., sale or other disposal) of shares acquired through the exercise of the option. Until the option is exercised, sold, or otherwise alienated, any benefits derived from the stock option are taxable under Article 16. Once the option is exercised and the individual becomes a shareholder, subsequent gains on the shares are treated as capital gains and are subject to the rules under Article 13.</w:t>
      </w:r>
    </w:p>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distinction is essential because it ensures that the initial benefit (i.e., the option) is taxed where the directorship is located, while any later capital appreciation is taxed according to the provisions governing capital gains. This prevents the same benefit from being taxed under different rules at different stages.</w:t>
      </w:r>
    </w:p>
    <w:p w:rsidR="00000000" w:rsidDel="00000000" w:rsidP="00000000" w:rsidRDefault="00000000" w:rsidRPr="00000000" w14:paraId="0000008C">
      <w:pPr>
        <w:pStyle w:val="Heading2"/>
        <w:numPr>
          <w:ilvl w:val="0"/>
          <w:numId w:val="8"/>
        </w:numPr>
        <w:spacing w:after="200" w:lineRule="auto"/>
        <w:ind w:left="360" w:hanging="360"/>
        <w:rPr>
          <w:rFonts w:ascii="Times New Roman" w:cs="Times New Roman" w:eastAsia="Times New Roman" w:hAnsi="Times New Roman"/>
          <w:b w:val="1"/>
          <w:color w:val="000000"/>
          <w:sz w:val="27"/>
          <w:szCs w:val="27"/>
        </w:rPr>
      </w:pPr>
      <w:bookmarkStart w:colFirst="0" w:colLast="0" w:name="_heading=h.28h4qwu" w:id="10"/>
      <w:bookmarkEnd w:id="10"/>
      <w:r w:rsidDel="00000000" w:rsidR="00000000" w:rsidRPr="00000000">
        <w:rPr>
          <w:rFonts w:ascii="Times New Roman" w:cs="Times New Roman" w:eastAsia="Times New Roman" w:hAnsi="Times New Roman"/>
          <w:b w:val="1"/>
          <w:color w:val="000000"/>
          <w:sz w:val="27"/>
          <w:szCs w:val="27"/>
          <w:rtl w:val="0"/>
        </w:rPr>
        <w:t xml:space="preserve">Directors’ Fees vs. Other Functions</w:t>
      </w:r>
    </w:p>
    <w:p w:rsidR="00000000" w:rsidDel="00000000" w:rsidP="00000000" w:rsidRDefault="00000000" w:rsidRPr="00000000" w14:paraId="0000008D">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Directors often hold multiple roles within a company, serving as employees, consultants, or advisors, in addition to their directorial functions. Article 16 focuses exclusively on remuneration for duties performed in the capacity of a board member. Any compensation paid for other roles, such as employment or consultancy services, is not covered by Article 16 and is instead subject to the rules in Article 15 (for employment income) or Article 7 (for business profits).</w:t>
      </w:r>
    </w:p>
    <w:p w:rsidR="00000000" w:rsidDel="00000000" w:rsidP="00000000" w:rsidRDefault="00000000" w:rsidRPr="00000000" w14:paraId="0000008E">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separation of roles is crucial for determining the proper taxation of directors' fees. For instance, if a director is also an employee, the portion of remuneration attributable to board duties will be taxed under Article 16, while the employment income will be taxed under Article 15. This differentiation ensures that the appropriate tax rules apply to each type of income, preventing confusion and potential double taxation.</w:t>
      </w:r>
    </w:p>
    <w:p w:rsidR="00000000" w:rsidDel="00000000" w:rsidP="00000000" w:rsidRDefault="00000000" w:rsidRPr="00000000" w14:paraId="0000008F">
      <w:pPr>
        <w:pStyle w:val="Heading2"/>
        <w:numPr>
          <w:ilvl w:val="0"/>
          <w:numId w:val="8"/>
        </w:numPr>
        <w:spacing w:after="200" w:lineRule="auto"/>
        <w:ind w:left="360" w:hanging="360"/>
        <w:rPr>
          <w:rFonts w:ascii="Times New Roman" w:cs="Times New Roman" w:eastAsia="Times New Roman" w:hAnsi="Times New Roman"/>
          <w:b w:val="1"/>
          <w:color w:val="000000"/>
          <w:sz w:val="27"/>
          <w:szCs w:val="27"/>
        </w:rPr>
      </w:pPr>
      <w:bookmarkStart w:colFirst="0" w:colLast="0" w:name="_heading=h.nmf14n" w:id="11"/>
      <w:bookmarkEnd w:id="11"/>
      <w:r w:rsidDel="00000000" w:rsidR="00000000" w:rsidRPr="00000000">
        <w:rPr>
          <w:rFonts w:ascii="Times New Roman" w:cs="Times New Roman" w:eastAsia="Times New Roman" w:hAnsi="Times New Roman"/>
          <w:b w:val="1"/>
          <w:color w:val="000000"/>
          <w:sz w:val="27"/>
          <w:szCs w:val="27"/>
          <w:rtl w:val="0"/>
        </w:rPr>
        <w:t xml:space="preserve">Benefits in Kind</w:t>
      </w:r>
    </w:p>
    <w:p w:rsidR="00000000" w:rsidDel="00000000" w:rsidP="00000000" w:rsidRDefault="00000000" w:rsidRPr="00000000" w14:paraId="00000090">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 "fees and other similar payments" has been widely interpreted to include benefits in kind, such as stock options, housing, company cars, and insurance coverage. These non-cash forms of remuneration are taxable under Article 16 as part of the director’s overall compensation package. The Commentary on Article 16 emphasizes the importance of including such benefits, as they represent a significant portion of directors' remuneration in many cases.</w:t>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comprehensive approach to remuneration ensures that tax authorities can effectively capture the full extent of a director’s compensation. Without this provision, directors might receive substantial benefits in kind that escape taxation in the state where the company is resident, leading to potential tax avoidance or underreporting of income.</w:t>
      </w:r>
    </w:p>
    <w:p w:rsidR="00000000" w:rsidDel="00000000" w:rsidP="00000000" w:rsidRDefault="00000000" w:rsidRPr="00000000" w14:paraId="00000092">
      <w:pPr>
        <w:pStyle w:val="Heading2"/>
        <w:numPr>
          <w:ilvl w:val="0"/>
          <w:numId w:val="8"/>
        </w:numPr>
        <w:spacing w:after="200" w:lineRule="auto"/>
        <w:ind w:left="360" w:hanging="360"/>
        <w:rPr>
          <w:rFonts w:ascii="Times New Roman" w:cs="Times New Roman" w:eastAsia="Times New Roman" w:hAnsi="Times New Roman"/>
          <w:b w:val="1"/>
          <w:color w:val="000000"/>
          <w:sz w:val="27"/>
          <w:szCs w:val="27"/>
        </w:rPr>
      </w:pPr>
      <w:bookmarkStart w:colFirst="0" w:colLast="0" w:name="_heading=h.37m2jsg" w:id="12"/>
      <w:bookmarkEnd w:id="12"/>
      <w:r w:rsidDel="00000000" w:rsidR="00000000" w:rsidRPr="00000000">
        <w:rPr>
          <w:rFonts w:ascii="Times New Roman" w:cs="Times New Roman" w:eastAsia="Times New Roman" w:hAnsi="Times New Roman"/>
          <w:b w:val="1"/>
          <w:color w:val="000000"/>
          <w:sz w:val="27"/>
          <w:szCs w:val="27"/>
          <w:rtl w:val="0"/>
        </w:rPr>
        <w:t xml:space="preserve">Similar Organs to Boards of Directors</w:t>
      </w:r>
    </w:p>
    <w:p w:rsidR="00000000" w:rsidDel="00000000" w:rsidP="00000000" w:rsidRDefault="00000000" w:rsidRPr="00000000" w14:paraId="00000093">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some jurisdictions, companies have governance structures that do not exactly match the traditional board of directors, yet they perform similar functions. For instance, supervisory boards or other bodies may exist that oversee the company’s management. Article 16 allows Contracting States to expand the scope of the article in their bilateral tax treaties to cover such analogous governance organs.</w:t>
      </w:r>
    </w:p>
    <w:p w:rsidR="00000000" w:rsidDel="00000000" w:rsidP="00000000" w:rsidRDefault="00000000" w:rsidRPr="00000000" w14:paraId="00000094">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flexibility is essential in recognizing the diversity of corporate governance structures across different legal systems. By allowing states to tailor their treaties to include similar organs, Article 16 accommodates variations in company law while still achieving its primary goal of clarifying taxing rights.</w:t>
      </w:r>
    </w:p>
    <w:p w:rsidR="00000000" w:rsidDel="00000000" w:rsidP="00000000" w:rsidRDefault="00000000" w:rsidRPr="00000000" w14:paraId="00000095">
      <w:pPr>
        <w:pStyle w:val="Heading2"/>
        <w:numPr>
          <w:ilvl w:val="0"/>
          <w:numId w:val="8"/>
        </w:numPr>
        <w:spacing w:after="200" w:lineRule="auto"/>
        <w:ind w:left="360" w:hanging="360"/>
        <w:rPr>
          <w:rFonts w:ascii="Times New Roman" w:cs="Times New Roman" w:eastAsia="Times New Roman" w:hAnsi="Times New Roman"/>
          <w:b w:val="1"/>
          <w:color w:val="000000"/>
          <w:sz w:val="27"/>
          <w:szCs w:val="27"/>
        </w:rPr>
      </w:pPr>
      <w:bookmarkStart w:colFirst="0" w:colLast="0" w:name="_heading=h.1mrcu09" w:id="13"/>
      <w:bookmarkEnd w:id="13"/>
      <w:r w:rsidDel="00000000" w:rsidR="00000000" w:rsidRPr="00000000">
        <w:rPr>
          <w:rFonts w:ascii="Times New Roman" w:cs="Times New Roman" w:eastAsia="Times New Roman" w:hAnsi="Times New Roman"/>
          <w:b w:val="1"/>
          <w:color w:val="000000"/>
          <w:sz w:val="27"/>
          <w:szCs w:val="27"/>
          <w:rtl w:val="0"/>
        </w:rPr>
        <w:t xml:space="preserve">Interaction with Article 13 (Capital Gains) and Article 15 (Employment Income)</w:t>
      </w:r>
    </w:p>
    <w:p w:rsidR="00000000" w:rsidDel="00000000" w:rsidP="00000000" w:rsidRDefault="00000000" w:rsidRPr="00000000" w14:paraId="00000096">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interaction between Article 16 and other articles of the OECD MTC is central to its interpretation and application. As discussed earlier, Article 16 applies to benefits derived from stock options before they are exercised, sold, or otherwise alienated. Once the stock option is exercised, the taxation of any subsequent gains falls under Article 13, which deals with capital gains.</w:t>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Article 16 is distinct from Article 15, which deals with employment income. Directors who also perform other roles, such as employees or consultants, are subject to taxation on those roles under Article 15. The clear separation between these articles ensures that each type of income is taxed according to its nature, preventing overlap and ensuring fair taxation across different categories of income.</w:t>
      </w:r>
    </w:p>
    <w:p w:rsidR="00000000" w:rsidDel="00000000" w:rsidP="00000000" w:rsidRDefault="00000000" w:rsidRPr="00000000" w14:paraId="00000098">
      <w:pPr>
        <w:pStyle w:val="Heading2"/>
        <w:numPr>
          <w:ilvl w:val="0"/>
          <w:numId w:val="8"/>
        </w:numPr>
        <w:ind w:left="360" w:hanging="360"/>
        <w:rPr>
          <w:rFonts w:ascii="Times New Roman" w:cs="Times New Roman" w:eastAsia="Times New Roman" w:hAnsi="Times New Roman"/>
          <w:b w:val="1"/>
          <w:color w:val="000000"/>
          <w:sz w:val="27"/>
          <w:szCs w:val="27"/>
        </w:rPr>
      </w:pPr>
      <w:bookmarkStart w:colFirst="0" w:colLast="0" w:name="_heading=h.46r0co2" w:id="14"/>
      <w:bookmarkEnd w:id="14"/>
      <w:r w:rsidDel="00000000" w:rsidR="00000000" w:rsidRPr="00000000">
        <w:rPr>
          <w:rFonts w:ascii="Times New Roman" w:cs="Times New Roman" w:eastAsia="Times New Roman" w:hAnsi="Times New Roman"/>
          <w:b w:val="1"/>
          <w:color w:val="000000"/>
          <w:sz w:val="27"/>
          <w:szCs w:val="27"/>
          <w:rtl w:val="0"/>
        </w:rPr>
        <w:t xml:space="preserve">Challenges and Criticisms</w:t>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challenge with Article 16 is the potential for double taxation, particularly when directors receive remuneration for multiple roles. If the dividing line between a director’s fee and employment income is not clearly drawn, disputes could arise between tax authorities, leading to double taxation or under-taxation.</w:t>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criticism revolves around the taxation of stock options. The timing of taxation can create complexities, especially if the stock options are taxed when they are exercised but their value fluctuates significantly afterward. This could lead to situations where a director is taxed on an option that ultimately provides little or no economic benefit.</w:t>
      </w:r>
    </w:p>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the distinction between benefits derived from stock options and capital gains on shares acquired through the exercise of those options can be difficult to apply in practice. Tax authorities must carefully monitor the exercise of stock options and the subsequent sale of shares to ensure the correct tax treatment under both Article 16 and Article 13.</w:t>
      </w:r>
    </w:p>
    <w:p w:rsidR="00000000" w:rsidDel="00000000" w:rsidP="00000000" w:rsidRDefault="00000000" w:rsidRPr="00000000" w14:paraId="0000009C">
      <w:pPr>
        <w:pStyle w:val="Heading2"/>
        <w:numPr>
          <w:ilvl w:val="0"/>
          <w:numId w:val="8"/>
        </w:numPr>
        <w:spacing w:after="200" w:lineRule="auto"/>
        <w:ind w:left="360" w:hanging="360"/>
        <w:rPr>
          <w:rFonts w:ascii="Times New Roman" w:cs="Times New Roman" w:eastAsia="Times New Roman" w:hAnsi="Times New Roman"/>
          <w:b w:val="1"/>
          <w:color w:val="000000"/>
          <w:sz w:val="27"/>
          <w:szCs w:val="27"/>
        </w:rPr>
      </w:pPr>
      <w:bookmarkStart w:colFirst="0" w:colLast="0" w:name="_heading=h.2lwamvv" w:id="15"/>
      <w:bookmarkEnd w:id="15"/>
      <w:r w:rsidDel="00000000" w:rsidR="00000000" w:rsidRPr="00000000">
        <w:rPr>
          <w:rFonts w:ascii="Times New Roman" w:cs="Times New Roman" w:eastAsia="Times New Roman" w:hAnsi="Times New Roman"/>
          <w:b w:val="1"/>
          <w:color w:val="000000"/>
          <w:sz w:val="27"/>
          <w:szCs w:val="27"/>
          <w:rtl w:val="0"/>
        </w:rPr>
        <w:t xml:space="preserve">Comparison of Article 16 of the OECD MTC (2017) and UN MTC (2021)</w:t>
      </w:r>
    </w:p>
    <w:p w:rsidR="00000000" w:rsidDel="00000000" w:rsidP="00000000" w:rsidRDefault="00000000" w:rsidRPr="00000000" w14:paraId="0000009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General Structure and Focus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59"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OECD Model Tax Convention (MTC) and the UN Model Tax Convention (MTC) differ in their overall structure and focus in Article 16. In the OECD MTC, Article 16 is solely concerned with the taxation of directors’ fees and other similar payments. This provision specifically addresses income derived by a resident of one Contracting State in their capacity as a member of the board of directors of a company resident in the other Contracting State. By contrast, Article 16 of the UN MTC has a broader scope. In addition to directors’ fees, it includes a separate paragraph addressing the taxation of remuneration for top-level managerial officials. This distinction underscores the UN MTC’s intent to expand taxing rights in areas that are particularly relevant to developing countries, where the taxation of top-level managerial remuneration may hold greater significance for domestic revenue mobilization.</w:t>
      </w:r>
    </w:p>
    <w:p w:rsidR="00000000" w:rsidDel="00000000" w:rsidP="00000000" w:rsidRDefault="00000000" w:rsidRPr="00000000" w14:paraId="0000009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16 (1): Directors’ Fees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59"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OECD MTC and the UN MTC share identical language and principles regarding the taxation of directors’ fees. </w:t>
      </w:r>
    </w:p>
    <w:p w:rsidR="00000000" w:rsidDel="00000000" w:rsidP="00000000" w:rsidRDefault="00000000" w:rsidRPr="00000000" w14:paraId="000000A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200" w:line="259" w:lineRule="auto"/>
        <w:ind w:left="36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16 (2): Top-Level Managerial Officials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59"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 significant distinction between the two conventions emerges in Paragraph 2 of Article 16 in the UN MTC, which does not have an equivalent in the OECD MTC. Paragraph 2 of the UN MTC provides that salaries, wages, and other similar remuneration derived by a resident of one Contracting State in their capacity as an official in a top-level managerial position of a company resident in the other Contracting State may be taxed in the State of the company’s residence. This provision is notable because it extends the scope of Article 16 to include managerial remuneration, explicitly allowing the company’s State of residence to tax such income.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259"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 contrast, the OECD MTC does not address remuneration for top-level managerial officials within Article 16. Instead, such payments would typically fall under the broader provisions of Article 15, which deals with income from employment. This reliance on Article 15 in the OECD MTC creates a less targeted approach to taxing managerial remuneration compared to the explicit provision in the UN MTC. </w:t>
      </w:r>
    </w:p>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pStyle w:val="Heading1"/>
        <w:rPr>
          <w:rFonts w:ascii="Times New Roman" w:cs="Times New Roman" w:eastAsia="Times New Roman" w:hAnsi="Times New Roman"/>
        </w:rPr>
      </w:pPr>
      <w:bookmarkStart w:colFirst="0" w:colLast="0" w:name="_heading=h.111kx3o" w:id="16"/>
      <w:bookmarkEnd w:id="16"/>
      <w:r w:rsidDel="00000000" w:rsidR="00000000" w:rsidRPr="00000000">
        <w:rPr>
          <w:rtl w:val="0"/>
        </w:rPr>
        <w:t xml:space="preserve">J.3. ENTERTAINERS AND SPORTSPERSONS – ARTICLE 17, OECD and UN MTC</w:t>
      </w: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17 of the OECD Model Tax Convention (MTC) addresses the taxation of income earned by entertainers and sportspersons from their international activities. The article is designed to ensure that such individuals are taxed in the countries where they perform, regardless of whether they receive payment directly or indirectly through intermediaries such as agents or corporate entities. The special provision recognizes the unique mobility of this group and the potential for tax avoidance if standard business and employment income rules were applied. This analysis explores the background, structure, and application of Article 17, focusing on the scope of its provisions, income sources covered, and key issues related to its implementation.</w:t>
      </w:r>
    </w:p>
    <w:p w:rsidR="00000000" w:rsidDel="00000000" w:rsidP="00000000" w:rsidRDefault="00000000" w:rsidRPr="00000000" w14:paraId="000000B8">
      <w:pPr>
        <w:pStyle w:val="Heading2"/>
        <w:numPr>
          <w:ilvl w:val="0"/>
          <w:numId w:val="9"/>
        </w:numPr>
        <w:spacing w:after="120" w:before="240" w:lineRule="auto"/>
        <w:ind w:left="357" w:hanging="357"/>
        <w:rPr>
          <w:rFonts w:ascii="Times New Roman" w:cs="Times New Roman" w:eastAsia="Times New Roman" w:hAnsi="Times New Roman"/>
          <w:b w:val="1"/>
          <w:color w:val="000000"/>
          <w:sz w:val="27"/>
          <w:szCs w:val="27"/>
        </w:rPr>
      </w:pPr>
      <w:bookmarkStart w:colFirst="0" w:colLast="0" w:name="_heading=h.3l18frh" w:id="17"/>
      <w:bookmarkEnd w:id="17"/>
      <w:r w:rsidDel="00000000" w:rsidR="00000000" w:rsidRPr="00000000">
        <w:rPr>
          <w:rFonts w:ascii="Times New Roman" w:cs="Times New Roman" w:eastAsia="Times New Roman" w:hAnsi="Times New Roman"/>
          <w:b w:val="1"/>
          <w:color w:val="000000"/>
          <w:sz w:val="27"/>
          <w:szCs w:val="27"/>
          <w:rtl w:val="0"/>
        </w:rPr>
        <w:t xml:space="preserve">Background</w:t>
      </w:r>
    </w:p>
    <w:p w:rsidR="00000000" w:rsidDel="00000000" w:rsidP="00000000" w:rsidRDefault="00000000" w:rsidRPr="00000000" w14:paraId="000000B9">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160" w:before="200" w:line="259" w:lineRule="auto"/>
        <w:ind w:left="357" w:right="0" w:hanging="357"/>
        <w:jc w:val="both"/>
        <w:rPr>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Purpose of Article 17</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purpose of Article 17 is to allocate taxing rights to the state where the entertainer or sportsperson performs, rather than the state of residence or the location of the payer. This addresses the challenge posed by highly mobile entertainers and athletes, who often perform in numerous countries within a given year, creating opportunities for tax planning and avoidance. Without this provision, they could potentially minimize or avoid taxation by performing in one country while arranging for payment in another jurisdiction, often one with a lower tax rate or no tax at all.</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By introducing a specific article that overrides general provisions related to business profits (Article 7) and employment income (Article 15), Article 17 ensures that income is taxed where the activities that generate the income occur. This prevents revenue loss for the countries that host performances or sporting events, ensuring they capture their fair share  of tax from activities taking place within their borders.</w:t>
      </w:r>
    </w:p>
    <w:p w:rsidR="00000000" w:rsidDel="00000000" w:rsidP="00000000" w:rsidRDefault="00000000" w:rsidRPr="00000000" w14:paraId="000000BC">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160" w:before="200" w:line="259" w:lineRule="auto"/>
        <w:ind w:left="357" w:right="0" w:hanging="357"/>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Structure</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Article 17 is divided into two main parts:</w:t>
      </w:r>
      <w:r w:rsidDel="00000000" w:rsidR="00000000" w:rsidRPr="00000000">
        <w:rPr>
          <w:rtl w:val="0"/>
        </w:rPr>
      </w:r>
    </w:p>
    <w:p w:rsidR="00000000" w:rsidDel="00000000" w:rsidP="00000000" w:rsidRDefault="00000000" w:rsidRPr="00000000" w14:paraId="000000BE">
      <w:pPr>
        <w:numPr>
          <w:ilvl w:val="0"/>
          <w:numId w:val="23"/>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Article 17(1)</w:t>
      </w:r>
      <w:r w:rsidDel="00000000" w:rsidR="00000000" w:rsidRPr="00000000">
        <w:rPr>
          <w:rFonts w:ascii="Times New Roman" w:cs="Times New Roman" w:eastAsia="Times New Roman" w:hAnsi="Times New Roman"/>
          <w:sz w:val="24"/>
          <w:szCs w:val="24"/>
          <w:rtl w:val="0"/>
        </w:rPr>
        <w:t xml:space="preserve">: This paragraph outlines the source state's right to tax income earned by entertainers and sportspersons from personal activities conducted in that state, including payments received directly or through agents.</w:t>
      </w:r>
    </w:p>
    <w:p w:rsidR="00000000" w:rsidDel="00000000" w:rsidP="00000000" w:rsidRDefault="00000000" w:rsidRPr="00000000" w14:paraId="000000BF">
      <w:pPr>
        <w:numPr>
          <w:ilvl w:val="0"/>
          <w:numId w:val="23"/>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Article 17(2)</w:t>
      </w:r>
      <w:r w:rsidDel="00000000" w:rsidR="00000000" w:rsidRPr="00000000">
        <w:rPr>
          <w:rFonts w:ascii="Times New Roman" w:cs="Times New Roman" w:eastAsia="Times New Roman" w:hAnsi="Times New Roman"/>
          <w:sz w:val="24"/>
          <w:szCs w:val="24"/>
          <w:rtl w:val="0"/>
        </w:rPr>
        <w:t xml:space="preserve">: This paragraph extends the taxation rights to include income paid to third parties, such as agents or companies, on behalf of entertainers or sportspersons, ensuring that intermediary structures cannot be used to avoid tax.</w:t>
      </w:r>
    </w:p>
    <w:p w:rsidR="00000000" w:rsidDel="00000000" w:rsidP="00000000" w:rsidRDefault="00000000" w:rsidRPr="00000000" w14:paraId="000000C0">
      <w:pPr>
        <w:pStyle w:val="Heading2"/>
        <w:numPr>
          <w:ilvl w:val="0"/>
          <w:numId w:val="9"/>
        </w:numPr>
        <w:spacing w:after="120" w:before="240" w:lineRule="auto"/>
        <w:ind w:left="357" w:hanging="357"/>
        <w:rPr>
          <w:rFonts w:ascii="Times New Roman" w:cs="Times New Roman" w:eastAsia="Times New Roman" w:hAnsi="Times New Roman"/>
          <w:b w:val="1"/>
          <w:color w:val="000000"/>
          <w:sz w:val="27"/>
          <w:szCs w:val="27"/>
        </w:rPr>
      </w:pPr>
      <w:bookmarkStart w:colFirst="0" w:colLast="0" w:name="_heading=h.206ipza" w:id="18"/>
      <w:bookmarkEnd w:id="18"/>
      <w:r w:rsidDel="00000000" w:rsidR="00000000" w:rsidRPr="00000000">
        <w:rPr>
          <w:rFonts w:ascii="Times New Roman" w:cs="Times New Roman" w:eastAsia="Times New Roman" w:hAnsi="Times New Roman"/>
          <w:b w:val="1"/>
          <w:color w:val="000000"/>
          <w:sz w:val="27"/>
          <w:szCs w:val="27"/>
          <w:rtl w:val="0"/>
        </w:rPr>
        <w:t xml:space="preserve">Article 17 (1)</w:t>
      </w:r>
    </w:p>
    <w:p w:rsidR="00000000" w:rsidDel="00000000" w:rsidP="00000000" w:rsidRDefault="00000000" w:rsidRPr="00000000" w14:paraId="000000C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60" w:before="0" w:line="259" w:lineRule="auto"/>
        <w:ind w:left="357" w:right="0" w:hanging="357"/>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Scope</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Article 17(1) grants the state where the entertainer or sportsperson performs the right to tax income derived from personal activities conducted within its territory. This overrides Articles 7 and 15, which typically allocate taxing rights based on the residence of the individual or the employer. By making this exception, Article 17(1) ensures that the country hosting the performance or event can tax the income derived from it, preventing the entertainer or athlete from reporting the income solely in their country of residence.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This rule applies regardless of whether the entertainer or sportsperson is self-employed, an employee, or engaged under a contractual agreement. The key criterion is that the income is connected to their personal performance in the source state.</w:t>
      </w:r>
    </w:p>
    <w:p w:rsidR="00000000" w:rsidDel="00000000" w:rsidP="00000000" w:rsidRDefault="00000000" w:rsidRPr="00000000" w14:paraId="000000C4">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60" w:before="40" w:line="259" w:lineRule="auto"/>
        <w:ind w:left="357" w:right="0" w:hanging="357"/>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Activities Covered</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scope of activities covered by Article 17(1) is broad and includes any form of performance or participation in entertainment or sports events. Examples include performances by actors, musicians, dancers, and entertainers, as well as participation by athletes in sporting events such as competitions, matches, or exhibitions.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 addition to traditional forms of entertainment and sports, Article 17(1) can apply to other public appearances that generate income for the performer or athlete, such as promotional events, guest appearances on television, or participation in reality shows. Essentially, any activity in which the individual is paid for their personal performance or participation is covered.</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60" w:before="40" w:line="259" w:lineRule="auto"/>
        <w:ind w:left="357" w:right="0" w:hanging="357"/>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Application to Income Directly and Indirectly Derived</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One of the key features of Article 17(1) is that it applies not only to income directly earned by the entertainer or sportsperson but also to income indirectly derived from their activities. This includes payments received through intermediaries such as agents, managers, or corporations. For example, if an entertainer is paid through their agent or if an athlete receives income via a management company, the source country still has the right to tax the income as though it had been paid directly to the individual.</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This provision ensures that entertainers and athletes cannot avoid tax in the source country by diverting income through third parties or intermediary structures. Regardless of the payment mechanism, the income is deemed to have been derived from the individual’s performance in the source country, and it is subject to tax there.</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60" w:before="40" w:line="259" w:lineRule="auto"/>
        <w:ind w:left="357" w:right="0" w:hanging="357"/>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Royalties, Sponsorships, and Advertising Fees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 addition to direct performance fees and prize money, entertainers and sportspersons often earn income from other sources such as royalties, sponsorships, and advertising fees. Article 17(1) encompasses these additional streams of income, provided they are connected to the individual’s personal activities in the source country.</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For example, an athlete might receive endorsement income from a company contingent on their participation in a particular sporting event. Similarly, a musician might earn royalties for songs performed during a concert tour. In such cases, the income is taxable in the source country if it is directly or indirectly linked to the individual’s performance.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By including royalties, sponsorships, and advertising fees, Article 17(1) prevents entertainers and sportspersons from escaping taxation on substantial portions of their earnings, which might otherwise be attributed to contracts or activities outside the source country.</w:t>
      </w:r>
    </w:p>
    <w:p w:rsidR="00000000" w:rsidDel="00000000" w:rsidP="00000000" w:rsidRDefault="00000000" w:rsidRPr="00000000" w14:paraId="000000CE">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60" w:before="40" w:line="259" w:lineRule="auto"/>
        <w:ind w:left="357" w:right="0" w:hanging="357"/>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Activities Exercised in Different States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 notable challenge arises when entertainers or sportspersons conduct activities in multiple countries. For instance, an international concert tour or a multi-country sports tournament involves performances or events in several different states. In such cases, Article 17(1) requires an allocation of income among the different states where the activities are performed.</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allocation is typically based on factors such as the number of days spent performing in each state or the revenue generated from each state. This ensures that each state can tax its fair share of the income earned from activities conducted within its borders. However, this can sometimes lead to complexities in determining the appropriate allocation, especially when income is derived from contracts that cover multiple performances or events across different countries.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60" w:before="40" w:line="259" w:lineRule="auto"/>
        <w:ind w:left="357" w:right="0" w:hanging="357"/>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States May Use an Alternative Provision for Low Income</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Recognizing that taxing entertainers and athletes with low income from performances or events in their jurisdiction may be administratively burdensome, the OECD MTC allows states to use an alternative provision. Under this option, a country may choose not to apply Article 17 to entertainers or sportspersons whose income from activities within its borders falls below a certain threshold.</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This flexibility is particularly useful for smaller performances or amateur events where the revenue generated is minimal. By introducing such a provision, the OECD ensures that tax authorities can focus their resources on more substantial tax cases while reducing the compliance burden on lower-income entertainers and athletes.</w:t>
      </w:r>
      <w:r w:rsidDel="00000000" w:rsidR="00000000" w:rsidRPr="00000000">
        <w:rPr>
          <w:rtl w:val="0"/>
        </w:rPr>
      </w:r>
    </w:p>
    <w:p w:rsidR="00000000" w:rsidDel="00000000" w:rsidP="00000000" w:rsidRDefault="00000000" w:rsidRPr="00000000" w14:paraId="000000D4">
      <w:pPr>
        <w:pStyle w:val="Heading2"/>
        <w:numPr>
          <w:ilvl w:val="0"/>
          <w:numId w:val="9"/>
        </w:numPr>
        <w:spacing w:after="120" w:before="240" w:lineRule="auto"/>
        <w:ind w:left="357" w:hanging="357"/>
        <w:rPr>
          <w:rFonts w:ascii="Times New Roman" w:cs="Times New Roman" w:eastAsia="Times New Roman" w:hAnsi="Times New Roman"/>
          <w:b w:val="1"/>
          <w:color w:val="000000"/>
          <w:sz w:val="27"/>
          <w:szCs w:val="27"/>
        </w:rPr>
      </w:pPr>
      <w:bookmarkStart w:colFirst="0" w:colLast="0" w:name="_heading=h.4k668n3" w:id="19"/>
      <w:bookmarkEnd w:id="19"/>
      <w:r w:rsidDel="00000000" w:rsidR="00000000" w:rsidRPr="00000000">
        <w:rPr>
          <w:rFonts w:ascii="Times New Roman" w:cs="Times New Roman" w:eastAsia="Times New Roman" w:hAnsi="Times New Roman"/>
          <w:b w:val="1"/>
          <w:color w:val="000000"/>
          <w:sz w:val="27"/>
          <w:szCs w:val="27"/>
          <w:rtl w:val="0"/>
        </w:rPr>
        <w:t xml:space="preserve">Article 17 (2)</w:t>
      </w:r>
    </w:p>
    <w:p w:rsidR="00000000" w:rsidDel="00000000" w:rsidP="00000000" w:rsidRDefault="00000000" w:rsidRPr="00000000" w14:paraId="000000D5">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60" w:before="200" w:line="259" w:lineRule="auto"/>
        <w:ind w:left="357" w:right="0" w:hanging="357"/>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Scope</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Article 17(2) extends the scope of taxation under Article 17(1) by allowing the source state to tax income paid to third parties, such as agents, managers, or corporations, that act on behalf of entertainers and sportspersons. This provision is designed to counter tax avoidance strategies where the income is routed through intermediaries or entities in low-tax jurisdictions to minimize or avoid tax in the source country.</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Under Article 17(2), the source country has the right to tax income even if it is not paid directly to the entertainer or sportsperson. For example, if a concert promoter pays a management company that represents a musician, the income is still taxable in the country where the performance took place, even though the payment was made to a third party.</w:t>
      </w:r>
    </w:p>
    <w:p w:rsidR="00000000" w:rsidDel="00000000" w:rsidP="00000000" w:rsidRDefault="00000000" w:rsidRPr="00000000" w14:paraId="000000D8">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60" w:before="40" w:line="259" w:lineRule="auto"/>
        <w:ind w:left="357" w:right="0" w:hanging="357"/>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Unrestricted by Article 7 and Other Provisions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Like Article 17(1), Article 17(2) overrides the general provisions of Article 7 (Business Profits) and other related articles of the OECD MTC. This ensures that intermediary entities such as management companies or service corporations cannot claim that the income is business profits, subject only to tax in their country of residence, rather than the country where the performance or event took place.</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By allowing the source state to tax income paid to third parties, Article 17(2) prevents entertainers and sportspersons from using corporate structures to shield their income from taxation in the countries where they perform.</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60" w:before="40" w:line="259" w:lineRule="auto"/>
        <w:ind w:left="357" w:right="0" w:hanging="357"/>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Domestic Anti-Avoidance Rules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Many countries have introduced domestic anti-avoidance rules to reinforce the application of Article 17(2). These rules are designed to prevent entertainers and sportspersons from using intermediary entities, such as personal service companies, to avoid tax on income earned from their performances or activities.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For example, if an entertainer sets up a personal corporation in a low-tax jurisdiction and routes their performance income through that corporation, domestic anti-avoidance rules may allow the source country to disregard the intermediary structure and tax the income as though it had been paid directly to the entertainer.</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60" w:before="40" w:line="259" w:lineRule="auto"/>
        <w:ind w:left="357" w:right="0" w:hanging="357"/>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Income Covered</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Article 17(2) applies to all types of income paid to third parties, including management fees, commissions, and payments made to service companies. As long as the income is related to the personal activities of the entertainer or sportsperson in the source country, it is subject to tax under Article 17(2).</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60" w:before="40" w:line="259" w:lineRule="auto"/>
        <w:ind w:left="357" w:right="0" w:hanging="357"/>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Possible Overlap between Article 17(1) and Article 17(2)</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There may be instances where both Article 17(1) and Article 17(2) apply simultaneously. For example, if an entertainer is paid both directly for their performance and indirectly through a management company, the source state could potentially tax both types of income. In such cases, it is important to ensure that the taxpayer is not subject to double taxation.</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Tax treaties often include provisions to resolve such overlaps, typically by crediting taxes paid under one provision against taxes due under the other. This ensures that while the income is fully taxed, the taxpayer does not pay tax twice on the same income.</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60" w:before="200" w:line="259" w:lineRule="auto"/>
        <w:ind w:left="357" w:right="0" w:hanging="357"/>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Additional Considerations Relating to Article 17 (1) and 17 (2)</w:t>
      </w:r>
    </w:p>
    <w:p w:rsidR="00000000" w:rsidDel="00000000" w:rsidP="00000000" w:rsidRDefault="00000000" w:rsidRPr="00000000" w14:paraId="000000E4">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160" w:line="259" w:lineRule="auto"/>
        <w:ind w:left="720" w:right="0" w:hanging="720"/>
        <w:jc w:val="both"/>
        <w:rPr>
          <w:rFonts w:ascii="Times New Roman" w:cs="Times New Roman" w:eastAsia="Times New Roman" w:hAnsi="Times New Roman"/>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Potential Double Non-Taxation</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 concern with the application of Article 17 is the risk of double non-taxation, which can occur when neither the source country nor the residence country taxes the income. This may arise if the source country chooses not to tax the income and the residence country exempts it under a tax treaty.</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To mitigate this risk, countries may include provisions in their tax treaties to ensure that at least one jurisdiction has the right to tax the income. Such provisions can prevent entertainers and sportspersons from taking advantage of mismatches in the tax rules of different countries to avoid tax altogether.</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Interaction with Article 19</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Another potential issue is the interaction between Article 17 and Article 19, which deals with government service income. In some cases, entertainers or athletes may perform services for a foreign government, such as participating in a government-sponsored cultural event or competition. Article 19 may exempt such income from taxation in the source country, even if it would otherwise be taxable under Article 17.</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Determining which article applies in a given case depends on the specific facts of the situation, including the nature of the performance and the terms of the agreement with the government entity. Careful analysis is needed to ensure the correct application of the treaty provisions.</w:t>
      </w:r>
    </w:p>
    <w:p w:rsidR="00000000" w:rsidDel="00000000" w:rsidP="00000000" w:rsidRDefault="00000000" w:rsidRPr="00000000" w14:paraId="000000EA">
      <w:pPr>
        <w:pStyle w:val="Heading2"/>
        <w:numPr>
          <w:ilvl w:val="0"/>
          <w:numId w:val="9"/>
        </w:numPr>
        <w:spacing w:after="120" w:before="240" w:lineRule="auto"/>
        <w:ind w:left="357" w:hanging="357"/>
        <w:rPr>
          <w:rFonts w:ascii="Times New Roman" w:cs="Times New Roman" w:eastAsia="Times New Roman" w:hAnsi="Times New Roman"/>
          <w:b w:val="1"/>
          <w:color w:val="000000"/>
          <w:sz w:val="27"/>
          <w:szCs w:val="27"/>
        </w:rPr>
      </w:pPr>
      <w:bookmarkStart w:colFirst="0" w:colLast="0" w:name="_heading=h.2zbgiuw" w:id="20"/>
      <w:bookmarkEnd w:id="20"/>
      <w:r w:rsidDel="00000000" w:rsidR="00000000" w:rsidRPr="00000000">
        <w:rPr>
          <w:rFonts w:ascii="Times New Roman" w:cs="Times New Roman" w:eastAsia="Times New Roman" w:hAnsi="Times New Roman"/>
          <w:b w:val="1"/>
          <w:color w:val="000000"/>
          <w:sz w:val="27"/>
          <w:szCs w:val="27"/>
          <w:rtl w:val="0"/>
        </w:rPr>
        <w:t xml:space="preserve">Comparison of Article 17 of the OECD MTC (2017) and UN MTC (2021)</w:t>
      </w:r>
    </w:p>
    <w:p w:rsidR="00000000" w:rsidDel="00000000" w:rsidP="00000000" w:rsidRDefault="00000000" w:rsidRPr="00000000" w14:paraId="000000E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200" w:line="259" w:lineRule="auto"/>
        <w:ind w:left="36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17 (1) </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primary distinction between the two conventions lies in the scope of the override of other Articles. The OECD MTC specifies that this rule overrides Article 15, which deals with dependent personal services. In contrast, the UN MTC explicitly overrides both Articles 14 and 15. By including Article 14 in addition to Article 15, the UN MTC ensures broader applicability, capturing both dependent and independent personal activities of entertainers and sportspersons.</w:t>
      </w:r>
    </w:p>
    <w:p w:rsidR="00000000" w:rsidDel="00000000" w:rsidP="00000000" w:rsidRDefault="00000000" w:rsidRPr="00000000" w14:paraId="000000E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17 (2)</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OECD MTC restricts its override to Article 15, addressing only income from dependent personal services. This means that if the income could be classified as business profits under Article 7, it might escape taxation in the State where the activities occur.</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UN MTC, however, broadens this override to include Articles 7, 14, and 15. By referencing Article 7, the UN MTC ensures that income accruing to another entity cannot avoid taxation by being categorized as business profits. Similarly, the inclusion of Article 14 prevents income from being excluded under the guise of independent personal services. </w:t>
      </w:r>
    </w:p>
    <w:p w:rsidR="00000000" w:rsidDel="00000000" w:rsidP="00000000" w:rsidRDefault="00000000" w:rsidRPr="00000000" w14:paraId="000000F0">
      <w:pPr>
        <w:spacing w:before="200" w:lineRule="auto"/>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F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pStyle w:val="Heading1"/>
        <w:rPr/>
        <w:sectPr>
          <w:type w:val="nextPage"/>
          <w:pgSz w:h="16838" w:w="11906" w:orient="portrait"/>
          <w:pgMar w:bottom="1440" w:top="1440" w:left="1440" w:right="1440" w:header="708" w:footer="708"/>
        </w:sectPr>
      </w:pPr>
      <w:bookmarkStart w:colFirst="0" w:colLast="0" w:name="_heading=h.s8k47mfrvquv" w:id="21"/>
      <w:bookmarkEnd w:id="21"/>
      <w:r w:rsidDel="00000000" w:rsidR="00000000" w:rsidRPr="00000000">
        <w:rPr>
          <w:rtl w:val="0"/>
        </w:rPr>
      </w:r>
    </w:p>
    <w:p w:rsidR="00000000" w:rsidDel="00000000" w:rsidP="00000000" w:rsidRDefault="00000000" w:rsidRPr="00000000" w14:paraId="00000100">
      <w:pPr>
        <w:pStyle w:val="Heading1"/>
        <w:rPr/>
      </w:pPr>
      <w:bookmarkStart w:colFirst="0" w:colLast="0" w:name="_heading=h.1egqt2p" w:id="22"/>
      <w:bookmarkEnd w:id="22"/>
      <w:r w:rsidDel="00000000" w:rsidR="00000000" w:rsidRPr="00000000">
        <w:rPr>
          <w:rtl w:val="0"/>
        </w:rPr>
        <w:t xml:space="preserve">J.4. PENSIONS – ARTICLE 18, OECD and UN MTC</w:t>
      </w:r>
    </w:p>
    <w:p w:rsidR="00000000" w:rsidDel="00000000" w:rsidP="00000000" w:rsidRDefault="00000000" w:rsidRPr="00000000" w14:paraId="000001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taxation of pensions under Article 18 of the OECD Model Tax Convention (MTC) raises complex cross-border issues. This critical analysis will focus on the scope of the article, the challenges arising from globalisation and differences in tax policies across countries, allocation of taxing rights, alternative provisions, and specific concerns like exempt pensions and the treatment of social security schemes.</w:t>
      </w:r>
    </w:p>
    <w:p w:rsidR="00000000" w:rsidDel="00000000" w:rsidP="00000000" w:rsidRDefault="00000000" w:rsidRPr="00000000" w14:paraId="00000102">
      <w:pPr>
        <w:pStyle w:val="Heading2"/>
        <w:numPr>
          <w:ilvl w:val="0"/>
          <w:numId w:val="14"/>
        </w:numPr>
        <w:ind w:left="90" w:firstLine="15"/>
        <w:jc w:val="both"/>
        <w:rPr/>
      </w:pPr>
      <w:bookmarkStart w:colFirst="0" w:colLast="0" w:name="_heading=h.3ygebqi" w:id="23"/>
      <w:bookmarkEnd w:id="23"/>
      <w:r w:rsidDel="00000000" w:rsidR="00000000" w:rsidRPr="00000000">
        <w:rPr>
          <w:rtl w:val="0"/>
        </w:rPr>
        <w:t xml:space="preserve">Scope of Article 18: Payments Covered and the Term "Other Similar Remuneration"</w:t>
      </w:r>
    </w:p>
    <w:p w:rsidR="00000000" w:rsidDel="00000000" w:rsidP="00000000" w:rsidRDefault="00000000" w:rsidRPr="00000000" w14:paraId="00000103">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Payments Covered</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Article 18 of the OECD MTC states that pensions and other similar remuneration paid to a resident of a contracting state, in consideration of past employment, are only taxable in the state of residence. The broad language used in this provision encompasses various types of pension payments, including statutory social security pensions, private pension schemes, and occupational pensions.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scope includes not only pensions but also "other similar remuneration." This term is meant to cover payments that are not technically pensions but serve a similar function, such as annuities or deferred compensation, provided they are made in consideration of past employment. The intent is to capture a wide range of retirement income to prevent tax avoidance through the structuring of retirement benefits in forms other than pensions.</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Broad Scope of the Term "Other Similar Remuneration"</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term "other similar remuneration" reflects the flexibility of Article 18 to include various forms of income that resemble pensions in nature. This broad scope ensures that diverse pension structures and retirement benefits, which may differ from country to country, are taxed consistently. For example, lump-sum retirement payments, end-of-service gratuities, or deferred bonuses may fall under this provision. This flexibility is important given the diversity in retirement systems and employment compensation globally.</w:t>
      </w:r>
      <w:r w:rsidDel="00000000" w:rsidR="00000000" w:rsidRPr="00000000">
        <w:rPr>
          <w:rtl w:val="0"/>
        </w:rPr>
      </w:r>
    </w:p>
    <w:p w:rsidR="00000000" w:rsidDel="00000000" w:rsidP="00000000" w:rsidRDefault="00000000" w:rsidRPr="00000000" w14:paraId="00000108">
      <w:pPr>
        <w:pStyle w:val="Heading2"/>
        <w:numPr>
          <w:ilvl w:val="0"/>
          <w:numId w:val="14"/>
        </w:numPr>
        <w:ind w:left="90" w:firstLine="15"/>
        <w:jc w:val="both"/>
        <w:rPr/>
      </w:pPr>
      <w:bookmarkStart w:colFirst="0" w:colLast="0" w:name="_heading=h.2dlolyb" w:id="24"/>
      <w:bookmarkEnd w:id="24"/>
      <w:r w:rsidDel="00000000" w:rsidR="00000000" w:rsidRPr="00000000">
        <w:rPr>
          <w:rtl w:val="0"/>
        </w:rPr>
        <w:t xml:space="preserve">Cross-Border Issues Relating to Pensions</w:t>
      </w:r>
    </w:p>
    <w:p w:rsidR="00000000" w:rsidDel="00000000" w:rsidP="00000000" w:rsidRDefault="00000000" w:rsidRPr="00000000" w14:paraId="00000109">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Globalisation and Increased Mobility</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Increased globalisation and mobility of workers have created challenges in determining the appropriate tax treatment of pension income. More individuals are working in multiple jurisdictions during their careers and may retire in a different country from where they earned their pension benefits. This raises complex questions of which state should have the right to tax pension payments – the state where the pension was earned, or the state where the individual now resides.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For instance, a person may spend their working life in a high-tax country, contributing to a pension system, but retire in a low-tax jurisdiction. The potential for double taxation, or conversely, double non-taxation, arises as a result of differing national tax policies and the provisions in double tax treaties.</w:t>
      </w:r>
    </w:p>
    <w:p w:rsidR="00000000" w:rsidDel="00000000" w:rsidP="00000000" w:rsidRDefault="00000000" w:rsidRPr="00000000" w14:paraId="0000010C">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Differences in States' Tax Policies</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Different states have different approaches to taxing pensions, and these differences can lead to tax policy mismatches. Some states tax pensions on a deferred basis – meaning contributions are tax-deductible, but pension income is taxable upon receipt. Other states may provide tax relief on pension income or exempt certain types of pension payments altogether. This creates potential conflicts, particularly in cross-border cases, as both the source country (where the pension was earned) and the residence country (where the pension is received) may seek to tax the same income.</w:t>
      </w:r>
    </w:p>
    <w:p w:rsidR="00000000" w:rsidDel="00000000" w:rsidP="00000000" w:rsidRDefault="00000000" w:rsidRPr="00000000" w14:paraId="0000010E">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Different Arrangements for Retirement Policies</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Retirement policies and pension schemes vary across jurisdictions, and these differences further complicate the taxation of cross-border pensions. There are typically three main types of retirement schemes:</w:t>
      </w:r>
    </w:p>
    <w:p w:rsidR="00000000" w:rsidDel="00000000" w:rsidP="00000000" w:rsidRDefault="00000000" w:rsidRPr="00000000" w14:paraId="00000110">
      <w:pPr>
        <w:numPr>
          <w:ilvl w:val="0"/>
          <w:numId w:val="24"/>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Statutory Social Security Schemes</w:t>
      </w:r>
      <w:r w:rsidDel="00000000" w:rsidR="00000000" w:rsidRPr="00000000">
        <w:rPr>
          <w:rFonts w:ascii="Times New Roman" w:cs="Times New Roman" w:eastAsia="Times New Roman" w:hAnsi="Times New Roman"/>
          <w:sz w:val="24"/>
          <w:szCs w:val="24"/>
          <w:rtl w:val="0"/>
        </w:rPr>
        <w:t xml:space="preserve">: Government-run pension schemes funded through mandatory contributions from employers and employees.</w:t>
      </w:r>
    </w:p>
    <w:p w:rsidR="00000000" w:rsidDel="00000000" w:rsidP="00000000" w:rsidRDefault="00000000" w:rsidRPr="00000000" w14:paraId="00000111">
      <w:pPr>
        <w:numPr>
          <w:ilvl w:val="0"/>
          <w:numId w:val="24"/>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Occupational Pension Schemes</w:t>
      </w:r>
      <w:r w:rsidDel="00000000" w:rsidR="00000000" w:rsidRPr="00000000">
        <w:rPr>
          <w:rFonts w:ascii="Times New Roman" w:cs="Times New Roman" w:eastAsia="Times New Roman" w:hAnsi="Times New Roman"/>
          <w:sz w:val="24"/>
          <w:szCs w:val="24"/>
          <w:rtl w:val="0"/>
        </w:rPr>
        <w:t xml:space="preserve">: Private pension schemes offered by employers, often with contributions from both employers and employees.</w:t>
      </w:r>
    </w:p>
    <w:p w:rsidR="00000000" w:rsidDel="00000000" w:rsidP="00000000" w:rsidRDefault="00000000" w:rsidRPr="00000000" w14:paraId="00000112">
      <w:pPr>
        <w:numPr>
          <w:ilvl w:val="0"/>
          <w:numId w:val="24"/>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Individual Retirement Schemes</w:t>
      </w:r>
      <w:r w:rsidDel="00000000" w:rsidR="00000000" w:rsidRPr="00000000">
        <w:rPr>
          <w:rFonts w:ascii="Times New Roman" w:cs="Times New Roman" w:eastAsia="Times New Roman" w:hAnsi="Times New Roman"/>
          <w:sz w:val="24"/>
          <w:szCs w:val="24"/>
          <w:rtl w:val="0"/>
        </w:rPr>
        <w:t xml:space="preserve">: Privately funded pension plans that individuals establish to save for retirement, such as IRAs or personal pensions.</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These various schemes may be treated differently for tax purposes depending on the country’s tax laws, and whether the pension income is considered taxable at the point of contribution or distribution.</w:t>
      </w:r>
    </w:p>
    <w:p w:rsidR="00000000" w:rsidDel="00000000" w:rsidP="00000000" w:rsidRDefault="00000000" w:rsidRPr="00000000" w14:paraId="00000114">
      <w:pPr>
        <w:pStyle w:val="Heading2"/>
        <w:numPr>
          <w:ilvl w:val="0"/>
          <w:numId w:val="14"/>
        </w:numPr>
        <w:ind w:left="90" w:firstLine="15"/>
        <w:jc w:val="both"/>
        <w:rPr/>
      </w:pPr>
      <w:bookmarkStart w:colFirst="0" w:colLast="0" w:name="_heading=h.sqyw64" w:id="25"/>
      <w:bookmarkEnd w:id="25"/>
      <w:r w:rsidDel="00000000" w:rsidR="00000000" w:rsidRPr="00000000">
        <w:rPr>
          <w:rtl w:val="0"/>
        </w:rPr>
        <w:t xml:space="preserve">Allocation of Taxing Rights with Respect to Pension Benefits</w:t>
      </w:r>
    </w:p>
    <w:p w:rsidR="00000000" w:rsidDel="00000000" w:rsidP="00000000" w:rsidRDefault="00000000" w:rsidRPr="00000000" w14:paraId="00000115">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Tax Deferral on Contributions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Tax deferral is a common feature of pension systems, where contributions are often deductible from taxable income, with taxation deferred until the pension is paid out. Article 18 accommodates this by focusing on the taxation of the payout phase. The issue arises when an individual moves to a different country between the contribution phase (which may have been tax-deferred) and the payout phase. The country of residence may have no knowledge of the deferral, leading to inconsistent treatment.</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Recovery of Tax Deferral on Migration</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One of the challenges under Article 18 is addressing situations where individuals migrate between countries after accruing pensions. In these cases, the country in which contributions were made might not be able to recover the deferred taxes when the individual moves to another jurisdiction. This presents a cross-border issue, as there is no global consensus on how to recover these taxes when individuals change their tax residence after retirement.</w:t>
      </w:r>
    </w:p>
    <w:p w:rsidR="00000000" w:rsidDel="00000000" w:rsidP="00000000" w:rsidRDefault="00000000" w:rsidRPr="00000000" w14:paraId="00000119">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Change of Residence – Potential Double Non-Taxation</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If a person moves between countries, there is potential for double non-taxation if neither country taxes the pension. For instance, if the country of former employment exempts pensions because they are not paid out within its jurisdiction, and the country of residence does not tax foreign pensions, the income may escape taxation entirely.</w:t>
      </w:r>
    </w:p>
    <w:p w:rsidR="00000000" w:rsidDel="00000000" w:rsidP="00000000" w:rsidRDefault="00000000" w:rsidRPr="00000000" w14:paraId="0000011B">
      <w:pPr>
        <w:pStyle w:val="Heading2"/>
        <w:numPr>
          <w:ilvl w:val="0"/>
          <w:numId w:val="14"/>
        </w:numPr>
        <w:spacing w:after="200" w:lineRule="auto"/>
        <w:ind w:left="90" w:firstLine="15"/>
        <w:jc w:val="both"/>
        <w:rPr/>
      </w:pPr>
      <w:bookmarkStart w:colFirst="0" w:colLast="0" w:name="_heading=h.3cqmetx" w:id="26"/>
      <w:bookmarkEnd w:id="26"/>
      <w:r w:rsidDel="00000000" w:rsidR="00000000" w:rsidRPr="00000000">
        <w:rPr>
          <w:rtl w:val="0"/>
        </w:rPr>
        <w:t xml:space="preserve">Alternative Provisions to Secure Source Taxation</w:t>
      </w:r>
    </w:p>
    <w:p w:rsidR="00000000" w:rsidDel="00000000" w:rsidP="00000000" w:rsidRDefault="00000000" w:rsidRPr="00000000" w14:paraId="0000011C">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context of pensions, several provisions have been developed to ensure appropriate allocation of taxing rights between the source and residence states.</w:t>
      </w:r>
    </w:p>
    <w:p w:rsidR="00000000" w:rsidDel="00000000" w:rsidP="00000000" w:rsidRDefault="00000000" w:rsidRPr="00000000" w14:paraId="0000011D">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Exclusive Source Taxation</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Some countries may insist on exclusive source taxation, allowing the state where the pension fund is located to retain the full taxing right. This is often applied in cases where the state has provided tax relief during the contribution phase. By ensuring exclusive source taxation, the state recovers its deferred tax revenue when pension payouts commence.</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Non-Exclusive Source Taxation</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Non-exclusive source taxation allows both the source state (where the pension contributions were made) and the residence state (where the pensioner lives) to tax the pension income. However, double tax relief mechanisms, such as a tax credit or exemption, may be applied to prevent double taxation.</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Limited Source Taxation</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Limited source taxation provisions restrict the amount of tax the source country can impose on pension payouts, often to a set percentage of the gross payout. This approach limits the tax burden on retirees while allowing the source country to recover some revenue.</w:t>
      </w:r>
    </w:p>
    <w:p w:rsidR="00000000" w:rsidDel="00000000" w:rsidP="00000000" w:rsidRDefault="00000000" w:rsidRPr="00000000" w14:paraId="00000123">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Source Taxation Only if Residence State Does Not Tax</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 some cases, the tax treaty might allow the source country to tax pensions only if the residence state chooses not to tax them. This provision is aimed at avoiding double non-taxation and ensuring that the pension is taxed at least once.</w:t>
      </w:r>
    </w:p>
    <w:p w:rsidR="00000000" w:rsidDel="00000000" w:rsidP="00000000" w:rsidRDefault="00000000" w:rsidRPr="00000000" w14:paraId="00000125">
      <w:pPr>
        <w:pStyle w:val="Heading2"/>
        <w:numPr>
          <w:ilvl w:val="0"/>
          <w:numId w:val="14"/>
        </w:numPr>
        <w:ind w:left="90" w:firstLine="15"/>
        <w:jc w:val="both"/>
        <w:rPr/>
      </w:pPr>
      <w:bookmarkStart w:colFirst="0" w:colLast="0" w:name="_heading=h.1rvwp1q" w:id="27"/>
      <w:bookmarkEnd w:id="27"/>
      <w:r w:rsidDel="00000000" w:rsidR="00000000" w:rsidRPr="00000000">
        <w:rPr>
          <w:rtl w:val="0"/>
        </w:rPr>
        <w:t xml:space="preserve">Exempt Pensions</w:t>
      </w:r>
    </w:p>
    <w:p w:rsidR="00000000" w:rsidDel="00000000" w:rsidP="00000000" w:rsidRDefault="00000000" w:rsidRPr="00000000" w14:paraId="000001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Certain pensions may be exempt from taxation under Article 18. These include pensions paid under social security systems, which are often exempt in both the source and residence countries. Moreover, specific provisions may exist for government pensions or pensions related to past employment in the public sector, which are often given special treatment to ensure uniform taxation policies.</w:t>
      </w:r>
    </w:p>
    <w:p w:rsidR="00000000" w:rsidDel="00000000" w:rsidP="00000000" w:rsidRDefault="00000000" w:rsidRPr="00000000" w14:paraId="00000127">
      <w:pPr>
        <w:pStyle w:val="Heading2"/>
        <w:numPr>
          <w:ilvl w:val="0"/>
          <w:numId w:val="14"/>
        </w:numPr>
        <w:ind w:left="90" w:firstLine="15"/>
        <w:jc w:val="both"/>
        <w:rPr/>
      </w:pPr>
      <w:bookmarkStart w:colFirst="0" w:colLast="0" w:name="_heading=h.4bvk7pj" w:id="28"/>
      <w:bookmarkEnd w:id="28"/>
      <w:r w:rsidDel="00000000" w:rsidR="00000000" w:rsidRPr="00000000">
        <w:rPr>
          <w:rtl w:val="0"/>
        </w:rPr>
        <w:t xml:space="preserve">Specific Issues</w:t>
      </w:r>
    </w:p>
    <w:p w:rsidR="00000000" w:rsidDel="00000000" w:rsidP="00000000" w:rsidRDefault="00000000" w:rsidRPr="00000000" w14:paraId="0000012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81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Statutory Social Security Schemes</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Pensions from statutory social security schemes often have different tax rules compared to occupational or private pensions. Article 18 of the OECD MTC acknowledges this by providing exemptions or alternative provisions. Countries may choose to exempt social security pensions from tax or apply reduced rates, reflecting the public interest role of these schemes.</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00" w:before="0" w:line="259" w:lineRule="auto"/>
        <w:ind w:left="810" w:right="0" w:hanging="360"/>
        <w:jc w:val="both"/>
        <w:rPr>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Individual Retirement Schemes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Individual retirement schemes pose distinct challenges due to their voluntary nature and the varied ways in which they are funded and managed. The taxation of contributions, accrued earnings, and payouts can vary widely, leading to potential mismatches in cross-border contexts. Under Article 18, individual retirement schemes are treated similarly to occupational pensions, but states may negotiate treaty provisions to align their tax treatment more closely with national rules.</w:t>
      </w:r>
    </w:p>
    <w:p w:rsidR="00000000" w:rsidDel="00000000" w:rsidP="00000000" w:rsidRDefault="00000000" w:rsidRPr="00000000" w14:paraId="0000012C">
      <w:pPr>
        <w:pStyle w:val="Heading2"/>
        <w:numPr>
          <w:ilvl w:val="0"/>
          <w:numId w:val="14"/>
        </w:numPr>
        <w:ind w:left="90" w:firstLine="15"/>
        <w:jc w:val="both"/>
        <w:rPr/>
      </w:pPr>
      <w:bookmarkStart w:colFirst="0" w:colLast="0" w:name="_heading=h.2r0uhxc" w:id="29"/>
      <w:bookmarkEnd w:id="29"/>
      <w:r w:rsidDel="00000000" w:rsidR="00000000" w:rsidRPr="00000000">
        <w:rPr>
          <w:rtl w:val="0"/>
        </w:rPr>
        <w:t xml:space="preserve">Comparison of Article 18 of the OECD MTC (2017) and UN MTC (2021)</w:t>
      </w:r>
    </w:p>
    <w:p w:rsidR="00000000" w:rsidDel="00000000" w:rsidP="00000000" w:rsidRDefault="00000000" w:rsidRPr="00000000" w14:paraId="0000012D">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Flexibility of Approach</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OECD MTC adopts a single, uniform approach to the taxation of pensions, emphasizing residence-State taxation to provide clarity and reduce administrative complexity. On the other hand, the UN MTC offers two distinct alternatives—A and B—providing contracting parties with the flexibility to align their agreements with varying national tax policies. Alternative A mirrors the OECD MTC by granting exclusive residence-State taxation, while Alternative B accommodates source-State taxation under specific conditions. This dual-option framework underscores the UN MTC’s recognition of the diverse fiscal priorities of developed and developing countries, fostering equitable tax treaty negotiations.</w:t>
      </w:r>
    </w:p>
    <w:p w:rsidR="00000000" w:rsidDel="00000000" w:rsidP="00000000" w:rsidRDefault="00000000" w:rsidRPr="00000000" w14:paraId="0000012F">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Scope of Taxing Rights</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OECD Model Tax Convention (MTC) grants exclusive taxing rights to the State of residence for pensions and other similar remuneration paid in consideration of past employment. This approach ensures simplicity and avoids potential disputes over the allocation of taxing rights between the Contracting States. In contrast, the UN MTC introduces flexibility through its Alternative B, which permits dual taxing rights. Under this alternative, the State of residence retains its taxing rights, but the source State may also tax pensions if specific conditions are met, such as the payment being made by a resident of the source State or being borne by a permanent establishment or fixed base in that State. This distinction highlights the UN MTC's intent to balance the fiscal interests of both residence and source States.</w:t>
      </w:r>
    </w:p>
    <w:p w:rsidR="00000000" w:rsidDel="00000000" w:rsidP="00000000" w:rsidRDefault="00000000" w:rsidRPr="00000000" w14:paraId="00000131">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Social Security Payment</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 significant distinction between the OECD MTC and the UN MTC lies in the treatment of pensions and payments made under public schemes or social security systems. The OECD MTC does not specifically address such payments, treating all pensions uniformly under its general rule of exclusive residence-State taxation. However, the UN MTC explicitly reserves taxing rights for social security payments to the State administering the scheme, irrespective of whether Alternative A or Alternative B is adopted. This provision ensures that payments from public pension schemes remain within the taxing jurisdiction of the State responsible for funding and managing the scheme, reflecting a deliberate effort to protect public fiscal interests.</w:t>
      </w:r>
    </w:p>
    <w:p w:rsidR="00000000" w:rsidDel="00000000" w:rsidP="00000000" w:rsidRDefault="00000000" w:rsidRPr="00000000" w14:paraId="0000013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pStyle w:val="Heading1"/>
        <w:ind w:left="0" w:firstLine="0"/>
        <w:rPr/>
        <w:sectPr>
          <w:type w:val="nextPage"/>
          <w:pgSz w:h="16838" w:w="11906" w:orient="portrait"/>
          <w:pgMar w:bottom="1440" w:top="1440" w:left="1440" w:right="1440" w:header="708" w:footer="708"/>
        </w:sectPr>
      </w:pPr>
      <w:bookmarkStart w:colFirst="0" w:colLast="0" w:name="_heading=h.xopljhd4pnf8" w:id="30"/>
      <w:bookmarkEnd w:id="30"/>
      <w:r w:rsidDel="00000000" w:rsidR="00000000" w:rsidRPr="00000000">
        <w:rPr>
          <w:rtl w:val="0"/>
        </w:rPr>
      </w:r>
    </w:p>
    <w:p w:rsidR="00000000" w:rsidDel="00000000" w:rsidP="00000000" w:rsidRDefault="00000000" w:rsidRPr="00000000" w14:paraId="0000013F">
      <w:pPr>
        <w:pStyle w:val="Heading1"/>
        <w:ind w:left="0" w:firstLine="0"/>
        <w:rPr>
          <w:rFonts w:ascii="Times New Roman" w:cs="Times New Roman" w:eastAsia="Times New Roman" w:hAnsi="Times New Roman"/>
        </w:rPr>
      </w:pPr>
      <w:bookmarkStart w:colFirst="0" w:colLast="0" w:name="_heading=h.1664s55" w:id="31"/>
      <w:bookmarkEnd w:id="31"/>
      <w:r w:rsidDel="00000000" w:rsidR="00000000" w:rsidRPr="00000000">
        <w:rPr>
          <w:rtl w:val="0"/>
        </w:rPr>
        <w:t xml:space="preserve">J.5. GOVERNMENT SERVICE – ARTICLE 19, OECD and UN MTC</w:t>
      </w:r>
      <w:r w:rsidDel="00000000" w:rsidR="00000000" w:rsidRPr="00000000">
        <w:rPr>
          <w:rtl w:val="0"/>
        </w:rPr>
      </w:r>
    </w:p>
    <w:p w:rsidR="00000000" w:rsidDel="00000000" w:rsidP="00000000" w:rsidRDefault="00000000" w:rsidRPr="00000000" w14:paraId="000001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19 of the OECD Model Tax Convention (MTC) addresses the taxation of government service remuneration, including salaries, wages, and pensions. It plays a crucial role in determining which state has the right to tax income paid by a government or its subdivisions for services rendered to that government. The article is structured into three main Article 19 - s that outline the general rules, exceptions, and interactions with other provisions of the MTC.</w:t>
      </w:r>
    </w:p>
    <w:p w:rsidR="00000000" w:rsidDel="00000000" w:rsidP="00000000" w:rsidRDefault="00000000" w:rsidRPr="00000000" w14:paraId="00000141">
      <w:pPr>
        <w:pStyle w:val="Heading2"/>
        <w:numPr>
          <w:ilvl w:val="0"/>
          <w:numId w:val="21"/>
        </w:numPr>
        <w:ind w:left="360" w:hanging="360"/>
        <w:rPr>
          <w:rFonts w:ascii="Times New Roman" w:cs="Times New Roman" w:eastAsia="Times New Roman" w:hAnsi="Times New Roman"/>
          <w:b w:val="1"/>
          <w:color w:val="000000"/>
          <w:sz w:val="27"/>
          <w:szCs w:val="27"/>
        </w:rPr>
      </w:pPr>
      <w:bookmarkStart w:colFirst="0" w:colLast="0" w:name="_heading=h.3q5sasy" w:id="32"/>
      <w:bookmarkEnd w:id="32"/>
      <w:r w:rsidDel="00000000" w:rsidR="00000000" w:rsidRPr="00000000">
        <w:rPr>
          <w:rFonts w:ascii="Times New Roman" w:cs="Times New Roman" w:eastAsia="Times New Roman" w:hAnsi="Times New Roman"/>
          <w:b w:val="1"/>
          <w:color w:val="000000"/>
          <w:sz w:val="27"/>
          <w:szCs w:val="27"/>
          <w:rtl w:val="0"/>
        </w:rPr>
        <w:t xml:space="preserve">Legal Framework and Application of Article 19</w:t>
      </w:r>
    </w:p>
    <w:p w:rsidR="00000000" w:rsidDel="00000000" w:rsidP="00000000" w:rsidRDefault="00000000" w:rsidRPr="00000000" w14:paraId="00000142">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19 (1-a)</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This Paragraph establishes a general rule that salaries, wages, and other similar remuneration paid by a contracting state or its political subdivisions to an individual for services rendered to that state are taxable only in that state. This provision is grounded in the principle of source taxation, ensuring that the state which benefits from the services retains the right to tax the income. This rule is straightforward and reflects the logic that a state should have the primary taxing right over the remuneration it pays, as the economic activity that generates the income occurs within its jurisdiction.</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However, an important exception to this rule exists in Article 19 (1-b). Under certain conditions, the taxing rights may shift to the other contracting state. This exception applies if the services are rendered in the other state, and the individual is a resident of that state who is either a national of that state or did not become a resident solely to render the services. This exception recognizes the individual's substantial economic and personal connection to the state where the services are rendered, thus allowing that state to exercise taxing rights. It prevents situations where individuals might become temporary residents in another state merely to benefit from favorable tax conditions.</w:t>
      </w:r>
    </w:p>
    <w:p w:rsidR="00000000" w:rsidDel="00000000" w:rsidP="00000000" w:rsidRDefault="00000000" w:rsidRPr="00000000" w14:paraId="00000145">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19 (2) </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It applies similar principles to pensions and other similar remuneration. The general rule is that pensions paid by a state for services rendered to it are taxable only in the paying state. However, an exception is made if the recipient is both a resident and a national of another state, in which case the other state has the right to tax the pension. This rule acknowledges the personal and economic ties of the individual to their state of residence and nationality, thereby justifying the shift in taxing rights.</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 19 (3) </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Article 19 (3) clarifies the interaction between Article 19 and other articles of the MTC, specifically Articles 15 (Income from Employment), 16 (Directors' Fees), 17 (Artistes and Sportsmen), and 18 (Pensions). It stipulates that Article 19 does not apply to remuneration for services rendered in connection with a business carried on by a contracting state. Instead, the relevant provisions of Articles 15, 16, 17, and 18 apply in such cases. This ensures that the correct provisions are used depending on the nature of the services, thereby preventing overlap and ensuring appropriate taxation.</w:t>
      </w:r>
      <w:r w:rsidDel="00000000" w:rsidR="00000000" w:rsidRPr="00000000">
        <w:rPr>
          <w:rtl w:val="0"/>
        </w:rPr>
      </w:r>
    </w:p>
    <w:p w:rsidR="00000000" w:rsidDel="00000000" w:rsidP="00000000" w:rsidRDefault="00000000" w:rsidRPr="00000000" w14:paraId="00000149">
      <w:pPr>
        <w:pStyle w:val="Heading2"/>
        <w:numPr>
          <w:ilvl w:val="0"/>
          <w:numId w:val="21"/>
        </w:numPr>
        <w:ind w:left="360" w:hanging="360"/>
        <w:rPr>
          <w:rFonts w:ascii="Times New Roman" w:cs="Times New Roman" w:eastAsia="Times New Roman" w:hAnsi="Times New Roman"/>
          <w:b w:val="1"/>
          <w:color w:val="000000"/>
          <w:sz w:val="27"/>
          <w:szCs w:val="27"/>
        </w:rPr>
      </w:pPr>
      <w:bookmarkStart w:colFirst="0" w:colLast="0" w:name="_heading=h.25b2l0r" w:id="33"/>
      <w:bookmarkEnd w:id="33"/>
      <w:r w:rsidDel="00000000" w:rsidR="00000000" w:rsidRPr="00000000">
        <w:rPr>
          <w:rFonts w:ascii="Times New Roman" w:cs="Times New Roman" w:eastAsia="Times New Roman" w:hAnsi="Times New Roman"/>
          <w:b w:val="1"/>
          <w:color w:val="000000"/>
          <w:sz w:val="27"/>
          <w:szCs w:val="27"/>
          <w:rtl w:val="0"/>
        </w:rPr>
        <w:t xml:space="preserve">Key Elements</w:t>
      </w:r>
    </w:p>
    <w:p w:rsidR="00000000" w:rsidDel="00000000" w:rsidP="00000000" w:rsidRDefault="00000000" w:rsidRPr="00000000" w14:paraId="0000014A">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Definition and Scope of "Government Service"</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scope of "government service" under Article 19 includes services rendered to a contracting state, its political subdivisions, or local authorities. This encompasses a wide range of public sector roles, including administrative, executive, judicial, and legislative functions. These roles are essential for the functioning of the state and are therefore covered by the general rule that taxation rights belong to the paying state. However, it is crucial to note that services related to commercial activities conducted by the state are excluded from this definition. Employees of state-owned enterprises engaged in commercial activities fall under different articles, such as Article 15, which covers income from employment, ensuring that business income is taxed appropriately.</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Nationality and Residency Criteria</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Nationality and residency are critical factors in determining which state has the right to tax under the exceptions provided in Article 19. Nationality is considered a stable and long-term connection to a state, justifying exclusive taxing rights in certain circumstances. For instance, the exception in Article 19 -  1(b) relies heavily on the individual’s nationality and residency status to shift taxing rights to the other state. Similarly, in Article 19 -  2(b), both residency and nationality must be considered to transfer the right to tax pensions to the other state. The criteria ensure that the individual’s genuine connection to a state is recognized, preventing tax avoidance through temporary residency. In cases of dual nationality, the individual’s effective connection to one of the states is considered, and tie-breaker rules in Article 4 of the MTC may be applied to resolve conflicts over residency, ensuring fair and equitable taxation.</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Services Rendered and the Place of Rendering</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place where services are rendered plays a significant role in applying the exceptions under Article 19. For the exceptions to apply, the services must be rendered in the other contracting state, which indicates a substantial economic connection to that state. Determining where the services are rendered can be complex, especially for individuals working in multiple locations or who frequently travel. The primary place of employment and the nature of the services provided are critical factors in this determination. Cross-border workers, in particular, may face unique challenges under Article 19. The exceptions are designed to address these scenarios, ensuring that the state where the services are rendered can exercise taxing rights if the conditions are met.</w:t>
      </w:r>
      <w:r w:rsidDel="00000000" w:rsidR="00000000" w:rsidRPr="00000000">
        <w:rPr>
          <w:rtl w:val="0"/>
        </w:rPr>
      </w:r>
    </w:p>
    <w:p w:rsidR="00000000" w:rsidDel="00000000" w:rsidP="00000000" w:rsidRDefault="00000000" w:rsidRPr="00000000" w14:paraId="00000150">
      <w:pPr>
        <w:pStyle w:val="Heading2"/>
        <w:numPr>
          <w:ilvl w:val="0"/>
          <w:numId w:val="21"/>
        </w:numPr>
        <w:ind w:left="360" w:hanging="360"/>
        <w:rPr>
          <w:rFonts w:ascii="Times New Roman" w:cs="Times New Roman" w:eastAsia="Times New Roman" w:hAnsi="Times New Roman"/>
          <w:b w:val="1"/>
          <w:color w:val="000000"/>
          <w:sz w:val="27"/>
          <w:szCs w:val="27"/>
        </w:rPr>
      </w:pPr>
      <w:bookmarkStart w:colFirst="0" w:colLast="0" w:name="_heading=h.kgcv8k" w:id="34"/>
      <w:bookmarkEnd w:id="34"/>
      <w:r w:rsidDel="00000000" w:rsidR="00000000" w:rsidRPr="00000000">
        <w:rPr>
          <w:rFonts w:ascii="Times New Roman" w:cs="Times New Roman" w:eastAsia="Times New Roman" w:hAnsi="Times New Roman"/>
          <w:b w:val="1"/>
          <w:color w:val="000000"/>
          <w:sz w:val="27"/>
          <w:szCs w:val="27"/>
          <w:rtl w:val="0"/>
        </w:rPr>
        <w:t xml:space="preserve">Comparison of Article 19 of the OECD MTC (2017) and UN MTC (2021)</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OECD MTC and the UN MTC share identical language and principles regarding the taxation of Government service remunerations, including salaries and wages.  </w:t>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pStyle w:val="Heading1"/>
        <w:rPr>
          <w:rFonts w:ascii="Times New Roman" w:cs="Times New Roman" w:eastAsia="Times New Roman" w:hAnsi="Times New Roman"/>
        </w:rPr>
      </w:pPr>
      <w:bookmarkStart w:colFirst="0" w:colLast="0" w:name="_heading=h.34g0dwd" w:id="35"/>
      <w:bookmarkEnd w:id="35"/>
      <w:r w:rsidDel="00000000" w:rsidR="00000000" w:rsidRPr="00000000">
        <w:rPr>
          <w:rtl w:val="0"/>
        </w:rPr>
        <w:t xml:space="preserve">J.6. STUDENTS – ARTICLE 20, OECD and UN MTC</w:t>
      </w:r>
      <w:r w:rsidDel="00000000" w:rsidR="00000000" w:rsidRPr="00000000">
        <w:rPr>
          <w:rtl w:val="0"/>
        </w:rPr>
      </w:r>
    </w:p>
    <w:p w:rsidR="00000000" w:rsidDel="00000000" w:rsidP="00000000" w:rsidRDefault="00000000" w:rsidRPr="00000000" w14:paraId="000001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20 of the OECD Model Tax Convention (MTC) pertains to the taxation of students, a specific provision designed to address cross-border taxation issues related to students studying abroad. This article is an important part of the OECD MTC, which serves as a template for bilateral tax treaties, helping to prevent double taxation and tax evasion. The main focus of Article 20 is to provide tax exemptions or relief for students who are temporarily studying in a country other than their country of residence. </w:t>
      </w:r>
    </w:p>
    <w:p w:rsidR="00000000" w:rsidDel="00000000" w:rsidP="00000000" w:rsidRDefault="00000000" w:rsidRPr="00000000" w14:paraId="00000158">
      <w:pPr>
        <w:pStyle w:val="Heading2"/>
        <w:numPr>
          <w:ilvl w:val="0"/>
          <w:numId w:val="22"/>
        </w:numPr>
        <w:ind w:left="360" w:hanging="360"/>
        <w:rPr>
          <w:rFonts w:ascii="Times New Roman" w:cs="Times New Roman" w:eastAsia="Times New Roman" w:hAnsi="Times New Roman"/>
          <w:b w:val="1"/>
          <w:color w:val="000000"/>
          <w:sz w:val="27"/>
          <w:szCs w:val="27"/>
        </w:rPr>
      </w:pPr>
      <w:bookmarkStart w:colFirst="0" w:colLast="0" w:name="_heading=h.1jlao46" w:id="36"/>
      <w:bookmarkEnd w:id="36"/>
      <w:r w:rsidDel="00000000" w:rsidR="00000000" w:rsidRPr="00000000">
        <w:rPr>
          <w:rFonts w:ascii="Times New Roman" w:cs="Times New Roman" w:eastAsia="Times New Roman" w:hAnsi="Times New Roman"/>
          <w:b w:val="1"/>
          <w:color w:val="000000"/>
          <w:sz w:val="27"/>
          <w:szCs w:val="27"/>
          <w:rtl w:val="0"/>
        </w:rPr>
        <w:t xml:space="preserve">Overview of Article 20</w:t>
      </w:r>
    </w:p>
    <w:p w:rsidR="00000000" w:rsidDel="00000000" w:rsidP="00000000" w:rsidRDefault="00000000" w:rsidRPr="00000000" w14:paraId="000001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20 of the OECD MTC is titled "Students." It grants tax exemptions to students or business apprentices who visit a contracting state solely for the purpose of education or training. Specifically, the article stipulates that:</w:t>
      </w:r>
    </w:p>
    <w:p w:rsidR="00000000" w:rsidDel="00000000" w:rsidP="00000000" w:rsidRDefault="00000000" w:rsidRPr="00000000" w14:paraId="0000015A">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or business apprentice who is or was immediately before visiting the other contracting state, a resident of a contracting state, shall be exempt from tax in the host state on certain payments received for the purpose of their maintenance, education, or training.</w:t>
      </w:r>
    </w:p>
    <w:p w:rsidR="00000000" w:rsidDel="00000000" w:rsidP="00000000" w:rsidRDefault="00000000" w:rsidRPr="00000000" w14:paraId="0000015B">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exemption applies to payments from abroad, which includes scholarships, grants, or other monetary assistance provided by a foreign government, charitable organizations, or educational institutions.</w:t>
      </w:r>
    </w:p>
    <w:p w:rsidR="00000000" w:rsidDel="00000000" w:rsidP="00000000" w:rsidRDefault="00000000" w:rsidRPr="00000000" w14:paraId="000001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provision is designed to alleviate the tax burden on students, ensuring that their financial aid is not diminished by taxes in the country where they are studying. The underlying principle is to encourage educational exchange and international mobility by removing financial barriers related to taxation.</w:t>
      </w:r>
    </w:p>
    <w:p w:rsidR="00000000" w:rsidDel="00000000" w:rsidP="00000000" w:rsidRDefault="00000000" w:rsidRPr="00000000" w14:paraId="0000015D">
      <w:pPr>
        <w:pStyle w:val="Heading2"/>
        <w:numPr>
          <w:ilvl w:val="0"/>
          <w:numId w:val="22"/>
        </w:numPr>
        <w:ind w:left="360" w:hanging="360"/>
        <w:rPr>
          <w:rFonts w:ascii="Times New Roman" w:cs="Times New Roman" w:eastAsia="Times New Roman" w:hAnsi="Times New Roman"/>
          <w:b w:val="1"/>
          <w:color w:val="000000"/>
          <w:sz w:val="27"/>
          <w:szCs w:val="27"/>
        </w:rPr>
      </w:pPr>
      <w:bookmarkStart w:colFirst="0" w:colLast="0" w:name="_heading=h.43ky6rz" w:id="37"/>
      <w:bookmarkEnd w:id="37"/>
      <w:r w:rsidDel="00000000" w:rsidR="00000000" w:rsidRPr="00000000">
        <w:rPr>
          <w:rFonts w:ascii="Times New Roman" w:cs="Times New Roman" w:eastAsia="Times New Roman" w:hAnsi="Times New Roman"/>
          <w:b w:val="1"/>
          <w:color w:val="000000"/>
          <w:sz w:val="27"/>
          <w:szCs w:val="27"/>
          <w:rtl w:val="0"/>
        </w:rPr>
        <w:t xml:space="preserve">Rationale Behind Article 20</w:t>
      </w:r>
    </w:p>
    <w:p w:rsidR="00000000" w:rsidDel="00000000" w:rsidP="00000000" w:rsidRDefault="00000000" w:rsidRPr="00000000" w14:paraId="000001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rationale behind Article 20 is grounded in the idea of promoting educational opportunities and cultural exchange between countries. The OECD recognizes that education is a key factor in global development and that students should be encouraged to study abroad without the fear of being taxed on the financial aid they receive for their education.</w:t>
      </w:r>
    </w:p>
    <w:p w:rsidR="00000000" w:rsidDel="00000000" w:rsidP="00000000" w:rsidRDefault="00000000" w:rsidRPr="00000000" w14:paraId="0000015F">
      <w:pPr>
        <w:numPr>
          <w:ilvl w:val="0"/>
          <w:numId w:val="3"/>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Encouraging International Education</w:t>
      </w:r>
      <w:r w:rsidDel="00000000" w:rsidR="00000000" w:rsidRPr="00000000">
        <w:rPr>
          <w:rFonts w:ascii="Times New Roman" w:cs="Times New Roman" w:eastAsia="Times New Roman" w:hAnsi="Times New Roman"/>
          <w:sz w:val="24"/>
          <w:szCs w:val="24"/>
          <w:rtl w:val="0"/>
        </w:rPr>
        <w:t xml:space="preserve">: By providing tax relief, Article 20 reduces the financial strain on students studying abroad. This encourages more students to seek education in foreign countries, fostering cross-cultural understanding and knowledge exchange.</w:t>
      </w:r>
    </w:p>
    <w:p w:rsidR="00000000" w:rsidDel="00000000" w:rsidP="00000000" w:rsidRDefault="00000000" w:rsidRPr="00000000" w14:paraId="00000160">
      <w:pPr>
        <w:numPr>
          <w:ilvl w:val="0"/>
          <w:numId w:val="3"/>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Simplification of Tax Obligations</w:t>
      </w:r>
      <w:r w:rsidDel="00000000" w:rsidR="00000000" w:rsidRPr="00000000">
        <w:rPr>
          <w:rFonts w:ascii="Times New Roman" w:cs="Times New Roman" w:eastAsia="Times New Roman" w:hAnsi="Times New Roman"/>
          <w:sz w:val="24"/>
          <w:szCs w:val="24"/>
          <w:rtl w:val="0"/>
        </w:rPr>
        <w:t xml:space="preserve">: For tax administrations, this article simplifies the tax treatment of foreign students by establishing clear rules that exempt certain types of income. This reduces the administrative burden on both tax authorities and students who might otherwise struggle with complex tax filing requirements in a foreign language or legal system.</w:t>
      </w:r>
    </w:p>
    <w:p w:rsidR="00000000" w:rsidDel="00000000" w:rsidP="00000000" w:rsidRDefault="00000000" w:rsidRPr="00000000" w14:paraId="00000161">
      <w:pPr>
        <w:numPr>
          <w:ilvl w:val="0"/>
          <w:numId w:val="3"/>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Non-Discrimination Principle</w:t>
      </w:r>
      <w:r w:rsidDel="00000000" w:rsidR="00000000" w:rsidRPr="00000000">
        <w:rPr>
          <w:rFonts w:ascii="Times New Roman" w:cs="Times New Roman" w:eastAsia="Times New Roman" w:hAnsi="Times New Roman"/>
          <w:sz w:val="24"/>
          <w:szCs w:val="24"/>
          <w:rtl w:val="0"/>
        </w:rPr>
        <w:t xml:space="preserve">: Article 20 also supports the broader non-discrimination principle embedded in many tax treaties. By ensuring that foreign students are not subject to taxes on financial aid that would not be taxed in their home countries, the article promotes fairness in international taxation.</w:t>
      </w:r>
    </w:p>
    <w:p w:rsidR="00000000" w:rsidDel="00000000" w:rsidP="00000000" w:rsidRDefault="00000000" w:rsidRPr="00000000" w14:paraId="00000162">
      <w:pPr>
        <w:pStyle w:val="Heading2"/>
        <w:numPr>
          <w:ilvl w:val="0"/>
          <w:numId w:val="22"/>
        </w:numPr>
        <w:ind w:left="360" w:hanging="360"/>
        <w:rPr>
          <w:rFonts w:ascii="Times New Roman" w:cs="Times New Roman" w:eastAsia="Times New Roman" w:hAnsi="Times New Roman"/>
          <w:b w:val="1"/>
          <w:color w:val="000000"/>
          <w:sz w:val="27"/>
          <w:szCs w:val="27"/>
        </w:rPr>
      </w:pPr>
      <w:bookmarkStart w:colFirst="0" w:colLast="0" w:name="_heading=h.2iq8gzs" w:id="38"/>
      <w:bookmarkEnd w:id="38"/>
      <w:r w:rsidDel="00000000" w:rsidR="00000000" w:rsidRPr="00000000">
        <w:rPr>
          <w:rFonts w:ascii="Times New Roman" w:cs="Times New Roman" w:eastAsia="Times New Roman" w:hAnsi="Times New Roman"/>
          <w:b w:val="1"/>
          <w:color w:val="000000"/>
          <w:sz w:val="27"/>
          <w:szCs w:val="27"/>
          <w:rtl w:val="0"/>
        </w:rPr>
        <w:t xml:space="preserve">Scope and Limitations</w:t>
      </w:r>
    </w:p>
    <w:p w:rsidR="00000000" w:rsidDel="00000000" w:rsidP="00000000" w:rsidRDefault="00000000" w:rsidRPr="00000000" w14:paraId="000001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Article 20 provides significant tax relief, it is important to understand its scope and limitations.</w:t>
      </w:r>
    </w:p>
    <w:p w:rsidR="00000000" w:rsidDel="00000000" w:rsidP="00000000" w:rsidRDefault="00000000" w:rsidRPr="00000000" w14:paraId="00000164">
      <w:pPr>
        <w:numPr>
          <w:ilvl w:val="0"/>
          <w:numId w:val="4"/>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Applicability</w:t>
      </w:r>
      <w:r w:rsidDel="00000000" w:rsidR="00000000" w:rsidRPr="00000000">
        <w:rPr>
          <w:rFonts w:ascii="Times New Roman" w:cs="Times New Roman" w:eastAsia="Times New Roman" w:hAnsi="Times New Roman"/>
          <w:sz w:val="24"/>
          <w:szCs w:val="24"/>
          <w:rtl w:val="0"/>
        </w:rPr>
        <w:t xml:space="preserve">: The article applies only to students or business apprentices who are residents of a contracting state and who visit another contracting state for the purpose of their education or training. It does not apply to individuals who are working in the host country or who have income unrelated to their education or training.</w:t>
      </w:r>
    </w:p>
    <w:p w:rsidR="00000000" w:rsidDel="00000000" w:rsidP="00000000" w:rsidRDefault="00000000" w:rsidRPr="00000000" w14:paraId="00000165">
      <w:pPr>
        <w:numPr>
          <w:ilvl w:val="0"/>
          <w:numId w:val="4"/>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Types of Income Covered</w:t>
      </w:r>
      <w:r w:rsidDel="00000000" w:rsidR="00000000" w:rsidRPr="00000000">
        <w:rPr>
          <w:rFonts w:ascii="Times New Roman" w:cs="Times New Roman" w:eastAsia="Times New Roman" w:hAnsi="Times New Roman"/>
          <w:sz w:val="24"/>
          <w:szCs w:val="24"/>
          <w:rtl w:val="0"/>
        </w:rPr>
        <w:t xml:space="preserve">: The tax exemption under Article 20 specifically covers payments received for maintenance, education, or training, provided these payments come from abroad. It does not extend to income earned from employment or other sources within the host country. For instance, if a student engages in part-time work while studying, the income from this work would not be exempt under Article 20 and would be subject to the host country's tax laws.</w:t>
      </w:r>
    </w:p>
    <w:p w:rsidR="00000000" w:rsidDel="00000000" w:rsidP="00000000" w:rsidRDefault="00000000" w:rsidRPr="00000000" w14:paraId="00000166">
      <w:pPr>
        <w:numPr>
          <w:ilvl w:val="0"/>
          <w:numId w:val="4"/>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Duration of Exemption</w:t>
      </w:r>
      <w:r w:rsidDel="00000000" w:rsidR="00000000" w:rsidRPr="00000000">
        <w:rPr>
          <w:rFonts w:ascii="Times New Roman" w:cs="Times New Roman" w:eastAsia="Times New Roman" w:hAnsi="Times New Roman"/>
          <w:sz w:val="24"/>
          <w:szCs w:val="24"/>
          <w:rtl w:val="0"/>
        </w:rPr>
        <w:t xml:space="preserve">: The exemption typically applies for the period of education or training, which can vary in duration. Some treaties might specify a time limit, after which the student may become subject to tax as a resident of the host country.</w:t>
      </w:r>
    </w:p>
    <w:p w:rsidR="00000000" w:rsidDel="00000000" w:rsidP="00000000" w:rsidRDefault="00000000" w:rsidRPr="00000000" w14:paraId="00000167">
      <w:pPr>
        <w:pStyle w:val="Heading2"/>
        <w:numPr>
          <w:ilvl w:val="0"/>
          <w:numId w:val="22"/>
        </w:numPr>
        <w:ind w:left="360" w:hanging="360"/>
        <w:rPr>
          <w:rFonts w:ascii="Times New Roman" w:cs="Times New Roman" w:eastAsia="Times New Roman" w:hAnsi="Times New Roman"/>
          <w:b w:val="1"/>
          <w:color w:val="000000"/>
          <w:sz w:val="27"/>
          <w:szCs w:val="27"/>
        </w:rPr>
      </w:pPr>
      <w:bookmarkStart w:colFirst="0" w:colLast="0" w:name="_heading=h.xvir7l" w:id="39"/>
      <w:bookmarkEnd w:id="39"/>
      <w:r w:rsidDel="00000000" w:rsidR="00000000" w:rsidRPr="00000000">
        <w:rPr>
          <w:rFonts w:ascii="Times New Roman" w:cs="Times New Roman" w:eastAsia="Times New Roman" w:hAnsi="Times New Roman"/>
          <w:b w:val="1"/>
          <w:color w:val="000000"/>
          <w:sz w:val="27"/>
          <w:szCs w:val="27"/>
          <w:rtl w:val="0"/>
        </w:rPr>
        <w:t xml:space="preserve">Interaction with Domestic Tax Laws and Other Treaty Provisions</w:t>
      </w:r>
    </w:p>
    <w:p w:rsidR="00000000" w:rsidDel="00000000" w:rsidP="00000000" w:rsidRDefault="00000000" w:rsidRPr="00000000" w14:paraId="000001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of Article 20 varies depending on the domestic tax laws of the host country and the specific terms of the bilateral tax treaty.</w:t>
      </w:r>
    </w:p>
    <w:p w:rsidR="00000000" w:rsidDel="00000000" w:rsidP="00000000" w:rsidRDefault="00000000" w:rsidRPr="00000000" w14:paraId="00000169">
      <w:pPr>
        <w:numPr>
          <w:ilvl w:val="0"/>
          <w:numId w:val="5"/>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Domestic Tax Laws</w:t>
      </w:r>
      <w:r w:rsidDel="00000000" w:rsidR="00000000" w:rsidRPr="00000000">
        <w:rPr>
          <w:rFonts w:ascii="Times New Roman" w:cs="Times New Roman" w:eastAsia="Times New Roman" w:hAnsi="Times New Roman"/>
          <w:sz w:val="24"/>
          <w:szCs w:val="24"/>
          <w:rtl w:val="0"/>
        </w:rPr>
        <w:t xml:space="preserve">: While Article 20 provides a framework, the actual tax treatment can differ based on the domestic laws of the host country. Some countries may have specific provisions in their tax code that align with or differ from the OECD MTC, potentially leading to variations in how the exemption is applied.</w:t>
      </w:r>
    </w:p>
    <w:p w:rsidR="00000000" w:rsidDel="00000000" w:rsidP="00000000" w:rsidRDefault="00000000" w:rsidRPr="00000000" w14:paraId="0000016A">
      <w:pPr>
        <w:numPr>
          <w:ilvl w:val="0"/>
          <w:numId w:val="5"/>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Other Treaty Provisions</w:t>
      </w:r>
      <w:r w:rsidDel="00000000" w:rsidR="00000000" w:rsidRPr="00000000">
        <w:rPr>
          <w:rFonts w:ascii="Times New Roman" w:cs="Times New Roman" w:eastAsia="Times New Roman" w:hAnsi="Times New Roman"/>
          <w:sz w:val="24"/>
          <w:szCs w:val="24"/>
          <w:rtl w:val="0"/>
        </w:rPr>
        <w:t xml:space="preserve">: Article 20 must also be considered in the context of other articles within the OECD MTC, such as those related to residency, permanent establishment, and income from employment. In cases where a student transitions from being a student to being employed, the tax treatment might shift, necessitating a careful analysis of the relevant treaty provisions.</w:t>
      </w:r>
    </w:p>
    <w:p w:rsidR="00000000" w:rsidDel="00000000" w:rsidP="00000000" w:rsidRDefault="00000000" w:rsidRPr="00000000" w14:paraId="0000016B">
      <w:pPr>
        <w:pStyle w:val="Heading2"/>
        <w:numPr>
          <w:ilvl w:val="0"/>
          <w:numId w:val="22"/>
        </w:numPr>
        <w:ind w:left="360" w:hanging="360"/>
        <w:rPr>
          <w:rFonts w:ascii="Times New Roman" w:cs="Times New Roman" w:eastAsia="Times New Roman" w:hAnsi="Times New Roman"/>
          <w:b w:val="1"/>
          <w:color w:val="000000"/>
          <w:sz w:val="27"/>
          <w:szCs w:val="27"/>
        </w:rPr>
      </w:pPr>
      <w:bookmarkStart w:colFirst="0" w:colLast="0" w:name="_heading=h.3hv69ve" w:id="40"/>
      <w:bookmarkEnd w:id="40"/>
      <w:r w:rsidDel="00000000" w:rsidR="00000000" w:rsidRPr="00000000">
        <w:rPr>
          <w:rFonts w:ascii="Times New Roman" w:cs="Times New Roman" w:eastAsia="Times New Roman" w:hAnsi="Times New Roman"/>
          <w:b w:val="1"/>
          <w:color w:val="000000"/>
          <w:sz w:val="27"/>
          <w:szCs w:val="27"/>
          <w:rtl w:val="0"/>
        </w:rPr>
        <w:t xml:space="preserve">Challenges and Criticisms</w:t>
      </w:r>
    </w:p>
    <w:p w:rsidR="00000000" w:rsidDel="00000000" w:rsidP="00000000" w:rsidRDefault="00000000" w:rsidRPr="00000000" w14:paraId="000001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Article 20 generally serves its purpose well, it is not without challenges and criticisms.</w:t>
      </w:r>
    </w:p>
    <w:p w:rsidR="00000000" w:rsidDel="00000000" w:rsidP="00000000" w:rsidRDefault="00000000" w:rsidRPr="00000000" w14:paraId="0000016D">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Ambiguity in Definitions</w:t>
      </w:r>
      <w:r w:rsidDel="00000000" w:rsidR="00000000" w:rsidRPr="00000000">
        <w:rPr>
          <w:rFonts w:ascii="Times New Roman" w:cs="Times New Roman" w:eastAsia="Times New Roman" w:hAnsi="Times New Roman"/>
          <w:sz w:val="24"/>
          <w:szCs w:val="24"/>
          <w:rtl w:val="0"/>
        </w:rPr>
        <w:t xml:space="preserve">: One of the main challenges lies in the interpretation of terms such as "maintenance," "education," and "training." Different jurisdictions may interpret these terms differently, leading to potential disputes or inconsistent application of the article.</w:t>
      </w:r>
    </w:p>
    <w:p w:rsidR="00000000" w:rsidDel="00000000" w:rsidP="00000000" w:rsidRDefault="00000000" w:rsidRPr="00000000" w14:paraId="0000016E">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Limited Scope</w:t>
      </w:r>
      <w:r w:rsidDel="00000000" w:rsidR="00000000" w:rsidRPr="00000000">
        <w:rPr>
          <w:rFonts w:ascii="Times New Roman" w:cs="Times New Roman" w:eastAsia="Times New Roman" w:hAnsi="Times New Roman"/>
          <w:sz w:val="24"/>
          <w:szCs w:val="24"/>
          <w:rtl w:val="0"/>
        </w:rPr>
        <w:t xml:space="preserve">: Critics argue that the scope of Article 20 is limited and does not cover all the financial challenges faced by students abroad. For example, income from part-time work is not covered by this exemption, which can be a significant source of financial support for many students.</w:t>
      </w:r>
    </w:p>
    <w:p w:rsidR="00000000" w:rsidDel="00000000" w:rsidP="00000000" w:rsidRDefault="00000000" w:rsidRPr="00000000" w14:paraId="0000016F">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pStyle w:val="Heading2"/>
        <w:numPr>
          <w:ilvl w:val="0"/>
          <w:numId w:val="22"/>
        </w:numPr>
        <w:ind w:left="360" w:hanging="360"/>
        <w:rPr>
          <w:rFonts w:ascii="Times New Roman" w:cs="Times New Roman" w:eastAsia="Times New Roman" w:hAnsi="Times New Roman"/>
          <w:b w:val="1"/>
          <w:color w:val="000000"/>
          <w:sz w:val="27"/>
          <w:szCs w:val="27"/>
        </w:rPr>
      </w:pPr>
      <w:bookmarkStart w:colFirst="0" w:colLast="0" w:name="_heading=h.1x0gk37" w:id="41"/>
      <w:bookmarkEnd w:id="41"/>
      <w:r w:rsidDel="00000000" w:rsidR="00000000" w:rsidRPr="00000000">
        <w:rPr>
          <w:rFonts w:ascii="Times New Roman" w:cs="Times New Roman" w:eastAsia="Times New Roman" w:hAnsi="Times New Roman"/>
          <w:b w:val="1"/>
          <w:color w:val="000000"/>
          <w:sz w:val="27"/>
          <w:szCs w:val="27"/>
          <w:rtl w:val="0"/>
        </w:rPr>
        <w:t xml:space="preserve">Comparison of Article 20 of the OECD MTC (2017) and UN MTC (2021)</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OECD MTC and the UN MTC share identical language and principles regarding the taxation of Government service remunerations, including salaries and wages.  </w:t>
      </w:r>
      <w:r w:rsidDel="00000000" w:rsidR="00000000" w:rsidRPr="00000000">
        <w:rPr>
          <w:rtl w:val="0"/>
        </w:rPr>
      </w:r>
    </w:p>
    <w:sectPr>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pBdr>
        <w:top w:color="d9d9d9" w:space="1" w:sz="4" w:val="single"/>
        <w:left w:space="0" w:sz="0" w:val="nil"/>
        <w:bottom w:space="0" w:sz="0" w:val="nil"/>
        <w:right w:space="0" w:sz="0" w:val="nil"/>
        <w:between w:space="0" w:sz="0" w:val="nil"/>
      </w:pBdr>
      <w:tabs>
        <w:tab w:val="center" w:leader="none" w:pos="4513"/>
        <w:tab w:val="right" w:leader="none" w:pos="9026"/>
      </w:tabs>
      <w:spacing w:after="0" w:line="240" w:lineRule="auto"/>
      <w:ind w:left="3407" w:firstLine="4513"/>
      <w:rPr>
        <w:b w:val="1"/>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b w:val="1"/>
        <w:color w:val="000000"/>
        <w:rtl w:val="0"/>
      </w:rPr>
      <w:t xml:space="preserve"> | </w:t>
    </w:r>
    <w:r w:rsidDel="00000000" w:rsidR="00000000" w:rsidRPr="00000000">
      <w:rPr>
        <w:color w:val="7f7f7f"/>
        <w:rtl w:val="0"/>
      </w:rPr>
      <w:t xml:space="preserve">Page</w:t>
    </w: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right"/>
      <w:pPr>
        <w:ind w:left="720" w:hanging="360"/>
      </w:pPr>
      <w:rPr/>
    </w:lvl>
    <w:lvl w:ilvl="1">
      <w:start w:val="1"/>
      <w:numFmt w:val="decimal"/>
      <w:lvlText w:val="%1.%2."/>
      <w:lvlJc w:val="right"/>
      <w:pPr>
        <w:ind w:left="810" w:hanging="360"/>
      </w:pPr>
      <w:rPr>
        <w:b w:val="1"/>
      </w:rPr>
    </w:lvl>
    <w:lvl w:ilvl="2">
      <w:start w:val="1"/>
      <w:numFmt w:val="decimal"/>
      <w:lvlText w:val="%1.%2.%3."/>
      <w:lvlJc w:val="right"/>
      <w:pPr>
        <w:ind w:left="1260" w:hanging="720"/>
      </w:pPr>
      <w:rPr>
        <w:b w:val="1"/>
      </w:rPr>
    </w:lvl>
    <w:lvl w:ilvl="3">
      <w:start w:val="1"/>
      <w:numFmt w:val="decimal"/>
      <w:lvlText w:val="%1.%2.%3.%4."/>
      <w:lvlJc w:val="right"/>
      <w:pPr>
        <w:ind w:left="720" w:hanging="720"/>
      </w:pPr>
      <w:rPr>
        <w:b w:val="1"/>
      </w:rPr>
    </w:lvl>
    <w:lvl w:ilvl="4">
      <w:start w:val="1"/>
      <w:numFmt w:val="decimal"/>
      <w:lvlText w:val="%1.%2.%3.%4.%5."/>
      <w:lvlJc w:val="right"/>
      <w:pPr>
        <w:ind w:left="1080" w:hanging="1080"/>
      </w:pPr>
      <w:rPr>
        <w:b w:val="1"/>
      </w:rPr>
    </w:lvl>
    <w:lvl w:ilvl="5">
      <w:start w:val="1"/>
      <w:numFmt w:val="decimal"/>
      <w:lvlText w:val="%1.%2.%3.%4.%5.%6."/>
      <w:lvlJc w:val="right"/>
      <w:pPr>
        <w:ind w:left="1080" w:hanging="1080"/>
      </w:pPr>
      <w:rPr>
        <w:b w:val="1"/>
      </w:rPr>
    </w:lvl>
    <w:lvl w:ilvl="6">
      <w:start w:val="1"/>
      <w:numFmt w:val="decimal"/>
      <w:lvlText w:val="%1.%2.%3.%4.%5.%6.%7."/>
      <w:lvlJc w:val="right"/>
      <w:pPr>
        <w:ind w:left="1440" w:hanging="1440"/>
      </w:pPr>
      <w:rPr>
        <w:b w:val="1"/>
      </w:rPr>
    </w:lvl>
    <w:lvl w:ilvl="7">
      <w:start w:val="1"/>
      <w:numFmt w:val="decimal"/>
      <w:lvlText w:val="%1.%2.%3.%4.%5.%6.%7.%8."/>
      <w:lvlJc w:val="right"/>
      <w:pPr>
        <w:ind w:left="1440" w:hanging="1440"/>
      </w:pPr>
      <w:rPr>
        <w:b w:val="1"/>
      </w:rPr>
    </w:lvl>
    <w:lvl w:ilvl="8">
      <w:start w:val="1"/>
      <w:numFmt w:val="decimal"/>
      <w:lvlText w:val="%1.%2.%3.%4.%5.%6.%7.%8.%9."/>
      <w:lvlJc w:val="right"/>
      <w:pPr>
        <w:ind w:left="1800" w:hanging="1800"/>
      </w:pPr>
      <w:rPr>
        <w:b w:val="1"/>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decimal"/>
      <w:lvlText w:val="%2."/>
      <w:lvlJc w:val="left"/>
      <w:pPr>
        <w:ind w:left="1800" w:hanging="360"/>
      </w:pPr>
      <w:rPr/>
    </w:lvl>
    <w:lvl w:ilvl="2">
      <w:start w:val="1"/>
      <w:numFmt w:val="decimal"/>
      <w:lvlText w:val="%3."/>
      <w:lvlJc w:val="left"/>
      <w:pPr>
        <w:ind w:left="2520" w:hanging="360"/>
      </w:pPr>
      <w:rPr/>
    </w:lvl>
    <w:lvl w:ilvl="3">
      <w:start w:val="1"/>
      <w:numFmt w:val="decimal"/>
      <w:lvlText w:val="%4."/>
      <w:lvlJc w:val="left"/>
      <w:pPr>
        <w:ind w:left="3240" w:hanging="360"/>
      </w:pPr>
      <w:rPr/>
    </w:lvl>
    <w:lvl w:ilvl="4">
      <w:start w:val="1"/>
      <w:numFmt w:val="decimal"/>
      <w:lvlText w:val="%5."/>
      <w:lvlJc w:val="left"/>
      <w:pPr>
        <w:ind w:left="3960" w:hanging="360"/>
      </w:pPr>
      <w:rPr/>
    </w:lvl>
    <w:lvl w:ilvl="5">
      <w:start w:val="1"/>
      <w:numFmt w:val="decimal"/>
      <w:lvlText w:val="%6."/>
      <w:lvlJc w:val="left"/>
      <w:pPr>
        <w:ind w:left="4680" w:hanging="360"/>
      </w:pPr>
      <w:rPr/>
    </w:lvl>
    <w:lvl w:ilvl="6">
      <w:start w:val="1"/>
      <w:numFmt w:val="decimal"/>
      <w:lvlText w:val="%7."/>
      <w:lvlJc w:val="left"/>
      <w:pPr>
        <w:ind w:left="5400" w:hanging="360"/>
      </w:pPr>
      <w:rPr/>
    </w:lvl>
    <w:lvl w:ilvl="7">
      <w:start w:val="1"/>
      <w:numFmt w:val="decimal"/>
      <w:lvlText w:val="%8."/>
      <w:lvlJc w:val="left"/>
      <w:pPr>
        <w:ind w:left="6120" w:hanging="360"/>
      </w:pPr>
      <w:rPr/>
    </w:lvl>
    <w:lvl w:ilvl="8">
      <w:start w:val="1"/>
      <w:numFmt w:val="decimal"/>
      <w:lvlText w:val="%9."/>
      <w:lvlJc w:val="left"/>
      <w:pPr>
        <w:ind w:left="6840" w:hanging="360"/>
      </w:pPr>
      <w:rPr/>
    </w:lvl>
  </w:abstractNum>
  <w:abstractNum w:abstractNumId="8">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9">
    <w:lvl w:ilvl="0">
      <w:start w:val="1"/>
      <w:numFmt w:val="decimal"/>
      <w:lvlText w:val="%1."/>
      <w:lvlJc w:val="left"/>
      <w:pPr>
        <w:ind w:left="360" w:hanging="360"/>
      </w:pPr>
      <w:rPr/>
    </w:lvl>
    <w:lvl w:ilvl="1">
      <w:start w:val="1"/>
      <w:numFmt w:val="lowerLetter"/>
      <w:lvlText w:val="%2."/>
      <w:lvlJc w:val="left"/>
      <w:pPr>
        <w:ind w:left="360" w:hanging="360"/>
      </w:pPr>
      <w:rPr/>
    </w:lvl>
    <w:lvl w:ilvl="2">
      <w:start w:val="1"/>
      <w:numFmt w:val="lowerRoman"/>
      <w:lvlText w:val="%3."/>
      <w:lvlJc w:val="right"/>
      <w:pPr>
        <w:ind w:left="1080" w:hanging="180"/>
      </w:pPr>
      <w:rPr/>
    </w:lvl>
    <w:lvl w:ilvl="3">
      <w:start w:val="1"/>
      <w:numFmt w:val="decimal"/>
      <w:lvlText w:val="%4."/>
      <w:lvlJc w:val="left"/>
      <w:pPr>
        <w:ind w:left="1800" w:hanging="360"/>
      </w:pPr>
      <w:rPr/>
    </w:lvl>
    <w:lvl w:ilvl="4">
      <w:start w:val="1"/>
      <w:numFmt w:val="lowerLetter"/>
      <w:lvlText w:val="%5."/>
      <w:lvlJc w:val="left"/>
      <w:pPr>
        <w:ind w:left="2520" w:hanging="360"/>
      </w:pPr>
      <w:rPr/>
    </w:lvl>
    <w:lvl w:ilvl="5">
      <w:start w:val="1"/>
      <w:numFmt w:val="lowerRoman"/>
      <w:lvlText w:val="%6."/>
      <w:lvlJc w:val="right"/>
      <w:pPr>
        <w:ind w:left="3240" w:hanging="180"/>
      </w:pPr>
      <w:rPr/>
    </w:lvl>
    <w:lvl w:ilvl="6">
      <w:start w:val="1"/>
      <w:numFmt w:val="decimal"/>
      <w:lvlText w:val="%7."/>
      <w:lvlJc w:val="left"/>
      <w:pPr>
        <w:ind w:left="3960" w:hanging="360"/>
      </w:pPr>
      <w:rPr/>
    </w:lvl>
    <w:lvl w:ilvl="7">
      <w:start w:val="1"/>
      <w:numFmt w:val="lowerLetter"/>
      <w:lvlText w:val="%8."/>
      <w:lvlJc w:val="left"/>
      <w:pPr>
        <w:ind w:left="4680" w:hanging="360"/>
      </w:pPr>
      <w:rPr/>
    </w:lvl>
    <w:lvl w:ilvl="8">
      <w:start w:val="1"/>
      <w:numFmt w:val="lowerRoman"/>
      <w:lvlText w:val="%9."/>
      <w:lvlJc w:val="right"/>
      <w:pPr>
        <w:ind w:left="5400" w:hanging="180"/>
      </w:pPr>
      <w:rPr/>
    </w:lvl>
  </w:abstractNum>
  <w:abstractNum w:abstractNumId="10">
    <w:lvl w:ilvl="0">
      <w:start w:val="1"/>
      <w:numFmt w:val="decimal"/>
      <w:lvlText w:val="%1."/>
      <w:lvlJc w:val="left"/>
      <w:pPr>
        <w:ind w:left="360" w:hanging="360"/>
      </w:pPr>
      <w:rPr>
        <w:b w:val="1"/>
      </w:rPr>
    </w:lvl>
    <w:lvl w:ilvl="1">
      <w:start w:val="1"/>
      <w:numFmt w:val="decimal"/>
      <w:lvlText w:val="%1.%2."/>
      <w:lvlJc w:val="left"/>
      <w:pPr>
        <w:ind w:left="360" w:hanging="360"/>
      </w:pPr>
      <w:rPr>
        <w:b w:val="1"/>
      </w:rPr>
    </w:lvl>
    <w:lvl w:ilvl="2">
      <w:start w:val="1"/>
      <w:numFmt w:val="decimal"/>
      <w:lvlText w:val="%1.%2.%3."/>
      <w:lvlJc w:val="left"/>
      <w:pPr>
        <w:ind w:left="720" w:hanging="720"/>
      </w:pPr>
      <w:rPr>
        <w:b w:val="1"/>
      </w:rPr>
    </w:lvl>
    <w:lvl w:ilvl="3">
      <w:start w:val="1"/>
      <w:numFmt w:val="decimal"/>
      <w:lvlText w:val="%1.%2.%3.%4."/>
      <w:lvlJc w:val="left"/>
      <w:pPr>
        <w:ind w:left="720" w:hanging="720"/>
      </w:pPr>
      <w:rPr>
        <w:b w:val="1"/>
      </w:rPr>
    </w:lvl>
    <w:lvl w:ilvl="4">
      <w:start w:val="1"/>
      <w:numFmt w:val="decimal"/>
      <w:lvlText w:val="%1.%2.%3.%4.%5."/>
      <w:lvlJc w:val="left"/>
      <w:pPr>
        <w:ind w:left="1080" w:hanging="1080"/>
      </w:pPr>
      <w:rPr>
        <w:b w:val="1"/>
      </w:rPr>
    </w:lvl>
    <w:lvl w:ilvl="5">
      <w:start w:val="1"/>
      <w:numFmt w:val="decimal"/>
      <w:lvlText w:val="%1.%2.%3.%4.%5.%6."/>
      <w:lvlJc w:val="left"/>
      <w:pPr>
        <w:ind w:left="1080" w:hanging="108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11">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2">
    <w:lvl w:ilvl="0">
      <w:start w:val="3"/>
      <w:numFmt w:val="decimal"/>
      <w:lvlText w:val="%1."/>
      <w:lvlJc w:val="left"/>
      <w:pPr>
        <w:ind w:left="360" w:hanging="360"/>
      </w:pPr>
      <w:rPr>
        <w:b w:val="1"/>
      </w:rPr>
    </w:lvl>
    <w:lvl w:ilvl="1">
      <w:start w:val="1"/>
      <w:numFmt w:val="decimal"/>
      <w:lvlText w:val="%1.%2."/>
      <w:lvlJc w:val="left"/>
      <w:pPr>
        <w:ind w:left="360" w:hanging="360"/>
      </w:pPr>
      <w:rPr>
        <w:b w:val="1"/>
      </w:rPr>
    </w:lvl>
    <w:lvl w:ilvl="2">
      <w:start w:val="1"/>
      <w:numFmt w:val="decimal"/>
      <w:lvlText w:val="%1.%2.%3."/>
      <w:lvlJc w:val="left"/>
      <w:pPr>
        <w:ind w:left="720" w:hanging="720"/>
      </w:pPr>
      <w:rPr>
        <w:b w:val="1"/>
      </w:rPr>
    </w:lvl>
    <w:lvl w:ilvl="3">
      <w:start w:val="1"/>
      <w:numFmt w:val="decimal"/>
      <w:lvlText w:val="%1.%2.%3.%4."/>
      <w:lvlJc w:val="left"/>
      <w:pPr>
        <w:ind w:left="720" w:hanging="720"/>
      </w:pPr>
      <w:rPr>
        <w:b w:val="1"/>
      </w:rPr>
    </w:lvl>
    <w:lvl w:ilvl="4">
      <w:start w:val="1"/>
      <w:numFmt w:val="decimal"/>
      <w:lvlText w:val="%1.%2.%3.%4.%5."/>
      <w:lvlJc w:val="left"/>
      <w:pPr>
        <w:ind w:left="1080" w:hanging="1080"/>
      </w:pPr>
      <w:rPr>
        <w:b w:val="1"/>
      </w:rPr>
    </w:lvl>
    <w:lvl w:ilvl="5">
      <w:start w:val="1"/>
      <w:numFmt w:val="decimal"/>
      <w:lvlText w:val="%1.%2.%3.%4.%5.%6."/>
      <w:lvlJc w:val="left"/>
      <w:pPr>
        <w:ind w:left="1080" w:hanging="108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13">
    <w:lvl w:ilvl="0">
      <w:start w:val="4"/>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4">
    <w:lvl w:ilvl="0">
      <w:start w:val="1"/>
      <w:numFmt w:val="decimal"/>
      <w:lvlText w:val="%1."/>
      <w:lvlJc w:val="left"/>
      <w:pPr>
        <w:ind w:left="90" w:firstLine="15"/>
      </w:pPr>
      <w:rPr/>
    </w:lvl>
    <w:lvl w:ilvl="1">
      <w:start w:val="1"/>
      <w:numFmt w:val="decimal"/>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5">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360" w:hanging="360"/>
      </w:pPr>
      <w:rPr>
        <w:sz w:val="22"/>
        <w:szCs w:val="22"/>
      </w:rPr>
    </w:lvl>
    <w:lvl w:ilvl="1">
      <w:start w:val="1"/>
      <w:numFmt w:val="decimal"/>
      <w:lvlText w:val="%1.%2."/>
      <w:lvlJc w:val="left"/>
      <w:pPr>
        <w:ind w:left="360" w:hanging="360"/>
      </w:pPr>
      <w:rPr>
        <w:sz w:val="22"/>
        <w:szCs w:val="22"/>
      </w:rPr>
    </w:lvl>
    <w:lvl w:ilvl="2">
      <w:start w:val="1"/>
      <w:numFmt w:val="decimal"/>
      <w:lvlText w:val="%1.%2.%3."/>
      <w:lvlJc w:val="left"/>
      <w:pPr>
        <w:ind w:left="720" w:hanging="720"/>
      </w:pPr>
      <w:rPr>
        <w:sz w:val="22"/>
        <w:szCs w:val="22"/>
      </w:rPr>
    </w:lvl>
    <w:lvl w:ilvl="3">
      <w:start w:val="1"/>
      <w:numFmt w:val="decimal"/>
      <w:lvlText w:val="%1.%2.%3.%4."/>
      <w:lvlJc w:val="left"/>
      <w:pPr>
        <w:ind w:left="720" w:hanging="720"/>
      </w:pPr>
      <w:rPr>
        <w:sz w:val="22"/>
        <w:szCs w:val="22"/>
      </w:rPr>
    </w:lvl>
    <w:lvl w:ilvl="4">
      <w:start w:val="1"/>
      <w:numFmt w:val="decimal"/>
      <w:lvlText w:val="%1.%2.%3.%4.%5."/>
      <w:lvlJc w:val="left"/>
      <w:pPr>
        <w:ind w:left="1080" w:hanging="1080"/>
      </w:pPr>
      <w:rPr>
        <w:sz w:val="22"/>
        <w:szCs w:val="22"/>
      </w:rPr>
    </w:lvl>
    <w:lvl w:ilvl="5">
      <w:start w:val="1"/>
      <w:numFmt w:val="decimal"/>
      <w:lvlText w:val="%1.%2.%3.%4.%5.%6."/>
      <w:lvlJc w:val="left"/>
      <w:pPr>
        <w:ind w:left="1080" w:hanging="1080"/>
      </w:pPr>
      <w:rPr>
        <w:sz w:val="22"/>
        <w:szCs w:val="22"/>
      </w:rPr>
    </w:lvl>
    <w:lvl w:ilvl="6">
      <w:start w:val="1"/>
      <w:numFmt w:val="decimal"/>
      <w:lvlText w:val="%1.%2.%3.%4.%5.%6.%7."/>
      <w:lvlJc w:val="left"/>
      <w:pPr>
        <w:ind w:left="1440" w:hanging="1440"/>
      </w:pPr>
      <w:rPr>
        <w:sz w:val="22"/>
        <w:szCs w:val="22"/>
      </w:rPr>
    </w:lvl>
    <w:lvl w:ilvl="7">
      <w:start w:val="1"/>
      <w:numFmt w:val="decimal"/>
      <w:lvlText w:val="%1.%2.%3.%4.%5.%6.%7.%8."/>
      <w:lvlJc w:val="left"/>
      <w:pPr>
        <w:ind w:left="1440" w:hanging="1440"/>
      </w:pPr>
      <w:rPr>
        <w:sz w:val="22"/>
        <w:szCs w:val="22"/>
      </w:rPr>
    </w:lvl>
    <w:lvl w:ilvl="8">
      <w:start w:val="1"/>
      <w:numFmt w:val="decimal"/>
      <w:lvlText w:val="%1.%2.%3.%4.%5.%6.%7.%8.%9."/>
      <w:lvlJc w:val="left"/>
      <w:pPr>
        <w:ind w:left="1800" w:hanging="1800"/>
      </w:pPr>
      <w:rPr>
        <w:sz w:val="22"/>
        <w:szCs w:val="22"/>
      </w:rPr>
    </w:lvl>
  </w:abstractNum>
  <w:abstractNum w:abstractNumId="17">
    <w:lvl w:ilvl="0">
      <w:start w:val="4"/>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8">
    <w:lvl w:ilvl="0">
      <w:start w:val="3"/>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9">
    <w:lvl w:ilvl="0">
      <w:start w:val="2"/>
      <w:numFmt w:val="decimal"/>
      <w:lvlText w:val="%1."/>
      <w:lvlJc w:val="left"/>
      <w:pPr>
        <w:ind w:left="360" w:hanging="360"/>
      </w:pPr>
      <w:rPr>
        <w:b w:val="1"/>
      </w:rPr>
    </w:lvl>
    <w:lvl w:ilvl="1">
      <w:start w:val="1"/>
      <w:numFmt w:val="decimal"/>
      <w:lvlText w:val="%1.%2."/>
      <w:lvlJc w:val="left"/>
      <w:pPr>
        <w:ind w:left="360" w:hanging="360"/>
      </w:pPr>
      <w:rPr>
        <w:b w:val="1"/>
      </w:rPr>
    </w:lvl>
    <w:lvl w:ilvl="2">
      <w:start w:val="1"/>
      <w:numFmt w:val="decimal"/>
      <w:lvlText w:val="%1.%2.%3."/>
      <w:lvlJc w:val="left"/>
      <w:pPr>
        <w:ind w:left="720" w:hanging="720"/>
      </w:pPr>
      <w:rPr>
        <w:b w:val="1"/>
      </w:rPr>
    </w:lvl>
    <w:lvl w:ilvl="3">
      <w:start w:val="1"/>
      <w:numFmt w:val="decimal"/>
      <w:lvlText w:val="%1.%2.%3.%4."/>
      <w:lvlJc w:val="left"/>
      <w:pPr>
        <w:ind w:left="720" w:hanging="720"/>
      </w:pPr>
      <w:rPr>
        <w:b w:val="1"/>
      </w:rPr>
    </w:lvl>
    <w:lvl w:ilvl="4">
      <w:start w:val="1"/>
      <w:numFmt w:val="decimal"/>
      <w:lvlText w:val="%1.%2.%3.%4.%5."/>
      <w:lvlJc w:val="left"/>
      <w:pPr>
        <w:ind w:left="1080" w:hanging="1080"/>
      </w:pPr>
      <w:rPr>
        <w:b w:val="1"/>
      </w:rPr>
    </w:lvl>
    <w:lvl w:ilvl="5">
      <w:start w:val="1"/>
      <w:numFmt w:val="decimal"/>
      <w:lvlText w:val="%1.%2.%3.%4.%5.%6."/>
      <w:lvlJc w:val="left"/>
      <w:pPr>
        <w:ind w:left="1080" w:hanging="108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20">
    <w:lvl w:ilvl="0">
      <w:start w:val="7"/>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1">
    <w:lvl w:ilvl="0">
      <w:start w:val="1"/>
      <w:numFmt w:val="decimal"/>
      <w:lvlText w:val="%1."/>
      <w:lvlJc w:val="left"/>
      <w:pPr>
        <w:ind w:left="360" w:hanging="360"/>
      </w:pPr>
      <w:rPr/>
    </w:lvl>
    <w:lvl w:ilvl="1">
      <w:start w:val="1"/>
      <w:numFmt w:val="decimal"/>
      <w:lvlText w:val="%1.%2."/>
      <w:lvlJc w:val="left"/>
      <w:pPr>
        <w:ind w:left="360" w:hanging="360"/>
      </w:pPr>
      <w:rPr>
        <w:b w:val="1"/>
      </w:rPr>
    </w:lvl>
    <w:lvl w:ilvl="2">
      <w:start w:val="1"/>
      <w:numFmt w:val="decimal"/>
      <w:lvlText w:val="%1.%2.%3."/>
      <w:lvlJc w:val="left"/>
      <w:pPr>
        <w:ind w:left="720" w:hanging="720"/>
      </w:pPr>
      <w:rPr>
        <w:b w:val="1"/>
      </w:rPr>
    </w:lvl>
    <w:lvl w:ilvl="3">
      <w:start w:val="1"/>
      <w:numFmt w:val="decimal"/>
      <w:lvlText w:val="%1.%2.%3.%4."/>
      <w:lvlJc w:val="left"/>
      <w:pPr>
        <w:ind w:left="720" w:hanging="720"/>
      </w:pPr>
      <w:rPr>
        <w:b w:val="1"/>
      </w:rPr>
    </w:lvl>
    <w:lvl w:ilvl="4">
      <w:start w:val="1"/>
      <w:numFmt w:val="decimal"/>
      <w:lvlText w:val="%1.%2.%3.%4.%5."/>
      <w:lvlJc w:val="left"/>
      <w:pPr>
        <w:ind w:left="1080" w:hanging="1080"/>
      </w:pPr>
      <w:rPr>
        <w:b w:val="1"/>
      </w:rPr>
    </w:lvl>
    <w:lvl w:ilvl="5">
      <w:start w:val="1"/>
      <w:numFmt w:val="decimal"/>
      <w:lvlText w:val="%1.%2.%3.%4.%5.%6."/>
      <w:lvlJc w:val="left"/>
      <w:pPr>
        <w:ind w:left="1080" w:hanging="108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2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GB"/>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left="360"/>
      <w:jc w:val="left"/>
    </w:pPr>
    <w:rPr>
      <w:b w:val="1"/>
      <w:sz w:val="28"/>
      <w:szCs w:val="28"/>
    </w:rPr>
  </w:style>
  <w:style w:type="paragraph" w:styleId="Heading2">
    <w:name w:val="heading 2"/>
    <w:basedOn w:val="Normal"/>
    <w:next w:val="Normal"/>
    <w:pPr>
      <w:keepNext w:val="1"/>
      <w:keepLines w:val="1"/>
      <w:spacing w:after="0" w:before="240" w:line="278.00000000000006" w:lineRule="auto"/>
      <w:ind w:firstLine="15"/>
      <w:jc w:val="both"/>
    </w:pPr>
    <w:rPr>
      <w:rFonts w:ascii="Times New Roman" w:cs="Times New Roman" w:eastAsia="Times New Roman" w:hAnsi="Times New Roman"/>
      <w:b w:val="1"/>
      <w:sz w:val="27"/>
      <w:szCs w:val="27"/>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jc w:val="center"/>
    </w:pPr>
    <w:rPr>
      <w:rFonts w:ascii="Times New Roman" w:cs="Times New Roman" w:eastAsia="Times New Roman" w:hAnsi="Times New Roman"/>
      <w:b w:val="1"/>
      <w:sz w:val="32"/>
      <w:szCs w:val="32"/>
    </w:rPr>
  </w:style>
  <w:style w:type="paragraph" w:styleId="Normal" w:default="1">
    <w:name w:val="Normal"/>
    <w:qFormat w:val="1"/>
    <w:rsid w:val="002320FD"/>
  </w:style>
  <w:style w:type="paragraph" w:styleId="Heading1">
    <w:name w:val="heading 1"/>
    <w:basedOn w:val="Normal"/>
    <w:next w:val="Normal"/>
    <w:link w:val="Heading1Char"/>
    <w:uiPriority w:val="9"/>
    <w:qFormat w:val="1"/>
    <w:rsid w:val="00031377"/>
    <w:pPr>
      <w:keepNext w:val="1"/>
      <w:keepLines w:val="1"/>
      <w:spacing w:after="0" w:before="240"/>
      <w:outlineLvl w:val="0"/>
    </w:pPr>
    <w:rPr>
      <w:rFonts w:ascii="Times New Roman" w:hAnsi="Times New Roman" w:cstheme="majorBidi" w:eastAsiaTheme="majorEastAsia"/>
      <w:b w:val="1"/>
      <w:color w:val="000000" w:themeColor="text1"/>
      <w:sz w:val="28"/>
      <w:szCs w:val="28"/>
    </w:rPr>
  </w:style>
  <w:style w:type="paragraph" w:styleId="Heading2">
    <w:name w:val="heading 2"/>
    <w:basedOn w:val="Normal"/>
    <w:next w:val="Normal"/>
    <w:link w:val="Heading2Char"/>
    <w:uiPriority w:val="9"/>
    <w:unhideWhenUsed w:val="1"/>
    <w:qFormat w:val="1"/>
    <w:rsid w:val="00AB5F25"/>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link w:val="Heading4Char"/>
    <w:uiPriority w:val="9"/>
    <w:semiHidden w:val="1"/>
    <w:unhideWhenUsed w:val="1"/>
    <w:qFormat w:val="1"/>
    <w:rsid w:val="00031377"/>
    <w:pPr>
      <w:keepNext w:val="1"/>
      <w:keepLines w:val="1"/>
      <w:spacing w:after="0" w:before="40"/>
      <w:outlineLvl w:val="3"/>
    </w:pPr>
    <w:rPr>
      <w:rFonts w:asciiTheme="majorHAnsi" w:cstheme="majorBidi" w:eastAsiaTheme="majorEastAsia" w:hAnsiTheme="majorHAnsi"/>
      <w:i w:val="1"/>
      <w:iCs w:val="1"/>
      <w:color w:val="2f5496" w:themeColor="accent1" w:themeShade="0000BF"/>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1Char" w:customStyle="1">
    <w:name w:val="Heading 1 Char"/>
    <w:basedOn w:val="DefaultParagraphFont"/>
    <w:link w:val="Heading1"/>
    <w:uiPriority w:val="9"/>
    <w:rsid w:val="00031377"/>
    <w:rPr>
      <w:rFonts w:ascii="Times New Roman" w:hAnsi="Times New Roman" w:cstheme="majorBidi" w:eastAsiaTheme="majorEastAsia"/>
      <w:b w:val="1"/>
      <w:color w:val="000000" w:themeColor="text1"/>
      <w:sz w:val="28"/>
      <w:szCs w:val="28"/>
    </w:rPr>
  </w:style>
  <w:style w:type="paragraph" w:styleId="ListParagraph">
    <w:name w:val="List Paragraph"/>
    <w:basedOn w:val="Normal"/>
    <w:uiPriority w:val="34"/>
    <w:qFormat w:val="1"/>
    <w:rsid w:val="007439C8"/>
    <w:pPr>
      <w:ind w:left="720"/>
      <w:contextualSpacing w:val="1"/>
    </w:pPr>
  </w:style>
  <w:style w:type="character" w:styleId="Heading4Char" w:customStyle="1">
    <w:name w:val="Heading 4 Char"/>
    <w:basedOn w:val="DefaultParagraphFont"/>
    <w:link w:val="Heading4"/>
    <w:uiPriority w:val="9"/>
    <w:semiHidden w:val="1"/>
    <w:rsid w:val="00031377"/>
    <w:rPr>
      <w:rFonts w:asciiTheme="majorHAnsi" w:cstheme="majorBidi" w:eastAsiaTheme="majorEastAsia" w:hAnsiTheme="majorHAnsi"/>
      <w:i w:val="1"/>
      <w:iCs w:val="1"/>
      <w:color w:val="2f5496" w:themeColor="accent1" w:themeShade="0000BF"/>
    </w:rPr>
  </w:style>
  <w:style w:type="paragraph" w:styleId="TOCHeading">
    <w:name w:val="TOC Heading"/>
    <w:basedOn w:val="Heading1"/>
    <w:next w:val="Normal"/>
    <w:uiPriority w:val="39"/>
    <w:unhideWhenUsed w:val="1"/>
    <w:qFormat w:val="1"/>
    <w:rsid w:val="00551E5A"/>
    <w:pPr>
      <w:outlineLvl w:val="9"/>
    </w:pPr>
    <w:rPr>
      <w:rFonts w:asciiTheme="majorHAnsi" w:hAnsiTheme="majorHAnsi"/>
      <w:b w:val="0"/>
      <w:color w:val="2f5496" w:themeColor="accent1" w:themeShade="0000BF"/>
      <w:sz w:val="32"/>
      <w:szCs w:val="32"/>
    </w:rPr>
  </w:style>
  <w:style w:type="paragraph" w:styleId="TOC1">
    <w:name w:val="toc 1"/>
    <w:basedOn w:val="Normal"/>
    <w:next w:val="Normal"/>
    <w:autoRedefine w:val="1"/>
    <w:uiPriority w:val="39"/>
    <w:unhideWhenUsed w:val="1"/>
    <w:rsid w:val="00551E5A"/>
    <w:pPr>
      <w:spacing w:after="100"/>
    </w:pPr>
  </w:style>
  <w:style w:type="character" w:styleId="Hyperlink">
    <w:name w:val="Hyperlink"/>
    <w:basedOn w:val="DefaultParagraphFont"/>
    <w:uiPriority w:val="99"/>
    <w:unhideWhenUsed w:val="1"/>
    <w:rsid w:val="00551E5A"/>
    <w:rPr>
      <w:color w:val="0563c1" w:themeColor="hyperlink"/>
      <w:u w:val="single"/>
    </w:rPr>
  </w:style>
  <w:style w:type="paragraph" w:styleId="Header">
    <w:name w:val="header"/>
    <w:basedOn w:val="Normal"/>
    <w:link w:val="HeaderChar"/>
    <w:uiPriority w:val="99"/>
    <w:unhideWhenUsed w:val="1"/>
    <w:rsid w:val="00551E5A"/>
    <w:pPr>
      <w:tabs>
        <w:tab w:val="center" w:pos="4513"/>
        <w:tab w:val="right" w:pos="9026"/>
      </w:tabs>
      <w:spacing w:after="0" w:line="240" w:lineRule="auto"/>
    </w:pPr>
  </w:style>
  <w:style w:type="character" w:styleId="HeaderChar" w:customStyle="1">
    <w:name w:val="Header Char"/>
    <w:basedOn w:val="DefaultParagraphFont"/>
    <w:link w:val="Header"/>
    <w:uiPriority w:val="99"/>
    <w:rsid w:val="00551E5A"/>
  </w:style>
  <w:style w:type="paragraph" w:styleId="Footer">
    <w:name w:val="footer"/>
    <w:basedOn w:val="Normal"/>
    <w:link w:val="FooterChar"/>
    <w:uiPriority w:val="99"/>
    <w:unhideWhenUsed w:val="1"/>
    <w:rsid w:val="00551E5A"/>
    <w:pPr>
      <w:tabs>
        <w:tab w:val="center" w:pos="4513"/>
        <w:tab w:val="right" w:pos="9026"/>
      </w:tabs>
      <w:spacing w:after="0" w:line="240" w:lineRule="auto"/>
    </w:pPr>
  </w:style>
  <w:style w:type="character" w:styleId="FooterChar" w:customStyle="1">
    <w:name w:val="Footer Char"/>
    <w:basedOn w:val="DefaultParagraphFont"/>
    <w:link w:val="Footer"/>
    <w:uiPriority w:val="99"/>
    <w:rsid w:val="00551E5A"/>
  </w:style>
  <w:style w:type="character" w:styleId="Heading2Char" w:customStyle="1">
    <w:name w:val="Heading 2 Char"/>
    <w:basedOn w:val="DefaultParagraphFont"/>
    <w:link w:val="Heading2"/>
    <w:uiPriority w:val="9"/>
    <w:rsid w:val="00AB5F25"/>
    <w:rPr>
      <w:rFonts w:asciiTheme="majorHAnsi" w:cstheme="majorBidi" w:eastAsiaTheme="majorEastAsia" w:hAnsiTheme="majorHAnsi"/>
      <w:color w:val="2f5496" w:themeColor="accent1" w:themeShade="0000BF"/>
      <w:sz w:val="26"/>
      <w:szCs w:val="26"/>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NormalWeb">
    <w:name w:val="Normal (Web)"/>
    <w:basedOn w:val="Normal"/>
    <w:uiPriority w:val="99"/>
    <w:unhideWhenUsed w:val="1"/>
    <w:rsid w:val="00945014"/>
    <w:pPr>
      <w:spacing w:after="100" w:afterAutospacing="1" w:before="100" w:beforeAutospacing="1" w:line="240" w:lineRule="auto"/>
    </w:pPr>
    <w:rPr>
      <w:rFonts w:ascii="Times New Roman" w:cs="Times New Roman" w:eastAsia="Times New Roman" w:hAnsi="Times New Roman"/>
      <w:sz w:val="24"/>
      <w:szCs w:val="24"/>
    </w:rPr>
  </w:style>
  <w:style w:type="paragraph" w:styleId="TOC2">
    <w:name w:val="toc 2"/>
    <w:basedOn w:val="Normal"/>
    <w:next w:val="Normal"/>
    <w:autoRedefine w:val="1"/>
    <w:uiPriority w:val="39"/>
    <w:unhideWhenUsed w:val="1"/>
    <w:rsid w:val="00945014"/>
    <w:pPr>
      <w:spacing w:after="100"/>
      <w:ind w:left="220"/>
    </w:p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ajUVdJCCNPoK1OCTxcJ6Bb8yYQ==">CgMxLjA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5oLnM4azQ3bWZydnF1djIJaC4xZWdxdDJwMgloLjN5Z2VicWkyCWguMmRsb2x5YjIIaC5zcXl3NjQyCWguM2NxbWV0eDIJaC4xcnZ3cDFxMgloLjRidms3cGoyCWguMnIwdWh4YzIOaC54b3BsamhkNHBuZjgyCWguMTY2NHM1NTIJaC4zcTVzYXN5MgloLjI1YjJsMHIyCGgua2djdjhrMgloLjM0ZzBkd2QyCWguMWpsYW80NjIJaC40M2t5NnJ6MgloLjJpcThnenMyCGgueHZpcjdsMgloLjNodjY5dmUyCWguMXgwZ2szNzgAciExTzBoVUlRR3RvUHF2UTJVRjNUaVBXNUxPVGFYZkhGen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2025-01-16T22:13:00Z</dcterms:created>
  <dc:creator>victory otamiri</dc:creator>
</cp:coreProperties>
</file>