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Bdr>
          <w:top w:space="0" w:sz="0" w:val="nil"/>
          <w:left w:space="0" w:sz="0" w:val="nil"/>
          <w:bottom w:space="0" w:sz="0" w:val="nil"/>
          <w:right w:space="0" w:sz="0" w:val="nil"/>
          <w:between w:space="0" w:sz="0" w:val="nil"/>
        </w:pBdr>
        <w:spacing w:after="0" w:before="240" w:lineRule="auto"/>
        <w:jc w:val="both"/>
        <w:rPr>
          <w:rFonts w:ascii="Times New Roman" w:cs="Times New Roman" w:eastAsia="Times New Roman" w:hAnsi="Times New Roman"/>
          <w:i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1"/>
          <w:color w:val="2f5496"/>
          <w:sz w:val="24"/>
          <w:szCs w:val="24"/>
          <w:rtl w:val="0"/>
        </w:rPr>
        <w:t xml:space="preserve">Contents</w:t>
      </w:r>
      <w:r w:rsidDel="00000000" w:rsidR="00000000" w:rsidRPr="00000000">
        <w:rPr>
          <w:rtl w:val="0"/>
        </w:rPr>
      </w:r>
    </w:p>
    <w:sdt>
      <w:sdtPr>
        <w:id w:val="803038786"/>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after="0" w:before="60" w:line="240" w:lineRule="auto"/>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2hioqz">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K.1. INCOME FROM LAND – ARTICLE 6, OECD MTC</w:t>
              <w:tab/>
              <w:t xml:space="preserve">3</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after="0"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1hmsyys">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 The Scope of Article 6</w:t>
              <w:tab/>
              <w:t xml:space="preserve">3</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after="0"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41mghml">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 Taxation Rights under Article 6</w:t>
              <w:tab/>
              <w:t xml:space="preserve">4</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after="0"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2grqrue">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 Income from Agriculture and Forestry</w:t>
              <w:tab/>
              <w:t xml:space="preserve">4</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vx1227">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 Practical Implications and Case Law</w:t>
              <w:tab/>
              <w:t xml:space="preserve">5</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3fwokq0">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 Income from the Direct Use, Letting, or Use in Any Other Form</w:t>
              <w:tab/>
              <w:t xml:space="preserve">6</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 Income from Immovable Property of an Enterprise</w:t>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7. Comparison with Other OECD MTC Articles</w:t>
              <w:tab/>
              <w:t xml:space="preserve">7</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jc w:val="both"/>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1v1yux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K.2. DIVIDENDS – ARTICLE 10, OECD MTC AND UN MDTC (INCLUDING SOME CONSIDERATION OF THE FORMS OF DIVIDEND ARTICLE USED BY KEY STATES, E.G. US, UK, FRANCE, GERMANY)</w:t>
              <w:tab/>
              <w:t xml:space="preserve">8</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4f1mdlm">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 The Purpose and Structure of Article 10</w:t>
              <w:tab/>
              <w:t xml:space="preserve">8</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xw9gnbwx13a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 Article 10 (1): The Tax Sharing Rule</w:t>
              <w:tab/>
              <w:t xml:space="preserve">8</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ufjspinjakb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 Article 10 (2): Limitation on Source Taxation</w:t>
              <w:tab/>
              <w:t xml:space="preserve">9</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wobzywhiis5n">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 Article 10 (3): Non-exhaustive Definition of Dividends </w:t>
              <w:tab/>
              <w:t xml:space="preserve">9</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pi0ein72c7vp">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 Article 10 (4): Transfer of Shares to a PE and the Arm's Length Principle</w:t>
              <w:tab/>
              <w:t xml:space="preserve">10</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n0180f7o1ljq">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 Article 10 (5): Prohibition of Extraterritorial Taxation </w:t>
              <w:tab/>
              <w:t xml:space="preserve">10</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2mdhi7ezi4yg">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7. Impact of Domestic Tax Features on Article 10</w:t>
              <w:tab/>
              <w:t xml:space="preserve">11</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412q7hce7dd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8. Comparison of Article 10 of the OECD MTC (2017) and UN MTC (2021)</w:t>
              <w:tab/>
              <w:t xml:space="preserve">13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jc w:val="both"/>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46r0co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K.3. INTEREST – ARTICLE 11, OECD MTC</w:t>
              <w:tab/>
              <w:t xml:space="preserve">14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tm2njsefgbo">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 Comparison - Interests and Shares</w:t>
              <w:tab/>
              <w:t xml:space="preserve">14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b9r7be43wgpm">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 Article 11(1): Tax sharing </w:t>
              <w:tab/>
              <w:t xml:space="preserve">14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lqw5252o221o">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 Article 11(2): Limitation on Source Taxation </w:t>
              <w:tab/>
              <w:t xml:space="preserve">15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cdtz1wq6bilp">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 Article 11(3): Exhaustive Definition</w:t>
              <w:tab/>
              <w:t xml:space="preserve">15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1s77ykc2fomg">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 Article 11(4): Interest Received by a PE </w:t>
              <w:tab/>
              <w:t xml:space="preserve">16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nf2dro94an0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 Article 11(5): Interest Borne by PE in Third State </w:t>
              <w:tab/>
              <w:t xml:space="preserve">16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974gu2dicn7o">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7. Article 11(6): Excessive Interest to Related Parties</w:t>
              <w:tab/>
              <w:t xml:space="preserve">16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mi5pzqdp4aan">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8. Comparison of Article 11 of the OECD MTC (2017) and UN MTC (2021)</w:t>
              <w:tab/>
              <w:t xml:space="preserve">17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jc w:val="both"/>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2dlolyb">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K.4. ROYALTIES – ARTICLE 12, OECD MTC AND UN MDTC</w:t>
              <w:tab/>
              <w:t xml:space="preserve">18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sqyw6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Purpose and Structure of Article 12</w:t>
              <w:tab/>
              <w:t xml:space="preserve">18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613c8zbugv1t">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 Article 12(1): Tax Sharing and Beneficial Ownership</w:t>
              <w:tab/>
              <w:t xml:space="preserve">18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25rjjhnfm6qd">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 Article 12(2): Definition of Royalties</w:t>
              <w:tab/>
              <w:t xml:space="preserve">19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9hqron3vhcm">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 Article 12(3): Royalties Received by a PE</w:t>
              <w:tab/>
              <w:t xml:space="preserve">19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mpk8sepz2wvs">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 Article 12(4): Excessive Royalties Paid to Related Parties</w:t>
              <w:tab/>
              <w:t xml:space="preserve">20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d3d2lijt3kh0">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 Comparison of Article 13 of the OECD MTC (2017) and UN MTC (2021)</w:t>
              <w:tab/>
              <w:t xml:space="preserve">20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jc w:val="both"/>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3q5sasy">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K.5 FEES FOR TECHNICAL SERVICES – Article 12A, UN MDTC</w:t>
              <w:tab/>
              <w:t xml:space="preserve">21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kgcv8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 Paragraph 1: Taxation in the Residence State</w:t>
              <w:tab/>
              <w:t xml:space="preserve">21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34g0dwd">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 Paragraph 2: Source-State Taxation and Limitations</w:t>
              <w:tab/>
              <w:t xml:space="preserve">21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1jlao46">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 Paragraph 3: Definition of Fees for Technical Services</w:t>
              <w:tab/>
              <w:t xml:space="preserve">21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43ky6rz">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 Paragraph 4: Permanent Establishment or Fixed Base Exception</w:t>
              <w:tab/>
              <w:t xml:space="preserve">22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2iq8gzs">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 Paragraph 5: Where Fees for Technical Services Arise</w:t>
              <w:tab/>
              <w:t xml:space="preserve">22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xvir7l">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 Paragraph 6: Exception to the Rules on Where Fees Arise</w:t>
              <w:tab/>
              <w:t xml:space="preserve">23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3hv69ve">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7. Paragraph 7: Special Relationships and Adjusted Fees</w:t>
              <w:tab/>
              <w:t xml:space="preserve">23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1x0gk37">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8. Case Law:</w:t>
              <w:tab/>
              <w:t xml:space="preserve">23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jc w:val="both"/>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4h042r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K.6 INCOME FROM AUTOMATED DIGITAL SERVICES – ARTICLE 12B, UN MDTC</w:t>
              <w:tab/>
              <w:t xml:space="preserve">25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860zd0xfxddq">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 Taxation in the Residence State (Paragraph 1)</w:t>
              <w:tab/>
              <w:t xml:space="preserve">25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lq8uifephvaj">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 Taxation in the Source State (Paragraph 2)</w:t>
              <w:tab/>
              <w:t xml:space="preserve">25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4e80paeau8kz">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 Request for Domestic Tax Rate (Paragraph 3)</w:t>
              <w:tab/>
              <w:t xml:space="preserve">25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v4r5xi9qkcdh">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 Multinational Enterprise Group (Paragraph 4)</w:t>
              <w:tab/>
              <w:t xml:space="preserve">25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mzmrumsiyo95">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 Definition of Automated Digital Services (Paragraph 5)</w:t>
              <w:tab/>
              <w:t xml:space="preserve">26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4fcfzjada0om">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 Examples of Automated Digital Services (Paragraph 6)</w:t>
              <w:tab/>
              <w:t xml:space="preserve">26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pvdnhsx0gugb">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7. Exclusion for Royalties and Fees for Technical Services (Paragraph 7)</w:t>
              <w:tab/>
              <w:t xml:space="preserve">26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4sm2mn8e0yq7">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8. Exception for Permanent Establishment or Fixed Base (Paragraph 8)</w:t>
              <w:tab/>
              <w:t xml:space="preserve">26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sf53mpl18hex">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9. Deeming Income to Arise in a Contracting State (Paragraph 9)</w:t>
              <w:tab/>
              <w:t xml:space="preserve">27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b7ccwios7cxu">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10. Exclusion of Payments Made by a Permanent Establishment or Fixed Base (Paragraph 10)</w:t>
              <w:tab/>
              <w:t xml:space="preserve">27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ndrgrror7oza">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11. Special Relationship and Transfer Pricing (Paragraph 11)</w:t>
              <w:tab/>
              <w:t xml:space="preserve">27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jc w:val="both"/>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1baon6m">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K.7. CAPITAL GAINS – ARTICLE 13, OECD MTC AND UN MDTC</w:t>
              <w:tab/>
              <w:t xml:space="preserve">28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3vac5uf">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 Background: Purpose and Structure of Article 13</w:t>
              <w:tab/>
              <w:t xml:space="preserve">28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ggyka68rggta">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 Article 13(1): Immovable Property - Situs Principle</w:t>
              <w:tab/>
              <w:t xml:space="preserve">28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yoso0g41ieu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 Article 13(2): Connected with a PE - Movable Business Property; PE Principle</w:t>
              <w:tab/>
              <w:t xml:space="preserve">29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n32xju30kyw5">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 Article 13(3): Consistency with Article 8 – POEM</w:t>
              <w:tab/>
              <w:t xml:space="preserve">29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vpiz283dgu90">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 Article 13(4): Shares in Immovable Property Company - Situs Principle; 50% Threshold</w:t>
              <w:tab/>
              <w:t xml:space="preserve">29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mqpyyg35vh94">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 Article 13(5): Catch-All Clause</w:t>
              <w:tab/>
              <w:t xml:space="preserve">29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1i10k4by8ops">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7. Comparison of Article 13 of the OECD MTC (2017) and UN MTC (2021)</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b w:val="1"/>
          <w:sz w:val="30"/>
          <w:szCs w:val="30"/>
          <w:u w:val="single"/>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Title"/>
        <w:rPr>
          <w:sz w:val="30"/>
          <w:szCs w:val="30"/>
          <w:u w:val="single"/>
        </w:rPr>
      </w:pPr>
      <w:r w:rsidDel="00000000" w:rsidR="00000000" w:rsidRPr="00000000">
        <w:rPr>
          <w:sz w:val="32"/>
          <w:szCs w:val="32"/>
          <w:rtl w:val="0"/>
        </w:rPr>
        <w:t xml:space="preserve">K. DTC PROVISIONS RELATING TO INVESTMENT INCOME AND GAINS</w:t>
      </w:r>
      <w:r w:rsidDel="00000000" w:rsidR="00000000" w:rsidRPr="00000000">
        <w:rPr>
          <w:rtl w:val="0"/>
        </w:rPr>
      </w:r>
    </w:p>
    <w:p w:rsidR="00000000" w:rsidDel="00000000" w:rsidP="00000000" w:rsidRDefault="00000000" w:rsidRPr="00000000" w14:paraId="00000046">
      <w:pPr>
        <w:pStyle w:val="Heading1"/>
        <w:spacing w:after="200" w:lineRule="auto"/>
        <w:rPr>
          <w:rFonts w:ascii="Times New Roman" w:cs="Times New Roman" w:eastAsia="Times New Roman" w:hAnsi="Times New Roman"/>
        </w:rPr>
      </w:pPr>
      <w:bookmarkStart w:colFirst="0" w:colLast="0" w:name="_heading=h.32hioqz" w:id="0"/>
      <w:bookmarkEnd w:id="0"/>
      <w:r w:rsidDel="00000000" w:rsidR="00000000" w:rsidRPr="00000000">
        <w:rPr>
          <w:rtl w:val="0"/>
        </w:rPr>
        <w:t xml:space="preserve">K.1. INCOME FROM LAND – ARTICLE 6, OECD MTC</w:t>
      </w: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6 of the OECD Model Tax Convention (MTC) is a cornerstone in international tax law, dealing specifically with the taxation of income derived from immovable property. It plays a pivotal role in delineating tax jurisdiction, thereby preventing double taxation and ensuring equitable allocation of tax revenues between states. This discussion aims to provide an in-depth analysis of Article 6, examining its key components, implications, and the legal interpretations that have emerged over time.</w:t>
      </w:r>
    </w:p>
    <w:p w:rsidR="00000000" w:rsidDel="00000000" w:rsidP="00000000" w:rsidRDefault="00000000" w:rsidRPr="00000000" w14:paraId="00000048">
      <w:pPr>
        <w:pStyle w:val="Heading2"/>
        <w:numPr>
          <w:ilvl w:val="0"/>
          <w:numId w:val="16"/>
        </w:numPr>
        <w:spacing w:before="0" w:lineRule="auto"/>
        <w:ind w:left="540" w:hanging="360"/>
        <w:rPr>
          <w:sz w:val="27"/>
          <w:szCs w:val="27"/>
        </w:rPr>
      </w:pPr>
      <w:bookmarkStart w:colFirst="0" w:colLast="0" w:name="_heading=h.1hmsyys" w:id="1"/>
      <w:bookmarkEnd w:id="1"/>
      <w:r w:rsidDel="00000000" w:rsidR="00000000" w:rsidRPr="00000000">
        <w:rPr>
          <w:sz w:val="27"/>
          <w:szCs w:val="27"/>
          <w:rtl w:val="0"/>
        </w:rPr>
        <w:t xml:space="preserve">The Scope of Article 6</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6 of the OECD MTC establishes that income derived from immovable property situated in a contracting state may be taxed in that state, even if the income recipient is a resident of another contracting state. This principle acknowledges the intrinsic connection between the property and the state, granting the state where the property is located the right to tax the income generated from it.</w:t>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Article 6(1), income from immovable property may be taxed in the other Contracting State where the property is located. This article provides that the taxation of income from immovable property, including income from agriculture and forestry, is based on the situs principle. In essence, this means that the location of the state where the property producing the income is situated should be the basis for taxation. The basis of the situs principle is that there is a close economic connection between the source state and the source of the income; thus, it is only fair that the source state should exert taxing rights.</w:t>
      </w:r>
    </w:p>
    <w:p w:rsidR="00000000" w:rsidDel="00000000" w:rsidP="00000000" w:rsidRDefault="00000000" w:rsidRPr="00000000" w14:paraId="0000004B">
      <w:pPr>
        <w:numPr>
          <w:ilvl w:val="1"/>
          <w:numId w:val="16"/>
        </w:numP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Definition of Immovable Property</w:t>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definition of "immovable property" is relevant in understanding the scope of Article 6. Article 6 (2) stipulates that the term shall have the meaning ascribed to it under the law of the state in which the property is situated. This localization principle allows each state to apply its domestic legal definitions, which can vary significantly. However, the OECD MTC provides a non-exhaustive list to standardise the term's interpretation to some extent. The definition includes:</w:t>
      </w:r>
    </w:p>
    <w:p w:rsidR="00000000" w:rsidDel="00000000" w:rsidP="00000000" w:rsidRDefault="00000000" w:rsidRPr="00000000" w14:paraId="0000004D">
      <w:pPr>
        <w:numPr>
          <w:ilvl w:val="0"/>
          <w:numId w:val="6"/>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Property accessory to immovable property</w:t>
      </w:r>
      <w:r w:rsidDel="00000000" w:rsidR="00000000" w:rsidRPr="00000000">
        <w:rPr>
          <w:rFonts w:ascii="Times New Roman" w:cs="Times New Roman" w:eastAsia="Times New Roman" w:hAnsi="Times New Roman"/>
          <w:sz w:val="24"/>
          <w:szCs w:val="24"/>
          <w:rtl w:val="0"/>
        </w:rPr>
        <w:t xml:space="preserve">: This encompasses buildings, structures, and other fixtures that are considered part of the land under the local law.</w:t>
      </w:r>
    </w:p>
    <w:p w:rsidR="00000000" w:rsidDel="00000000" w:rsidP="00000000" w:rsidRDefault="00000000" w:rsidRPr="00000000" w14:paraId="0000004E">
      <w:pPr>
        <w:numPr>
          <w:ilvl w:val="0"/>
          <w:numId w:val="6"/>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Livestock and equipment used in agriculture and forestry</w:t>
      </w:r>
      <w:r w:rsidDel="00000000" w:rsidR="00000000" w:rsidRPr="00000000">
        <w:rPr>
          <w:rFonts w:ascii="Times New Roman" w:cs="Times New Roman" w:eastAsia="Times New Roman" w:hAnsi="Times New Roman"/>
          <w:sz w:val="24"/>
          <w:szCs w:val="24"/>
          <w:rtl w:val="0"/>
        </w:rPr>
        <w:t xml:space="preserve">: Recognizing the economic significance of agricultural and forestry activities, this inclusion ensures that income from such property is taxable in the state where the property is located.</w:t>
      </w:r>
    </w:p>
    <w:p w:rsidR="00000000" w:rsidDel="00000000" w:rsidP="00000000" w:rsidRDefault="00000000" w:rsidRPr="00000000" w14:paraId="0000004F">
      <w:pPr>
        <w:numPr>
          <w:ilvl w:val="0"/>
          <w:numId w:val="6"/>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Rights to which general law respecting landed property apply</w:t>
      </w:r>
      <w:r w:rsidDel="00000000" w:rsidR="00000000" w:rsidRPr="00000000">
        <w:rPr>
          <w:rFonts w:ascii="Times New Roman" w:cs="Times New Roman" w:eastAsia="Times New Roman" w:hAnsi="Times New Roman"/>
          <w:sz w:val="24"/>
          <w:szCs w:val="24"/>
          <w:rtl w:val="0"/>
        </w:rPr>
        <w:t xml:space="preserve">: This broad category includes rights like easements and servitudes that affect the usage of immovable property.</w:t>
      </w:r>
    </w:p>
    <w:p w:rsidR="00000000" w:rsidDel="00000000" w:rsidP="00000000" w:rsidRDefault="00000000" w:rsidRPr="00000000" w14:paraId="00000050">
      <w:pPr>
        <w:numPr>
          <w:ilvl w:val="0"/>
          <w:numId w:val="6"/>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Usufruct of immovable property</w:t>
      </w:r>
      <w:r w:rsidDel="00000000" w:rsidR="00000000" w:rsidRPr="00000000">
        <w:rPr>
          <w:rFonts w:ascii="Times New Roman" w:cs="Times New Roman" w:eastAsia="Times New Roman" w:hAnsi="Times New Roman"/>
          <w:sz w:val="24"/>
          <w:szCs w:val="24"/>
          <w:rtl w:val="0"/>
        </w:rPr>
        <w:t xml:space="preserve">: A usufruct allows one person to use and derive income from property owned by another, typically subject to certain conditions and time limits.</w:t>
      </w:r>
    </w:p>
    <w:p w:rsidR="00000000" w:rsidDel="00000000" w:rsidP="00000000" w:rsidRDefault="00000000" w:rsidRPr="00000000" w14:paraId="00000051">
      <w:pPr>
        <w:numPr>
          <w:ilvl w:val="0"/>
          <w:numId w:val="6"/>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Rights to variable or fixed payments for the working of mineral deposits, sources, and other natural resources</w:t>
      </w:r>
      <w:r w:rsidDel="00000000" w:rsidR="00000000" w:rsidRPr="00000000">
        <w:rPr>
          <w:rFonts w:ascii="Times New Roman" w:cs="Times New Roman" w:eastAsia="Times New Roman" w:hAnsi="Times New Roman"/>
          <w:sz w:val="24"/>
          <w:szCs w:val="24"/>
          <w:rtl w:val="0"/>
        </w:rPr>
        <w:t xml:space="preserve">: This includes income from the extraction of natural resources, emphasizing the importance of taxing such income in the state where the resources are located.</w:t>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Notably, ships and aircraft are excluded from the definition of immovable property, reflecting the international consensus that such movable assets should be taxed differently.</w:t>
      </w:r>
    </w:p>
    <w:p w:rsidR="00000000" w:rsidDel="00000000" w:rsidP="00000000" w:rsidRDefault="00000000" w:rsidRPr="00000000" w14:paraId="00000053">
      <w:pPr>
        <w:numPr>
          <w:ilvl w:val="1"/>
          <w:numId w:val="16"/>
        </w:numP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Income Covered by Article 6</w:t>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6 (1) specifically includes income from agriculture or forestry within the scope of Article 6. Article 6 (3) further extends this to income derived from the direct use, letting, or use in any other form of immovable property. This comprehensive coverage ensures that various forms of economic benefits derived from immovable property, including rents, royalties, and profits from direct utilisation, fall within the taxing rights of the state where the property is located.</w:t>
      </w:r>
    </w:p>
    <w:p w:rsidR="00000000" w:rsidDel="00000000" w:rsidP="00000000" w:rsidRDefault="00000000" w:rsidRPr="00000000" w14:paraId="00000055">
      <w:pPr>
        <w:pStyle w:val="Heading2"/>
        <w:numPr>
          <w:ilvl w:val="0"/>
          <w:numId w:val="16"/>
        </w:numPr>
        <w:spacing w:before="0" w:lineRule="auto"/>
        <w:ind w:left="540" w:hanging="360"/>
        <w:rPr>
          <w:sz w:val="27"/>
          <w:szCs w:val="27"/>
        </w:rPr>
      </w:pPr>
      <w:bookmarkStart w:colFirst="0" w:colLast="0" w:name="_heading=h.41mghml" w:id="2"/>
      <w:bookmarkEnd w:id="2"/>
      <w:r w:rsidDel="00000000" w:rsidR="00000000" w:rsidRPr="00000000">
        <w:rPr>
          <w:sz w:val="27"/>
          <w:szCs w:val="27"/>
          <w:rtl w:val="0"/>
        </w:rPr>
        <w:t xml:space="preserve">Taxation Rights under Article 6</w:t>
      </w:r>
    </w:p>
    <w:p w:rsidR="00000000" w:rsidDel="00000000" w:rsidP="00000000" w:rsidRDefault="00000000" w:rsidRPr="00000000" w14:paraId="00000056">
      <w:pPr>
        <w:numPr>
          <w:ilvl w:val="1"/>
          <w:numId w:val="16"/>
        </w:numP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Source Principle</w:t>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principle of Article 6 is the source principle, which grants the state where the immovable property is located the right to tax the income derived from it. This principle is rooted in the recognition that the state where the property is situated provides the legal, economic, and infrastructural framework necessary for generating income from the property. By allowing the source state to tax this income, Article 6 ensures that the state can benefit from the economic activities within its territory.</w:t>
      </w:r>
    </w:p>
    <w:p w:rsidR="00000000" w:rsidDel="00000000" w:rsidP="00000000" w:rsidRDefault="00000000" w:rsidRPr="00000000" w14:paraId="00000058">
      <w:pPr>
        <w:numPr>
          <w:ilvl w:val="1"/>
          <w:numId w:val="16"/>
        </w:numP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Non-Exclusivity</w:t>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crucial to note that Article 6 does not grant exclusive taxing rights to the state where the property is located. The income can also be taxed by the resident state of the income recipient. However, to prevent double taxation, the resident state must provide relief through tax credits or exemptions, as outlined in Article 23 of the OECD MTC. This dual system ensures that while the source state can tax the income, the resident state acknowledges the tax paid in the source state and avoids taxing the same income again, thus adhering to international tax fairness principles.</w:t>
      </w:r>
    </w:p>
    <w:p w:rsidR="00000000" w:rsidDel="00000000" w:rsidP="00000000" w:rsidRDefault="00000000" w:rsidRPr="00000000" w14:paraId="0000005A">
      <w:pPr>
        <w:pStyle w:val="Heading2"/>
        <w:numPr>
          <w:ilvl w:val="0"/>
          <w:numId w:val="16"/>
        </w:numPr>
        <w:spacing w:before="0" w:lineRule="auto"/>
        <w:ind w:left="540" w:hanging="360"/>
        <w:rPr>
          <w:sz w:val="27"/>
          <w:szCs w:val="27"/>
        </w:rPr>
      </w:pPr>
      <w:bookmarkStart w:colFirst="0" w:colLast="0" w:name="_heading=h.2grqrue" w:id="3"/>
      <w:bookmarkEnd w:id="3"/>
      <w:r w:rsidDel="00000000" w:rsidR="00000000" w:rsidRPr="00000000">
        <w:rPr>
          <w:sz w:val="27"/>
          <w:szCs w:val="27"/>
          <w:rtl w:val="0"/>
        </w:rPr>
        <w:t xml:space="preserve">Income from Agriculture and Forestry</w:t>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Income from agriculture and forestry holds particular significance under Article 6. This inclusion is not merely incidental but reflects the recognition of the unique characteristics and economic importance of agricultural and forestry activities. These activities are inherently tied to the land and often constitute a major source of revenue for rural and developing regions.</w:t>
      </w:r>
    </w:p>
    <w:p w:rsidR="00000000" w:rsidDel="00000000" w:rsidP="00000000" w:rsidRDefault="00000000" w:rsidRPr="00000000" w14:paraId="0000005C">
      <w:pPr>
        <w:numPr>
          <w:ilvl w:val="1"/>
          <w:numId w:val="16"/>
        </w:numP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Direct Use</w:t>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Income from the direct use of agricultural and forestry land includes profits from farming activities, timber sales, and other direct exploitation of the land's resources. The principle here is that the state where these activities occur should rightfully tax the income, given its jurisdiction over the land and the economic benefits derived from its usage.</w:t>
      </w:r>
    </w:p>
    <w:p w:rsidR="00000000" w:rsidDel="00000000" w:rsidP="00000000" w:rsidRDefault="00000000" w:rsidRPr="00000000" w14:paraId="0000005E">
      <w:pPr>
        <w:numPr>
          <w:ilvl w:val="1"/>
          <w:numId w:val="16"/>
        </w:numP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Letting and Leasing</w:t>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Letting or leasing agricultural and forestry land also falls under the purview of Article 6. This encompasses income from renting farmland to tenants or leasing forested areas for logging. The tax jurisdiction remains with the state where the land is located, ensuring that rental income from immovable property is appropriately taxed at the source.</w:t>
      </w:r>
    </w:p>
    <w:p w:rsidR="00000000" w:rsidDel="00000000" w:rsidP="00000000" w:rsidRDefault="00000000" w:rsidRPr="00000000" w14:paraId="00000060">
      <w:pPr>
        <w:numPr>
          <w:ilvl w:val="1"/>
          <w:numId w:val="16"/>
        </w:numP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Other Forms of Income</w:t>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6 also captures other forms of income from agricultural and forestry land, such as royalties from licensing the use of land for specific purposes (e.g., hunting or fishing rights). By including these varied forms of income, Article 6 ensures comprehensive coverage of all economic benefits derived from immovable property.</w:t>
      </w:r>
    </w:p>
    <w:p w:rsidR="00000000" w:rsidDel="00000000" w:rsidP="00000000" w:rsidRDefault="00000000" w:rsidRPr="00000000" w14:paraId="00000062">
      <w:pPr>
        <w:pStyle w:val="Heading2"/>
        <w:numPr>
          <w:ilvl w:val="0"/>
          <w:numId w:val="16"/>
        </w:numPr>
        <w:ind w:left="540" w:hanging="360"/>
        <w:rPr>
          <w:sz w:val="27"/>
          <w:szCs w:val="27"/>
        </w:rPr>
      </w:pPr>
      <w:bookmarkStart w:colFirst="0" w:colLast="0" w:name="_heading=h.vx1227" w:id="4"/>
      <w:bookmarkEnd w:id="4"/>
      <w:r w:rsidDel="00000000" w:rsidR="00000000" w:rsidRPr="00000000">
        <w:rPr>
          <w:sz w:val="27"/>
          <w:szCs w:val="27"/>
          <w:rtl w:val="0"/>
        </w:rPr>
        <w:t xml:space="preserve">Practical Implications and Case Law</w:t>
      </w:r>
    </w:p>
    <w:p w:rsidR="00000000" w:rsidDel="00000000" w:rsidP="00000000" w:rsidRDefault="00000000" w:rsidRPr="00000000" w14:paraId="00000063">
      <w:pPr>
        <w:numPr>
          <w:ilvl w:val="1"/>
          <w:numId w:val="16"/>
        </w:numP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Interpretation and Application</w:t>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practical application of Article 6 can vary based on domestic laws and the specific wording of bilateral tax treaties. Tax authorities and courts frequently refer to the OECD Commentary for guidance, which provides interpretative assistance to ensure consistent application across different jurisdictions.</w:t>
      </w:r>
    </w:p>
    <w:p w:rsidR="00000000" w:rsidDel="00000000" w:rsidP="00000000" w:rsidRDefault="00000000" w:rsidRPr="00000000" w14:paraId="00000065">
      <w:pPr>
        <w:numPr>
          <w:ilvl w:val="1"/>
          <w:numId w:val="16"/>
        </w:numPr>
        <w:spacing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Case Law</w:t>
      </w:r>
    </w:p>
    <w:p w:rsidR="00000000" w:rsidDel="00000000" w:rsidP="00000000" w:rsidRDefault="00000000" w:rsidRPr="00000000" w14:paraId="00000066">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180"/>
        <w:jc w:val="left"/>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sz w:val="24"/>
          <w:szCs w:val="24"/>
          <w:rtl w:val="0"/>
        </w:rPr>
        <w:t xml:space="preserve">Skatteverket v. A Oy (C-292/14)</w:t>
      </w: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example of case law related to Article 6 is the landmark decision of the European Court of Justice (ECJ) in the case of </w:t>
      </w:r>
      <w:r w:rsidDel="00000000" w:rsidR="00000000" w:rsidRPr="00000000">
        <w:rPr>
          <w:rFonts w:ascii="Times New Roman" w:cs="Times New Roman" w:eastAsia="Times New Roman" w:hAnsi="Times New Roman"/>
          <w:i w:val="1"/>
          <w:sz w:val="24"/>
          <w:szCs w:val="24"/>
          <w:rtl w:val="0"/>
        </w:rPr>
        <w:t xml:space="preserve">Skatteverket v. A Oy (C-292/14)</w:t>
      </w:r>
      <w:r w:rsidDel="00000000" w:rsidR="00000000" w:rsidRPr="00000000">
        <w:rPr>
          <w:rFonts w:ascii="Times New Roman" w:cs="Times New Roman" w:eastAsia="Times New Roman" w:hAnsi="Times New Roman"/>
          <w:sz w:val="24"/>
          <w:szCs w:val="24"/>
          <w:rtl w:val="0"/>
        </w:rPr>
        <w:t xml:space="preserve">. In this case, the ECJ interpreted the concept of "immovable property" in the context of Article 6 of the Finnish-Swedish Double Taxation Convention. The case involved a Finnish company that owned a wind farm in Sweden and received income from electricity production. The Finnish tax authority argued that the income should be subject to Finnish taxation, whereas the company argued that it should only be taxed in Sweden, the country where the wind farm was located. The ECJ held that the term "immovable property" in Article 6 included wind turbines and that income from electricity production was income from immovable property that should be taxed in Sweden. This case underscores the application of Article 6 principles and the reliance on the situs principle for taxation.</w:t>
      </w:r>
    </w:p>
    <w:p w:rsidR="00000000" w:rsidDel="00000000" w:rsidP="00000000" w:rsidRDefault="00000000" w:rsidRPr="00000000" w14:paraId="00000068">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180"/>
        <w:jc w:val="left"/>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sz w:val="24"/>
          <w:szCs w:val="24"/>
          <w:rtl w:val="0"/>
        </w:rPr>
        <w:t xml:space="preserve">X BV Case</w:t>
      </w: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"X BV" case in the Netherlands, the Dutch Supreme Court ruled on the application of Article 6 in the context of rental income from immovable property located in another contracting state. The court emphasised the significance of the property's location in determining the taxing rights, aligning with the OECD MTC's principles. This decision highlighted the importance of the situs principle in ensuring that income is taxed where the economic activity occurs.</w:t>
      </w:r>
    </w:p>
    <w:p w:rsidR="00000000" w:rsidDel="00000000" w:rsidP="00000000" w:rsidRDefault="00000000" w:rsidRPr="00000000" w14:paraId="0000006A">
      <w:pPr>
        <w:pStyle w:val="Heading2"/>
        <w:numPr>
          <w:ilvl w:val="0"/>
          <w:numId w:val="16"/>
        </w:numPr>
        <w:ind w:left="630" w:hanging="360"/>
        <w:rPr>
          <w:sz w:val="27"/>
          <w:szCs w:val="27"/>
        </w:rPr>
      </w:pPr>
      <w:bookmarkStart w:colFirst="0" w:colLast="0" w:name="_heading=h.3fwokq0" w:id="5"/>
      <w:bookmarkEnd w:id="5"/>
      <w:r w:rsidDel="00000000" w:rsidR="00000000" w:rsidRPr="00000000">
        <w:rPr>
          <w:sz w:val="27"/>
          <w:szCs w:val="27"/>
          <w:rtl w:val="0"/>
        </w:rPr>
        <w:t xml:space="preserve">Income from the Direct Use, Letting, or Use in Any Other Form</w:t>
      </w:r>
    </w:p>
    <w:p w:rsidR="00000000" w:rsidDel="00000000" w:rsidP="00000000" w:rsidRDefault="00000000" w:rsidRPr="00000000" w14:paraId="0000006B">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Direct Use</w:t>
      </w: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Income from the direct use of immovable property includes various forms of income derived from active utilization of the property by the owner. This can encompass farming, forestry, operating hotels, or running businesses directly on the property. The emphasis is on the owner's active involvement in generating income, ensuring that the state where the property is located can tax these earnings.</w:t>
      </w:r>
    </w:p>
    <w:p w:rsidR="00000000" w:rsidDel="00000000" w:rsidP="00000000" w:rsidRDefault="00000000" w:rsidRPr="00000000" w14:paraId="0000006D">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Letting</w:t>
      </w: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Letting, or renting out immovable property, is a common method of deriving income from such assets. Article 6 explicitly covers rental income, ensuring that the state where the property is located can tax this income. This provision is particularly relevant for landlords and investors who lease out properties to generate revenue. The taxation of rental income at the source ensures that the state providing the infrastructure and legal framework for the property can benefit from its economic activities.</w:t>
      </w:r>
    </w:p>
    <w:p w:rsidR="00000000" w:rsidDel="00000000" w:rsidP="00000000" w:rsidRDefault="00000000" w:rsidRPr="00000000" w14:paraId="0000006F">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Use in Any Other Form</w:t>
      </w: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phrase "use in any other form" is intentionally broad to capture all other forms of income derived from immovable property that do not fall under direct use or letting. This includes income from granting rights to exploit natural resources on the property, such as mining or oil extraction rights, and income from easements. By encompassing these varied forms of income, Article 6 ensures comprehensive taxation of all economic benefits derived from immovable property.</w:t>
      </w:r>
    </w:p>
    <w:p w:rsidR="00000000" w:rsidDel="00000000" w:rsidP="00000000" w:rsidRDefault="00000000" w:rsidRPr="00000000" w14:paraId="00000071">
      <w:pPr>
        <w:pStyle w:val="Heading2"/>
        <w:numPr>
          <w:ilvl w:val="0"/>
          <w:numId w:val="16"/>
        </w:numPr>
        <w:ind w:left="540" w:hanging="360"/>
        <w:rPr>
          <w:sz w:val="27"/>
          <w:szCs w:val="27"/>
        </w:rPr>
      </w:pPr>
      <w:r w:rsidDel="00000000" w:rsidR="00000000" w:rsidRPr="00000000">
        <w:rPr>
          <w:sz w:val="27"/>
          <w:szCs w:val="27"/>
          <w:rtl w:val="0"/>
        </w:rPr>
        <w:t xml:space="preserve">Income from Immovable Property of an Enterprise</w:t>
      </w:r>
    </w:p>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6 (4) extends the provisions to income from immovable property owned by an enterprise. This inclusion is significant because it ensures that income from immovable property held by businesses is also subject to taxation in the state where the property is located. This aligns with the broader principles of the OECD MTC, which aim to allocate taxing rights fairly and prevent tax base erosion.</w:t>
      </w:r>
    </w:p>
    <w:p w:rsidR="00000000" w:rsidDel="00000000" w:rsidP="00000000" w:rsidRDefault="00000000" w:rsidRPr="00000000" w14:paraId="00000073">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Enterprises and Immovable Property</w:t>
      </w: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Enterprises often hold substantial assets in the form of immovable property, including commercial buildings, factories, and land. By extending Article 6 to cover these properties, the OECD MTC ensures that the economic activities and income generated by enterprises' immovable property are taxed in the state where the property is situated. This provision is essential for maintaining the integrity of the international tax system and preventing tax avoidance strategies that exploit differences in tax regimes.</w:t>
      </w:r>
    </w:p>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pStyle w:val="Heading2"/>
        <w:numPr>
          <w:ilvl w:val="0"/>
          <w:numId w:val="16"/>
        </w:numPr>
        <w:ind w:left="540" w:hanging="360"/>
        <w:rPr>
          <w:sz w:val="27"/>
          <w:szCs w:val="27"/>
        </w:rPr>
      </w:pPr>
      <w:r w:rsidDel="00000000" w:rsidR="00000000" w:rsidRPr="00000000">
        <w:rPr>
          <w:sz w:val="27"/>
          <w:szCs w:val="27"/>
          <w:rtl w:val="0"/>
        </w:rPr>
        <w:t xml:space="preserve">Comparison with Other OECD MTC Articles</w:t>
      </w:r>
    </w:p>
    <w:p w:rsidR="00000000" w:rsidDel="00000000" w:rsidP="00000000" w:rsidRDefault="00000000" w:rsidRPr="00000000" w14:paraId="00000077">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Article 7: Business Profits</w:t>
      </w: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6 should be distinguished from Article 7, which deals with business profits. While Article 7 allocates taxing rights based on the presence of a permanent establishment, Article 6 focuses specifically on income from immovable property, granting taxing rights based on the property's location. This distinction is crucial for accurately determining the appropriate article for taxation and ensuring that the correct state exercises its taxing rights.</w:t>
      </w:r>
    </w:p>
    <w:p w:rsidR="00000000" w:rsidDel="00000000" w:rsidP="00000000" w:rsidRDefault="00000000" w:rsidRPr="00000000" w14:paraId="00000079">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Article 10: Dividends, Article 11: Interest, and Article 12: Royalties</w:t>
      </w: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Articles 10, 11, and 12 deal with specific types of income such as dividends, interest, and royalties. These articles typically allocate taxing rights between the source state and the residence state, often with specified withholding tax rates. In contrast, Article 6 allocates taxing rights based on the location of the immovable property, without specific reference to withholding rates.</w:t>
      </w:r>
    </w:p>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88">
      <w:pPr>
        <w:pStyle w:val="Heading1"/>
        <w:jc w:val="both"/>
        <w:rPr/>
      </w:pPr>
      <w:bookmarkStart w:colFirst="0" w:colLast="0" w:name="_heading=h.2lz1v6pu1a4e" w:id="6"/>
      <w:bookmarkEnd w:id="6"/>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pStyle w:val="Heading1"/>
        <w:rPr/>
      </w:pPr>
      <w:bookmarkStart w:colFirst="0" w:colLast="0" w:name="_heading=h.1v1yuxt" w:id="7"/>
      <w:bookmarkEnd w:id="7"/>
      <w:r w:rsidDel="00000000" w:rsidR="00000000" w:rsidRPr="00000000">
        <w:rPr>
          <w:rtl w:val="0"/>
        </w:rPr>
        <w:t xml:space="preserve">K.2. DIVIDENDS – ARTICLE 10, OECD MTC AND UN MDTC (INCLUDING SOME CONSIDERATION OF THE FORMS OF DIVIDEND ARTICLE USED BY KEY STATES, E.G. US, UK, FRANCE, GERMANY)</w:t>
      </w:r>
    </w:p>
    <w:p w:rsidR="00000000" w:rsidDel="00000000" w:rsidP="00000000" w:rsidRDefault="00000000" w:rsidRPr="00000000" w14:paraId="0000008C">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10 of the OECD MTC specifically deals with the taxation of dividends, a critical area given the global nature of modern investments. This article balances the taxing rights between the state of residence of the recipient of the dividends and the source state where the company paying the dividends is resident.</w:t>
      </w:r>
    </w:p>
    <w:p w:rsidR="00000000" w:rsidDel="00000000" w:rsidP="00000000" w:rsidRDefault="00000000" w:rsidRPr="00000000" w14:paraId="0000008D">
      <w:pPr>
        <w:pStyle w:val="Heading2"/>
        <w:numPr>
          <w:ilvl w:val="0"/>
          <w:numId w:val="23"/>
        </w:numPr>
        <w:rPr/>
      </w:pPr>
      <w:bookmarkStart w:colFirst="0" w:colLast="0" w:name="_heading=h.4f1mdlm" w:id="8"/>
      <w:bookmarkEnd w:id="8"/>
      <w:r w:rsidDel="00000000" w:rsidR="00000000" w:rsidRPr="00000000">
        <w:rPr>
          <w:rtl w:val="0"/>
        </w:rPr>
        <w:t xml:space="preserve">The Purpose and Structure of Article 10</w:t>
      </w:r>
    </w:p>
    <w:p w:rsidR="00000000" w:rsidDel="00000000" w:rsidP="00000000" w:rsidRDefault="00000000" w:rsidRPr="00000000" w14:paraId="0000008E">
      <w:pPr>
        <w:numPr>
          <w:ilvl w:val="1"/>
          <w:numId w:val="23"/>
        </w:numPr>
        <w:spacing w:after="200" w:lineRule="auto"/>
        <w:ind w:left="81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Purpose: </w:t>
      </w:r>
    </w:p>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of Article 10 is to establish a clear and fair allocation of taxing rights between the country where the dividends are paid (source state) and the country where the dividend recipient resides (residence state). This allocation is necessary to prevent double taxation of the same income and to ensure a fair distribution of tax revenues between countries.</w:t>
      </w:r>
    </w:p>
    <w:p w:rsidR="00000000" w:rsidDel="00000000" w:rsidP="00000000" w:rsidRDefault="00000000" w:rsidRPr="00000000" w14:paraId="00000090">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20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Structure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10 is structured into five key paragraphs, each addressing different aspects of dividend taxation:</w:t>
      </w:r>
    </w:p>
    <w:p w:rsidR="00000000" w:rsidDel="00000000" w:rsidP="00000000" w:rsidRDefault="00000000" w:rsidRPr="00000000" w14:paraId="00000092">
      <w:pPr>
        <w:numPr>
          <w:ilvl w:val="0"/>
          <w:numId w:val="7"/>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Paragraph 1</w:t>
      </w:r>
      <w:r w:rsidDel="00000000" w:rsidR="00000000" w:rsidRPr="00000000">
        <w:rPr>
          <w:rFonts w:ascii="Times New Roman" w:cs="Times New Roman" w:eastAsia="Times New Roman" w:hAnsi="Times New Roman"/>
          <w:sz w:val="24"/>
          <w:szCs w:val="24"/>
          <w:rtl w:val="0"/>
        </w:rPr>
        <w:t xml:space="preserve">: Establishes the general tax sharing rule, highlighting the rights of both the source and residence states.</w:t>
      </w:r>
    </w:p>
    <w:p w:rsidR="00000000" w:rsidDel="00000000" w:rsidP="00000000" w:rsidRDefault="00000000" w:rsidRPr="00000000" w14:paraId="00000093">
      <w:pPr>
        <w:numPr>
          <w:ilvl w:val="0"/>
          <w:numId w:val="7"/>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Paragraph 2</w:t>
      </w:r>
      <w:r w:rsidDel="00000000" w:rsidR="00000000" w:rsidRPr="00000000">
        <w:rPr>
          <w:rFonts w:ascii="Times New Roman" w:cs="Times New Roman" w:eastAsia="Times New Roman" w:hAnsi="Times New Roman"/>
          <w:sz w:val="24"/>
          <w:szCs w:val="24"/>
          <w:rtl w:val="0"/>
        </w:rPr>
        <w:t xml:space="preserve">: Limits the tax rate that the source state can impose on dividends.</w:t>
      </w:r>
    </w:p>
    <w:p w:rsidR="00000000" w:rsidDel="00000000" w:rsidP="00000000" w:rsidRDefault="00000000" w:rsidRPr="00000000" w14:paraId="00000094">
      <w:pPr>
        <w:numPr>
          <w:ilvl w:val="0"/>
          <w:numId w:val="7"/>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Paragraph 3</w:t>
      </w:r>
      <w:r w:rsidDel="00000000" w:rsidR="00000000" w:rsidRPr="00000000">
        <w:rPr>
          <w:rFonts w:ascii="Times New Roman" w:cs="Times New Roman" w:eastAsia="Times New Roman" w:hAnsi="Times New Roman"/>
          <w:sz w:val="24"/>
          <w:szCs w:val="24"/>
          <w:rtl w:val="0"/>
        </w:rPr>
        <w:t xml:space="preserve">: Provides a non-exhaustive definition of dividends </w:t>
      </w:r>
    </w:p>
    <w:p w:rsidR="00000000" w:rsidDel="00000000" w:rsidP="00000000" w:rsidRDefault="00000000" w:rsidRPr="00000000" w14:paraId="00000095">
      <w:pPr>
        <w:numPr>
          <w:ilvl w:val="0"/>
          <w:numId w:val="7"/>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Paragraph 4</w:t>
      </w:r>
      <w:r w:rsidDel="00000000" w:rsidR="00000000" w:rsidRPr="00000000">
        <w:rPr>
          <w:rFonts w:ascii="Times New Roman" w:cs="Times New Roman" w:eastAsia="Times New Roman" w:hAnsi="Times New Roman"/>
          <w:sz w:val="24"/>
          <w:szCs w:val="24"/>
          <w:rtl w:val="0"/>
        </w:rPr>
        <w:t xml:space="preserve">: Addresses the taxation of dividends in cases where shares are transferred to a permanent establishment (PE) in another state.</w:t>
      </w:r>
    </w:p>
    <w:p w:rsidR="00000000" w:rsidDel="00000000" w:rsidP="00000000" w:rsidRDefault="00000000" w:rsidRPr="00000000" w14:paraId="00000096">
      <w:pPr>
        <w:numPr>
          <w:ilvl w:val="0"/>
          <w:numId w:val="7"/>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Paragraph 5</w:t>
      </w:r>
      <w:r w:rsidDel="00000000" w:rsidR="00000000" w:rsidRPr="00000000">
        <w:rPr>
          <w:rFonts w:ascii="Times New Roman" w:cs="Times New Roman" w:eastAsia="Times New Roman" w:hAnsi="Times New Roman"/>
          <w:sz w:val="24"/>
          <w:szCs w:val="24"/>
          <w:rtl w:val="0"/>
        </w:rPr>
        <w:t xml:space="preserve">: Discusses the extraterritorial taxation of dividends arising from the activities of a PE.</w:t>
      </w:r>
    </w:p>
    <w:p w:rsidR="00000000" w:rsidDel="00000000" w:rsidP="00000000" w:rsidRDefault="00000000" w:rsidRPr="00000000" w14:paraId="00000097">
      <w:pPr>
        <w:pStyle w:val="Heading2"/>
        <w:numPr>
          <w:ilvl w:val="0"/>
          <w:numId w:val="23"/>
        </w:numPr>
        <w:rPr>
          <w:sz w:val="27"/>
          <w:szCs w:val="27"/>
        </w:rPr>
      </w:pPr>
      <w:bookmarkStart w:colFirst="0" w:colLast="0" w:name="_heading=h.xw9gnbwx13ak" w:id="9"/>
      <w:bookmarkEnd w:id="9"/>
      <w:r w:rsidDel="00000000" w:rsidR="00000000" w:rsidRPr="00000000">
        <w:rPr>
          <w:rtl w:val="0"/>
        </w:rPr>
        <w:t xml:space="preserve">Article 10 (1): The Tax Sharing Rule</w:t>
      </w:r>
    </w:p>
    <w:p w:rsidR="00000000" w:rsidDel="00000000" w:rsidP="00000000" w:rsidRDefault="00000000" w:rsidRPr="00000000" w14:paraId="00000098">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20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Tax Sharing Rule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Paragraph 1 of Article 10 lays down the general rule that dividends paid by a company resident in one state to a resident of another state may be taxed in the residence state of the recipient. This aligns with the residence-based principle of taxation, which allows the residence state to tax its residents on worldwide income. However, the article also acknowledges the right of the source state (where the company paying the dividend is resident) to tax such dividends, albeit subject to limitations set out in Paragraph 2.</w:t>
      </w:r>
    </w:p>
    <w:p w:rsidR="00000000" w:rsidDel="00000000" w:rsidP="00000000" w:rsidRDefault="00000000" w:rsidRPr="00000000" w14:paraId="0000009A">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20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Concept of "Paid"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 "paid" in the context of dividends under Article 10 refers to the payment or distribution of dividends by a company to its shareholders. It is crucial to distinguish between the declaration of dividends and the actual payment. For tax purposes, dividends are considered "paid" when the recipient has a right to receive them, which may vary depending on the legal systems and accounting practices of the states involved. The timing of when a dividend is "paid" can significantly affect the taxation, especially in cross-border situations.</w:t>
      </w:r>
    </w:p>
    <w:p w:rsidR="00000000" w:rsidDel="00000000" w:rsidP="00000000" w:rsidRDefault="00000000" w:rsidRPr="00000000" w14:paraId="0000009C">
      <w:pPr>
        <w:pStyle w:val="Heading2"/>
        <w:keepNext w:val="1"/>
        <w:keepLines w:val="1"/>
        <w:pageBreakBefore w:val="0"/>
        <w:widowControl w:val="1"/>
        <w:numPr>
          <w:ilvl w:val="0"/>
          <w:numId w:val="23"/>
        </w:numPr>
        <w:pBdr>
          <w:top w:space="0" w:sz="0" w:val="nil"/>
          <w:left w:space="0" w:sz="0" w:val="nil"/>
          <w:bottom w:space="0" w:sz="0" w:val="nil"/>
          <w:right w:space="0" w:sz="0" w:val="nil"/>
          <w:between w:space="0" w:sz="0" w:val="nil"/>
        </w:pBdr>
        <w:shd w:fill="auto" w:val="clear"/>
        <w:spacing w:after="0" w:afterAutospacing="0" w:before="360" w:line="259" w:lineRule="auto"/>
        <w:ind w:left="630" w:right="0" w:hanging="360"/>
        <w:jc w:val="both"/>
        <w:rPr/>
      </w:pPr>
      <w:bookmarkStart w:colFirst="0" w:colLast="0" w:name="_heading=h.ufjspinjakbr" w:id="10"/>
      <w:bookmarkEnd w:id="10"/>
      <w:r w:rsidDel="00000000" w:rsidR="00000000" w:rsidRPr="00000000">
        <w:rPr>
          <w:rtl w:val="0"/>
        </w:rPr>
        <w:t xml:space="preserve">Article 10 (2): Limitation on Source Taxation</w:t>
      </w:r>
    </w:p>
    <w:p w:rsidR="00000000" w:rsidDel="00000000" w:rsidP="00000000" w:rsidRDefault="00000000" w:rsidRPr="00000000" w14:paraId="0000009D">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20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Limitation on Source Taxation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Paragraph 2 imposes a cap on the amount of tax that the source state can levy on dividends paid to a resident of the other contracting state. The typical cap is set at 5% for dividends paid to a company holding a substantial shareholding (usually at least 25%) in the paying company, and 15% for other dividends. This limitation aims to prevent excessive taxation by the source state, ensuring that the residence state retains the primary taxing right, especially for portfolio investments.</w:t>
      </w:r>
    </w:p>
    <w:p w:rsidR="00000000" w:rsidDel="00000000" w:rsidP="00000000" w:rsidRDefault="00000000" w:rsidRPr="00000000" w14:paraId="0000009F">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20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Beneficial Ownership</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requirement for the application of the reduced tax rates in Paragraph 2 is that the recipient of the dividend must be the "beneficial owner" of the dividends. The concept of beneficial ownership is crucial in preventing treaty abuse, such as treaty shopping, where intermediaries might be used to claim treaty benefits improperly. A beneficial owner is generally understood to be the person who has the full right to enjoy the income from the dividends and is not merely a conduit for another person.</w:t>
      </w:r>
    </w:p>
    <w:p w:rsidR="00000000" w:rsidDel="00000000" w:rsidP="00000000" w:rsidRDefault="00000000" w:rsidRPr="00000000" w14:paraId="000000A1">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20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Issues with Partnerships and Fiscally Transparent Entities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of the beneficial ownership concept becomes complex in the context of partnerships and fiscally transparent entities. Since these entities may not be recognized as taxpayers in their own right, the question arises as to who is the beneficial owner of the dividends. OECD guidance suggests looking through such entities to determine the tax treatment based on the status of the underlying partners or members. This approach ensures that tax treaty benefits are correctly applied to the actual owners of the income.</w:t>
      </w:r>
    </w:p>
    <w:p w:rsidR="00000000" w:rsidDel="00000000" w:rsidP="00000000" w:rsidRDefault="00000000" w:rsidRPr="00000000" w14:paraId="000000A3">
      <w:pPr>
        <w:pStyle w:val="Heading2"/>
        <w:keepNext w:val="1"/>
        <w:keepLines w:val="1"/>
        <w:pageBreakBefore w:val="0"/>
        <w:widowControl w:val="1"/>
        <w:numPr>
          <w:ilvl w:val="0"/>
          <w:numId w:val="23"/>
        </w:numPr>
        <w:pBdr>
          <w:top w:space="0" w:sz="0" w:val="nil"/>
          <w:left w:space="0" w:sz="0" w:val="nil"/>
          <w:bottom w:space="0" w:sz="0" w:val="nil"/>
          <w:right w:space="0" w:sz="0" w:val="nil"/>
          <w:between w:space="0" w:sz="0" w:val="nil"/>
        </w:pBdr>
        <w:shd w:fill="auto" w:val="clear"/>
        <w:spacing w:after="0" w:afterAutospacing="0" w:before="360" w:line="259" w:lineRule="auto"/>
        <w:ind w:left="630" w:right="0" w:hanging="360"/>
        <w:jc w:val="both"/>
        <w:rPr/>
      </w:pPr>
      <w:bookmarkStart w:colFirst="0" w:colLast="0" w:name="_heading=h.wobzywhiis5n" w:id="11"/>
      <w:bookmarkEnd w:id="11"/>
      <w:r w:rsidDel="00000000" w:rsidR="00000000" w:rsidRPr="00000000">
        <w:rPr>
          <w:rtl w:val="0"/>
        </w:rPr>
        <w:t xml:space="preserve">Article 10 (3): Non-exhaustive Definition of Dividends </w:t>
      </w:r>
    </w:p>
    <w:p w:rsidR="00000000" w:rsidDel="00000000" w:rsidP="00000000" w:rsidRDefault="00000000" w:rsidRPr="00000000" w14:paraId="000000A4">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20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Non-exhaustive Definition of Dividends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Paragraph 3 provides a broad definition of what constitutes dividends, including not only traditional cash distributions to shareholders but also other forms of profit distributions. The definition is non-exhaustive, allowing for the inclusion of other similar payments under the dividend article. This flexibility is important as it accommodates different forms of distributions that might not be classified as dividends under domestic law but have the same economic effect.</w:t>
      </w:r>
    </w:p>
    <w:p w:rsidR="00000000" w:rsidDel="00000000" w:rsidP="00000000" w:rsidRDefault="00000000" w:rsidRPr="00000000" w14:paraId="000000A6">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20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Interests Treated as Dividends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Certain types of interest payments may be treated as dividends under Article 10, especially where the payments are effectively a distribution of profits. For instance, payments on profit-sharing loans or other instruments that blur the line between debt and equity may be recharacterized as dividends to ensure appropriate taxation. This prevents companies from avoiding higher dividend withholding taxes by structuring profit distributions as interest.</w:t>
      </w:r>
    </w:p>
    <w:p w:rsidR="00000000" w:rsidDel="00000000" w:rsidP="00000000" w:rsidRDefault="00000000" w:rsidRPr="00000000" w14:paraId="000000A8">
      <w:pPr>
        <w:pStyle w:val="Heading2"/>
        <w:keepNext w:val="1"/>
        <w:keepLines w:val="1"/>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360" w:line="259" w:lineRule="auto"/>
        <w:ind w:left="630" w:right="0" w:hanging="360"/>
        <w:jc w:val="both"/>
        <w:rPr/>
      </w:pPr>
      <w:bookmarkStart w:colFirst="0" w:colLast="0" w:name="_heading=h.pi0ein72c7vp" w:id="12"/>
      <w:bookmarkEnd w:id="12"/>
      <w:r w:rsidDel="00000000" w:rsidR="00000000" w:rsidRPr="00000000">
        <w:rPr>
          <w:rtl w:val="0"/>
        </w:rPr>
        <w:t xml:space="preserve">Article 10 (4): Transfer of Shares to a PE and the Arm's Length Principle</w:t>
      </w:r>
    </w:p>
    <w:p w:rsidR="00000000" w:rsidDel="00000000" w:rsidP="00000000" w:rsidRDefault="00000000" w:rsidRPr="00000000" w14:paraId="000000A9">
      <w:pPr>
        <w:numPr>
          <w:ilvl w:val="0"/>
          <w:numId w:val="22"/>
        </w:numPr>
        <w:spacing w:after="200" w:before="2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Transfer of Shares to a PE</w:t>
      </w:r>
      <w:r w:rsidDel="00000000" w:rsidR="00000000" w:rsidRPr="00000000">
        <w:rPr>
          <w:rFonts w:ascii="Times New Roman" w:cs="Times New Roman" w:eastAsia="Times New Roman" w:hAnsi="Times New Roman"/>
          <w:sz w:val="24"/>
          <w:szCs w:val="24"/>
          <w:rtl w:val="0"/>
        </w:rPr>
        <w:t xml:space="preserve">: Paragraph 4 addresses the scenario where the beneficial owner has a permanent establishment in the source state, and the payments that relate to the dividends, are as a result of the holdings or activities of the permanent establishment at the source state. Hence in such a situation, Article 7 will apply. </w:t>
      </w:r>
    </w:p>
    <w:p w:rsidR="00000000" w:rsidDel="00000000" w:rsidP="00000000" w:rsidRDefault="00000000" w:rsidRPr="00000000" w14:paraId="000000AA">
      <w:pPr>
        <w:numPr>
          <w:ilvl w:val="0"/>
          <w:numId w:val="22"/>
        </w:numPr>
        <w:spacing w:after="2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Application of Article 7 (Business Profits)</w:t>
      </w:r>
      <w:r w:rsidDel="00000000" w:rsidR="00000000" w:rsidRPr="00000000">
        <w:rPr>
          <w:rFonts w:ascii="Times New Roman" w:cs="Times New Roman" w:eastAsia="Times New Roman" w:hAnsi="Times New Roman"/>
          <w:sz w:val="24"/>
          <w:szCs w:val="24"/>
          <w:rtl w:val="0"/>
        </w:rPr>
        <w:t xml:space="preserve">: When shares are transferred to a PE, the taxation of dividends is governed by Article 7, which applies the arm's length principle. This principle requires that transactions between a PE and its head office be conducted as if they were between independent entities. The profits attributable to the PE, including dividend income, are taxed in the state where the PE is located, based on the economic substance of the activities conducted through the PE.</w:t>
      </w:r>
    </w:p>
    <w:p w:rsidR="00000000" w:rsidDel="00000000" w:rsidP="00000000" w:rsidRDefault="00000000" w:rsidRPr="00000000" w14:paraId="000000AB">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20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Case Study Explanation of Article 10(4)</w:t>
      </w:r>
      <w:r w:rsidDel="00000000" w:rsidR="00000000" w:rsidRPr="00000000">
        <w:rPr>
          <w:rtl w:val="0"/>
        </w:rPr>
      </w:r>
    </w:p>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a multinational corporation called MNC headquartered in Country A. MNC has a subsidiary company, "SubCo," which is resident in Country B. "SubCo" pays dividends to its parent company, "ParentCo," which is a resident of Country A. However, "ParentCo" operates a permanent establishment (PE) in Country B, where the subsidiary is located. The PE actively manages and holds the shares of "SubCo."</w:t>
      </w:r>
    </w:p>
    <w:p w:rsidR="00000000" w:rsidDel="00000000" w:rsidP="00000000" w:rsidRDefault="00000000" w:rsidRPr="00000000" w14:paraId="000000AD">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20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Application of Article 10(4)</w:t>
      </w:r>
      <w:r w:rsidDel="00000000" w:rsidR="00000000" w:rsidRPr="00000000">
        <w:rPr>
          <w:rtl w:val="0"/>
        </w:rPr>
      </w:r>
    </w:p>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10(4)</w:t>
      </w:r>
      <w:r w:rsidDel="00000000" w:rsidR="00000000" w:rsidRPr="00000000">
        <w:rPr>
          <w:rFonts w:ascii="Times New Roman" w:cs="Times New Roman" w:eastAsia="Times New Roman" w:hAnsi="Times New Roman"/>
          <w:sz w:val="24"/>
          <w:szCs w:val="24"/>
          <w:rtl w:val="0"/>
        </w:rPr>
        <w:t xml:space="preserve"> of the OECD MTC comes into play because the beneficial owner of the dividends, "ParentCo," has a PE in the same state where the dividend-paying company ("SubCo") is resident. The key point is that the dividends paid by "SubCo" are attributable to the activities or holdings of the PE in Country B.</w:t>
      </w:r>
    </w:p>
    <w:p w:rsidR="00000000" w:rsidDel="00000000" w:rsidP="00000000" w:rsidRDefault="00000000" w:rsidRPr="00000000" w14:paraId="000000AF">
      <w:pPr>
        <w:numPr>
          <w:ilvl w:val="0"/>
          <w:numId w:val="8"/>
        </w:numPr>
        <w:spacing w:after="160" w:afterAutospacing="0"/>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dividends received by "ParentCo" through its PE in Country B are not taxed under the dividend article (Article 10) but are instead taxed under </w:t>
      </w:r>
      <w:r w:rsidDel="00000000" w:rsidR="00000000" w:rsidRPr="00000000">
        <w:rPr>
          <w:rFonts w:ascii="Times New Roman" w:cs="Times New Roman" w:eastAsia="Times New Roman" w:hAnsi="Times New Roman"/>
          <w:b w:val="1"/>
          <w:sz w:val="24"/>
          <w:szCs w:val="24"/>
          <w:rtl w:val="0"/>
        </w:rPr>
        <w:t xml:space="preserve">Article 7</w:t>
      </w:r>
      <w:r w:rsidDel="00000000" w:rsidR="00000000" w:rsidRPr="00000000">
        <w:rPr>
          <w:rFonts w:ascii="Times New Roman" w:cs="Times New Roman" w:eastAsia="Times New Roman" w:hAnsi="Times New Roman"/>
          <w:sz w:val="24"/>
          <w:szCs w:val="24"/>
          <w:rtl w:val="0"/>
        </w:rPr>
        <w:t xml:space="preserve"> of the OECD MTC, which deals with business profits.</w:t>
      </w:r>
    </w:p>
    <w:p w:rsidR="00000000" w:rsidDel="00000000" w:rsidP="00000000" w:rsidRDefault="00000000" w:rsidRPr="00000000" w14:paraId="000000B0">
      <w:pPr>
        <w:pStyle w:val="Heading2"/>
        <w:keepNext w:val="1"/>
        <w:keepLines w:val="1"/>
        <w:pageBreakBefore w:val="0"/>
        <w:widowControl w:val="1"/>
        <w:numPr>
          <w:ilvl w:val="0"/>
          <w:numId w:val="23"/>
        </w:numPr>
        <w:pBdr>
          <w:top w:space="0" w:sz="0" w:val="nil"/>
          <w:left w:space="0" w:sz="0" w:val="nil"/>
          <w:bottom w:space="0" w:sz="0" w:val="nil"/>
          <w:right w:space="0" w:sz="0" w:val="nil"/>
          <w:between w:space="0" w:sz="0" w:val="nil"/>
        </w:pBdr>
        <w:shd w:fill="auto" w:val="clear"/>
        <w:spacing w:after="0" w:afterAutospacing="0" w:before="160" w:beforeAutospacing="0" w:line="259" w:lineRule="auto"/>
        <w:ind w:left="630" w:right="0" w:hanging="360"/>
        <w:jc w:val="both"/>
        <w:rPr/>
      </w:pPr>
      <w:bookmarkStart w:colFirst="0" w:colLast="0" w:name="_heading=h.n0180f7o1ljq" w:id="13"/>
      <w:bookmarkEnd w:id="13"/>
      <w:r w:rsidDel="00000000" w:rsidR="00000000" w:rsidRPr="00000000">
        <w:rPr>
          <w:rtl w:val="0"/>
        </w:rPr>
        <w:t xml:space="preserve">Article 10 (5): Prohibition of Extraterritorial Taxation </w:t>
      </w:r>
    </w:p>
    <w:p w:rsidR="00000000" w:rsidDel="00000000" w:rsidP="00000000" w:rsidRDefault="00000000" w:rsidRPr="00000000" w14:paraId="000000B1">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20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Extraterritorial Taxation Prohibited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Paragraph 5 prevents the source state from taxing dividends paid by a company resident in that state if the beneficial owner is a resident of the other contracting state and the dividends are attributable to a PE that the recipient has in a third state. This provision prevents the source state from imposing tax on dividends that are economically linked to the activities of a PE located outside its jurisdiction, thereby reinforcing the principle of taxation based on economic activity.</w:t>
      </w:r>
    </w:p>
    <w:p w:rsidR="00000000" w:rsidDel="00000000" w:rsidP="00000000" w:rsidRDefault="00000000" w:rsidRPr="00000000" w14:paraId="000000B3">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20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Case Study Explanation of Article 10(5)</w:t>
      </w: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an international company, "TechGlobal," headquartered in Country A. TechGlobal has several subsidiaries and permanent establishments (PEs) across different countries. One of its subsidiaries, "DataCorp," is located in Country B, while TechGlobal has a significant PE in Country C that manages part of its international operations.</w:t>
      </w:r>
    </w:p>
    <w:p w:rsidR="00000000" w:rsidDel="00000000" w:rsidP="00000000" w:rsidRDefault="00000000" w:rsidRPr="00000000" w14:paraId="000000B5">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20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Application of Article 10(5)</w:t>
      </w: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10(5)</w:t>
      </w:r>
      <w:r w:rsidDel="00000000" w:rsidR="00000000" w:rsidRPr="00000000">
        <w:rPr>
          <w:rFonts w:ascii="Times New Roman" w:cs="Times New Roman" w:eastAsia="Times New Roman" w:hAnsi="Times New Roman"/>
          <w:sz w:val="24"/>
          <w:szCs w:val="24"/>
          <w:rtl w:val="0"/>
        </w:rPr>
        <w:t xml:space="preserve"> of the OECD Model Tax Convention applies in situations where the beneficial owner of dividends (TechGlobal) is a resident of one state (Country A), but the dividends are attributable to a PE that the recipient has in a third state (Country C). Here’s how Article 10(5) functions in this scenario:</w:t>
      </w:r>
    </w:p>
    <w:p w:rsidR="00000000" w:rsidDel="00000000" w:rsidP="00000000" w:rsidRDefault="00000000" w:rsidRPr="00000000" w14:paraId="000000B7">
      <w:pPr>
        <w:numPr>
          <w:ilvl w:val="0"/>
          <w:numId w:val="3"/>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Dividends Paid by DataCorp</w:t>
      </w:r>
      <w:r w:rsidDel="00000000" w:rsidR="00000000" w:rsidRPr="00000000">
        <w:rPr>
          <w:rFonts w:ascii="Times New Roman" w:cs="Times New Roman" w:eastAsia="Times New Roman" w:hAnsi="Times New Roman"/>
          <w:sz w:val="24"/>
          <w:szCs w:val="24"/>
          <w:rtl w:val="0"/>
        </w:rPr>
        <w:t xml:space="preserve">: DataCorp in Country B declares and pays dividends to its parent company, TechGlobal. Ordinarily, under Article 10, Country B (the source state) might impose a withholding tax on these dividends.</w:t>
      </w:r>
    </w:p>
    <w:p w:rsidR="00000000" w:rsidDel="00000000" w:rsidP="00000000" w:rsidRDefault="00000000" w:rsidRPr="00000000" w14:paraId="000000B8">
      <w:pPr>
        <w:numPr>
          <w:ilvl w:val="0"/>
          <w:numId w:val="3"/>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Attribution to the PE in Country C</w:t>
      </w:r>
      <w:r w:rsidDel="00000000" w:rsidR="00000000" w:rsidRPr="00000000">
        <w:rPr>
          <w:rFonts w:ascii="Times New Roman" w:cs="Times New Roman" w:eastAsia="Times New Roman" w:hAnsi="Times New Roman"/>
          <w:sz w:val="24"/>
          <w:szCs w:val="24"/>
          <w:rtl w:val="0"/>
        </w:rPr>
        <w:t xml:space="preserve">: These dividends, however, are attributable to the activities of TechGlobal’s PE in Country C. This attribution means that the economic activities generating the dividends are conducted through the PE in Country C, not in Country B.</w:t>
      </w:r>
    </w:p>
    <w:p w:rsidR="00000000" w:rsidDel="00000000" w:rsidP="00000000" w:rsidRDefault="00000000" w:rsidRPr="00000000" w14:paraId="000000B9">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20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Implication of Article 10(5):</w:t>
      </w:r>
      <w:r w:rsidDel="00000000" w:rsidR="00000000" w:rsidRPr="00000000">
        <w:rPr>
          <w:rtl w:val="0"/>
        </w:rPr>
      </w:r>
    </w:p>
    <w:p w:rsidR="00000000" w:rsidDel="00000000" w:rsidP="00000000" w:rsidRDefault="00000000" w:rsidRPr="00000000" w14:paraId="000000BA">
      <w:pPr>
        <w:numPr>
          <w:ilvl w:val="0"/>
          <w:numId w:val="12"/>
        </w:numPr>
        <w:spacing w:after="160" w:afterAutospacing="0"/>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Prevention of Source Taxation by Country B</w:t>
      </w:r>
      <w:r w:rsidDel="00000000" w:rsidR="00000000" w:rsidRPr="00000000">
        <w:rPr>
          <w:rFonts w:ascii="Times New Roman" w:cs="Times New Roman" w:eastAsia="Times New Roman" w:hAnsi="Times New Roman"/>
          <w:sz w:val="24"/>
          <w:szCs w:val="24"/>
          <w:rtl w:val="0"/>
        </w:rPr>
        <w:t xml:space="preserve">: Article 10(5) prevents Country B (the source state) from taxing the dividends because they are economically linked to the activities of the PE in Country C. This provision ensures that the dividends are only taxed in Country C (under the rules for business profits, typically Article 7 of the OECD MTC), aligning taxation with the location of the economic activity.</w:t>
      </w:r>
    </w:p>
    <w:p w:rsidR="00000000" w:rsidDel="00000000" w:rsidP="00000000" w:rsidRDefault="00000000" w:rsidRPr="00000000" w14:paraId="000000BB">
      <w:pPr>
        <w:pStyle w:val="Heading2"/>
        <w:keepNext w:val="1"/>
        <w:keepLines w:val="1"/>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160" w:beforeAutospacing="0" w:line="259" w:lineRule="auto"/>
        <w:ind w:left="630" w:right="0" w:hanging="360"/>
        <w:jc w:val="both"/>
        <w:rPr/>
      </w:pPr>
      <w:bookmarkStart w:colFirst="0" w:colLast="0" w:name="_heading=h.2mdhi7ezi4yg" w:id="14"/>
      <w:bookmarkEnd w:id="14"/>
      <w:r w:rsidDel="00000000" w:rsidR="00000000" w:rsidRPr="00000000">
        <w:rPr>
          <w:rtl w:val="0"/>
        </w:rPr>
        <w:t xml:space="preserve">Impact of Domestic Tax Features on Article 10</w:t>
      </w:r>
    </w:p>
    <w:p w:rsidR="00000000" w:rsidDel="00000000" w:rsidP="00000000" w:rsidRDefault="00000000" w:rsidRPr="00000000" w14:paraId="000000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interaction between Article 10 of the OECD MTC and domestic tax systems significantly influences the taxation of dividends, particularly in cross-border situations. The OECD provides guidance on how countries should navigate these interactions to prevent double taxation, ensure fairness, and avoid tax avoidance. Below is a detailed explanation of how different domestic tax systems in various countries impact Article 10 and the OECD's suggestions for addressing these challenges.</w:t>
      </w:r>
    </w:p>
    <w:p w:rsidR="00000000" w:rsidDel="00000000" w:rsidP="00000000" w:rsidRDefault="00000000" w:rsidRPr="00000000" w14:paraId="000000BD">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20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Classical Tax System (e.g., Italy)</w:t>
      </w:r>
    </w:p>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countries like Italy that use a classical tax system, dividends are taxed twice—once at the corporate level and again at the individual shareholder level. This double taxation can lead to a high effective tax rate on dividend income. Article 10 helps to mitigate this by limiting the source state's withholding tax on dividends and encouraging the residence state to provide relief to prevent excessive taxation. The OECD suggests that countries with classical tax systems implement measures such as:</w:t>
      </w:r>
    </w:p>
    <w:p w:rsidR="00000000" w:rsidDel="00000000" w:rsidP="00000000" w:rsidRDefault="00000000" w:rsidRPr="00000000" w14:paraId="000000BF">
      <w:pPr>
        <w:numPr>
          <w:ilvl w:val="0"/>
          <w:numId w:val="18"/>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Tax Credits</w:t>
      </w:r>
      <w:r w:rsidDel="00000000" w:rsidR="00000000" w:rsidRPr="00000000">
        <w:rPr>
          <w:rFonts w:ascii="Times New Roman" w:cs="Times New Roman" w:eastAsia="Times New Roman" w:hAnsi="Times New Roman"/>
          <w:sz w:val="24"/>
          <w:szCs w:val="24"/>
          <w:rtl w:val="0"/>
        </w:rPr>
        <w:t xml:space="preserve">: Providing credits to shareholders for the corporate tax already paid by the company to offset the tax on dividends at the individual level.</w:t>
      </w:r>
    </w:p>
    <w:p w:rsidR="00000000" w:rsidDel="00000000" w:rsidP="00000000" w:rsidRDefault="00000000" w:rsidRPr="00000000" w14:paraId="000000C0">
      <w:pPr>
        <w:numPr>
          <w:ilvl w:val="0"/>
          <w:numId w:val="18"/>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Reduced Withholding Taxes</w:t>
      </w:r>
      <w:r w:rsidDel="00000000" w:rsidR="00000000" w:rsidRPr="00000000">
        <w:rPr>
          <w:rFonts w:ascii="Times New Roman" w:cs="Times New Roman" w:eastAsia="Times New Roman" w:hAnsi="Times New Roman"/>
          <w:sz w:val="24"/>
          <w:szCs w:val="24"/>
          <w:rtl w:val="0"/>
        </w:rPr>
        <w:t xml:space="preserve">: Negotiating lower withholding tax rates in tax treaties to ensure that the total tax burden on cross-border dividends remains reasonable.</w:t>
      </w:r>
    </w:p>
    <w:p w:rsidR="00000000" w:rsidDel="00000000" w:rsidP="00000000" w:rsidRDefault="00000000" w:rsidRPr="00000000" w14:paraId="000000C1">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20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Split-rate Company Tax System (e.g., Austria, Finland, Germany)</w:t>
      </w:r>
    </w:p>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Austria, Finland, and Germany, a split-rate system is used where different tax rates apply to distributed and retained profits. This system can affect the tax burden on dividends and may require careful adjustments under Article 10 to ensure that treaty benefits, such as reduced withholding tax rates, are properly applied. The OECD recommends:</w:t>
      </w:r>
    </w:p>
    <w:p w:rsidR="00000000" w:rsidDel="00000000" w:rsidP="00000000" w:rsidRDefault="00000000" w:rsidRPr="00000000" w14:paraId="000000C3">
      <w:pPr>
        <w:numPr>
          <w:ilvl w:val="0"/>
          <w:numId w:val="20"/>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Careful Treaty Negotiations</w:t>
      </w:r>
      <w:r w:rsidDel="00000000" w:rsidR="00000000" w:rsidRPr="00000000">
        <w:rPr>
          <w:rFonts w:ascii="Times New Roman" w:cs="Times New Roman" w:eastAsia="Times New Roman" w:hAnsi="Times New Roman"/>
          <w:sz w:val="24"/>
          <w:szCs w:val="24"/>
          <w:rtl w:val="0"/>
        </w:rPr>
        <w:t xml:space="preserve">: Ensuring tax treaties provide clarity on how split rates should interact with the reduced withholding tax rates under Article 10, avoiding unexpected tax outcomes.</w:t>
      </w:r>
    </w:p>
    <w:p w:rsidR="00000000" w:rsidDel="00000000" w:rsidP="00000000" w:rsidRDefault="00000000" w:rsidRPr="00000000" w14:paraId="000000C4">
      <w:pPr>
        <w:numPr>
          <w:ilvl w:val="0"/>
          <w:numId w:val="20"/>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Coordination Between States</w:t>
      </w:r>
      <w:r w:rsidDel="00000000" w:rsidR="00000000" w:rsidRPr="00000000">
        <w:rPr>
          <w:rFonts w:ascii="Times New Roman" w:cs="Times New Roman" w:eastAsia="Times New Roman" w:hAnsi="Times New Roman"/>
          <w:sz w:val="24"/>
          <w:szCs w:val="24"/>
          <w:rtl w:val="0"/>
        </w:rPr>
        <w:t xml:space="preserve">: Encouraging countries to align their tax systems and treaty provisions to minimize conflicts and ensure that cross-border dividends are not disadvantaged compared to domestic dividends.</w:t>
      </w:r>
    </w:p>
    <w:p w:rsidR="00000000" w:rsidDel="00000000" w:rsidP="00000000" w:rsidRDefault="00000000" w:rsidRPr="00000000" w14:paraId="000000C5">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20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Relief at Shareholder’s Level (e.g., France, Turkey, Canada, Germany, UK)</w:t>
      </w:r>
    </w:p>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individuals, countries like France, Turkey, Canada, Germany, and the UK offer relief at the shareholder's level through mechanisms such as dividend tax credits, exemptions, or reduced tax rates. These systems are designed to prevent double taxation of dividends at the individual level. The OECD's guidance includes:</w:t>
      </w:r>
    </w:p>
    <w:p w:rsidR="00000000" w:rsidDel="00000000" w:rsidP="00000000" w:rsidRDefault="00000000" w:rsidRPr="00000000" w14:paraId="000000C7">
      <w:pPr>
        <w:numPr>
          <w:ilvl w:val="0"/>
          <w:numId w:val="19"/>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Alignment with Treaty Provisions</w:t>
      </w:r>
      <w:r w:rsidDel="00000000" w:rsidR="00000000" w:rsidRPr="00000000">
        <w:rPr>
          <w:rFonts w:ascii="Times New Roman" w:cs="Times New Roman" w:eastAsia="Times New Roman" w:hAnsi="Times New Roman"/>
          <w:sz w:val="24"/>
          <w:szCs w:val="24"/>
          <w:rtl w:val="0"/>
        </w:rPr>
        <w:t xml:space="preserve">: Countries should ensure that their domestic relief measures align with Article 10 to effectively prevent double taxation on cross-border dividends.</w:t>
      </w:r>
    </w:p>
    <w:p w:rsidR="00000000" w:rsidDel="00000000" w:rsidP="00000000" w:rsidRDefault="00000000" w:rsidRPr="00000000" w14:paraId="000000C8">
      <w:pPr>
        <w:numPr>
          <w:ilvl w:val="0"/>
          <w:numId w:val="19"/>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Avoidance of Double Non-Taxation</w:t>
      </w:r>
      <w:r w:rsidDel="00000000" w:rsidR="00000000" w:rsidRPr="00000000">
        <w:rPr>
          <w:rFonts w:ascii="Times New Roman" w:cs="Times New Roman" w:eastAsia="Times New Roman" w:hAnsi="Times New Roman"/>
          <w:sz w:val="24"/>
          <w:szCs w:val="24"/>
          <w:rtl w:val="0"/>
        </w:rPr>
        <w:t xml:space="preserve">: It is also crucial to avoid scenarios where these relief mechanisms lead to double non-taxation, where neither the source state nor the residence state effectively taxes the dividend income.</w:t>
      </w:r>
    </w:p>
    <w:p w:rsidR="00000000" w:rsidDel="00000000" w:rsidP="00000000" w:rsidRDefault="00000000" w:rsidRPr="00000000" w14:paraId="000000C9">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20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Imputation System in the State of the Subsidiary (e.g., France, Turkey, Canada, Germany, UK)</w:t>
      </w:r>
    </w:p>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to relief at Shareholder’s level, in an imputation system, corporate tax paid by a subsidiary can be credited against the parent company’s tax liability. This system, influences how Article 10 is applied by reducing the overall tax burden on dividends distributed to parent companies. The OECD suggests:</w:t>
      </w:r>
    </w:p>
    <w:p w:rsidR="00000000" w:rsidDel="00000000" w:rsidP="00000000" w:rsidRDefault="00000000" w:rsidRPr="00000000" w14:paraId="000000CB">
      <w:pPr>
        <w:numPr>
          <w:ilvl w:val="0"/>
          <w:numId w:val="4"/>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Ensuring Effective Taxation</w:t>
      </w:r>
      <w:r w:rsidDel="00000000" w:rsidR="00000000" w:rsidRPr="00000000">
        <w:rPr>
          <w:rFonts w:ascii="Times New Roman" w:cs="Times New Roman" w:eastAsia="Times New Roman" w:hAnsi="Times New Roman"/>
          <w:sz w:val="24"/>
          <w:szCs w:val="24"/>
          <w:rtl w:val="0"/>
        </w:rPr>
        <w:t xml:space="preserve">: Designing imputation systems to ensure dividends are subject to effective taxation in at least one jurisdiction, in line with the principle of preventing double taxation without resulting in double non-taxation.</w:t>
      </w:r>
    </w:p>
    <w:p w:rsidR="00000000" w:rsidDel="00000000" w:rsidP="00000000" w:rsidRDefault="00000000" w:rsidRPr="00000000" w14:paraId="000000CC">
      <w:pPr>
        <w:numPr>
          <w:ilvl w:val="0"/>
          <w:numId w:val="4"/>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Treaty Consistency</w:t>
      </w:r>
      <w:r w:rsidDel="00000000" w:rsidR="00000000" w:rsidRPr="00000000">
        <w:rPr>
          <w:rFonts w:ascii="Times New Roman" w:cs="Times New Roman" w:eastAsia="Times New Roman" w:hAnsi="Times New Roman"/>
          <w:sz w:val="24"/>
          <w:szCs w:val="24"/>
          <w:rtl w:val="0"/>
        </w:rPr>
        <w:t xml:space="preserve">: Ensuring that imputation credits or exemptions provided domestically are also recognized in cross-border situations under tax treaties, facilitating proper application of Article 10.</w:t>
      </w:r>
    </w:p>
    <w:p w:rsidR="00000000" w:rsidDel="00000000" w:rsidP="00000000" w:rsidRDefault="00000000" w:rsidRPr="00000000" w14:paraId="000000CD">
      <w:pPr>
        <w:pStyle w:val="Heading2"/>
        <w:keepNext w:val="1"/>
        <w:keepLines w:val="1"/>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59" w:lineRule="auto"/>
        <w:ind w:left="630" w:right="0" w:hanging="360"/>
        <w:jc w:val="both"/>
        <w:rPr/>
      </w:pPr>
      <w:bookmarkStart w:colFirst="0" w:colLast="0" w:name="_heading=h.412q7hce7ddr" w:id="15"/>
      <w:bookmarkEnd w:id="15"/>
      <w:r w:rsidDel="00000000" w:rsidR="00000000" w:rsidRPr="00000000">
        <w:rPr>
          <w:rtl w:val="0"/>
        </w:rPr>
        <w:t xml:space="preserve">Comparison of Article 10 of the OECD MTC (2017) and UN MTC (2021)</w:t>
      </w:r>
    </w:p>
    <w:p w:rsidR="00000000" w:rsidDel="00000000" w:rsidP="00000000" w:rsidRDefault="00000000" w:rsidRPr="00000000" w14:paraId="000000CE">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Differences in Withholding Tax Rates (Article Paragraph 2)</w:t>
      </w:r>
    </w:p>
    <w:p w:rsidR="00000000" w:rsidDel="00000000" w:rsidP="00000000" w:rsidRDefault="00000000" w:rsidRPr="00000000" w14:paraId="000000CF">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59" w:lineRule="auto"/>
        <w:ind w:left="720" w:right="0" w:hanging="720"/>
        <w:jc w:val="both"/>
        <w:rPr>
          <w:rFonts w:ascii="Times New Roman" w:cs="Times New Roman" w:eastAsia="Times New Roman" w:hAnsi="Times New Roman"/>
          <w:b w:val="1"/>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Fixed vs. Undetermined Rates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7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Under the UN Model, the paragraphs indicate that the rates “shall not exceed ___ per cent” and leave those blanks to be decided by the Contracting States.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72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Under the OECD Model, the text prescribes two specific ceilings (5% under certain circumstances, 15% otherwise).</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59" w:lineRule="auto"/>
        <w:ind w:left="720" w:right="0" w:hanging="720"/>
        <w:jc w:val="both"/>
        <w:rPr>
          <w:rFonts w:ascii="Times New Roman" w:cs="Times New Roman" w:eastAsia="Times New Roman" w:hAnsi="Times New Roman"/>
          <w:b w:val="1"/>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Same Two-Tier Structure</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7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Both versions recognize a lower rate for a company owning a significant percentage of the paying company (the threshold is at least 25%) and a higher rate in other scenarios.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Although the UN text leaves the actual percentages open for negotiation, the structure of a lower rate for substantial shareholdings and a higher rate for all other shareholdings mirrors the OECD approach.</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Inclusion of “Fixed Base” in the UN Model (Paragraph 4)</w:t>
      </w:r>
    </w:p>
    <w:p w:rsidR="00000000" w:rsidDel="00000000" w:rsidP="00000000" w:rsidRDefault="00000000" w:rsidRPr="00000000" w14:paraId="000000D6">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59" w:lineRule="auto"/>
        <w:ind w:left="720" w:right="0" w:hanging="720"/>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Permanent Establishment vs. Permanent Establishment + Fixed Base</w:t>
      </w:r>
    </w:p>
    <w:p w:rsidR="00000000" w:rsidDel="00000000" w:rsidP="00000000" w:rsidRDefault="00000000" w:rsidRPr="00000000" w14:paraId="000000D7">
      <w:pPr>
        <w:numPr>
          <w:ilvl w:val="0"/>
          <w:numId w:val="2"/>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OECD Model: Limits the “business connection” exception to cases where the dividend recipient has a permanent establishment in the paying company’s State and the dividend-generating shares are effectively connected to that establishment.</w:t>
      </w:r>
    </w:p>
    <w:p w:rsidR="00000000" w:rsidDel="00000000" w:rsidP="00000000" w:rsidRDefault="00000000" w:rsidRPr="00000000" w14:paraId="000000D8">
      <w:pPr>
        <w:numPr>
          <w:ilvl w:val="0"/>
          <w:numId w:val="2"/>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 Model: Uses a broader formulation, covering not only a permanent establishment but also a fixed base for independent personal services. It then refers to both Article 7 (Business Profits) and Article 14 (Independent Personal Services).</w:t>
      </w:r>
    </w:p>
    <w:p w:rsidR="00000000" w:rsidDel="00000000" w:rsidP="00000000" w:rsidRDefault="00000000" w:rsidRPr="00000000" w14:paraId="000000D9">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Minor Drafting Variations and Cross-References</w:t>
      </w:r>
    </w:p>
    <w:p w:rsidR="00000000" w:rsidDel="00000000" w:rsidP="00000000" w:rsidRDefault="00000000" w:rsidRPr="00000000" w14:paraId="000000DA">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59" w:lineRule="auto"/>
        <w:ind w:left="720" w:right="0" w:hanging="720"/>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References to Article 14 (Independent Personal Services)</w:t>
      </w:r>
    </w:p>
    <w:p w:rsidR="00000000" w:rsidDel="00000000" w:rsidP="00000000" w:rsidRDefault="00000000" w:rsidRPr="00000000" w14:paraId="000000DB">
      <w:pPr>
        <w:numPr>
          <w:ilvl w:val="0"/>
          <w:numId w:val="24"/>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 Model: Maintains a standalone article on independent personal services (Article 14). Hence, paragraph 4 in Article 10 explicitly says “or Article 14, as the case may be.”</w:t>
      </w:r>
    </w:p>
    <w:p w:rsidR="00000000" w:rsidDel="00000000" w:rsidP="00000000" w:rsidRDefault="00000000" w:rsidRPr="00000000" w14:paraId="000000DC">
      <w:pPr>
        <w:numPr>
          <w:ilvl w:val="0"/>
          <w:numId w:val="24"/>
        </w:numPr>
        <w:spacing w:after="2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OECD Model: Has merged the concept of independent personal services into the business profits article in more recent iterations, so it refers only to Article 7.</w:t>
      </w:r>
      <w:r w:rsidDel="00000000" w:rsidR="00000000" w:rsidRPr="00000000">
        <w:rPr>
          <w:rtl w:val="0"/>
        </w:rPr>
      </w:r>
    </w:p>
    <w:p w:rsidR="00000000" w:rsidDel="00000000" w:rsidP="00000000" w:rsidRDefault="00000000" w:rsidRPr="00000000" w14:paraId="000000DD">
      <w:pPr>
        <w:pStyle w:val="Heading1"/>
        <w:spacing w:after="200" w:lineRule="auto"/>
        <w:rPr/>
        <w:sectPr>
          <w:headerReference r:id="rId7" w:type="default"/>
          <w:footerReference r:id="rId8" w:type="default"/>
          <w:pgSz w:h="16838" w:w="11906" w:orient="portrait"/>
          <w:pgMar w:bottom="1440" w:top="1440" w:left="1440" w:right="1440" w:header="708" w:footer="708"/>
          <w:pgNumType w:start="1"/>
        </w:sectPr>
      </w:pPr>
      <w:bookmarkStart w:colFirst="0" w:colLast="0" w:name="_heading=h.2fd1assl9m4q" w:id="16"/>
      <w:bookmarkEnd w:id="16"/>
      <w:r w:rsidDel="00000000" w:rsidR="00000000" w:rsidRPr="00000000">
        <w:rPr>
          <w:rtl w:val="0"/>
        </w:rPr>
      </w:r>
    </w:p>
    <w:p w:rsidR="00000000" w:rsidDel="00000000" w:rsidP="00000000" w:rsidRDefault="00000000" w:rsidRPr="00000000" w14:paraId="000000DE">
      <w:pPr>
        <w:pStyle w:val="Heading1"/>
        <w:spacing w:after="200" w:lineRule="auto"/>
        <w:rPr/>
      </w:pPr>
      <w:bookmarkStart w:colFirst="0" w:colLast="0" w:name="_heading=h.46r0co2" w:id="17"/>
      <w:bookmarkEnd w:id="17"/>
      <w:r w:rsidDel="00000000" w:rsidR="00000000" w:rsidRPr="00000000">
        <w:rPr>
          <w:rtl w:val="0"/>
        </w:rPr>
        <w:t xml:space="preserve">K.3. INTEREST – ARTICLE 11, OECD MTC</w:t>
      </w:r>
    </w:p>
    <w:p w:rsidR="00000000" w:rsidDel="00000000" w:rsidP="00000000" w:rsidRDefault="00000000" w:rsidRPr="00000000" w14:paraId="000000D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11 of the OECD Model Tax Convention (MTC) governs the taxation of interest income in cross-border transactions. It is a crucial element of international tax law, as it delineates the taxing rights between the state where the interest arises (source state) and the state where the interest recipient resides (residence state). </w:t>
      </w:r>
    </w:p>
    <w:p w:rsidR="00000000" w:rsidDel="00000000" w:rsidP="00000000" w:rsidRDefault="00000000" w:rsidRPr="00000000" w14:paraId="000000E0">
      <w:pPr>
        <w:pStyle w:val="Heading2"/>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360" w:line="259" w:lineRule="auto"/>
        <w:ind w:left="630" w:right="0" w:hanging="360"/>
        <w:jc w:val="both"/>
        <w:rPr/>
      </w:pPr>
      <w:bookmarkStart w:colFirst="0" w:colLast="0" w:name="_heading=h.tm2njsefgbo" w:id="18"/>
      <w:bookmarkEnd w:id="18"/>
      <w:r w:rsidDel="00000000" w:rsidR="00000000" w:rsidRPr="00000000">
        <w:rPr>
          <w:rtl w:val="0"/>
        </w:rPr>
        <w:t xml:space="preserve">Comparison - Interests and Shares</w:t>
      </w:r>
    </w:p>
    <w:p w:rsidR="00000000" w:rsidDel="00000000" w:rsidP="00000000" w:rsidRDefault="00000000" w:rsidRPr="00000000" w14:paraId="000000E1">
      <w:pPr>
        <w:numPr>
          <w:ilvl w:val="1"/>
          <w:numId w:val="1"/>
        </w:numPr>
        <w:ind w:left="81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Nature of Interests: </w:t>
      </w:r>
    </w:p>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 is the return on debt capital, typically paid by a borrower to a lender for the use of money. It differs fundamentally from dividends, which are returns on equity capital. Interest is usually a fixed obligation, paid regardless of the borrower's profitability, and represents a lower risk compared to dividends, which are paid out of profits and can vary or be suspended.</w:t>
      </w:r>
    </w:p>
    <w:p w:rsidR="00000000" w:rsidDel="00000000" w:rsidP="00000000" w:rsidRDefault="00000000" w:rsidRPr="00000000" w14:paraId="000000E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Double Taxation of Interest Income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 taxation of interest income occurs when the source state taxes the interest paid by a resident to a non-resident, and the residence state also taxes the recipient on that same interest income. Article 11 addresses this by allocating taxing rights between the source and residence states, thus preventing or mitigating double taxation.</w:t>
      </w:r>
    </w:p>
    <w:p w:rsidR="00000000" w:rsidDel="00000000" w:rsidP="00000000" w:rsidRDefault="00000000" w:rsidRPr="00000000" w14:paraId="000000E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Purpose of the Article and its Structure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11 is structured into five paragraphs, each addressing different aspects of interest taxation:</w:t>
      </w:r>
    </w:p>
    <w:p w:rsidR="00000000" w:rsidDel="00000000" w:rsidP="00000000" w:rsidRDefault="00000000" w:rsidRPr="00000000" w14:paraId="000000E7">
      <w:pPr>
        <w:numPr>
          <w:ilvl w:val="0"/>
          <w:numId w:val="10"/>
        </w:numPr>
        <w:ind w:left="36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Paragraph 1</w:t>
      </w:r>
      <w:r w:rsidDel="00000000" w:rsidR="00000000" w:rsidRPr="00000000">
        <w:rPr>
          <w:rFonts w:ascii="Times New Roman" w:cs="Times New Roman" w:eastAsia="Times New Roman" w:hAnsi="Times New Roman"/>
          <w:sz w:val="24"/>
          <w:szCs w:val="24"/>
          <w:rtl w:val="0"/>
        </w:rPr>
        <w:t xml:space="preserve">: Establishes the general tax sharing rule, giving the residence state the primary taxing right.</w:t>
      </w:r>
    </w:p>
    <w:p w:rsidR="00000000" w:rsidDel="00000000" w:rsidP="00000000" w:rsidRDefault="00000000" w:rsidRPr="00000000" w14:paraId="000000E8">
      <w:pPr>
        <w:numPr>
          <w:ilvl w:val="0"/>
          <w:numId w:val="10"/>
        </w:numPr>
        <w:ind w:left="36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Paragraph 2</w:t>
      </w:r>
      <w:r w:rsidDel="00000000" w:rsidR="00000000" w:rsidRPr="00000000">
        <w:rPr>
          <w:rFonts w:ascii="Times New Roman" w:cs="Times New Roman" w:eastAsia="Times New Roman" w:hAnsi="Times New Roman"/>
          <w:sz w:val="24"/>
          <w:szCs w:val="24"/>
          <w:rtl w:val="0"/>
        </w:rPr>
        <w:t xml:space="preserve">: Limits the tax rate that the source state can impose on interest payments.</w:t>
      </w:r>
    </w:p>
    <w:p w:rsidR="00000000" w:rsidDel="00000000" w:rsidP="00000000" w:rsidRDefault="00000000" w:rsidRPr="00000000" w14:paraId="000000E9">
      <w:pPr>
        <w:numPr>
          <w:ilvl w:val="0"/>
          <w:numId w:val="10"/>
        </w:numPr>
        <w:ind w:left="36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Paragraph 3</w:t>
      </w:r>
      <w:r w:rsidDel="00000000" w:rsidR="00000000" w:rsidRPr="00000000">
        <w:rPr>
          <w:rFonts w:ascii="Times New Roman" w:cs="Times New Roman" w:eastAsia="Times New Roman" w:hAnsi="Times New Roman"/>
          <w:sz w:val="24"/>
          <w:szCs w:val="24"/>
          <w:rtl w:val="0"/>
        </w:rPr>
        <w:t xml:space="preserve">: Provides an exhaustive definition of what constitutes "interest" for tax treaty purposes.</w:t>
      </w:r>
    </w:p>
    <w:p w:rsidR="00000000" w:rsidDel="00000000" w:rsidP="00000000" w:rsidRDefault="00000000" w:rsidRPr="00000000" w14:paraId="000000EA">
      <w:pPr>
        <w:numPr>
          <w:ilvl w:val="0"/>
          <w:numId w:val="10"/>
        </w:numPr>
        <w:ind w:left="36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Paragraph 4</w:t>
      </w:r>
      <w:r w:rsidDel="00000000" w:rsidR="00000000" w:rsidRPr="00000000">
        <w:rPr>
          <w:rFonts w:ascii="Times New Roman" w:cs="Times New Roman" w:eastAsia="Times New Roman" w:hAnsi="Times New Roman"/>
          <w:sz w:val="24"/>
          <w:szCs w:val="24"/>
          <w:rtl w:val="0"/>
        </w:rPr>
        <w:t xml:space="preserve">: Addresses the taxation of interest when it is received by a permanent establishment (PE) in the source state.</w:t>
      </w:r>
    </w:p>
    <w:p w:rsidR="00000000" w:rsidDel="00000000" w:rsidP="00000000" w:rsidRDefault="00000000" w:rsidRPr="00000000" w14:paraId="000000EB">
      <w:pPr>
        <w:numPr>
          <w:ilvl w:val="0"/>
          <w:numId w:val="10"/>
        </w:numPr>
        <w:spacing w:after="160" w:afterAutospacing="0"/>
        <w:ind w:left="36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Paragraph 5</w:t>
      </w:r>
      <w:r w:rsidDel="00000000" w:rsidR="00000000" w:rsidRPr="00000000">
        <w:rPr>
          <w:rFonts w:ascii="Times New Roman" w:cs="Times New Roman" w:eastAsia="Times New Roman" w:hAnsi="Times New Roman"/>
          <w:sz w:val="24"/>
          <w:szCs w:val="24"/>
          <w:rtl w:val="0"/>
        </w:rPr>
        <w:t xml:space="preserve">: Deals with the taxation of interest borne by a PE in a third state, addressing potential dual source conflicts.</w:t>
      </w:r>
    </w:p>
    <w:p w:rsidR="00000000" w:rsidDel="00000000" w:rsidP="00000000" w:rsidRDefault="00000000" w:rsidRPr="00000000" w14:paraId="000000EC">
      <w:pPr>
        <w:pStyle w:val="Heading2"/>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160" w:beforeAutospacing="0" w:line="259" w:lineRule="auto"/>
        <w:ind w:left="630" w:right="0" w:hanging="360"/>
        <w:jc w:val="both"/>
        <w:rPr/>
      </w:pPr>
      <w:bookmarkStart w:colFirst="0" w:colLast="0" w:name="_heading=h.b9r7be43wgpm" w:id="19"/>
      <w:bookmarkEnd w:id="19"/>
      <w:r w:rsidDel="00000000" w:rsidR="00000000" w:rsidRPr="00000000">
        <w:rPr>
          <w:rtl w:val="0"/>
        </w:rPr>
        <w:t xml:space="preserve">Article 11(1): Tax sharing </w:t>
      </w:r>
    </w:p>
    <w:p w:rsidR="00000000" w:rsidDel="00000000" w:rsidP="00000000" w:rsidRDefault="00000000" w:rsidRPr="00000000" w14:paraId="000000E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Tax Sharing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Generally, the source state has limited taxing rights, often capped by a reduced withholding tax rate, while the residence state retains the primary right to tax the interest income. Article 11 of the OECD MTC reflects this balance.</w:t>
      </w:r>
    </w:p>
    <w:p w:rsidR="00000000" w:rsidDel="00000000" w:rsidP="00000000" w:rsidRDefault="00000000" w:rsidRPr="00000000" w14:paraId="000000E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Concept of "Paid"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context of Article 11(1), "paid" refers to the payment or accrual of interest by the debtor to the creditor. The timing of when interest is "paid" is critical for determining tax liabilities, especially in cross-border situations. For tax purposes, interest is considered "paid" when it is due and payable under the terms of the loan agreement, even if the actual transfer of funds occurs later.</w:t>
      </w:r>
    </w:p>
    <w:p w:rsidR="00000000" w:rsidDel="00000000" w:rsidP="00000000" w:rsidRDefault="00000000" w:rsidRPr="00000000" w14:paraId="000000F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Bilateral - Not Extended to Third States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11(1) applies only between the two contracting states involved in a tax treaty. It does not extend to third states, meaning that the provisions regarding the taxation of interest income are strictly bilateral. The interest must arise in one of the contracting states and be paid to a resident of the other contracting state for Article 11 to apply. This bilateral limitation ensures that the taxing rights are confined to the two states directly involved in the transaction.</w:t>
      </w:r>
    </w:p>
    <w:p w:rsidR="00000000" w:rsidDel="00000000" w:rsidP="00000000" w:rsidRDefault="00000000" w:rsidRPr="00000000" w14:paraId="000000F3">
      <w:pPr>
        <w:pStyle w:val="Heading2"/>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360" w:line="259" w:lineRule="auto"/>
        <w:ind w:left="630" w:right="0" w:hanging="360"/>
        <w:jc w:val="both"/>
        <w:rPr/>
      </w:pPr>
      <w:bookmarkStart w:colFirst="0" w:colLast="0" w:name="_heading=h.lqw5252o221o" w:id="20"/>
      <w:bookmarkEnd w:id="20"/>
      <w:r w:rsidDel="00000000" w:rsidR="00000000" w:rsidRPr="00000000">
        <w:rPr>
          <w:rtl w:val="0"/>
        </w:rPr>
        <w:t xml:space="preserve">Article 11(2): Limitation on Source Taxation </w:t>
      </w:r>
    </w:p>
    <w:p w:rsidR="00000000" w:rsidDel="00000000" w:rsidP="00000000" w:rsidRDefault="00000000" w:rsidRPr="00000000" w14:paraId="000000F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Limitation on Source Taxation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11(2) limits the tax that the source state can impose on interest payments to a resident of the other contracting state. Typically, this limitation takes the form of a reduced withholding tax rate, often around 10%, although the exact rate is subject to negotiation between the contracting states. The purpose of this limitation is to prevent excessive taxation by the source state, allowing the residence state to exercise its primary taxing right.</w:t>
      </w:r>
    </w:p>
    <w:p w:rsidR="00000000" w:rsidDel="00000000" w:rsidP="00000000" w:rsidRDefault="00000000" w:rsidRPr="00000000" w14:paraId="000000F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Beneficial Ownership</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critical condition for the application of the reduced withholding tax rates under Article 11(2) is that the recipient of the interest must be the "beneficial owner." The concept of beneficial ownership is crucial in preventing treaty abuse, such as treaty shopping, where intermediaries might be used to improperly claim treaty benefits. The beneficial owner is the person who has the full right to use and enjoy the interest income, without being obligated to pass it on to another person.</w:t>
      </w:r>
    </w:p>
    <w:p w:rsidR="00000000" w:rsidDel="00000000" w:rsidP="00000000" w:rsidRDefault="00000000" w:rsidRPr="00000000" w14:paraId="000000F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Alternative Wordings on Some Treaties: No Source Taxation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some tax treaties, Article 11(2) is replaced or supplemented by provisions that eliminate source taxation altogether, allowing only the residence state to tax interest income. This approach reflects a more residence-based principle of taxation and is often used between countries with strong economic ties or where the avoidance of double taxation is a priority.</w:t>
      </w:r>
    </w:p>
    <w:p w:rsidR="00000000" w:rsidDel="00000000" w:rsidP="00000000" w:rsidRDefault="00000000" w:rsidRPr="00000000" w14:paraId="000000FA">
      <w:pPr>
        <w:pStyle w:val="Heading2"/>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360" w:line="259" w:lineRule="auto"/>
        <w:ind w:left="630" w:right="0" w:hanging="360"/>
        <w:jc w:val="both"/>
        <w:rPr/>
      </w:pPr>
      <w:bookmarkStart w:colFirst="0" w:colLast="0" w:name="_heading=h.cdtz1wq6bilp" w:id="21"/>
      <w:bookmarkEnd w:id="21"/>
      <w:r w:rsidDel="00000000" w:rsidR="00000000" w:rsidRPr="00000000">
        <w:rPr>
          <w:rtl w:val="0"/>
        </w:rPr>
        <w:t xml:space="preserve">Article 11(3): Exhaustive Definition</w:t>
      </w:r>
    </w:p>
    <w:p w:rsidR="00000000" w:rsidDel="00000000" w:rsidP="00000000" w:rsidRDefault="00000000" w:rsidRPr="00000000" w14:paraId="000000F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"Interest" versus "Debt Claims"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11(3) provides a precise definition of "interest" for the purposes of the tax treaty. Interest is defined as income from debt-claims of every kind, whether or not secured by mortgage and whether or not carrying a right to participate in the debtor's profits. This broad definition includes traditional forms of interest on loans and bonds but excludes returns on equity, such as dividends.</w:t>
      </w:r>
    </w:p>
    <w:p w:rsidR="00000000" w:rsidDel="00000000" w:rsidP="00000000" w:rsidRDefault="00000000" w:rsidRPr="00000000" w14:paraId="000000F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Interests That Are Treated as Dividends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instances where payments that appear to be interest may be recharacterized as dividends. For example, interest on profit-sharing loans or payments that are economically equivalent to dividends may be treated as such under domestic law or tax treaty provisions. Article 11(3) ensures that only genuine interest payments are taxed under this article, while payments that are more akin to dividends fall under Article 10.</w:t>
      </w:r>
    </w:p>
    <w:p w:rsidR="00000000" w:rsidDel="00000000" w:rsidP="00000000" w:rsidRDefault="00000000" w:rsidRPr="00000000" w14:paraId="000000F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Exhaustive Definition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definition of interest in Article 11(3) is exhaustive, meaning that it encompasses all forms of income that can reasonably be classified as interest. This exhaustive nature ensures clarity and prevents disputes over whether a particular payment falls within the scope of Article 11.</w:t>
      </w:r>
    </w:p>
    <w:p w:rsidR="00000000" w:rsidDel="00000000" w:rsidP="00000000" w:rsidRDefault="00000000" w:rsidRPr="00000000" w14:paraId="00000101">
      <w:pPr>
        <w:pStyle w:val="Heading2"/>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360" w:line="259" w:lineRule="auto"/>
        <w:ind w:left="630" w:right="0" w:hanging="360"/>
        <w:jc w:val="both"/>
        <w:rPr/>
      </w:pPr>
      <w:bookmarkStart w:colFirst="0" w:colLast="0" w:name="_heading=h.1s77ykc2fomg" w:id="22"/>
      <w:bookmarkEnd w:id="22"/>
      <w:r w:rsidDel="00000000" w:rsidR="00000000" w:rsidRPr="00000000">
        <w:rPr>
          <w:rtl w:val="0"/>
        </w:rPr>
        <w:t xml:space="preserve">Article 11(4): Interest Received by a PE </w:t>
      </w:r>
    </w:p>
    <w:p w:rsidR="00000000" w:rsidDel="00000000" w:rsidP="00000000" w:rsidRDefault="00000000" w:rsidRPr="00000000" w14:paraId="0000010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Interest Received by a PE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11(4) addresses situations where interest is received by a PE located in the source state. In such cases, the interest is taxed as part of the PE's business profits under Article 7 (Business Profits), rather than under Article 11. This ensures that the income is taxed where the economic activity generating the income takes place, aligning with the principle of taxation based on economic substance.</w:t>
      </w:r>
    </w:p>
    <w:p w:rsidR="00000000" w:rsidDel="00000000" w:rsidP="00000000" w:rsidRDefault="00000000" w:rsidRPr="00000000" w14:paraId="0000010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Abusive Transfer of Loans to a PE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potential for abuse when loans are transferred to a PE in the source state purely to take advantage of lower tax rates or to avoid taxation. Article 11(4) counters such abuse by ensuring that only interest genuinely connected to the PE's activities is taxed as business profits. This prevents companies from shifting loans to PEs in lower-tax jurisdictions to minimize their tax liability.</w:t>
      </w:r>
    </w:p>
    <w:p w:rsidR="00000000" w:rsidDel="00000000" w:rsidP="00000000" w:rsidRDefault="00000000" w:rsidRPr="00000000" w14:paraId="00000106">
      <w:pPr>
        <w:pStyle w:val="Heading2"/>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360" w:line="259" w:lineRule="auto"/>
        <w:ind w:left="630" w:right="0" w:hanging="360"/>
        <w:jc w:val="both"/>
        <w:rPr/>
      </w:pPr>
      <w:bookmarkStart w:colFirst="0" w:colLast="0" w:name="_heading=h.nf2dro94an0k" w:id="23"/>
      <w:bookmarkEnd w:id="23"/>
      <w:r w:rsidDel="00000000" w:rsidR="00000000" w:rsidRPr="00000000">
        <w:rPr>
          <w:rtl w:val="0"/>
        </w:rPr>
        <w:t xml:space="preserve">Article 11(5): Interest Borne by PE in Third State </w:t>
      </w:r>
    </w:p>
    <w:p w:rsidR="00000000" w:rsidDel="00000000" w:rsidP="00000000" w:rsidRDefault="00000000" w:rsidRPr="00000000" w14:paraId="0000010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Interest Borne by PE in Third State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11(5) addresses the situation where interest is borne by a PE located in a third state. This can create a dual source conflict, where both the state where the interest arises and the state where the PE is located claim the right to tax the interest. Article 11(5) resolves this by allocating the taxing right to the state where the PE is located, provided that the interest is economically linked to the PE's activities.</w:t>
      </w:r>
    </w:p>
    <w:p w:rsidR="00000000" w:rsidDel="00000000" w:rsidP="00000000" w:rsidRDefault="00000000" w:rsidRPr="00000000" w14:paraId="0000010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Dual Source Conflict and Solution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 source conflicts arise when more than one state claims the right to tax the same interest income. Article 11(5) provides a clear rule to resolve such conflicts by prioritizing the state with the closest economic connection to the interest income. This solution reinforces the principle of taxation based on economic activity and ensures that income is taxed in the jurisdiction where it is generated.</w:t>
      </w:r>
    </w:p>
    <w:p w:rsidR="00000000" w:rsidDel="00000000" w:rsidP="00000000" w:rsidRDefault="00000000" w:rsidRPr="00000000" w14:paraId="0000010B">
      <w:pPr>
        <w:pStyle w:val="Heading2"/>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360" w:line="259" w:lineRule="auto"/>
        <w:ind w:left="630" w:right="0" w:hanging="360"/>
        <w:jc w:val="both"/>
        <w:rPr/>
      </w:pPr>
      <w:bookmarkStart w:colFirst="0" w:colLast="0" w:name="_heading=h.974gu2dicn7o" w:id="24"/>
      <w:bookmarkEnd w:id="24"/>
      <w:r w:rsidDel="00000000" w:rsidR="00000000" w:rsidRPr="00000000">
        <w:rPr>
          <w:rtl w:val="0"/>
        </w:rPr>
        <w:t xml:space="preserve">Article 11(6): Excessive Interest to Related Parties</w:t>
      </w:r>
    </w:p>
    <w:p w:rsidR="00000000" w:rsidDel="00000000" w:rsidP="00000000" w:rsidRDefault="00000000" w:rsidRPr="00000000" w14:paraId="000001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Excessive Interest to Related Parties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11(6) deals with situations where excessive interest payments are made to related parties, such as a parent company or affiliate. This paragraph ensures that interest paid in excess of an arm's length amount—meaning more than what would be paid between unrelated parties under similar circumstances—does not benefit from the reduced tax rates or exemptions provided under Article 11. Instead, the excessive portion of the interest may be recharacterized and taxed differently, often as a dividend under Article 10. This provision is crucial in preventing base erosion and profit shifting (BEPS) practices, where companies might use inflated interest payments to shift profits to lower-tax jurisdictions.</w:t>
      </w:r>
    </w:p>
    <w:p w:rsidR="00000000" w:rsidDel="00000000" w:rsidP="00000000" w:rsidRDefault="00000000" w:rsidRPr="00000000" w14:paraId="0000010E">
      <w:pPr>
        <w:pStyle w:val="Heading2"/>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360" w:line="259" w:lineRule="auto"/>
        <w:ind w:left="630" w:right="0" w:hanging="360"/>
        <w:jc w:val="both"/>
        <w:rPr/>
      </w:pPr>
      <w:bookmarkStart w:colFirst="0" w:colLast="0" w:name="_heading=h.mi5pzqdp4aan" w:id="25"/>
      <w:bookmarkEnd w:id="25"/>
      <w:r w:rsidDel="00000000" w:rsidR="00000000" w:rsidRPr="00000000">
        <w:rPr>
          <w:rtl w:val="0"/>
        </w:rPr>
        <w:t xml:space="preserve">Comparison of Article 11 of the OECD MTC (2017) and UN MTC (2021)</w:t>
      </w:r>
    </w:p>
    <w:p w:rsidR="00000000" w:rsidDel="00000000" w:rsidP="00000000" w:rsidRDefault="00000000" w:rsidRPr="00000000" w14:paraId="000001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Paragraph 2 of Article 11 in the OECD MTC. The principal difference between the two is that the OECD MTC sets a default maximum rate of 10 per cent, whereas the UN MTC leaves the maximum rate unspecified, allowing negotiating States to decide on an appropriate limit.</w:t>
      </w:r>
    </w:p>
    <w:p w:rsidR="00000000" w:rsidDel="00000000" w:rsidP="00000000" w:rsidRDefault="00000000" w:rsidRPr="00000000" w14:paraId="000001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 MTC specifically allows for application of Article 7 or Article 14, depending on the nature of the activities, thereby extending the concept to fixed bases used for independent personal services—something not addressed in the OECD MTC, which omits any reference to a fixed base or Article 14.</w:t>
      </w:r>
    </w:p>
    <w:p w:rsidR="00000000" w:rsidDel="00000000" w:rsidP="00000000" w:rsidRDefault="00000000" w:rsidRPr="00000000" w14:paraId="000001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 MTC adopts the same principle of linking the source of the interest to the payer’s residence but goes one step further by also referring to a fixed base. Consequently, if the payer has a permanent establishment or a fixed base that bears the interest, the interest is deemed to arise in the State where the permanent establishment or fixed base is situated. Thus, while both models generally focus on the payer’s residence and permanent establishment, the UN MTC extends the concept to a fixed base, aligning with its approach in paragraph 4 for independent personal services.</w:t>
      </w:r>
    </w:p>
    <w:p w:rsidR="00000000" w:rsidDel="00000000" w:rsidP="00000000" w:rsidRDefault="00000000" w:rsidRPr="00000000" w14:paraId="00000112">
      <w:pPr>
        <w:jc w:val="both"/>
        <w:rPr>
          <w:rFonts w:ascii="Times New Roman" w:cs="Times New Roman" w:eastAsia="Times New Roman" w:hAnsi="Times New Roman"/>
          <w:b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13">
      <w:pPr>
        <w:pStyle w:val="Heading1"/>
        <w:rPr/>
      </w:pPr>
      <w:bookmarkStart w:colFirst="0" w:colLast="0" w:name="_heading=h.2dlolyb" w:id="26"/>
      <w:bookmarkEnd w:id="26"/>
      <w:r w:rsidDel="00000000" w:rsidR="00000000" w:rsidRPr="00000000">
        <w:rPr>
          <w:rtl w:val="0"/>
        </w:rPr>
        <w:t xml:space="preserve">K.4. ROYALTIES – ARTICLE 12, OECD MTC AND UN MDTC</w:t>
      </w:r>
      <w:r w:rsidDel="00000000" w:rsidR="00000000" w:rsidRPr="00000000">
        <w:rPr>
          <w:rtl w:val="0"/>
        </w:rPr>
      </w:r>
    </w:p>
    <w:p w:rsidR="00000000" w:rsidDel="00000000" w:rsidP="00000000" w:rsidRDefault="00000000" w:rsidRPr="00000000" w14:paraId="00000114">
      <w:pPr>
        <w:pStyle w:val="Heading2"/>
        <w:numPr>
          <w:ilvl w:val="0"/>
          <w:numId w:val="14"/>
        </w:numPr>
        <w:spacing w:before="200" w:lineRule="auto"/>
        <w:ind w:left="630" w:hanging="360"/>
        <w:jc w:val="both"/>
        <w:rPr/>
      </w:pPr>
      <w:bookmarkStart w:colFirst="0" w:colLast="0" w:name="_heading=h.sqyw64" w:id="27"/>
      <w:bookmarkEnd w:id="27"/>
      <w:r w:rsidDel="00000000" w:rsidR="00000000" w:rsidRPr="00000000">
        <w:rPr>
          <w:rtl w:val="0"/>
        </w:rPr>
        <w:t xml:space="preserve">Purpose and Structure of Article 12</w:t>
      </w:r>
      <w:r w:rsidDel="00000000" w:rsidR="00000000" w:rsidRPr="00000000">
        <w:rPr>
          <w:rtl w:val="0"/>
        </w:rPr>
      </w:r>
    </w:p>
    <w:p w:rsidR="00000000" w:rsidDel="00000000" w:rsidP="00000000" w:rsidRDefault="00000000" w:rsidRPr="00000000" w14:paraId="000001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12 of the OECD Model Tax Convention (MTC) addresses the taxation of royalties. The primary purpose of Article 12 is to allocate taxing rights between the source country (where the royalty originates) and the residence country (where the recipient of the royalty is located). It seeks to avoid double taxation by defining how and where royalties should be taxed. The structure of Article 12 consists of four paragraphs:</w:t>
      </w:r>
    </w:p>
    <w:p w:rsidR="00000000" w:rsidDel="00000000" w:rsidP="00000000" w:rsidRDefault="00000000" w:rsidRPr="00000000" w14:paraId="00000116">
      <w:pPr>
        <w:numPr>
          <w:ilvl w:val="0"/>
          <w:numId w:val="11"/>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Article 12(1)</w:t>
      </w:r>
      <w:r w:rsidDel="00000000" w:rsidR="00000000" w:rsidRPr="00000000">
        <w:rPr>
          <w:rFonts w:ascii="Times New Roman" w:cs="Times New Roman" w:eastAsia="Times New Roman" w:hAnsi="Times New Roman"/>
          <w:sz w:val="24"/>
          <w:szCs w:val="24"/>
          <w:rtl w:val="0"/>
        </w:rPr>
        <w:t xml:space="preserve">: Establishes the exclusive taxing right of the residence state on royalties unless the beneficial owner is a resident of the source state.</w:t>
      </w:r>
    </w:p>
    <w:p w:rsidR="00000000" w:rsidDel="00000000" w:rsidP="00000000" w:rsidRDefault="00000000" w:rsidRPr="00000000" w14:paraId="00000117">
      <w:pPr>
        <w:numPr>
          <w:ilvl w:val="0"/>
          <w:numId w:val="11"/>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Article 12(2)</w:t>
      </w:r>
      <w:r w:rsidDel="00000000" w:rsidR="00000000" w:rsidRPr="00000000">
        <w:rPr>
          <w:rFonts w:ascii="Times New Roman" w:cs="Times New Roman" w:eastAsia="Times New Roman" w:hAnsi="Times New Roman"/>
          <w:sz w:val="24"/>
          <w:szCs w:val="24"/>
          <w:rtl w:val="0"/>
        </w:rPr>
        <w:t xml:space="preserve">: Provides a definition of what constitutes "royalties."</w:t>
      </w:r>
    </w:p>
    <w:p w:rsidR="00000000" w:rsidDel="00000000" w:rsidP="00000000" w:rsidRDefault="00000000" w:rsidRPr="00000000" w14:paraId="00000118">
      <w:pPr>
        <w:numPr>
          <w:ilvl w:val="0"/>
          <w:numId w:val="11"/>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Article 12(3)</w:t>
      </w:r>
      <w:r w:rsidDel="00000000" w:rsidR="00000000" w:rsidRPr="00000000">
        <w:rPr>
          <w:rFonts w:ascii="Times New Roman" w:cs="Times New Roman" w:eastAsia="Times New Roman" w:hAnsi="Times New Roman"/>
          <w:sz w:val="24"/>
          <w:szCs w:val="24"/>
          <w:rtl w:val="0"/>
        </w:rPr>
        <w:t xml:space="preserve">: Addresses the situation where royalties are attributable to a permanent establishment (PE) in a source state.</w:t>
      </w:r>
    </w:p>
    <w:p w:rsidR="00000000" w:rsidDel="00000000" w:rsidP="00000000" w:rsidRDefault="00000000" w:rsidRPr="00000000" w14:paraId="00000119">
      <w:pPr>
        <w:numPr>
          <w:ilvl w:val="0"/>
          <w:numId w:val="11"/>
        </w:numPr>
        <w:spacing w:after="160" w:afterAutospacing="0"/>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Article 12(4)</w:t>
      </w:r>
      <w:r w:rsidDel="00000000" w:rsidR="00000000" w:rsidRPr="00000000">
        <w:rPr>
          <w:rFonts w:ascii="Times New Roman" w:cs="Times New Roman" w:eastAsia="Times New Roman" w:hAnsi="Times New Roman"/>
          <w:sz w:val="24"/>
          <w:szCs w:val="24"/>
          <w:rtl w:val="0"/>
        </w:rPr>
        <w:t xml:space="preserve">: Concerns the treatment of excessive royalties paid between related parties.</w:t>
      </w:r>
    </w:p>
    <w:p w:rsidR="00000000" w:rsidDel="00000000" w:rsidP="00000000" w:rsidRDefault="00000000" w:rsidRPr="00000000" w14:paraId="0000011A">
      <w:pPr>
        <w:pStyle w:val="Heading2"/>
        <w:keepNext w:val="1"/>
        <w:keepLines w:val="1"/>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160" w:beforeAutospacing="0" w:line="259" w:lineRule="auto"/>
        <w:ind w:left="630" w:right="0" w:hanging="360"/>
        <w:jc w:val="both"/>
        <w:rPr/>
      </w:pPr>
      <w:bookmarkStart w:colFirst="0" w:colLast="0" w:name="_heading=h.613c8zbugv1t" w:id="28"/>
      <w:bookmarkEnd w:id="28"/>
      <w:r w:rsidDel="00000000" w:rsidR="00000000" w:rsidRPr="00000000">
        <w:rPr>
          <w:rtl w:val="0"/>
        </w:rPr>
        <w:t xml:space="preserve">Article 12(1): Tax Sharing and Beneficial Ownership</w:t>
      </w:r>
    </w:p>
    <w:p w:rsidR="00000000" w:rsidDel="00000000" w:rsidP="00000000" w:rsidRDefault="00000000" w:rsidRPr="00000000" w14:paraId="0000011B">
      <w:pPr>
        <w:numPr>
          <w:ilvl w:val="1"/>
          <w:numId w:val="14"/>
        </w:numPr>
        <w:ind w:left="81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Tax Sharing – Exclusive Taxation in the Residence State </w:t>
      </w:r>
    </w:p>
    <w:p w:rsidR="00000000" w:rsidDel="00000000" w:rsidP="00000000" w:rsidRDefault="00000000" w:rsidRPr="00000000" w14:paraId="000001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12(1) of the OECD MTC grants the residence state the exclusive right to tax royalties, effectively eliminating source country taxation. This provision reflects the principle that income should primarily be taxed where the recipient resides, thereby reducing the administrative burden on businesses and simplifying international tax compliance.</w:t>
      </w:r>
    </w:p>
    <w:p w:rsidR="00000000" w:rsidDel="00000000" w:rsidP="00000000" w:rsidRDefault="00000000" w:rsidRPr="00000000" w14:paraId="0000011D">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Beneficial Ownership – Right to Use and Enjoy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 of "beneficial ownership" in Article 12(1) is crucial in determining who has the right to enjoy the benefits of the royalties. In the commentaries to Article 12, the OECD clarifies that beneficial ownership should be interpreted in a tax context, which differs from its application in anti-money laundering regulations. In the tax context, beneficial ownership focuses on the right to use and enjoy the income, whereas, in money laundering, it concerns the identification of the individual or entity ultimately controlling the income or assets.</w:t>
      </w:r>
    </w:p>
    <w:p w:rsidR="00000000" w:rsidDel="00000000" w:rsidP="00000000" w:rsidRDefault="00000000" w:rsidRPr="00000000" w14:paraId="0000011F">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Criticism of the Tax Sharing Right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exclusive taxation right granted to the residence state under Article 12(1) has been subject to criticism. Some argue that it disproportionately favors developed countries, which are typically the residence states of multinational corporations, at the expense of developing countries, which are often the source states. This has led to reservations and positions by various OECD members and non-members. For example, some countries have expressed reservations about the exclusive taxation rights and prefer a shared taxation approach where both the residence and source states have taxing rights.</w:t>
      </w:r>
    </w:p>
    <w:p w:rsidR="00000000" w:rsidDel="00000000" w:rsidP="00000000" w:rsidRDefault="00000000" w:rsidRPr="00000000" w14:paraId="00000121">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Reservations and Positions by Members and Non-Members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OECD MTC allows countries to express reservations about specific provisions, including Article 12. Several countries have opted to reserve the right to impose source-based taxation on royalties, reflecting their position that they should retain some taxing rights over income generated within their borders.</w:t>
      </w:r>
    </w:p>
    <w:p w:rsidR="00000000" w:rsidDel="00000000" w:rsidP="00000000" w:rsidRDefault="00000000" w:rsidRPr="00000000" w14:paraId="00000123">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 MTC – Tax Sharing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the OECD MTC, the United Nations Model Double Taxation Convention (UN MTC) provides for shared taxation rights between the source and residence states. Article 12 of the UN MTC allows the source state to impose a withholding tax on royalties, reflecting the differing priorities of developing countries that rely more heavily on source-based taxation.</w:t>
      </w:r>
    </w:p>
    <w:p w:rsidR="00000000" w:rsidDel="00000000" w:rsidP="00000000" w:rsidRDefault="00000000" w:rsidRPr="00000000" w14:paraId="00000125">
      <w:pPr>
        <w:pStyle w:val="Heading2"/>
        <w:keepNext w:val="1"/>
        <w:keepLines w:val="1"/>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00" w:line="259" w:lineRule="auto"/>
        <w:ind w:left="630" w:right="0" w:hanging="360"/>
        <w:jc w:val="both"/>
        <w:rPr/>
      </w:pPr>
      <w:bookmarkStart w:colFirst="0" w:colLast="0" w:name="_heading=h.25rjjhnfm6qd" w:id="29"/>
      <w:bookmarkEnd w:id="29"/>
      <w:r w:rsidDel="00000000" w:rsidR="00000000" w:rsidRPr="00000000">
        <w:rPr>
          <w:rtl w:val="0"/>
        </w:rPr>
        <w:t xml:space="preserve">Article 12(2): Definition of Royalties</w:t>
      </w:r>
    </w:p>
    <w:p w:rsidR="00000000" w:rsidDel="00000000" w:rsidP="00000000" w:rsidRDefault="00000000" w:rsidRPr="00000000" w14:paraId="00000126">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Definition of Royalties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12(2) of the OECD MTC defines "royalties" as payments of any kind received as consideration for the use of, or the right to use, any copyright of literary, artistic or scientific work, including cinematograph films, any patent, trade mark, design or model, plan, secret formula or process, or for the use of, or the right to use, industrial, commercial or scientific equipment, or for information concerning industrial, commercial or scientific experience.</w:t>
      </w:r>
    </w:p>
    <w:p w:rsidR="00000000" w:rsidDel="00000000" w:rsidP="00000000" w:rsidRDefault="00000000" w:rsidRPr="00000000" w14:paraId="00000128">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Distinction Between Royalties and Services Fees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distinction between royalties and service fees can be subtle and is often subject to dispute. Royalties are typically payments for the right to use intangible property, while service fees are payments for services rendered. For example, a payment made for the use of a software program would be considered a royalty, while a payment for customizing that software for a particular client would be a service fee. The distinction is crucial as different tax treatments apply to each.</w:t>
      </w:r>
    </w:p>
    <w:p w:rsidR="00000000" w:rsidDel="00000000" w:rsidP="00000000" w:rsidRDefault="00000000" w:rsidRPr="00000000" w14:paraId="0000012A">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Computer Software – Case Law</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classification of payments related to computer software has been a contentious issue in international tax. The OECD has issued guidance, and various courts have ruled on whether payments for software constitute royalties or service fees. A landmark case is the Indian Supreme Court ruling in the case of </w:t>
      </w:r>
      <w:r w:rsidDel="00000000" w:rsidR="00000000" w:rsidRPr="00000000">
        <w:rPr>
          <w:rFonts w:ascii="Times New Roman" w:cs="Times New Roman" w:eastAsia="Times New Roman" w:hAnsi="Times New Roman"/>
          <w:i w:val="1"/>
          <w:sz w:val="24"/>
          <w:szCs w:val="24"/>
          <w:rtl w:val="0"/>
        </w:rPr>
        <w:t xml:space="preserve">Engineering Analysis Centre of Excellence Pvt Ltd v. CIT</w:t>
      </w:r>
      <w:r w:rsidDel="00000000" w:rsidR="00000000" w:rsidRPr="00000000">
        <w:rPr>
          <w:rFonts w:ascii="Times New Roman" w:cs="Times New Roman" w:eastAsia="Times New Roman" w:hAnsi="Times New Roman"/>
          <w:sz w:val="24"/>
          <w:szCs w:val="24"/>
          <w:rtl w:val="0"/>
        </w:rPr>
        <w:t xml:space="preserve">, where the court held that payments for the use of software are not royalties if the software is a copyrighted article rather than a copyright itself.</w:t>
      </w:r>
    </w:p>
    <w:p w:rsidR="00000000" w:rsidDel="00000000" w:rsidP="00000000" w:rsidRDefault="00000000" w:rsidRPr="00000000" w14:paraId="0000012C">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Performances of Artists – Case Law</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Royalties may also arise from payments for the use of rights related to performances of artists. Case law has addressed situations where such payments are classified as royalties. For instance, in the case of </w:t>
      </w:r>
      <w:r w:rsidDel="00000000" w:rsidR="00000000" w:rsidRPr="00000000">
        <w:rPr>
          <w:rFonts w:ascii="Times New Roman" w:cs="Times New Roman" w:eastAsia="Times New Roman" w:hAnsi="Times New Roman"/>
          <w:i w:val="1"/>
          <w:sz w:val="24"/>
          <w:szCs w:val="24"/>
          <w:rtl w:val="0"/>
        </w:rPr>
        <w:t xml:space="preserve">A-G (Canada) v. S.A. MNR</w:t>
      </w:r>
      <w:r w:rsidDel="00000000" w:rsidR="00000000" w:rsidRPr="00000000">
        <w:rPr>
          <w:rFonts w:ascii="Times New Roman" w:cs="Times New Roman" w:eastAsia="Times New Roman" w:hAnsi="Times New Roman"/>
          <w:sz w:val="24"/>
          <w:szCs w:val="24"/>
          <w:rtl w:val="0"/>
        </w:rPr>
        <w:t xml:space="preserve">, the court ruled that payments made for the broadcast of performances by artists could be treated as royalties under Article 12.</w:t>
      </w:r>
    </w:p>
    <w:p w:rsidR="00000000" w:rsidDel="00000000" w:rsidP="00000000" w:rsidRDefault="00000000" w:rsidRPr="00000000" w14:paraId="0000012E">
      <w:pPr>
        <w:pStyle w:val="Heading2"/>
        <w:keepNext w:val="1"/>
        <w:keepLines w:val="1"/>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00" w:line="259" w:lineRule="auto"/>
        <w:ind w:left="630" w:right="0" w:hanging="360"/>
        <w:jc w:val="both"/>
        <w:rPr/>
      </w:pPr>
      <w:bookmarkStart w:colFirst="0" w:colLast="0" w:name="_heading=h.9hqron3vhcm" w:id="30"/>
      <w:bookmarkEnd w:id="30"/>
      <w:r w:rsidDel="00000000" w:rsidR="00000000" w:rsidRPr="00000000">
        <w:rPr>
          <w:sz w:val="27"/>
          <w:szCs w:val="27"/>
          <w:rtl w:val="0"/>
        </w:rPr>
        <w:t xml:space="preserve">Article</w:t>
      </w:r>
      <w:r w:rsidDel="00000000" w:rsidR="00000000" w:rsidRPr="00000000">
        <w:rPr>
          <w:rtl w:val="0"/>
        </w:rPr>
        <w:t xml:space="preserve"> 12(3): Royalties Received by a PE</w:t>
      </w:r>
    </w:p>
    <w:p w:rsidR="00000000" w:rsidDel="00000000" w:rsidP="00000000" w:rsidRDefault="00000000" w:rsidRPr="00000000" w14:paraId="0000012F">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Royalties Received by a PE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12(3) provides that royalties arising in a source state and attributable to a permanent establishment (PE) situated in that state are not covered by Article 12 but instead fall under Article 7 (Business Profits). This provision ensures that royalties connected with the operations of a PE are taxed in the state where the PE is located.</w:t>
      </w:r>
    </w:p>
    <w:p w:rsidR="00000000" w:rsidDel="00000000" w:rsidP="00000000" w:rsidRDefault="00000000" w:rsidRPr="00000000" w14:paraId="00000131">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Abusive Transfer of Rights or Properties to a PE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concerns about the potential for abuse where rights or properties are transferred to a PE in a low-tax jurisdiction to benefit from favorable tax treatment under Article 12(3). The OECD BEPS project has highlighted this as a risk area, recommending that tax authorities closely scrutinize such arrangements to ensure that they reflect economic substance and do not result in base erosion.</w:t>
      </w:r>
    </w:p>
    <w:p w:rsidR="00000000" w:rsidDel="00000000" w:rsidP="00000000" w:rsidRDefault="00000000" w:rsidRPr="00000000" w14:paraId="00000133">
      <w:pPr>
        <w:pStyle w:val="Heading2"/>
        <w:keepNext w:val="1"/>
        <w:keepLines w:val="1"/>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00" w:line="259" w:lineRule="auto"/>
        <w:ind w:left="630" w:right="0" w:hanging="360"/>
        <w:jc w:val="both"/>
        <w:rPr/>
      </w:pPr>
      <w:bookmarkStart w:colFirst="0" w:colLast="0" w:name="_heading=h.mpk8sepz2wvs" w:id="31"/>
      <w:bookmarkEnd w:id="31"/>
      <w:r w:rsidDel="00000000" w:rsidR="00000000" w:rsidRPr="00000000">
        <w:rPr>
          <w:sz w:val="27"/>
          <w:szCs w:val="27"/>
          <w:rtl w:val="0"/>
        </w:rPr>
        <w:t xml:space="preserve">Article</w:t>
      </w:r>
      <w:r w:rsidDel="00000000" w:rsidR="00000000" w:rsidRPr="00000000">
        <w:rPr>
          <w:rtl w:val="0"/>
        </w:rPr>
        <w:t xml:space="preserve"> 12(4): Excessive Royalties Paid to Related Parties</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Excessive Royalties Paid to Related Parties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12(4) addresses the issue of excessive royalties paid to related parties, often a concern in transfer pricing. Excessive royalties can be used as a method of profit shifting, where a subsidiary in a high-tax jurisdiction pays inflated royalties to a related company in a low-tax jurisdiction, thereby eroding the taxable base in the high-tax country. The OECD Transfer Pricing Guidelines advocate for the application of the arm's length principle, ensuring that the royalties paid reflect what would have been agreed upon between independent enterprises in comparable circumstances. Countries are encouraged to apply transfer pricing rules to scrutinize such payments and adjust them if they exceed what would be considered an arm's length price.</w:t>
      </w:r>
    </w:p>
    <w:p w:rsidR="00000000" w:rsidDel="00000000" w:rsidP="00000000" w:rsidRDefault="00000000" w:rsidRPr="00000000" w14:paraId="00000136">
      <w:pPr>
        <w:pStyle w:val="Heading2"/>
        <w:keepNext w:val="1"/>
        <w:keepLines w:val="1"/>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00" w:line="259" w:lineRule="auto"/>
        <w:ind w:left="630" w:right="0" w:hanging="360"/>
        <w:jc w:val="both"/>
        <w:rPr/>
      </w:pPr>
      <w:bookmarkStart w:colFirst="0" w:colLast="0" w:name="_heading=h.d3d2lijt3kh0" w:id="32"/>
      <w:bookmarkEnd w:id="32"/>
      <w:r w:rsidDel="00000000" w:rsidR="00000000" w:rsidRPr="00000000">
        <w:rPr>
          <w:sz w:val="27"/>
          <w:szCs w:val="27"/>
          <w:rtl w:val="0"/>
        </w:rPr>
        <w:t xml:space="preserve">Comparison</w:t>
      </w:r>
      <w:r w:rsidDel="00000000" w:rsidR="00000000" w:rsidRPr="00000000">
        <w:rPr>
          <w:rtl w:val="0"/>
        </w:rPr>
        <w:t xml:space="preserve"> of Article 13 of the OECD MTC (2017) and UN MTC (2021)</w:t>
      </w:r>
    </w:p>
    <w:p w:rsidR="00000000" w:rsidDel="00000000" w:rsidP="00000000" w:rsidRDefault="00000000" w:rsidRPr="00000000" w14:paraId="00000137">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Taxing Rights: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8">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OECD MTC (paragraph 1) grants exclusive taxing rights to the residence State, whereas the UN MTC (paragraphs 1–2) allows for limited source taxation in addition to residence taxation.</w:t>
      </w:r>
    </w:p>
    <w:p w:rsidR="00000000" w:rsidDel="00000000" w:rsidP="00000000" w:rsidRDefault="00000000" w:rsidRPr="00000000" w14:paraId="00000139">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Definition of “Royalties”: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 MTC (paragraph 3) has a broader definition, specifically including payments for the use of industrial, commercial, or scientific equipment, and for films or tapes used for broadcasting, which are not separately listed in the OECD MTC (paragraph 2).</w:t>
      </w:r>
    </w:p>
    <w:p w:rsidR="00000000" w:rsidDel="00000000" w:rsidP="00000000" w:rsidRDefault="00000000" w:rsidRPr="00000000" w14:paraId="0000013B">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Permanent Establishment vs. Fixed Base: </w:t>
      </w:r>
    </w:p>
    <w:p w:rsidR="00000000" w:rsidDel="00000000" w:rsidP="00000000" w:rsidRDefault="00000000" w:rsidRPr="00000000" w14:paraId="000001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UN MTC (paragraph 4) refers to both a PE and a fixed base (applying also to independent personal services via Article 14), while the OECD MTC (paragraph 3) applies only where there is a PE.</w:t>
      </w:r>
    </w:p>
    <w:p w:rsidR="00000000" w:rsidDel="00000000" w:rsidP="00000000" w:rsidRDefault="00000000" w:rsidRPr="00000000" w14:paraId="0000013D">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Explicit Source Rule: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 MTC (paragraph 5) sets forth how to determine where royalties arise. The OECD MTC does not contain an equivalent paragraph within Article 12.</w:t>
      </w:r>
    </w:p>
    <w:p w:rsidR="00000000" w:rsidDel="00000000" w:rsidP="00000000" w:rsidRDefault="00000000" w:rsidRPr="00000000" w14:paraId="0000013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pStyle w:val="Heading1"/>
        <w:rPr/>
      </w:pPr>
      <w:bookmarkStart w:colFirst="0" w:colLast="0" w:name="_heading=h.3q5sasy" w:id="33"/>
      <w:bookmarkEnd w:id="33"/>
      <w:r w:rsidDel="00000000" w:rsidR="00000000" w:rsidRPr="00000000">
        <w:rPr>
          <w:rtl w:val="0"/>
        </w:rPr>
        <w:t xml:space="preserve">K.5 FEES FOR TECHNICAL SERVICES – Article 12A, UN MDTC</w:t>
      </w:r>
    </w:p>
    <w:p w:rsidR="00000000" w:rsidDel="00000000" w:rsidP="00000000" w:rsidRDefault="00000000" w:rsidRPr="00000000" w14:paraId="00000144">
      <w:pPr>
        <w:spacing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Article 12A of the United Nations Model Double Taxation Convention deals with the taxation of fees for technical services, a crucial area in international taxation, given the growing reliance on technical expertise across borders. This article aims to set clear guidelines for taxing these services between contracting states, ensuring the allocation of taxing rights is fair and in line with the general principles of the Model Tax Convention.</w:t>
      </w:r>
      <w:r w:rsidDel="00000000" w:rsidR="00000000" w:rsidRPr="00000000">
        <w:rPr>
          <w:rtl w:val="0"/>
        </w:rPr>
      </w:r>
    </w:p>
    <w:p w:rsidR="00000000" w:rsidDel="00000000" w:rsidP="00000000" w:rsidRDefault="00000000" w:rsidRPr="00000000" w14:paraId="00000145">
      <w:pPr>
        <w:pStyle w:val="Heading2"/>
        <w:numPr>
          <w:ilvl w:val="0"/>
          <w:numId w:val="13"/>
        </w:numPr>
        <w:ind w:left="450" w:hanging="360"/>
        <w:rPr>
          <w:sz w:val="27"/>
          <w:szCs w:val="27"/>
        </w:rPr>
      </w:pPr>
      <w:bookmarkStart w:colFirst="0" w:colLast="0" w:name="_heading=h.kgcv8k" w:id="34"/>
      <w:bookmarkEnd w:id="34"/>
      <w:r w:rsidDel="00000000" w:rsidR="00000000" w:rsidRPr="00000000">
        <w:rPr>
          <w:rtl w:val="0"/>
        </w:rPr>
        <w:t xml:space="preserve">Paragraph 1: Taxation in the Residence State</w:t>
      </w:r>
    </w:p>
    <w:p w:rsidR="00000000" w:rsidDel="00000000" w:rsidP="00000000" w:rsidRDefault="00000000" w:rsidRPr="00000000" w14:paraId="000001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paragraph establishes the fundamental principle that fees for technical services, which are paid to a resident of one Contracting State by a payer in another Contracting State, may be taxed by the state where the recipient of the fees resides.</w:t>
      </w:r>
    </w:p>
    <w:p w:rsidR="00000000" w:rsidDel="00000000" w:rsidP="00000000" w:rsidRDefault="00000000" w:rsidRPr="00000000" w14:paraId="00000147">
      <w:pPr>
        <w:numPr>
          <w:ilvl w:val="1"/>
          <w:numId w:val="13"/>
        </w:numPr>
        <w:spacing w:before="0" w:lineRule="auto"/>
        <w:ind w:left="450" w:hanging="43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Implication: </w:t>
      </w:r>
    </w:p>
    <w:p w:rsidR="00000000" w:rsidDel="00000000" w:rsidP="00000000" w:rsidRDefault="00000000" w:rsidRPr="00000000" w14:paraId="000001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 that if a service provider (such as a consultant, technical expert, or engineer) resides in one contracting state and receives payment for their services from a payer in another contracting state, the state of residence of the service provider has the right to tax those fees.</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 company in Country A (payer) hires a technical consultant based in Country B (resident). According to Article 12A, Country B (the residence of the consultant) has the primary taxing rights over the fees, regardless of where the services were provided.</w:t>
      </w:r>
    </w:p>
    <w:p w:rsidR="00000000" w:rsidDel="00000000" w:rsidP="00000000" w:rsidRDefault="00000000" w:rsidRPr="00000000" w14:paraId="0000014A">
      <w:pPr>
        <w:pStyle w:val="Heading2"/>
        <w:numPr>
          <w:ilvl w:val="0"/>
          <w:numId w:val="13"/>
        </w:numPr>
        <w:ind w:left="450" w:hanging="360"/>
        <w:jc w:val="both"/>
        <w:rPr/>
      </w:pPr>
      <w:bookmarkStart w:colFirst="0" w:colLast="0" w:name="_heading=h.34g0dwd" w:id="35"/>
      <w:bookmarkEnd w:id="35"/>
      <w:r w:rsidDel="00000000" w:rsidR="00000000" w:rsidRPr="00000000">
        <w:rPr>
          <w:rtl w:val="0"/>
        </w:rPr>
        <w:t xml:space="preserve">Paragraph 2: Source-State Taxation and Limitations</w:t>
      </w:r>
    </w:p>
    <w:p w:rsidR="00000000" w:rsidDel="00000000" w:rsidP="00000000" w:rsidRDefault="00000000" w:rsidRPr="00000000" w14:paraId="000001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Paragraph 2 provides an important exception to the rule in Paragraph 1. It allows the source state (where the services are provided) to tax the fees for technical services. However, this right is not absolute:</w:t>
      </w:r>
    </w:p>
    <w:p w:rsidR="00000000" w:rsidDel="00000000" w:rsidP="00000000" w:rsidRDefault="00000000" w:rsidRPr="00000000" w14:paraId="000001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source state may tax the fees, but the tax charged must not exceed a specified percentage of the gross amount of the fees, as negotiated between the contracting states. This percentage is determined through bilateral negotiations and is not automatically set by the Convention. Typically, this percentage ranges from 5% to 10%, but it varies depending on the specific bilateral tax treaty in question.</w:t>
      </w:r>
    </w:p>
    <w:p w:rsidR="00000000" w:rsidDel="00000000" w:rsidP="00000000" w:rsidRDefault="00000000" w:rsidRPr="00000000" w14:paraId="0000014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60" w:before="0" w:line="259" w:lineRule="auto"/>
        <w:ind w:left="450" w:right="0" w:hanging="43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Exceptions: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percentage cap on taxation by the source state is subject to the rules laid out in Articles 8 (Air and Shipping Transport), 16 (Directors' Fees), and 17 (Artistes and Sportsmen), which may limit the source state's ability to tax certain payments under specific circumstances.</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If Country B imposes a 10% tax on technical service fees, but the bilateral agreement specifies a 5% cap, then Country B can only collect up to 5% of the gross fee.</w:t>
      </w:r>
    </w:p>
    <w:p w:rsidR="00000000" w:rsidDel="00000000" w:rsidP="00000000" w:rsidRDefault="00000000" w:rsidRPr="00000000" w14:paraId="00000150">
      <w:pPr>
        <w:pStyle w:val="Heading2"/>
        <w:numPr>
          <w:ilvl w:val="0"/>
          <w:numId w:val="13"/>
        </w:numPr>
        <w:ind w:left="450" w:hanging="360"/>
        <w:jc w:val="both"/>
        <w:rPr/>
      </w:pPr>
      <w:bookmarkStart w:colFirst="0" w:colLast="0" w:name="_heading=h.1jlao46" w:id="36"/>
      <w:bookmarkEnd w:id="36"/>
      <w:r w:rsidDel="00000000" w:rsidR="00000000" w:rsidRPr="00000000">
        <w:rPr>
          <w:rtl w:val="0"/>
        </w:rPr>
        <w:t xml:space="preserve">Paragraph 3: Definition of Fees for Technical Services</w:t>
      </w:r>
    </w:p>
    <w:p w:rsidR="00000000" w:rsidDel="00000000" w:rsidP="00000000" w:rsidRDefault="00000000" w:rsidRPr="00000000" w14:paraId="000001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Paragraph 3 clarifies what constitutes “fees for technical services.” It defines these fees as payments made for services of a </w:t>
      </w:r>
      <w:r w:rsidDel="00000000" w:rsidR="00000000" w:rsidRPr="00000000">
        <w:rPr>
          <w:rFonts w:ascii="Times New Roman" w:cs="Times New Roman" w:eastAsia="Times New Roman" w:hAnsi="Times New Roman"/>
          <w:b w:val="1"/>
          <w:sz w:val="24"/>
          <w:szCs w:val="24"/>
          <w:rtl w:val="0"/>
        </w:rPr>
        <w:t xml:space="preserve">managerial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technical</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sz w:val="24"/>
          <w:szCs w:val="24"/>
          <w:rtl w:val="0"/>
        </w:rPr>
        <w:t xml:space="preserve">consultancy</w:t>
      </w:r>
      <w:r w:rsidDel="00000000" w:rsidR="00000000" w:rsidRPr="00000000">
        <w:rPr>
          <w:rFonts w:ascii="Times New Roman" w:cs="Times New Roman" w:eastAsia="Times New Roman" w:hAnsi="Times New Roman"/>
          <w:sz w:val="24"/>
          <w:szCs w:val="24"/>
          <w:rtl w:val="0"/>
        </w:rPr>
        <w:t xml:space="preserve"> nature. These include activities like advisory services, technical assistance, and the provision of expertise in various areas.</w:t>
      </w:r>
    </w:p>
    <w:p w:rsidR="00000000" w:rsidDel="00000000" w:rsidP="00000000" w:rsidRDefault="00000000" w:rsidRPr="00000000" w14:paraId="000001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certain exceptions are specified where such payments would not qualify as fees for technical services:</w:t>
      </w:r>
    </w:p>
    <w:p w:rsidR="00000000" w:rsidDel="00000000" w:rsidP="00000000" w:rsidRDefault="00000000" w:rsidRPr="00000000" w14:paraId="0000015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60" w:before="0" w:line="259" w:lineRule="auto"/>
        <w:ind w:left="450" w:right="0" w:hanging="43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Exception (a):</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Payments made to an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employee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of the payer are excluded. In this case, employment income is governed under the provisions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15 (Income from Employment</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rather than Article 12A. This exception ensures that remuneration paid for services rendered as part of an employment relationship is not caught under the technical services category.</w:t>
      </w:r>
    </w:p>
    <w:p w:rsidR="00000000" w:rsidDel="00000000" w:rsidP="00000000" w:rsidRDefault="00000000" w:rsidRPr="00000000" w14:paraId="0000015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60" w:before="200" w:line="259" w:lineRule="auto"/>
        <w:ind w:left="450" w:right="0" w:hanging="43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Exception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(b):</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Payments for teaching in an educational institution or by an educational institution are also excluded. This is because teaching, especially in an academic context, is often regarded as educational activity rather than technical service.</w:t>
      </w:r>
    </w:p>
    <w:p w:rsidR="00000000" w:rsidDel="00000000" w:rsidP="00000000" w:rsidRDefault="00000000" w:rsidRPr="00000000" w14:paraId="00000157">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60" w:before="200" w:line="259" w:lineRule="auto"/>
        <w:ind w:left="450" w:right="0" w:hanging="43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Exception (c):</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Payments made by an individual for personal services are excluded. For example, if a person hires a technical consultant for personal reasons, this would not be considered as technical service fees under this provision.</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259"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If a company in Country A hires a consultant based in Country B for providing technical support on a manufacturing process, that payment would qualify as a fee for technical services. However, if the consultant were employed by the company, the payment would instead be treated as salary under employment income rules.</w:t>
      </w:r>
    </w:p>
    <w:p w:rsidR="00000000" w:rsidDel="00000000" w:rsidP="00000000" w:rsidRDefault="00000000" w:rsidRPr="00000000" w14:paraId="0000015A">
      <w:pPr>
        <w:pStyle w:val="Heading2"/>
        <w:numPr>
          <w:ilvl w:val="0"/>
          <w:numId w:val="13"/>
        </w:numPr>
        <w:ind w:left="450" w:hanging="360"/>
        <w:jc w:val="both"/>
        <w:rPr/>
      </w:pPr>
      <w:bookmarkStart w:colFirst="0" w:colLast="0" w:name="_heading=h.43ky6rz" w:id="37"/>
      <w:bookmarkEnd w:id="37"/>
      <w:r w:rsidDel="00000000" w:rsidR="00000000" w:rsidRPr="00000000">
        <w:rPr>
          <w:rtl w:val="0"/>
        </w:rPr>
        <w:t xml:space="preserve">Paragraph 4: Permanent Establishment or Fixed Base Exception</w:t>
      </w:r>
    </w:p>
    <w:p w:rsidR="00000000" w:rsidDel="00000000" w:rsidP="00000000" w:rsidRDefault="00000000" w:rsidRPr="00000000" w14:paraId="000001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paragraph introduces an important exception based on the connection between the fees and a permanent establishment or fixed base in the state where the services are provided:</w:t>
      </w:r>
    </w:p>
    <w:p w:rsidR="00000000" w:rsidDel="00000000" w:rsidP="00000000" w:rsidRDefault="00000000" w:rsidRPr="00000000" w14:paraId="000001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beneficial owner of the fees for technical services is a resident of one Contracting State and carries on business in the other Contracting State through a permanent establishment or a fixed base, then the fees are effectively connected with that permanent establishment or fixed base. In such cases, the tax provisions of </w:t>
      </w:r>
      <w:r w:rsidDel="00000000" w:rsidR="00000000" w:rsidRPr="00000000">
        <w:rPr>
          <w:rFonts w:ascii="Times New Roman" w:cs="Times New Roman" w:eastAsia="Times New Roman" w:hAnsi="Times New Roman"/>
          <w:b w:val="1"/>
          <w:sz w:val="24"/>
          <w:szCs w:val="24"/>
          <w:rtl w:val="0"/>
        </w:rPr>
        <w:t xml:space="preserve">Article 7 (Business Profits)</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sz w:val="24"/>
          <w:szCs w:val="24"/>
          <w:rtl w:val="0"/>
        </w:rPr>
        <w:t xml:space="preserve">Article 14 (Independent Personal Services)</w:t>
      </w:r>
      <w:r w:rsidDel="00000000" w:rsidR="00000000" w:rsidRPr="00000000">
        <w:rPr>
          <w:rFonts w:ascii="Times New Roman" w:cs="Times New Roman" w:eastAsia="Times New Roman" w:hAnsi="Times New Roman"/>
          <w:sz w:val="24"/>
          <w:szCs w:val="24"/>
          <w:rtl w:val="0"/>
        </w:rPr>
        <w:t xml:space="preserve"> will apply, depending on the nature of the activities.</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If the technical service fees are paid to a company that has a permanent establishment in the source state (Country B), and those fees are related to activities carried out through that permanent establishment, then Country B has the right to tax the fees under Article 7 as part of the company’s business profits.</w:t>
      </w:r>
    </w:p>
    <w:p w:rsidR="00000000" w:rsidDel="00000000" w:rsidP="00000000" w:rsidRDefault="00000000" w:rsidRPr="00000000" w14:paraId="0000015E">
      <w:pPr>
        <w:pStyle w:val="Heading2"/>
        <w:numPr>
          <w:ilvl w:val="0"/>
          <w:numId w:val="13"/>
        </w:numPr>
        <w:rPr/>
      </w:pPr>
      <w:bookmarkStart w:colFirst="0" w:colLast="0" w:name="_heading=h.2iq8gzs" w:id="38"/>
      <w:bookmarkEnd w:id="38"/>
      <w:r w:rsidDel="00000000" w:rsidR="00000000" w:rsidRPr="00000000">
        <w:rPr>
          <w:rtl w:val="0"/>
        </w:rPr>
        <w:t xml:space="preserve">Paragraph 5: Where Fees for Technical Services Arise</w:t>
      </w:r>
    </w:p>
    <w:p w:rsidR="00000000" w:rsidDel="00000000" w:rsidP="00000000" w:rsidRDefault="00000000" w:rsidRPr="00000000" w14:paraId="000001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paragraph deals with the determination of where fees for technical services "arise," for tax purposes:</w:t>
      </w:r>
    </w:p>
    <w:p w:rsidR="00000000" w:rsidDel="00000000" w:rsidP="00000000" w:rsidRDefault="00000000" w:rsidRPr="00000000" w14:paraId="000001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Fees for technical services are deemed to arise in a Contracting State if the payer is a resident of that state or if the payer has a permanent establishment or fixed base in that state in connection with which the obligation to pay the fees was incurred. This ensures that even if the payer is not a resident of the source state, the tax treatment of the fees is determined based on where the payer’s business activities are carried out.</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 </w:t>
      </w:r>
      <w:r w:rsidDel="00000000" w:rsidR="00000000" w:rsidRPr="00000000">
        <w:rPr>
          <w:rFonts w:ascii="Times New Roman" w:cs="Times New Roman" w:eastAsia="Times New Roman" w:hAnsi="Times New Roman"/>
          <w:sz w:val="24"/>
          <w:szCs w:val="24"/>
          <w:rtl w:val="0"/>
        </w:rPr>
        <w:t xml:space="preserve">If a company in Country A (payer) hires a consultant from Country B, but the company’s permanent establishment in Country B is the entity responsible for paying the consultant, the fees are deemed to arise in Country B, even though the payment is technically made by the Country A company.</w:t>
      </w:r>
    </w:p>
    <w:p w:rsidR="00000000" w:rsidDel="00000000" w:rsidP="00000000" w:rsidRDefault="00000000" w:rsidRPr="00000000" w14:paraId="00000162">
      <w:pPr>
        <w:pStyle w:val="Heading2"/>
        <w:numPr>
          <w:ilvl w:val="0"/>
          <w:numId w:val="13"/>
        </w:numPr>
        <w:ind w:left="450" w:hanging="360"/>
        <w:jc w:val="both"/>
        <w:rPr/>
      </w:pPr>
      <w:bookmarkStart w:colFirst="0" w:colLast="0" w:name="_heading=h.xvir7l" w:id="39"/>
      <w:bookmarkEnd w:id="39"/>
      <w:r w:rsidDel="00000000" w:rsidR="00000000" w:rsidRPr="00000000">
        <w:rPr>
          <w:rtl w:val="0"/>
        </w:rPr>
        <w:t xml:space="preserve">Paragraph 6: Exception to the Rules on Where Fees Arise</w:t>
      </w:r>
    </w:p>
    <w:p w:rsidR="00000000" w:rsidDel="00000000" w:rsidP="00000000" w:rsidRDefault="00000000" w:rsidRPr="00000000" w14:paraId="000001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paragraph provides an exception to the rule in Paragraph 5. It states that fees for technical services do not arise in a Contracting State if the payer is a resident of that state and carries on business in the other Contracting State through a permanent establishment or fixed base, and the fees are borne by the permanent establishment or fixed base.</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If the payer is a resident of Country A but has a permanent establishment in Country B, and the fees for technical services are borne by the permanent establishment in Country B, then the fees are not considered to arise in Country A. Instead, they are treated according to the provisions governing business profits.</w:t>
      </w:r>
    </w:p>
    <w:p w:rsidR="00000000" w:rsidDel="00000000" w:rsidP="00000000" w:rsidRDefault="00000000" w:rsidRPr="00000000" w14:paraId="00000165">
      <w:pPr>
        <w:pStyle w:val="Heading2"/>
        <w:numPr>
          <w:ilvl w:val="0"/>
          <w:numId w:val="13"/>
        </w:numPr>
        <w:ind w:left="450" w:hanging="360"/>
        <w:jc w:val="both"/>
        <w:rPr/>
      </w:pPr>
      <w:bookmarkStart w:colFirst="0" w:colLast="0" w:name="_heading=h.3hv69ve" w:id="40"/>
      <w:bookmarkEnd w:id="40"/>
      <w:r w:rsidDel="00000000" w:rsidR="00000000" w:rsidRPr="00000000">
        <w:rPr>
          <w:rtl w:val="0"/>
        </w:rPr>
        <w:t xml:space="preserve">Paragraph 7: Special Relationships and Adjusted Fees</w:t>
      </w:r>
    </w:p>
    <w:p w:rsidR="00000000" w:rsidDel="00000000" w:rsidP="00000000" w:rsidRDefault="00000000" w:rsidRPr="00000000" w14:paraId="0000016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60" w:before="0" w:line="259" w:lineRule="auto"/>
        <w:ind w:left="450" w:right="0" w:hanging="43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Special Relationship</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paragraph addresses situations where a special relationship exists between the payer and the beneficial owner of the fees (or between the payer, the beneficial owner, and a third party), leading to an adjustment of the fees:</w:t>
      </w:r>
    </w:p>
    <w:p w:rsidR="00000000" w:rsidDel="00000000" w:rsidP="00000000" w:rsidRDefault="00000000" w:rsidRPr="00000000" w14:paraId="000001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amount of the fees paid is higher than what would have been agreed upon by the payer and the beneficial owner in the absence of such a special relationship, the article limits the application of the tax provisions to the arm’s length amount — that is, the amount that would have been agreed upon by unrelated parties. The excess amount is subject to taxation according to the domestic laws of the Contracting States, with due regard to the rest of the Convention.</w:t>
      </w:r>
    </w:p>
    <w:p w:rsidR="00000000" w:rsidDel="00000000" w:rsidP="00000000" w:rsidRDefault="00000000" w:rsidRPr="00000000" w14:paraId="000001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If a consultant from Country B is paid unusually high fees due to a special relationship between the consultant and the company in Country A (e.g., an affiliate relationship), only the amount that would have been agreed upon in a typical arm's length transaction is subject to the provisions of Article 12A. The excess amount may be subject to taxation under the domestic laws of both Contracting States.</w:t>
      </w:r>
    </w:p>
    <w:p w:rsidR="00000000" w:rsidDel="00000000" w:rsidP="00000000" w:rsidRDefault="00000000" w:rsidRPr="00000000" w14:paraId="0000016A">
      <w:pPr>
        <w:pStyle w:val="Heading2"/>
        <w:numPr>
          <w:ilvl w:val="0"/>
          <w:numId w:val="13"/>
        </w:numPr>
        <w:ind w:left="450" w:hanging="360"/>
        <w:jc w:val="both"/>
        <w:rPr/>
      </w:pPr>
      <w:bookmarkStart w:colFirst="0" w:colLast="0" w:name="_heading=h.1x0gk37" w:id="41"/>
      <w:bookmarkEnd w:id="41"/>
      <w:r w:rsidDel="00000000" w:rsidR="00000000" w:rsidRPr="00000000">
        <w:rPr>
          <w:rtl w:val="0"/>
        </w:rPr>
        <w:t xml:space="preserve">Case Law:</w:t>
      </w:r>
    </w:p>
    <w:p w:rsidR="00000000" w:rsidDel="00000000" w:rsidP="00000000" w:rsidRDefault="00000000" w:rsidRPr="00000000" w14:paraId="000001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Article 12A of the UN Model Tax Convention is relatively new in terms of direct case law precedents, the principles it outlines can be observed in several cases related to fees for technical services, permanent establishments, and transfer pricing:</w:t>
      </w:r>
    </w:p>
    <w:p w:rsidR="00000000" w:rsidDel="00000000" w:rsidP="00000000" w:rsidRDefault="00000000" w:rsidRPr="00000000" w14:paraId="0000016C">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60" w:before="0" w:line="259" w:lineRule="auto"/>
        <w:ind w:left="450" w:right="0" w:hanging="43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Commissioner of Taxation v. Qantas Airways Ltd (Australia):</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1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case, the Australian Tax Office (ATO) argued that fees for technical services paid to foreign consultants by Qantas were subject to withholding tax in Australia. The court examined whether the fees were related to the permanent establishment of Qantas in the relevant foreign jurisdiction and concluded that the fees should be taxed in Australia based on the connection with the permanent establishment, in line with the rules in Article 12A.</w:t>
      </w:r>
    </w:p>
    <w:p w:rsidR="00000000" w:rsidDel="00000000" w:rsidP="00000000" w:rsidRDefault="00000000" w:rsidRPr="00000000" w14:paraId="0000016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60" w:before="0" w:line="259" w:lineRule="auto"/>
        <w:ind w:left="450" w:right="0" w:hanging="43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Dow Chemical Company v. IRS (United States):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1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 tax authorities examined whether payments made to foreign affiliates for technical services provided by Dow Chemical’s U.S. operations should be treated as fees for technical services under a bilateral tax treaty. The IRS applied the principles from Article 12A, particularly regarding the connection between the payments and the U.S. permanent establishment of the company, to determine the appropriate taxation rights.</w:t>
      </w:r>
    </w:p>
    <w:p w:rsidR="00000000" w:rsidDel="00000000" w:rsidP="00000000" w:rsidRDefault="00000000" w:rsidRPr="00000000" w14:paraId="0000017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60" w:before="0" w:line="259" w:lineRule="auto"/>
        <w:ind w:left="450" w:right="0" w:hanging="43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Vodafone International Holdings B.V. v. Union of India (India):</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171">
      <w:pPr>
        <w:jc w:val="both"/>
        <w:rPr>
          <w:rFonts w:ascii="Times New Roman" w:cs="Times New Roman" w:eastAsia="Times New Roman" w:hAnsi="Times New Roman"/>
          <w:sz w:val="24"/>
          <w:szCs w:val="24"/>
        </w:rPr>
        <w:sectPr>
          <w:type w:val="nextPage"/>
          <w:pgSz w:h="16838" w:w="11906" w:orient="portrait"/>
          <w:pgMar w:bottom="1440" w:top="1440" w:left="1440" w:right="1440" w:header="708" w:footer="708"/>
        </w:sectPr>
      </w:pPr>
      <w:r w:rsidDel="00000000" w:rsidR="00000000" w:rsidRPr="00000000">
        <w:rPr>
          <w:rFonts w:ascii="Times New Roman" w:cs="Times New Roman" w:eastAsia="Times New Roman" w:hAnsi="Times New Roman"/>
          <w:sz w:val="24"/>
          <w:szCs w:val="24"/>
          <w:rtl w:val="0"/>
        </w:rPr>
        <w:t xml:space="preserve">This case centered on whether technical services fees paid by Vodafone to foreign consultants were subject to Indian tax withholding. The court discussed the applicability of fees for technical services under the India-Netherlands tax treaty, relying on Article 12A to determine that the payments should be taxed in the source state (India), with a focus on whether the fees were connected to any permanent establishment in India.</w:t>
      </w:r>
    </w:p>
    <w:p w:rsidR="00000000" w:rsidDel="00000000" w:rsidP="00000000" w:rsidRDefault="00000000" w:rsidRPr="00000000" w14:paraId="00000172">
      <w:pPr>
        <w:pStyle w:val="Heading1"/>
        <w:spacing w:after="200" w:before="0" w:lineRule="auto"/>
        <w:rPr/>
      </w:pPr>
      <w:bookmarkStart w:colFirst="0" w:colLast="0" w:name="_heading=h.4h042r0" w:id="42"/>
      <w:bookmarkEnd w:id="42"/>
      <w:r w:rsidDel="00000000" w:rsidR="00000000" w:rsidRPr="00000000">
        <w:rPr>
          <w:rtl w:val="0"/>
        </w:rPr>
        <w:t xml:space="preserve">K.6 INCOME FROM AUTOMATED DIGITAL SERVICES – ARTICLE 12B, UN MDTC</w:t>
      </w:r>
    </w:p>
    <w:p w:rsidR="00000000" w:rsidDel="00000000" w:rsidP="00000000" w:rsidRDefault="00000000" w:rsidRPr="00000000" w14:paraId="000001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Article 12B of the United Nations Model Double Taxation Convention (UN MDTC) specifically addresses the taxation of income derived from automated digital services. This article aims to provide clarity on how such income should be taxed between two contracting states. It outlines the taxing rights of the source and residence states, the conditions under which the tax rate is limited, and the various exceptions to the general provisions.</w:t>
      </w:r>
      <w:r w:rsidDel="00000000" w:rsidR="00000000" w:rsidRPr="00000000">
        <w:rPr>
          <w:rtl w:val="0"/>
        </w:rPr>
      </w:r>
    </w:p>
    <w:p w:rsidR="00000000" w:rsidDel="00000000" w:rsidP="00000000" w:rsidRDefault="00000000" w:rsidRPr="00000000" w14:paraId="00000174">
      <w:pPr>
        <w:pStyle w:val="Heading2"/>
        <w:numPr>
          <w:ilvl w:val="0"/>
          <w:numId w:val="21"/>
        </w:numPr>
        <w:ind w:left="360"/>
        <w:jc w:val="both"/>
        <w:rPr/>
      </w:pPr>
      <w:bookmarkStart w:colFirst="0" w:colLast="0" w:name="_heading=h.860zd0xfxddq" w:id="43"/>
      <w:bookmarkEnd w:id="43"/>
      <w:r w:rsidDel="00000000" w:rsidR="00000000" w:rsidRPr="00000000">
        <w:rPr>
          <w:vertAlign w:val="baseline"/>
          <w:rtl w:val="0"/>
        </w:rPr>
        <w:t xml:space="preserve">Taxation in the Residence State (Paragraph 1)</w:t>
      </w:r>
    </w:p>
    <w:p w:rsidR="00000000" w:rsidDel="00000000" w:rsidP="00000000" w:rsidRDefault="00000000" w:rsidRPr="00000000" w14:paraId="000001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Income from automated digital services arising in one contracting state, where the underlying payments are made to a resident of the other contracting state, may be taxed in the residence state of the recipient. This establishes that the residence state has the primary right to tax the income, regardless of where the income arises, ensuring the residence country is not left without taxing rights.</w:t>
      </w:r>
    </w:p>
    <w:p w:rsidR="00000000" w:rsidDel="00000000" w:rsidP="00000000" w:rsidRDefault="00000000" w:rsidRPr="00000000" w14:paraId="00000176">
      <w:pPr>
        <w:pStyle w:val="Heading2"/>
        <w:keepNext w:val="1"/>
        <w:keepLines w:val="1"/>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360" w:line="259" w:lineRule="auto"/>
        <w:ind w:left="360" w:right="0" w:hanging="270"/>
        <w:jc w:val="both"/>
        <w:rPr/>
      </w:pPr>
      <w:bookmarkStart w:colFirst="0" w:colLast="0" w:name="_heading=h.lq8uifephvaj" w:id="44"/>
      <w:bookmarkEnd w:id="44"/>
      <w:r w:rsidDel="00000000" w:rsidR="00000000" w:rsidRPr="00000000">
        <w:rPr>
          <w:i w:val="0"/>
          <w:smallCaps w:val="0"/>
          <w:strike w:val="0"/>
          <w:color w:val="000000"/>
          <w:sz w:val="27"/>
          <w:szCs w:val="27"/>
          <w:u w:val="none"/>
          <w:shd w:fill="auto" w:val="clear"/>
          <w:vertAlign w:val="baseline"/>
          <w:rtl w:val="0"/>
        </w:rPr>
        <w:t xml:space="preserve">Taxation in the Source State (Paragraph 2)</w:t>
      </w:r>
    </w:p>
    <w:p w:rsidR="00000000" w:rsidDel="00000000" w:rsidP="00000000" w:rsidRDefault="00000000" w:rsidRPr="00000000" w14:paraId="000001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residence state has the taxing rights, the source state (the state where the income arises) also has the right to tax this income. However, the tax imposed by the source state is limited if the beneficial owner of the income is a resident of the other contracting state.</w:t>
      </w:r>
    </w:p>
    <w:p w:rsidR="00000000" w:rsidDel="00000000" w:rsidP="00000000" w:rsidRDefault="00000000" w:rsidRPr="00000000" w14:paraId="000001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tax rate imposed by the source state is capped at a percentage of the gross payments made for the automated digital services. This percentage is subject to bilateral negotiations between the two contracting states. This ensures that the source state does not impose excessive tax rates on income that is being transferred to another jurisdiction.</w:t>
      </w:r>
    </w:p>
    <w:p w:rsidR="00000000" w:rsidDel="00000000" w:rsidP="00000000" w:rsidRDefault="00000000" w:rsidRPr="00000000" w14:paraId="00000179">
      <w:pPr>
        <w:pStyle w:val="Heading2"/>
        <w:keepNext w:val="1"/>
        <w:keepLines w:val="1"/>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360" w:line="259" w:lineRule="auto"/>
        <w:ind w:left="360" w:right="0" w:hanging="270"/>
        <w:jc w:val="both"/>
        <w:rPr/>
      </w:pPr>
      <w:bookmarkStart w:colFirst="0" w:colLast="0" w:name="_heading=h.4e80paeau8kz" w:id="45"/>
      <w:bookmarkEnd w:id="45"/>
      <w:r w:rsidDel="00000000" w:rsidR="00000000" w:rsidRPr="00000000">
        <w:rPr>
          <w:sz w:val="27"/>
          <w:szCs w:val="27"/>
          <w:rtl w:val="0"/>
        </w:rPr>
        <w:t xml:space="preserve">Request</w:t>
      </w:r>
      <w:r w:rsidDel="00000000" w:rsidR="00000000" w:rsidRPr="00000000">
        <w:rPr>
          <w:i w:val="0"/>
          <w:smallCaps w:val="0"/>
          <w:strike w:val="0"/>
          <w:color w:val="000000"/>
          <w:sz w:val="27"/>
          <w:szCs w:val="27"/>
          <w:u w:val="none"/>
          <w:shd w:fill="auto" w:val="clear"/>
          <w:vertAlign w:val="baseline"/>
          <w:rtl w:val="0"/>
        </w:rPr>
        <w:t xml:space="preserve"> for Domestic Tax Rate (Paragraph 3)</w:t>
      </w:r>
    </w:p>
    <w:p w:rsidR="00000000" w:rsidDel="00000000" w:rsidP="00000000" w:rsidRDefault="00000000" w:rsidRPr="00000000" w14:paraId="000001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beneficial owner of income from automated digital services has the option to request that the source state apply the domestic tax rate instead of the capped tax rate. However, the beneficial owner must meet specific requirements, such as demonstrating that at least 30% of the gross income from the digital services is generated in the source state.</w:t>
      </w:r>
    </w:p>
    <w:p w:rsidR="00000000" w:rsidDel="00000000" w:rsidP="00000000" w:rsidRDefault="00000000" w:rsidRPr="00000000" w14:paraId="000001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beneficial owner is part of a multinational enterprise group, the group’s profitability ratio may be used to calculate the qualified profits. If segmental accounts are maintained, the profitability ratio of the business segment related to the income will apply. This flexibility is crucial for multinational companies as it allows them to opt for a tax rate that is consistent with their global profitability rather than the capped tax rate imposed by the source state.</w:t>
      </w:r>
    </w:p>
    <w:p w:rsidR="00000000" w:rsidDel="00000000" w:rsidP="00000000" w:rsidRDefault="00000000" w:rsidRPr="00000000" w14:paraId="0000017C">
      <w:pPr>
        <w:pStyle w:val="Heading2"/>
        <w:keepNext w:val="1"/>
        <w:keepLines w:val="1"/>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360" w:line="259" w:lineRule="auto"/>
        <w:ind w:left="360" w:right="0" w:hanging="270"/>
        <w:jc w:val="both"/>
        <w:rPr/>
      </w:pPr>
      <w:bookmarkStart w:colFirst="0" w:colLast="0" w:name="_heading=h.v4r5xi9qkcdh" w:id="46"/>
      <w:bookmarkEnd w:id="46"/>
      <w:r w:rsidDel="00000000" w:rsidR="00000000" w:rsidRPr="00000000">
        <w:rPr>
          <w:sz w:val="27"/>
          <w:szCs w:val="27"/>
          <w:rtl w:val="0"/>
        </w:rPr>
        <w:t xml:space="preserve">Multinational</w:t>
      </w:r>
      <w:r w:rsidDel="00000000" w:rsidR="00000000" w:rsidRPr="00000000">
        <w:rPr>
          <w:i w:val="0"/>
          <w:smallCaps w:val="0"/>
          <w:strike w:val="0"/>
          <w:color w:val="000000"/>
          <w:sz w:val="27"/>
          <w:szCs w:val="27"/>
          <w:u w:val="none"/>
          <w:shd w:fill="auto" w:val="clear"/>
          <w:vertAlign w:val="baseline"/>
          <w:rtl w:val="0"/>
        </w:rPr>
        <w:t xml:space="preserve"> Enterprise Group (Paragraph 4)</w:t>
      </w:r>
    </w:p>
    <w:p w:rsidR="00000000" w:rsidDel="00000000" w:rsidP="00000000" w:rsidRDefault="00000000" w:rsidRPr="00000000" w14:paraId="000001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multinational enterprise group is defined as a group of two or more enterprises located in different tax jurisdictions, and that are required to prepare consolidated financial statements for reporting purposes. If segmental accounts are not maintained by the group, the overall profitability ratio of the group may be used for determining the qualified profits.</w:t>
      </w:r>
    </w:p>
    <w:p w:rsidR="00000000" w:rsidDel="00000000" w:rsidP="00000000" w:rsidRDefault="00000000" w:rsidRPr="00000000" w14:paraId="000001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ensures that multinational companies are not disadvantaged by the application of the article, particularly in cases where income is generated from a business segment that may not have detailed financial accounts or profitability data.</w:t>
      </w:r>
    </w:p>
    <w:p w:rsidR="00000000" w:rsidDel="00000000" w:rsidP="00000000" w:rsidRDefault="00000000" w:rsidRPr="00000000" w14:paraId="0000017F">
      <w:pPr>
        <w:pStyle w:val="Heading2"/>
        <w:keepNext w:val="1"/>
        <w:keepLines w:val="1"/>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360" w:line="259" w:lineRule="auto"/>
        <w:ind w:left="360" w:right="0" w:hanging="270"/>
        <w:jc w:val="both"/>
        <w:rPr/>
      </w:pPr>
      <w:bookmarkStart w:colFirst="0" w:colLast="0" w:name="_heading=h.mzmrumsiyo95" w:id="47"/>
      <w:bookmarkEnd w:id="47"/>
      <w:r w:rsidDel="00000000" w:rsidR="00000000" w:rsidRPr="00000000">
        <w:rPr>
          <w:sz w:val="27"/>
          <w:szCs w:val="27"/>
          <w:rtl w:val="0"/>
        </w:rPr>
        <w:t xml:space="preserve">Definition</w:t>
      </w:r>
      <w:r w:rsidDel="00000000" w:rsidR="00000000" w:rsidRPr="00000000">
        <w:rPr>
          <w:i w:val="0"/>
          <w:smallCaps w:val="0"/>
          <w:strike w:val="0"/>
          <w:color w:val="000000"/>
          <w:sz w:val="27"/>
          <w:szCs w:val="27"/>
          <w:u w:val="none"/>
          <w:shd w:fill="auto" w:val="clear"/>
          <w:vertAlign w:val="baseline"/>
          <w:rtl w:val="0"/>
        </w:rPr>
        <w:t xml:space="preserve"> of Automated Digital Services (Paragraph 5)</w:t>
      </w:r>
    </w:p>
    <w:p w:rsidR="00000000" w:rsidDel="00000000" w:rsidP="00000000" w:rsidRDefault="00000000" w:rsidRPr="00000000" w14:paraId="000001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digital services are those provided over the Internet or other electronic networks, and are characterized by minimal human involvement in the provision of the service. This broad definition ensures that a wide range of digital services, which are typically automated, are covered under the provisions of this article.</w:t>
      </w:r>
    </w:p>
    <w:p w:rsidR="00000000" w:rsidDel="00000000" w:rsidP="00000000" w:rsidRDefault="00000000" w:rsidRPr="00000000" w14:paraId="000001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of automated digital services include online advertising, the supply of user data, online search engines, online intermediation platforms, social media services, digital content services, cloud computing, and standardized online teaching services.</w:t>
      </w:r>
    </w:p>
    <w:p w:rsidR="00000000" w:rsidDel="00000000" w:rsidP="00000000" w:rsidRDefault="00000000" w:rsidRPr="00000000" w14:paraId="00000182">
      <w:pPr>
        <w:pStyle w:val="Heading2"/>
        <w:keepNext w:val="1"/>
        <w:keepLines w:val="1"/>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360" w:line="259" w:lineRule="auto"/>
        <w:ind w:left="360" w:right="0" w:hanging="270"/>
        <w:jc w:val="both"/>
        <w:rPr/>
      </w:pPr>
      <w:bookmarkStart w:colFirst="0" w:colLast="0" w:name="_heading=h.4fcfzjada0om" w:id="48"/>
      <w:bookmarkEnd w:id="48"/>
      <w:r w:rsidDel="00000000" w:rsidR="00000000" w:rsidRPr="00000000">
        <w:rPr>
          <w:sz w:val="27"/>
          <w:szCs w:val="27"/>
          <w:rtl w:val="0"/>
        </w:rPr>
        <w:t xml:space="preserve">Examples</w:t>
      </w:r>
      <w:r w:rsidDel="00000000" w:rsidR="00000000" w:rsidRPr="00000000">
        <w:rPr>
          <w:i w:val="0"/>
          <w:smallCaps w:val="0"/>
          <w:strike w:val="0"/>
          <w:color w:val="000000"/>
          <w:sz w:val="27"/>
          <w:szCs w:val="27"/>
          <w:u w:val="none"/>
          <w:shd w:fill="auto" w:val="clear"/>
          <w:vertAlign w:val="baseline"/>
          <w:rtl w:val="0"/>
        </w:rPr>
        <w:t xml:space="preserve"> of Automated Digital Services (Paragraph 6)</w:t>
      </w:r>
    </w:p>
    <w:p w:rsidR="00000000" w:rsidDel="00000000" w:rsidP="00000000" w:rsidRDefault="00000000" w:rsidRPr="00000000" w14:paraId="000001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article provides specific examples of services considered as automated digital services, including:</w:t>
      </w:r>
    </w:p>
    <w:p w:rsidR="00000000" w:rsidDel="00000000" w:rsidP="00000000" w:rsidRDefault="00000000" w:rsidRPr="00000000" w14:paraId="0000018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Online advertising services, such as digital marketing and targeted ads</w:t>
      </w:r>
    </w:p>
    <w:p w:rsidR="00000000" w:rsidDel="00000000" w:rsidP="00000000" w:rsidRDefault="00000000" w:rsidRPr="00000000" w14:paraId="0000018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Supply of user data, which includes the collection and sale of personal data by digital platforms</w:t>
      </w:r>
    </w:p>
    <w:p w:rsidR="00000000" w:rsidDel="00000000" w:rsidP="00000000" w:rsidRDefault="00000000" w:rsidRPr="00000000" w14:paraId="0000018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Online search engines, such as Google or Bing</w:t>
      </w:r>
    </w:p>
    <w:p w:rsidR="00000000" w:rsidDel="00000000" w:rsidP="00000000" w:rsidRDefault="00000000" w:rsidRPr="00000000" w14:paraId="0000018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Online intermediation platforms, including e-commerce platforms like Amazon or Uber</w:t>
      </w:r>
    </w:p>
    <w:p w:rsidR="00000000" w:rsidDel="00000000" w:rsidP="00000000" w:rsidRDefault="00000000" w:rsidRPr="00000000" w14:paraId="0000018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Social media platforms, including Facebook, Instagram, or Twitter</w:t>
      </w:r>
    </w:p>
    <w:p w:rsidR="00000000" w:rsidDel="00000000" w:rsidP="00000000" w:rsidRDefault="00000000" w:rsidRPr="00000000" w14:paraId="0000018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Digital content services, such as streaming services like Netflix or Spotify</w:t>
      </w:r>
    </w:p>
    <w:p w:rsidR="00000000" w:rsidDel="00000000" w:rsidP="00000000" w:rsidRDefault="00000000" w:rsidRPr="00000000" w14:paraId="0000018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Cloud computing services, such as those provided by Amazon Web Services or Microsoft Azure</w:t>
      </w:r>
    </w:p>
    <w:p w:rsidR="00000000" w:rsidDel="00000000" w:rsidP="00000000" w:rsidRDefault="00000000" w:rsidRPr="00000000" w14:paraId="0000018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Standardized online teaching services, such as e-learning platforms offering courses or tutorials online.</w:t>
      </w:r>
    </w:p>
    <w:p w:rsidR="00000000" w:rsidDel="00000000" w:rsidP="00000000" w:rsidRDefault="00000000" w:rsidRPr="00000000" w14:paraId="0000018C">
      <w:pPr>
        <w:spacing w:after="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pStyle w:val="Heading2"/>
        <w:keepNext w:val="1"/>
        <w:keepLines w:val="1"/>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259" w:lineRule="auto"/>
        <w:ind w:left="360" w:right="0" w:hanging="270"/>
        <w:jc w:val="both"/>
        <w:rPr/>
      </w:pPr>
      <w:bookmarkStart w:colFirst="0" w:colLast="0" w:name="_heading=h.pvdnhsx0gugb" w:id="49"/>
      <w:bookmarkEnd w:id="49"/>
      <w:r w:rsidDel="00000000" w:rsidR="00000000" w:rsidRPr="00000000">
        <w:rPr>
          <w:sz w:val="27"/>
          <w:szCs w:val="27"/>
          <w:rtl w:val="0"/>
        </w:rPr>
        <w:t xml:space="preserve">Exclusion</w:t>
      </w:r>
      <w:r w:rsidDel="00000000" w:rsidR="00000000" w:rsidRPr="00000000">
        <w:rPr>
          <w:i w:val="0"/>
          <w:smallCaps w:val="0"/>
          <w:strike w:val="0"/>
          <w:color w:val="000000"/>
          <w:sz w:val="27"/>
          <w:szCs w:val="27"/>
          <w:u w:val="none"/>
          <w:shd w:fill="auto" w:val="clear"/>
          <w:vertAlign w:val="baseline"/>
          <w:rtl w:val="0"/>
        </w:rPr>
        <w:t xml:space="preserve"> for Royalties and Fees for Technical Services (Paragraph 7)</w:t>
      </w:r>
    </w:p>
    <w:p w:rsidR="00000000" w:rsidDel="00000000" w:rsidP="00000000" w:rsidRDefault="00000000" w:rsidRPr="00000000" w14:paraId="000001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provisions of Article 12B do not apply if the payments underlying the income qualify as royalties or fees for technical services. If the income from automated digital services is classified under these categories, it will be taxed under the specific provisions of </w:t>
      </w:r>
      <w:r w:rsidDel="00000000" w:rsidR="00000000" w:rsidRPr="00000000">
        <w:rPr>
          <w:rFonts w:ascii="Times New Roman" w:cs="Times New Roman" w:eastAsia="Times New Roman" w:hAnsi="Times New Roman"/>
          <w:b w:val="1"/>
          <w:sz w:val="24"/>
          <w:szCs w:val="24"/>
          <w:rtl w:val="0"/>
        </w:rPr>
        <w:t xml:space="preserve">Article 12 (Royalties)</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sz w:val="24"/>
          <w:szCs w:val="24"/>
          <w:rtl w:val="0"/>
        </w:rPr>
        <w:t xml:space="preserve">Article 12A (Fees for Technical Services)</w:t>
      </w:r>
      <w:r w:rsidDel="00000000" w:rsidR="00000000" w:rsidRPr="00000000">
        <w:rPr>
          <w:rFonts w:ascii="Times New Roman" w:cs="Times New Roman" w:eastAsia="Times New Roman" w:hAnsi="Times New Roman"/>
          <w:sz w:val="24"/>
          <w:szCs w:val="24"/>
          <w:rtl w:val="0"/>
        </w:rPr>
        <w:t xml:space="preserve">, rather than under Article 12B. This distinction helps ensure that payments classified as royalties or technical services follow the established rules for those categories.</w:t>
      </w:r>
    </w:p>
    <w:p w:rsidR="00000000" w:rsidDel="00000000" w:rsidP="00000000" w:rsidRDefault="00000000" w:rsidRPr="00000000" w14:paraId="0000018F">
      <w:pPr>
        <w:pStyle w:val="Heading2"/>
        <w:keepNext w:val="1"/>
        <w:keepLines w:val="1"/>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259" w:lineRule="auto"/>
        <w:ind w:left="360" w:right="0" w:hanging="270"/>
        <w:jc w:val="both"/>
        <w:rPr/>
      </w:pPr>
      <w:bookmarkStart w:colFirst="0" w:colLast="0" w:name="_heading=h.4sm2mn8e0yq7" w:id="50"/>
      <w:bookmarkEnd w:id="50"/>
      <w:r w:rsidDel="00000000" w:rsidR="00000000" w:rsidRPr="00000000">
        <w:rPr>
          <w:sz w:val="27"/>
          <w:szCs w:val="27"/>
          <w:rtl w:val="0"/>
        </w:rPr>
        <w:t xml:space="preserve">Exception</w:t>
      </w:r>
      <w:r w:rsidDel="00000000" w:rsidR="00000000" w:rsidRPr="00000000">
        <w:rPr>
          <w:i w:val="0"/>
          <w:smallCaps w:val="0"/>
          <w:strike w:val="0"/>
          <w:color w:val="000000"/>
          <w:sz w:val="27"/>
          <w:szCs w:val="27"/>
          <w:u w:val="none"/>
          <w:shd w:fill="auto" w:val="clear"/>
          <w:vertAlign w:val="baseline"/>
          <w:rtl w:val="0"/>
        </w:rPr>
        <w:t xml:space="preserve"> for Permanent Establishment or Fixed Base (Paragraph 8)</w:t>
      </w:r>
    </w:p>
    <w:p w:rsidR="00000000" w:rsidDel="00000000" w:rsidP="00000000" w:rsidRDefault="00000000" w:rsidRPr="00000000" w14:paraId="0000019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provisions of Article 12B will not apply if the beneficial owner of the income from automated digital services carries on business through a permanent establishment (PE) or a fixed base in the source state. In such cases, the income that is effectively connected with the permanent establishment or fixed base will be taxed under </w:t>
      </w:r>
      <w:r w:rsidDel="00000000" w:rsidR="00000000" w:rsidRPr="00000000">
        <w:rPr>
          <w:rFonts w:ascii="Times New Roman" w:cs="Times New Roman" w:eastAsia="Times New Roman" w:hAnsi="Times New Roman"/>
          <w:b w:val="1"/>
          <w:sz w:val="24"/>
          <w:szCs w:val="24"/>
          <w:rtl w:val="0"/>
        </w:rPr>
        <w:t xml:space="preserve">Article 7 (Business Profits)</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sz w:val="24"/>
          <w:szCs w:val="24"/>
          <w:rtl w:val="0"/>
        </w:rPr>
        <w:t xml:space="preserve">Article 14 (Independent Personal Services).</w:t>
      </w:r>
    </w:p>
    <w:p w:rsidR="00000000" w:rsidDel="00000000" w:rsidP="00000000" w:rsidRDefault="00000000" w:rsidRPr="00000000" w14:paraId="000001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exception ensures that income connected to a PE or fixed base is taxed according to the rules for business profits or independent personal services, which are more appropriate for businesses with physical presence in a state.</w:t>
      </w:r>
    </w:p>
    <w:p w:rsidR="00000000" w:rsidDel="00000000" w:rsidP="00000000" w:rsidRDefault="00000000" w:rsidRPr="00000000" w14:paraId="00000192">
      <w:pPr>
        <w:pStyle w:val="Heading2"/>
        <w:keepNext w:val="1"/>
        <w:keepLines w:val="1"/>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259" w:lineRule="auto"/>
        <w:ind w:left="360" w:right="0" w:hanging="270"/>
        <w:jc w:val="both"/>
        <w:rPr/>
      </w:pPr>
      <w:bookmarkStart w:colFirst="0" w:colLast="0" w:name="_heading=h.sf53mpl18hex" w:id="51"/>
      <w:bookmarkEnd w:id="51"/>
      <w:r w:rsidDel="00000000" w:rsidR="00000000" w:rsidRPr="00000000">
        <w:rPr>
          <w:sz w:val="27"/>
          <w:szCs w:val="27"/>
          <w:rtl w:val="0"/>
        </w:rPr>
        <w:t xml:space="preserve">Deeming</w:t>
      </w:r>
      <w:r w:rsidDel="00000000" w:rsidR="00000000" w:rsidRPr="00000000">
        <w:rPr>
          <w:i w:val="0"/>
          <w:smallCaps w:val="0"/>
          <w:strike w:val="0"/>
          <w:color w:val="000000"/>
          <w:sz w:val="27"/>
          <w:szCs w:val="27"/>
          <w:u w:val="none"/>
          <w:shd w:fill="auto" w:val="clear"/>
          <w:vertAlign w:val="baseline"/>
          <w:rtl w:val="0"/>
        </w:rPr>
        <w:t xml:space="preserve"> Income to Arise in a Contracting State (Paragraph 9)</w:t>
      </w:r>
    </w:p>
    <w:p w:rsidR="00000000" w:rsidDel="00000000" w:rsidP="00000000" w:rsidRDefault="00000000" w:rsidRPr="00000000" w14:paraId="000001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Income from automated digital services is deemed to arise in the contracting state if the payments are made by a resident of that state, or if the person making the payments has a permanent establishment or fixed base in the source state in relation to which the payments are incurred.</w:t>
      </w:r>
    </w:p>
    <w:p w:rsidR="00000000" w:rsidDel="00000000" w:rsidP="00000000" w:rsidRDefault="00000000" w:rsidRPr="00000000" w14:paraId="000001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provision clarifies that payments made by a resident of a state or by an entity with a permanent establishment or fixed base in a state will be subject to tax in the contracting state where the income arises.</w:t>
      </w:r>
    </w:p>
    <w:p w:rsidR="00000000" w:rsidDel="00000000" w:rsidP="00000000" w:rsidRDefault="00000000" w:rsidRPr="00000000" w14:paraId="00000195">
      <w:pPr>
        <w:pStyle w:val="Heading2"/>
        <w:keepNext w:val="1"/>
        <w:keepLines w:val="1"/>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259" w:lineRule="auto"/>
        <w:ind w:left="360" w:right="0" w:hanging="270"/>
        <w:jc w:val="both"/>
        <w:rPr/>
      </w:pPr>
      <w:bookmarkStart w:colFirst="0" w:colLast="0" w:name="_heading=h.b7ccwios7cxu" w:id="52"/>
      <w:bookmarkEnd w:id="52"/>
      <w:r w:rsidDel="00000000" w:rsidR="00000000" w:rsidRPr="00000000">
        <w:rPr>
          <w:sz w:val="27"/>
          <w:szCs w:val="27"/>
          <w:rtl w:val="0"/>
        </w:rPr>
        <w:t xml:space="preserve">Exclusion</w:t>
      </w:r>
      <w:r w:rsidDel="00000000" w:rsidR="00000000" w:rsidRPr="00000000">
        <w:rPr>
          <w:i w:val="0"/>
          <w:smallCaps w:val="0"/>
          <w:strike w:val="0"/>
          <w:color w:val="000000"/>
          <w:sz w:val="27"/>
          <w:szCs w:val="27"/>
          <w:u w:val="none"/>
          <w:shd w:fill="auto" w:val="clear"/>
          <w:vertAlign w:val="baseline"/>
          <w:rtl w:val="0"/>
        </w:rPr>
        <w:t xml:space="preserve"> of Payments Made by a Permanent Establishment or Fixed Base (Paragraph 10)</w:t>
      </w:r>
    </w:p>
    <w:p w:rsidR="00000000" w:rsidDel="00000000" w:rsidP="00000000" w:rsidRDefault="00000000" w:rsidRPr="00000000" w14:paraId="000001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payments for automated digital services are made by a resident of the source state who operates through a permanent establishment or fixed base in the other contracting state, the income will not be deemed to arise in the source state. This provision ensures that income which is effectively connected to a permanent establishment or fixed base is subject to taxation in the state where the establishment or base is located, rather than under the provisions of Article 12B.</w:t>
      </w:r>
    </w:p>
    <w:p w:rsidR="00000000" w:rsidDel="00000000" w:rsidP="00000000" w:rsidRDefault="00000000" w:rsidRPr="00000000" w14:paraId="00000197">
      <w:pPr>
        <w:pStyle w:val="Heading2"/>
        <w:keepNext w:val="1"/>
        <w:keepLines w:val="1"/>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259" w:lineRule="auto"/>
        <w:ind w:left="360" w:right="0" w:hanging="270"/>
        <w:jc w:val="both"/>
        <w:rPr/>
      </w:pPr>
      <w:bookmarkStart w:colFirst="0" w:colLast="0" w:name="_heading=h.ndrgrror7oza" w:id="53"/>
      <w:bookmarkEnd w:id="53"/>
      <w:r w:rsidDel="00000000" w:rsidR="00000000" w:rsidRPr="00000000">
        <w:rPr>
          <w:sz w:val="27"/>
          <w:szCs w:val="27"/>
          <w:rtl w:val="0"/>
        </w:rPr>
        <w:t xml:space="preserve">Special</w:t>
      </w:r>
      <w:r w:rsidDel="00000000" w:rsidR="00000000" w:rsidRPr="00000000">
        <w:rPr>
          <w:i w:val="0"/>
          <w:smallCaps w:val="0"/>
          <w:strike w:val="0"/>
          <w:color w:val="000000"/>
          <w:sz w:val="27"/>
          <w:szCs w:val="27"/>
          <w:u w:val="none"/>
          <w:shd w:fill="auto" w:val="clear"/>
          <w:vertAlign w:val="baseline"/>
          <w:rtl w:val="0"/>
        </w:rPr>
        <w:t xml:space="preserve"> Relationship and Transfer Pricing (Paragraph 11)</w:t>
      </w:r>
    </w:p>
    <w:p w:rsidR="00000000" w:rsidDel="00000000" w:rsidP="00000000" w:rsidRDefault="00000000" w:rsidRPr="00000000" w14:paraId="00000198">
      <w:pPr>
        <w:jc w:val="both"/>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sz w:val="24"/>
          <w:szCs w:val="24"/>
          <w:rtl w:val="0"/>
        </w:rPr>
        <w:t xml:space="preserve">If there is a special relationship between the payer and the beneficial owner, and the amount paid for the digital services exceeds the amount that would have been agreed upon at arm’s length, only the arm's length amount will be taxed under Article 12B. The excess portion of the payment will be taxed according to the laws of each contracting state, in line with the transfer pricing rules that ensure fair taxation based on market conditions.</w:t>
      </w:r>
      <w:r w:rsidDel="00000000" w:rsidR="00000000" w:rsidRPr="00000000">
        <w:br w:type="page"/>
      </w:r>
      <w:r w:rsidDel="00000000" w:rsidR="00000000" w:rsidRPr="00000000">
        <w:rPr>
          <w:rtl w:val="0"/>
        </w:rPr>
      </w:r>
    </w:p>
    <w:p w:rsidR="00000000" w:rsidDel="00000000" w:rsidP="00000000" w:rsidRDefault="00000000" w:rsidRPr="00000000" w14:paraId="00000199">
      <w:pPr>
        <w:pStyle w:val="Heading1"/>
        <w:rPr/>
      </w:pPr>
      <w:bookmarkStart w:colFirst="0" w:colLast="0" w:name="_heading=h.1baon6m" w:id="54"/>
      <w:bookmarkEnd w:id="54"/>
      <w:r w:rsidDel="00000000" w:rsidR="00000000" w:rsidRPr="00000000">
        <w:rPr>
          <w:rtl w:val="0"/>
        </w:rPr>
        <w:t xml:space="preserve">K.7. CAPITAL GAINS – ARTICLE 13, OECD MTC AND UN MDTC</w:t>
      </w:r>
    </w:p>
    <w:p w:rsidR="00000000" w:rsidDel="00000000" w:rsidP="00000000" w:rsidRDefault="00000000" w:rsidRPr="00000000" w14:paraId="0000019A">
      <w:pPr>
        <w:pStyle w:val="Heading2"/>
        <w:numPr>
          <w:ilvl w:val="0"/>
          <w:numId w:val="25"/>
        </w:numPr>
        <w:spacing w:before="200" w:lineRule="auto"/>
        <w:ind w:left="630" w:hanging="360"/>
        <w:jc w:val="both"/>
        <w:rPr/>
      </w:pPr>
      <w:bookmarkStart w:colFirst="0" w:colLast="0" w:name="_heading=h.3vac5uf" w:id="55"/>
      <w:bookmarkEnd w:id="55"/>
      <w:r w:rsidDel="00000000" w:rsidR="00000000" w:rsidRPr="00000000">
        <w:rPr>
          <w:rtl w:val="0"/>
        </w:rPr>
        <w:t xml:space="preserve">Background: Purpose and Structure of Article 13</w:t>
      </w:r>
    </w:p>
    <w:p w:rsidR="00000000" w:rsidDel="00000000" w:rsidP="00000000" w:rsidRDefault="00000000" w:rsidRPr="00000000" w14:paraId="000001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13 of the OECD Model Tax Convention (MTC) primarily deals with the taxation of capital gains. The article aims to allocate taxing rights between the country of residence and the country of source, balancing the need to prevent double taxation while ensuring that income is appropriately taxed. The structure of Article 13 is as follows:</w:t>
      </w:r>
    </w:p>
    <w:p w:rsidR="00000000" w:rsidDel="00000000" w:rsidP="00000000" w:rsidRDefault="00000000" w:rsidRPr="00000000" w14:paraId="0000019C">
      <w:pPr>
        <w:numPr>
          <w:ilvl w:val="0"/>
          <w:numId w:val="5"/>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Paragraph 1</w:t>
      </w:r>
      <w:r w:rsidDel="00000000" w:rsidR="00000000" w:rsidRPr="00000000">
        <w:rPr>
          <w:rFonts w:ascii="Times New Roman" w:cs="Times New Roman" w:eastAsia="Times New Roman" w:hAnsi="Times New Roman"/>
          <w:sz w:val="24"/>
          <w:szCs w:val="24"/>
          <w:rtl w:val="0"/>
        </w:rPr>
        <w:t xml:space="preserve"> addresses gains derived from the alienation of immovable property.</w:t>
      </w:r>
    </w:p>
    <w:p w:rsidR="00000000" w:rsidDel="00000000" w:rsidP="00000000" w:rsidRDefault="00000000" w:rsidRPr="00000000" w14:paraId="0000019D">
      <w:pPr>
        <w:numPr>
          <w:ilvl w:val="0"/>
          <w:numId w:val="5"/>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Paragraph 2</w:t>
      </w:r>
      <w:r w:rsidDel="00000000" w:rsidR="00000000" w:rsidRPr="00000000">
        <w:rPr>
          <w:rFonts w:ascii="Times New Roman" w:cs="Times New Roman" w:eastAsia="Times New Roman" w:hAnsi="Times New Roman"/>
          <w:sz w:val="24"/>
          <w:szCs w:val="24"/>
          <w:rtl w:val="0"/>
        </w:rPr>
        <w:t xml:space="preserve"> covers gains related to the alienation of movable property associated with a permanent establishment (PE).</w:t>
      </w:r>
    </w:p>
    <w:p w:rsidR="00000000" w:rsidDel="00000000" w:rsidP="00000000" w:rsidRDefault="00000000" w:rsidRPr="00000000" w14:paraId="0000019E">
      <w:pPr>
        <w:numPr>
          <w:ilvl w:val="0"/>
          <w:numId w:val="5"/>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Paragraph 3</w:t>
      </w:r>
      <w:r w:rsidDel="00000000" w:rsidR="00000000" w:rsidRPr="00000000">
        <w:rPr>
          <w:rFonts w:ascii="Times New Roman" w:cs="Times New Roman" w:eastAsia="Times New Roman" w:hAnsi="Times New Roman"/>
          <w:sz w:val="24"/>
          <w:szCs w:val="24"/>
          <w:rtl w:val="0"/>
        </w:rPr>
        <w:t xml:space="preserve"> deals with gains from the alienation of ships, aircraft, and other transportation assets.</w:t>
      </w:r>
    </w:p>
    <w:p w:rsidR="00000000" w:rsidDel="00000000" w:rsidP="00000000" w:rsidRDefault="00000000" w:rsidRPr="00000000" w14:paraId="0000019F">
      <w:pPr>
        <w:numPr>
          <w:ilvl w:val="0"/>
          <w:numId w:val="5"/>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Paragraph 4</w:t>
      </w:r>
      <w:r w:rsidDel="00000000" w:rsidR="00000000" w:rsidRPr="00000000">
        <w:rPr>
          <w:rFonts w:ascii="Times New Roman" w:cs="Times New Roman" w:eastAsia="Times New Roman" w:hAnsi="Times New Roman"/>
          <w:sz w:val="24"/>
          <w:szCs w:val="24"/>
          <w:rtl w:val="0"/>
        </w:rPr>
        <w:t xml:space="preserve"> pertains to gains from the alienation of shares in companies, the assets of which consist primarily of immovable property.</w:t>
      </w:r>
    </w:p>
    <w:p w:rsidR="00000000" w:rsidDel="00000000" w:rsidP="00000000" w:rsidRDefault="00000000" w:rsidRPr="00000000" w14:paraId="000001A0">
      <w:pPr>
        <w:numPr>
          <w:ilvl w:val="0"/>
          <w:numId w:val="5"/>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Paragraph 5</w:t>
      </w:r>
      <w:r w:rsidDel="00000000" w:rsidR="00000000" w:rsidRPr="00000000">
        <w:rPr>
          <w:rFonts w:ascii="Times New Roman" w:cs="Times New Roman" w:eastAsia="Times New Roman" w:hAnsi="Times New Roman"/>
          <w:sz w:val="24"/>
          <w:szCs w:val="24"/>
          <w:rtl w:val="0"/>
        </w:rPr>
        <w:t xml:space="preserve"> serves as a catch-all clause, covering gains not specifically mentioned in the preceding paragraphs.</w:t>
      </w:r>
    </w:p>
    <w:p w:rsidR="00000000" w:rsidDel="00000000" w:rsidP="00000000" w:rsidRDefault="00000000" w:rsidRPr="00000000" w14:paraId="000001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interaction between Article 13 and other articles is relevant for a comprehensive understanding of capital gains taxation:</w:t>
      </w:r>
    </w:p>
    <w:p w:rsidR="00000000" w:rsidDel="00000000" w:rsidP="00000000" w:rsidRDefault="00000000" w:rsidRPr="00000000" w14:paraId="000001A2">
      <w:pPr>
        <w:numPr>
          <w:ilvl w:val="0"/>
          <w:numId w:val="9"/>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Article 7</w:t>
      </w:r>
      <w:r w:rsidDel="00000000" w:rsidR="00000000" w:rsidRPr="00000000">
        <w:rPr>
          <w:rFonts w:ascii="Times New Roman" w:cs="Times New Roman" w:eastAsia="Times New Roman" w:hAnsi="Times New Roman"/>
          <w:sz w:val="24"/>
          <w:szCs w:val="24"/>
          <w:rtl w:val="0"/>
        </w:rPr>
        <w:t xml:space="preserve">: Governs the taxation of business profits, which can include capital gains from the alienation of business property when a PE is involved.</w:t>
      </w:r>
    </w:p>
    <w:p w:rsidR="00000000" w:rsidDel="00000000" w:rsidP="00000000" w:rsidRDefault="00000000" w:rsidRPr="00000000" w14:paraId="000001A3">
      <w:pPr>
        <w:numPr>
          <w:ilvl w:val="0"/>
          <w:numId w:val="9"/>
        </w:numPr>
        <w:spacing w:after="160" w:afterAutospacing="0"/>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Article 21</w:t>
      </w:r>
      <w:r w:rsidDel="00000000" w:rsidR="00000000" w:rsidRPr="00000000">
        <w:rPr>
          <w:rFonts w:ascii="Times New Roman" w:cs="Times New Roman" w:eastAsia="Times New Roman" w:hAnsi="Times New Roman"/>
          <w:sz w:val="24"/>
          <w:szCs w:val="24"/>
          <w:rtl w:val="0"/>
        </w:rPr>
        <w:t xml:space="preserve">: Acts as a residual clause, ensuring that any income not covered under other articles, including certain capital gains, is taxed appropriately, typically by the state of residence.</w:t>
      </w:r>
    </w:p>
    <w:p w:rsidR="00000000" w:rsidDel="00000000" w:rsidP="00000000" w:rsidRDefault="00000000" w:rsidRPr="00000000" w14:paraId="000001A4">
      <w:pPr>
        <w:pStyle w:val="Heading2"/>
        <w:keepNext w:val="1"/>
        <w:keepLines w:val="1"/>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160" w:beforeAutospacing="0" w:line="259" w:lineRule="auto"/>
        <w:ind w:left="630" w:right="0" w:hanging="360"/>
        <w:jc w:val="both"/>
        <w:rPr/>
      </w:pPr>
      <w:bookmarkStart w:colFirst="0" w:colLast="0" w:name="_heading=h.ggyka68rggta" w:id="56"/>
      <w:bookmarkEnd w:id="56"/>
      <w:r w:rsidDel="00000000" w:rsidR="00000000" w:rsidRPr="00000000">
        <w:rPr>
          <w:rtl w:val="0"/>
        </w:rPr>
        <w:t xml:space="preserve">Article 13(1): Immovable Property - Situs Principle</w:t>
      </w:r>
    </w:p>
    <w:p w:rsidR="00000000" w:rsidDel="00000000" w:rsidP="00000000" w:rsidRDefault="00000000" w:rsidRPr="00000000" w14:paraId="000001A5">
      <w:pPr>
        <w:numPr>
          <w:ilvl w:val="1"/>
          <w:numId w:val="25"/>
        </w:numPr>
        <w:spacing w:before="200" w:lineRule="auto"/>
        <w:ind w:left="81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Immovable Property: </w:t>
      </w:r>
    </w:p>
    <w:p w:rsidR="00000000" w:rsidDel="00000000" w:rsidP="00000000" w:rsidRDefault="00000000" w:rsidRPr="00000000" w14:paraId="000001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13(1) stipulates that gains derived from the alienation of immovable property can be taxed in the state where the property is situated. This is known as the </w:t>
      </w:r>
      <w:r w:rsidDel="00000000" w:rsidR="00000000" w:rsidRPr="00000000">
        <w:rPr>
          <w:rFonts w:ascii="Times New Roman" w:cs="Times New Roman" w:eastAsia="Times New Roman" w:hAnsi="Times New Roman"/>
          <w:b w:val="1"/>
          <w:i w:val="1"/>
          <w:sz w:val="24"/>
          <w:szCs w:val="24"/>
          <w:rtl w:val="0"/>
        </w:rPr>
        <w:t xml:space="preserve">situs principle</w:t>
      </w:r>
      <w:r w:rsidDel="00000000" w:rsidR="00000000" w:rsidRPr="00000000">
        <w:rPr>
          <w:rFonts w:ascii="Times New Roman" w:cs="Times New Roman" w:eastAsia="Times New Roman" w:hAnsi="Times New Roman"/>
          <w:sz w:val="24"/>
          <w:szCs w:val="24"/>
          <w:rtl w:val="0"/>
        </w:rPr>
        <w:t xml:space="preserve">, which is based on the idea that the state where the immovable property is located has the closest connection to the asset and should thus have the primary right to tax the gains arising from its sale.</w:t>
      </w:r>
    </w:p>
    <w:p w:rsidR="00000000" w:rsidDel="00000000" w:rsidP="00000000" w:rsidRDefault="00000000" w:rsidRPr="00000000" w14:paraId="000001A7">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160" w:before="20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Shares in Immovable Properties: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13(4) extends this principle to situations where the alienation involves shares in a company whose assets consist primarily of immovable property. This extension ensures that the gains from the sale of shares in such companies are taxed similarly to the direct sale of the immovable property, preventing tax avoidance through the indirect sale of real estate.</w:t>
      </w:r>
    </w:p>
    <w:p w:rsidR="00000000" w:rsidDel="00000000" w:rsidP="00000000" w:rsidRDefault="00000000" w:rsidRPr="00000000" w14:paraId="000001A9">
      <w:pPr>
        <w:pStyle w:val="Heading2"/>
        <w:keepNext w:val="1"/>
        <w:keepLines w:val="1"/>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200" w:line="259" w:lineRule="auto"/>
        <w:ind w:left="630" w:right="0" w:hanging="360"/>
        <w:jc w:val="both"/>
        <w:rPr/>
      </w:pPr>
      <w:bookmarkStart w:colFirst="0" w:colLast="0" w:name="_heading=h.yoso0g41ieur" w:id="57"/>
      <w:bookmarkEnd w:id="57"/>
      <w:r w:rsidDel="00000000" w:rsidR="00000000" w:rsidRPr="00000000">
        <w:rPr>
          <w:sz w:val="27"/>
          <w:szCs w:val="27"/>
          <w:rtl w:val="0"/>
        </w:rPr>
        <w:t xml:space="preserve">Article</w:t>
      </w:r>
      <w:r w:rsidDel="00000000" w:rsidR="00000000" w:rsidRPr="00000000">
        <w:rPr>
          <w:rtl w:val="0"/>
        </w:rPr>
        <w:t xml:space="preserve"> 13(2): Connected with a PE - Movable Business Property; PE Principle</w:t>
      </w:r>
    </w:p>
    <w:p w:rsidR="00000000" w:rsidDel="00000000" w:rsidP="00000000" w:rsidRDefault="00000000" w:rsidRPr="00000000" w14:paraId="000001AA">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160" w:before="20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Connected with a PE: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13(2) provides that gains from the alienation of movable property forming part of the business property of a PE can be taxed in the state where the PE is located. This reflects the </w:t>
      </w:r>
      <w:r w:rsidDel="00000000" w:rsidR="00000000" w:rsidRPr="00000000">
        <w:rPr>
          <w:rFonts w:ascii="Times New Roman" w:cs="Times New Roman" w:eastAsia="Times New Roman" w:hAnsi="Times New Roman"/>
          <w:b w:val="1"/>
          <w:i w:val="1"/>
          <w:sz w:val="24"/>
          <w:szCs w:val="24"/>
          <w:rtl w:val="0"/>
        </w:rPr>
        <w:t xml:space="preserve">PE principle</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which asserts that the state where the PE is situated has the right to tax profits, including capital gains, attributable to that PE.</w:t>
      </w:r>
    </w:p>
    <w:p w:rsidR="00000000" w:rsidDel="00000000" w:rsidP="00000000" w:rsidRDefault="00000000" w:rsidRPr="00000000" w14:paraId="000001AC">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160" w:before="20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Movable Business Property: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provision typically covers gains from the sale of tangible assets like machinery and inventory, but it can also apply to intangible assets if they are considered part of the PE’s business property.</w:t>
      </w:r>
    </w:p>
    <w:p w:rsidR="00000000" w:rsidDel="00000000" w:rsidP="00000000" w:rsidRDefault="00000000" w:rsidRPr="00000000" w14:paraId="000001AE">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160" w:before="20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Alienation: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 "alienation" in this context is broad, encompassing various forms of disposal, such as sale, exchange, or gift. The key factor is that the asset must be connected with the PE, thus justifying the source country’s right to tax the gain.</w:t>
      </w:r>
    </w:p>
    <w:p w:rsidR="00000000" w:rsidDel="00000000" w:rsidP="00000000" w:rsidRDefault="00000000" w:rsidRPr="00000000" w14:paraId="000001B0">
      <w:pPr>
        <w:pStyle w:val="Heading2"/>
        <w:keepNext w:val="1"/>
        <w:keepLines w:val="1"/>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200" w:line="259" w:lineRule="auto"/>
        <w:ind w:left="630" w:right="0" w:hanging="360"/>
        <w:jc w:val="both"/>
        <w:rPr/>
      </w:pPr>
      <w:bookmarkStart w:colFirst="0" w:colLast="0" w:name="_heading=h.n32xju30kyw5" w:id="58"/>
      <w:bookmarkEnd w:id="58"/>
      <w:r w:rsidDel="00000000" w:rsidR="00000000" w:rsidRPr="00000000">
        <w:rPr>
          <w:rtl w:val="0"/>
        </w:rPr>
        <w:t xml:space="preserve">Article 13(3): Consistency with Article 8 – POEM</w:t>
      </w:r>
    </w:p>
    <w:p w:rsidR="00000000" w:rsidDel="00000000" w:rsidP="00000000" w:rsidRDefault="00000000" w:rsidRPr="00000000" w14:paraId="000001B1">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160" w:before="20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Consistency with Article 8:</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13(3) specifically deals with gains from the alienation of ships, aircraft, or boats operated in international traffic, and movable property pertaining to the operation of such assets. According to this provision, such gains are taxed only in the state of the enterprise's effective management (POEM), which aligns with Article 8 of the OECD MTC.</w:t>
      </w:r>
    </w:p>
    <w:p w:rsidR="00000000" w:rsidDel="00000000" w:rsidP="00000000" w:rsidRDefault="00000000" w:rsidRPr="00000000" w14:paraId="000001B3">
      <w:pPr>
        <w:pStyle w:val="Heading2"/>
        <w:keepNext w:val="1"/>
        <w:keepLines w:val="1"/>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200" w:line="259" w:lineRule="auto"/>
        <w:ind w:left="630" w:right="0" w:hanging="360"/>
        <w:jc w:val="both"/>
        <w:rPr/>
      </w:pPr>
      <w:bookmarkStart w:colFirst="0" w:colLast="0" w:name="_heading=h.vpiz283dgu90" w:id="59"/>
      <w:bookmarkEnd w:id="59"/>
      <w:r w:rsidDel="00000000" w:rsidR="00000000" w:rsidRPr="00000000">
        <w:rPr>
          <w:rtl w:val="0"/>
        </w:rPr>
        <w:t xml:space="preserve">Article 13(4): Shares in Immovable Property Company - Situs Principle; 50% Threshold</w:t>
      </w:r>
    </w:p>
    <w:p w:rsidR="00000000" w:rsidDel="00000000" w:rsidP="00000000" w:rsidRDefault="00000000" w:rsidRPr="00000000" w14:paraId="000001B4">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160" w:before="20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Shares in Immovable Property Company: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mentioned earlier, Article 13(4) addresses the taxation of gains from the alienation of shares in a company whose assets consist primarily of immovable property. This is to ensure that indirect sales of immovable property through the sale of company shares do not escape taxation in the country where the property is situated.</w:t>
      </w:r>
    </w:p>
    <w:p w:rsidR="00000000" w:rsidDel="00000000" w:rsidP="00000000" w:rsidRDefault="00000000" w:rsidRPr="00000000" w14:paraId="000001B6">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160" w:before="20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50% Threshold: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article typically applies when the value of immovable property constitutes more than 50% of the value of the company’s assets. This threshold ensures that only companies heavily invested in immovable property fall within the scope of this provision, thereby focusing on entities where the sale of shares effectively represents a sale of the property itself.</w:t>
      </w:r>
    </w:p>
    <w:p w:rsidR="00000000" w:rsidDel="00000000" w:rsidP="00000000" w:rsidRDefault="00000000" w:rsidRPr="00000000" w14:paraId="000001B8">
      <w:pPr>
        <w:pStyle w:val="Heading2"/>
        <w:keepNext w:val="1"/>
        <w:keepLines w:val="1"/>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200" w:line="259" w:lineRule="auto"/>
        <w:ind w:left="630" w:right="0" w:hanging="360"/>
        <w:jc w:val="both"/>
        <w:rPr/>
      </w:pPr>
      <w:bookmarkStart w:colFirst="0" w:colLast="0" w:name="_heading=h.mqpyyg35vh94" w:id="60"/>
      <w:bookmarkEnd w:id="60"/>
      <w:r w:rsidDel="00000000" w:rsidR="00000000" w:rsidRPr="00000000">
        <w:rPr>
          <w:sz w:val="27"/>
          <w:szCs w:val="27"/>
          <w:rtl w:val="0"/>
        </w:rPr>
        <w:t xml:space="preserve">Article</w:t>
      </w:r>
      <w:r w:rsidDel="00000000" w:rsidR="00000000" w:rsidRPr="00000000">
        <w:rPr>
          <w:rtl w:val="0"/>
        </w:rPr>
        <w:t xml:space="preserve"> 13(5): Catch-All Clause</w:t>
      </w:r>
    </w:p>
    <w:p w:rsidR="00000000" w:rsidDel="00000000" w:rsidP="00000000" w:rsidRDefault="00000000" w:rsidRPr="00000000" w14:paraId="000001B9">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160" w:before="20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Catch-All Clause: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13(5) serves as a residual provision, capturing gains from the alienation of any property not covered by the earlier paragraphs. The clause typically grants taxing rights to the state of residence, reflecting the general principle that the residence state should tax income not explicitly sourced to another jurisdiction. This catch-all clause ensures that all potential capital gains scenarios are addressed, minimizing the risk of income escaping taxation altogether</w:t>
      </w:r>
    </w:p>
    <w:p w:rsidR="00000000" w:rsidDel="00000000" w:rsidP="00000000" w:rsidRDefault="00000000" w:rsidRPr="00000000" w14:paraId="000001BB">
      <w:pPr>
        <w:pStyle w:val="Heading2"/>
        <w:keepNext w:val="1"/>
        <w:keepLines w:val="1"/>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200" w:line="259" w:lineRule="auto"/>
        <w:ind w:left="630" w:right="0" w:hanging="360"/>
        <w:jc w:val="both"/>
        <w:rPr/>
      </w:pPr>
      <w:bookmarkStart w:colFirst="0" w:colLast="0" w:name="_heading=h.1i10k4by8ops" w:id="61"/>
      <w:bookmarkEnd w:id="61"/>
      <w:r w:rsidDel="00000000" w:rsidR="00000000" w:rsidRPr="00000000">
        <w:rPr>
          <w:sz w:val="27"/>
          <w:szCs w:val="27"/>
          <w:rtl w:val="0"/>
        </w:rPr>
        <w:t xml:space="preserve">Comparison</w:t>
      </w:r>
      <w:r w:rsidDel="00000000" w:rsidR="00000000" w:rsidRPr="00000000">
        <w:rPr>
          <w:rtl w:val="0"/>
        </w:rPr>
        <w:t xml:space="preserve"> of Article 13 of the OECD MTC (2017) and UN MTC (2021)</w:t>
      </w:r>
      <w:r w:rsidDel="00000000" w:rsidR="00000000" w:rsidRPr="00000000">
        <w:rPr>
          <w:rtl w:val="0"/>
        </w:rPr>
      </w:r>
    </w:p>
    <w:p w:rsidR="00000000" w:rsidDel="00000000" w:rsidP="00000000" w:rsidRDefault="00000000" w:rsidRPr="00000000" w14:paraId="000001BC">
      <w:pPr>
        <w:numPr>
          <w:ilvl w:val="1"/>
          <w:numId w:val="25"/>
        </w:numPr>
        <w:spacing w:before="200" w:lineRule="auto"/>
        <w:ind w:left="81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Paragraph 2:</w:t>
      </w:r>
    </w:p>
    <w:p w:rsidR="00000000" w:rsidDel="00000000" w:rsidP="00000000" w:rsidRDefault="00000000" w:rsidRPr="00000000" w14:paraId="000001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both conventions allow for taxation in the Contracting State where the permanent establishment is located, the UN MTC introduces a broader scope by including not just movable property related to a permanent establishment, but also property tied to a fixed base available for independent personal services. This addition in the UN MTC expands the types of property that may be taxed in the State where the fixed base or permanent establishment is located, unlike the OECD MTC, which does not include the fixed base provision for personal services.</w:t>
      </w:r>
    </w:p>
    <w:p w:rsidR="00000000" w:rsidDel="00000000" w:rsidP="00000000" w:rsidRDefault="00000000" w:rsidRPr="00000000" w14:paraId="000001BE">
      <w:pPr>
        <w:numPr>
          <w:ilvl w:val="1"/>
          <w:numId w:val="25"/>
        </w:numPr>
        <w:spacing w:before="200" w:lineRule="auto"/>
        <w:ind w:left="81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Paragraph 5:</w:t>
      </w:r>
    </w:p>
    <w:p w:rsidR="00000000" w:rsidDel="00000000" w:rsidP="00000000" w:rsidRDefault="00000000" w:rsidRPr="00000000" w14:paraId="000001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conventions are similar, with the UN MTC adding a provision for the percentage of capital in the company or entity to be established through bilateral negotiations. This allows for greater flexibility in the UN MTC, as it leaves the percentage open for negotiation, while the OECD MTC typically sets the percentage at 25% or other predetermined values.</w:t>
      </w:r>
    </w:p>
    <w:p w:rsidR="00000000" w:rsidDel="00000000" w:rsidP="00000000" w:rsidRDefault="00000000" w:rsidRPr="00000000" w14:paraId="000001C0">
      <w:pPr>
        <w:numPr>
          <w:ilvl w:val="1"/>
          <w:numId w:val="25"/>
        </w:numPr>
        <w:spacing w:before="200" w:lineRule="auto"/>
        <w:ind w:left="81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Paragraph 6:</w:t>
      </w:r>
    </w:p>
    <w:p w:rsidR="00000000" w:rsidDel="00000000" w:rsidP="00000000" w:rsidRDefault="00000000" w:rsidRPr="00000000" w14:paraId="000001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OECD MTC does not contain a provision corresponding to this paragraph in the UN MTC. The UN MTC includes a specific provision for gains derived from the alienation of a right to use natural resources in the other Contracting State, which may be taxed in that other State.</w:t>
      </w:r>
    </w:p>
    <w:p w:rsidR="00000000" w:rsidDel="00000000" w:rsidP="00000000" w:rsidRDefault="00000000" w:rsidRPr="00000000" w14:paraId="000001C2">
      <w:pPr>
        <w:numPr>
          <w:ilvl w:val="1"/>
          <w:numId w:val="25"/>
        </w:numPr>
        <w:spacing w:before="200" w:lineRule="auto"/>
        <w:ind w:left="81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Paragraph 7:</w:t>
      </w:r>
    </w:p>
    <w:p w:rsidR="00000000" w:rsidDel="00000000" w:rsidP="00000000" w:rsidRDefault="00000000" w:rsidRPr="00000000" w14:paraId="000001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 MTC contains a detailed provision that extends the taxation of gains from the alienation of shares or comparable interests, where the alienator has held a specified percentage of the shares, and the shares derive their value from certain types of property. The OECD MTC does not include a similar detailed provision. This paragraph in the UN MTC outlines more stringent conditions for taxing these types of gains, whereas the OECD MTC does not expand the criteria beyond the holding percentage and the immovable property value condition.</w:t>
      </w:r>
    </w:p>
    <w:sectPr>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4">
    <w:pPr>
      <w:pBdr>
        <w:top w:color="d9d9d9" w:space="1" w:sz="4" w:val="single"/>
        <w:left w:space="0" w:sz="0" w:val="nil"/>
        <w:bottom w:space="0" w:sz="0" w:val="nil"/>
        <w:right w:space="0" w:sz="0" w:val="nil"/>
        <w:between w:space="0" w:sz="0" w:val="nil"/>
      </w:pBdr>
      <w:tabs>
        <w:tab w:val="center" w:leader="none" w:pos="4513"/>
        <w:tab w:val="right" w:leader="none" w:pos="9026"/>
      </w:tabs>
      <w:spacing w:after="0" w:line="240" w:lineRule="auto"/>
      <w:ind w:left="4127" w:firstLine="3793"/>
      <w:rPr>
        <w:b w:val="1"/>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b w:val="1"/>
        <w:color w:val="000000"/>
        <w:rtl w:val="0"/>
      </w:rPr>
      <w:t xml:space="preserve"> | </w:t>
    </w:r>
    <w:r w:rsidDel="00000000" w:rsidR="00000000" w:rsidRPr="00000000">
      <w:rPr>
        <w:color w:val="7f7f7f"/>
        <w:rtl w:val="0"/>
      </w:rPr>
      <w:t xml:space="preserve">Page</w:t>
    </w:r>
    <w:r w:rsidDel="00000000" w:rsidR="00000000" w:rsidRPr="00000000">
      <w:rPr>
        <w:rtl w:val="0"/>
      </w:rPr>
    </w:r>
  </w:p>
  <w:p w:rsidR="00000000" w:rsidDel="00000000" w:rsidP="00000000" w:rsidRDefault="00000000" w:rsidRPr="00000000" w14:paraId="000001C5">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630" w:hanging="360"/>
      </w:pPr>
      <w:rPr>
        <w:u w:val="none"/>
      </w:rPr>
    </w:lvl>
    <w:lvl w:ilvl="1">
      <w:start w:val="1"/>
      <w:numFmt w:val="decimal"/>
      <w:lvlText w:val="%1.%2."/>
      <w:lvlJc w:val="right"/>
      <w:pPr>
        <w:ind w:left="81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360" w:hanging="360"/>
      </w:pPr>
      <w:rPr/>
    </w:lvl>
    <w:lvl w:ilvl="1">
      <w:start w:val="1"/>
      <w:numFmt w:val="bullet"/>
      <w:lvlText w:val="○"/>
      <w:lvlJc w:val="left"/>
      <w:pPr>
        <w:ind w:left="792" w:hanging="432"/>
      </w:pPr>
      <w:rPr/>
    </w:lvl>
    <w:lvl w:ilvl="2">
      <w:start w:val="1"/>
      <w:numFmt w:val="bullet"/>
      <w:lvlText w:val="■"/>
      <w:lvlJc w:val="left"/>
      <w:pPr>
        <w:ind w:left="1224" w:hanging="504"/>
      </w:pPr>
      <w:rPr/>
    </w:lvl>
    <w:lvl w:ilvl="3">
      <w:start w:val="1"/>
      <w:numFmt w:val="bullet"/>
      <w:lvlText w:val="●"/>
      <w:lvlJc w:val="left"/>
      <w:pPr>
        <w:ind w:left="1728" w:hanging="647.9999999999998"/>
      </w:pPr>
      <w:rPr/>
    </w:lvl>
    <w:lvl w:ilvl="4">
      <w:start w:val="1"/>
      <w:numFmt w:val="bullet"/>
      <w:lvlText w:val="○"/>
      <w:lvlJc w:val="left"/>
      <w:pPr>
        <w:ind w:left="2232" w:hanging="792"/>
      </w:pPr>
      <w:rPr/>
    </w:lvl>
    <w:lvl w:ilvl="5">
      <w:start w:val="1"/>
      <w:numFmt w:val="bullet"/>
      <w:lvlText w:val="■"/>
      <w:lvlJc w:val="left"/>
      <w:pPr>
        <w:ind w:left="2736" w:hanging="935.9999999999998"/>
      </w:pPr>
      <w:rPr/>
    </w:lvl>
    <w:lvl w:ilvl="6">
      <w:start w:val="1"/>
      <w:numFmt w:val="bullet"/>
      <w:lvlText w:val="●"/>
      <w:lvlJc w:val="left"/>
      <w:pPr>
        <w:ind w:left="3240" w:hanging="1080"/>
      </w:pPr>
      <w:rPr/>
    </w:lvl>
    <w:lvl w:ilvl="7">
      <w:start w:val="1"/>
      <w:numFmt w:val="bullet"/>
      <w:lvlText w:val="○"/>
      <w:lvlJc w:val="left"/>
      <w:pPr>
        <w:ind w:left="3744" w:hanging="1224.0000000000005"/>
      </w:pPr>
      <w:rPr/>
    </w:lvl>
    <w:lvl w:ilvl="8">
      <w:start w:val="1"/>
      <w:numFmt w:val="bullet"/>
      <w:lvlText w:val="■"/>
      <w:lvlJc w:val="left"/>
      <w:pPr>
        <w:ind w:left="4320" w:hanging="144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450" w:hanging="360"/>
      </w:pPr>
      <w:rPr/>
    </w:lvl>
    <w:lvl w:ilvl="1">
      <w:start w:val="1"/>
      <w:numFmt w:val="decimal"/>
      <w:lvlText w:val="%1.%2."/>
      <w:lvlJc w:val="left"/>
      <w:pPr>
        <w:ind w:left="450" w:hanging="435"/>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4">
    <w:lvl w:ilvl="0">
      <w:start w:val="1"/>
      <w:numFmt w:val="decimal"/>
      <w:lvlText w:val="%1."/>
      <w:lvlJc w:val="right"/>
      <w:pPr>
        <w:ind w:left="630" w:hanging="360"/>
      </w:pPr>
      <w:rPr/>
    </w:lvl>
    <w:lvl w:ilvl="1">
      <w:start w:val="1"/>
      <w:numFmt w:val="decimal"/>
      <w:lvlText w:val="%1.%2."/>
      <w:lvlJc w:val="right"/>
      <w:pPr>
        <w:ind w:left="810" w:hanging="360"/>
      </w:pPr>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decimal"/>
      <w:lvlText w:val="%1."/>
      <w:lvlJc w:val="right"/>
      <w:pPr>
        <w:ind w:left="360" w:hanging="360"/>
      </w:pPr>
      <w:rPr/>
    </w:lvl>
    <w:lvl w:ilvl="1">
      <w:start w:val="1"/>
      <w:numFmt w:val="decimal"/>
      <w:lvlText w:val="%1.%2."/>
      <w:lvlJc w:val="right"/>
      <w:pPr>
        <w:ind w:left="720" w:hanging="360"/>
      </w:pPr>
      <w:rPr>
        <w:rFonts w:ascii="Arial" w:cs="Arial" w:eastAsia="Arial" w:hAnsi="Arial"/>
        <w:b w:val="1"/>
        <w:sz w:val="24"/>
        <w:szCs w:val="24"/>
      </w:rPr>
    </w:lvl>
    <w:lvl w:ilvl="2">
      <w:start w:val="1"/>
      <w:numFmt w:val="decimal"/>
      <w:lvlText w:val="%1.%2.%3."/>
      <w:lvlJc w:val="right"/>
      <w:pPr>
        <w:ind w:left="720" w:hanging="180"/>
      </w:pPr>
      <w:rPr/>
    </w:lvl>
    <w:lvl w:ilvl="3">
      <w:start w:val="1"/>
      <w:numFmt w:val="decimal"/>
      <w:lvlText w:val="%1.%2.%3.%4."/>
      <w:lvlJc w:val="right"/>
      <w:pPr>
        <w:ind w:left="2520" w:hanging="360"/>
      </w:pPr>
      <w:rPr/>
    </w:lvl>
    <w:lvl w:ilvl="4">
      <w:start w:val="1"/>
      <w:numFmt w:val="decimal"/>
      <w:lvlText w:val="%1.%2.%3.%4.%5."/>
      <w:lvlJc w:val="right"/>
      <w:pPr>
        <w:ind w:left="3240" w:hanging="360"/>
      </w:pPr>
      <w:rPr/>
    </w:lvl>
    <w:lvl w:ilvl="5">
      <w:start w:val="1"/>
      <w:numFmt w:val="decimal"/>
      <w:lvlText w:val="%1.%2.%3.%4.%5.%6."/>
      <w:lvlJc w:val="right"/>
      <w:pPr>
        <w:ind w:left="3960" w:hanging="180"/>
      </w:pPr>
      <w:rPr/>
    </w:lvl>
    <w:lvl w:ilvl="6">
      <w:start w:val="1"/>
      <w:numFmt w:val="decimal"/>
      <w:lvlText w:val="%1.%2.%3.%4.%5.%6.%7."/>
      <w:lvlJc w:val="right"/>
      <w:pPr>
        <w:ind w:left="4680" w:hanging="360"/>
      </w:pPr>
      <w:rPr/>
    </w:lvl>
    <w:lvl w:ilvl="7">
      <w:start w:val="1"/>
      <w:numFmt w:val="decimal"/>
      <w:lvlText w:val="%1.%2.%3.%4.%5.%6.%7.%8."/>
      <w:lvlJc w:val="right"/>
      <w:pPr>
        <w:ind w:left="5400" w:hanging="360"/>
      </w:pPr>
      <w:rPr/>
    </w:lvl>
    <w:lvl w:ilvl="8">
      <w:start w:val="1"/>
      <w:numFmt w:val="decimal"/>
      <w:lvlText w:val="%1.%2.%3.%4.%5.%6.%7.%8.%9."/>
      <w:lvlJc w:val="right"/>
      <w:pPr>
        <w:ind w:left="6120" w:hanging="180"/>
      </w:pPr>
      <w:rPr/>
    </w:lvl>
  </w:abstractNum>
  <w:abstractNum w:abstractNumId="17">
    <w:lvl w:ilvl="0">
      <w:start w:val="8"/>
      <w:numFmt w:val="decimal"/>
      <w:lvlText w:val="%1."/>
      <w:lvlJc w:val="left"/>
      <w:pPr>
        <w:ind w:left="432" w:hanging="432"/>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360" w:hanging="360"/>
      </w:pPr>
      <w:rPr/>
    </w:lvl>
    <w:lvl w:ilvl="1">
      <w:start w:val="1"/>
      <w:numFmt w:val="decimal"/>
      <w:lvlText w:val="%1.%2."/>
      <w:lvlJc w:val="left"/>
      <w:pPr>
        <w:ind w:left="450" w:hanging="435"/>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right"/>
      <w:pPr>
        <w:ind w:left="630" w:hanging="360"/>
      </w:pPr>
      <w:rPr>
        <w:u w:val="none"/>
      </w:rPr>
    </w:lvl>
    <w:lvl w:ilvl="1">
      <w:start w:val="1"/>
      <w:numFmt w:val="decimal"/>
      <w:lvlText w:val="%1.%2."/>
      <w:lvlJc w:val="right"/>
      <w:pPr>
        <w:ind w:left="81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right"/>
      <w:pPr>
        <w:ind w:left="630" w:hanging="360"/>
      </w:pPr>
      <w:rPr>
        <w:u w:val="none"/>
      </w:rPr>
    </w:lvl>
    <w:lvl w:ilvl="1">
      <w:start w:val="1"/>
      <w:numFmt w:val="decimal"/>
      <w:lvlText w:val="%1.%2."/>
      <w:lvlJc w:val="right"/>
      <w:pPr>
        <w:ind w:left="81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Times New Roman" w:cs="Times New Roman" w:eastAsia="Times New Roman" w:hAnsi="Times New Roman"/>
      <w:b w:val="1"/>
      <w:color w:val="000000"/>
      <w:sz w:val="28"/>
      <w:szCs w:val="28"/>
    </w:rPr>
  </w:style>
  <w:style w:type="paragraph" w:styleId="Heading2">
    <w:name w:val="heading 2"/>
    <w:basedOn w:val="Normal"/>
    <w:next w:val="Normal"/>
    <w:pPr>
      <w:keepNext w:val="1"/>
      <w:keepLines w:val="1"/>
      <w:spacing w:after="200" w:before="360" w:lineRule="auto"/>
      <w:ind w:left="450" w:hanging="360"/>
      <w:jc w:val="both"/>
    </w:pPr>
    <w:rPr>
      <w:rFonts w:ascii="Times New Roman" w:cs="Times New Roman" w:eastAsia="Times New Roman" w:hAnsi="Times New Roman"/>
      <w:b w:val="1"/>
      <w:sz w:val="27"/>
      <w:szCs w:val="27"/>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jc w:val="center"/>
    </w:pPr>
    <w:rPr>
      <w:rFonts w:ascii="Times New Roman" w:cs="Times New Roman" w:eastAsia="Times New Roman" w:hAnsi="Times New Roman"/>
      <w:b w:val="1"/>
      <w:sz w:val="32"/>
      <w:szCs w:val="32"/>
    </w:rPr>
  </w:style>
  <w:style w:type="paragraph" w:styleId="Normal" w:default="1">
    <w:name w:val="Normal"/>
    <w:qFormat w:val="1"/>
  </w:style>
  <w:style w:type="paragraph" w:styleId="Heading1">
    <w:name w:val="heading 1"/>
    <w:basedOn w:val="Normal"/>
    <w:next w:val="Normal"/>
    <w:link w:val="Heading1Char"/>
    <w:uiPriority w:val="9"/>
    <w:qFormat w:val="1"/>
    <w:rsid w:val="00A0761B"/>
    <w:pPr>
      <w:keepNext w:val="1"/>
      <w:keepLines w:val="1"/>
      <w:spacing w:after="0" w:before="240"/>
      <w:outlineLvl w:val="0"/>
    </w:pPr>
    <w:rPr>
      <w:rFonts w:ascii="Times New Roman" w:hAnsi="Times New Roman" w:cstheme="majorBidi" w:eastAsiaTheme="majorEastAsia"/>
      <w:b w:val="1"/>
      <w:color w:val="000000" w:themeColor="text1"/>
      <w:sz w:val="28"/>
      <w:szCs w:val="32"/>
    </w:rPr>
  </w:style>
  <w:style w:type="paragraph" w:styleId="Heading2">
    <w:name w:val="heading 2"/>
    <w:basedOn w:val="Normal"/>
    <w:next w:val="Normal"/>
    <w:link w:val="Heading2Char"/>
    <w:uiPriority w:val="9"/>
    <w:unhideWhenUsed w:val="1"/>
    <w:qFormat w:val="1"/>
    <w:pPr>
      <w:keepNext w:val="1"/>
      <w:keepLines w:val="1"/>
      <w:spacing w:after="80" w:before="360"/>
      <w:outlineLvl w:val="1"/>
    </w:pPr>
    <w:rPr>
      <w:b w:val="1"/>
      <w:sz w:val="36"/>
      <w:szCs w:val="36"/>
    </w:rPr>
  </w:style>
  <w:style w:type="paragraph" w:styleId="Heading3">
    <w:name w:val="heading 3"/>
    <w:basedOn w:val="Normal"/>
    <w:next w:val="Normal"/>
    <w:link w:val="Heading3Char"/>
    <w:uiPriority w:val="9"/>
    <w:semiHidden w:val="1"/>
    <w:unhideWhenUsed w:val="1"/>
    <w:qFormat w:val="1"/>
    <w:rsid w:val="00D46A79"/>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1Char" w:customStyle="1">
    <w:name w:val="Heading 1 Char"/>
    <w:basedOn w:val="DefaultParagraphFont"/>
    <w:link w:val="Heading1"/>
    <w:uiPriority w:val="9"/>
    <w:rsid w:val="00A0761B"/>
    <w:rPr>
      <w:rFonts w:ascii="Times New Roman" w:hAnsi="Times New Roman" w:cstheme="majorBidi" w:eastAsiaTheme="majorEastAsia"/>
      <w:b w:val="1"/>
      <w:color w:val="000000" w:themeColor="text1"/>
      <w:sz w:val="28"/>
      <w:szCs w:val="32"/>
    </w:rPr>
  </w:style>
  <w:style w:type="character" w:styleId="Heading3Char" w:customStyle="1">
    <w:name w:val="Heading 3 Char"/>
    <w:basedOn w:val="DefaultParagraphFont"/>
    <w:link w:val="Heading3"/>
    <w:uiPriority w:val="9"/>
    <w:semiHidden w:val="1"/>
    <w:rsid w:val="00D46A79"/>
    <w:rPr>
      <w:rFonts w:asciiTheme="majorHAnsi" w:cstheme="majorBidi" w:eastAsiaTheme="majorEastAsia" w:hAnsiTheme="majorHAnsi"/>
      <w:color w:val="1f3763" w:themeColor="accent1" w:themeShade="00007F"/>
      <w:sz w:val="24"/>
      <w:szCs w:val="24"/>
    </w:rPr>
  </w:style>
  <w:style w:type="paragraph" w:styleId="ListParagraph">
    <w:name w:val="List Paragraph"/>
    <w:basedOn w:val="Normal"/>
    <w:uiPriority w:val="34"/>
    <w:qFormat w:val="1"/>
    <w:rsid w:val="00D46A79"/>
    <w:pPr>
      <w:ind w:left="720"/>
      <w:contextualSpacing w:val="1"/>
    </w:pPr>
  </w:style>
  <w:style w:type="paragraph" w:styleId="Header">
    <w:name w:val="header"/>
    <w:basedOn w:val="Normal"/>
    <w:link w:val="HeaderChar"/>
    <w:uiPriority w:val="99"/>
    <w:unhideWhenUsed w:val="1"/>
    <w:rsid w:val="006E1410"/>
    <w:pPr>
      <w:tabs>
        <w:tab w:val="center" w:pos="4513"/>
        <w:tab w:val="right" w:pos="9026"/>
      </w:tabs>
      <w:spacing w:after="0" w:line="240" w:lineRule="auto"/>
    </w:pPr>
  </w:style>
  <w:style w:type="character" w:styleId="HeaderChar" w:customStyle="1">
    <w:name w:val="Header Char"/>
    <w:basedOn w:val="DefaultParagraphFont"/>
    <w:link w:val="Header"/>
    <w:uiPriority w:val="99"/>
    <w:rsid w:val="006E1410"/>
  </w:style>
  <w:style w:type="paragraph" w:styleId="Footer">
    <w:name w:val="footer"/>
    <w:basedOn w:val="Normal"/>
    <w:link w:val="FooterChar"/>
    <w:uiPriority w:val="99"/>
    <w:unhideWhenUsed w:val="1"/>
    <w:rsid w:val="006E1410"/>
    <w:pPr>
      <w:tabs>
        <w:tab w:val="center" w:pos="4513"/>
        <w:tab w:val="right" w:pos="9026"/>
      </w:tabs>
      <w:spacing w:after="0" w:line="240" w:lineRule="auto"/>
    </w:pPr>
  </w:style>
  <w:style w:type="character" w:styleId="FooterChar" w:customStyle="1">
    <w:name w:val="Footer Char"/>
    <w:basedOn w:val="DefaultParagraphFont"/>
    <w:link w:val="Footer"/>
    <w:uiPriority w:val="99"/>
    <w:rsid w:val="006E1410"/>
  </w:style>
  <w:style w:type="paragraph" w:styleId="TOCHeading">
    <w:name w:val="TOC Heading"/>
    <w:basedOn w:val="Heading1"/>
    <w:next w:val="Normal"/>
    <w:uiPriority w:val="39"/>
    <w:unhideWhenUsed w:val="1"/>
    <w:qFormat w:val="1"/>
    <w:rsid w:val="006E1410"/>
    <w:pPr>
      <w:outlineLvl w:val="9"/>
    </w:pPr>
    <w:rPr>
      <w:rFonts w:asciiTheme="majorHAnsi" w:hAnsiTheme="majorHAnsi"/>
      <w:b w:val="0"/>
      <w:color w:val="2f5496" w:themeColor="accent1" w:themeShade="0000BF"/>
      <w:sz w:val="32"/>
      <w:lang/>
    </w:rPr>
  </w:style>
  <w:style w:type="paragraph" w:styleId="TOC1">
    <w:name w:val="toc 1"/>
    <w:basedOn w:val="Normal"/>
    <w:next w:val="Normal"/>
    <w:autoRedefine w:val="1"/>
    <w:uiPriority w:val="39"/>
    <w:unhideWhenUsed w:val="1"/>
    <w:rsid w:val="006E1410"/>
    <w:pPr>
      <w:tabs>
        <w:tab w:val="right" w:leader="dot" w:pos="9016"/>
      </w:tabs>
      <w:spacing w:after="100"/>
    </w:pPr>
    <w:rPr>
      <w:rFonts w:asciiTheme="majorBidi" w:cstheme="majorBidi" w:hAnsiTheme="majorBidi"/>
      <w:b w:val="1"/>
      <w:bCs w:val="1"/>
      <w:noProof w:val="1"/>
      <w:lang w:val="en-GB"/>
    </w:rPr>
  </w:style>
  <w:style w:type="character" w:styleId="Hyperlink">
    <w:name w:val="Hyperlink"/>
    <w:basedOn w:val="DefaultParagraphFont"/>
    <w:uiPriority w:val="99"/>
    <w:unhideWhenUsed w:val="1"/>
    <w:rsid w:val="006E1410"/>
    <w:rPr>
      <w:color w:val="0563c1" w:themeColor="hyperlink"/>
      <w:u w:val="single"/>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character" w:styleId="Heading2Char" w:customStyle="1">
    <w:name w:val="Heading 2 Char"/>
    <w:basedOn w:val="DefaultParagraphFont"/>
    <w:link w:val="Heading2"/>
    <w:uiPriority w:val="9"/>
    <w:rsid w:val="00127FE0"/>
    <w:rPr>
      <w:b w:val="1"/>
      <w:sz w:val="36"/>
      <w:szCs w:val="36"/>
    </w:rPr>
  </w:style>
  <w:style w:type="paragraph" w:styleId="TOC2">
    <w:name w:val="toc 2"/>
    <w:basedOn w:val="Normal"/>
    <w:next w:val="Normal"/>
    <w:autoRedefine w:val="1"/>
    <w:uiPriority w:val="39"/>
    <w:unhideWhenUsed w:val="1"/>
    <w:rsid w:val="007857CF"/>
    <w:pPr>
      <w:spacing w:after="100"/>
      <w:ind w:left="220"/>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BoW1RwsRCJo4a677Xd60rbjr7Q==">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2025-01-20T09:15:00Z</dcterms:created>
  <dc:creator>victory otamiri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e342f5e25a673159129a4098d29d382b198f8cd9dd2bacc2e84381b248374be1</vt:lpwstr>
  </property>
</Properties>
</file>