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g89g3j5r0c3n" w:id="0"/>
      <w:bookmarkEnd w:id="0"/>
      <w:r w:rsidDel="00000000" w:rsidR="00000000" w:rsidRPr="00000000">
        <w:rPr>
          <w:rtl w:val="0"/>
        </w:rPr>
        <w:t xml:space="preserve">L.  ARTICLE 22: TAXATION OF CAPITAL</w:t>
      </w:r>
    </w:p>
    <w:p w:rsidR="00000000" w:rsidDel="00000000" w:rsidP="00000000" w:rsidRDefault="00000000" w:rsidRPr="00000000" w14:paraId="0000000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taxation of capital, as outlined in Article 22 of both the OECD Model Tax Convention (MTC) and the UN Model Double Taxation Convention (MDTC), provides a structured framework for how capital assets are taxed between contracting states. These provisions aim to clarify tax obligations and rights concerning different types of capital, including immovable and movable properties, as well as operations involving ships and aircraft. </w:t>
      </w:r>
    </w:p>
    <w:p w:rsidR="00000000" w:rsidDel="00000000" w:rsidP="00000000" w:rsidRDefault="00000000" w:rsidRPr="00000000" w14:paraId="00000003">
      <w:pPr>
        <w:pStyle w:val="Heading2"/>
        <w:numPr>
          <w:ilvl w:val="0"/>
          <w:numId w:val="1"/>
        </w:numPr>
        <w:ind w:left="630" w:hanging="360"/>
      </w:pPr>
      <w:bookmarkStart w:colFirst="0" w:colLast="0" w:name="_heading=h.pmyweccvu8vz" w:id="1"/>
      <w:bookmarkEnd w:id="1"/>
      <w:r w:rsidDel="00000000" w:rsidR="00000000" w:rsidRPr="00000000">
        <w:rPr>
          <w:rtl w:val="0"/>
        </w:rPr>
        <w:t xml:space="preserve">United Nations Model Double Taxation Convention (UN MDTC)</w:t>
      </w:r>
    </w:p>
    <w:p w:rsidR="00000000" w:rsidDel="00000000" w:rsidP="00000000" w:rsidRDefault="00000000" w:rsidRPr="00000000" w14:paraId="00000004">
      <w:pPr>
        <w:numPr>
          <w:ilvl w:val="1"/>
          <w:numId w:val="1"/>
        </w:numPr>
        <w:ind w:left="900" w:hanging="43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Immovable Property:</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Capital assets in the form of immovable property, as detailed in Article 6, owned by a resident of one Contracting State but located in another Contracting State, are permitted to be taxed in the state where the property is located. This encompasses properties like land and buildings which are subject to real estate regulations in the host country.</w:t>
      </w:r>
    </w:p>
    <w:p w:rsidR="00000000" w:rsidDel="00000000" w:rsidP="00000000" w:rsidRDefault="00000000" w:rsidRPr="00000000" w14:paraId="00000006">
      <w:pPr>
        <w:numPr>
          <w:ilvl w:val="1"/>
          <w:numId w:val="1"/>
        </w:numPr>
        <w:ind w:left="900" w:hanging="43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Movable Property:</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Capital in the form of movable property that is part of the business assets of a permanent establishment or associated with a fixed base used for independent personal services in the other Contracting State can also be taxed in that state. This includes equipment and vehicles that are integral to the operations of the permanent establishment or for the provision of services.</w:t>
      </w:r>
    </w:p>
    <w:p w:rsidR="00000000" w:rsidDel="00000000" w:rsidP="00000000" w:rsidRDefault="00000000" w:rsidRPr="00000000" w14:paraId="00000008">
      <w:pPr>
        <w:numPr>
          <w:ilvl w:val="1"/>
          <w:numId w:val="1"/>
        </w:numPr>
        <w:ind w:left="900" w:hanging="43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Ships or Aircraft:</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enterprises operating ships or aircraft that traverse international borders, the capital represented by these vehicles and any movable property essential to their operation is taxable solely in the operator’s resident state. This provision aims to simplify taxation matters related to international transportation.</w:t>
      </w:r>
    </w:p>
    <w:p w:rsidR="00000000" w:rsidDel="00000000" w:rsidP="00000000" w:rsidRDefault="00000000" w:rsidRPr="00000000" w14:paraId="0000000A">
      <w:pPr>
        <w:numPr>
          <w:ilvl w:val="1"/>
          <w:numId w:val="1"/>
        </w:numPr>
        <w:ind w:left="900" w:hanging="43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Other Capital Elements:</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taxation of other capital components not specifically covered by the previous points is generally limited to the resident state. However, the UN MDTC uniquely opens the door for bilateral negotiations to potentially modify this rule, allowing contracting states flexibility to address diverse economic and fiscal environments.</w:t>
      </w:r>
    </w:p>
    <w:p w:rsidR="00000000" w:rsidDel="00000000" w:rsidP="00000000" w:rsidRDefault="00000000" w:rsidRPr="00000000" w14:paraId="0000000C">
      <w:pPr>
        <w:pStyle w:val="Heading2"/>
        <w:numPr>
          <w:ilvl w:val="0"/>
          <w:numId w:val="1"/>
        </w:numPr>
        <w:ind w:left="630" w:hanging="360"/>
      </w:pPr>
      <w:bookmarkStart w:colFirst="0" w:colLast="0" w:name="_heading=h.u3e2w9dln2uk" w:id="2"/>
      <w:bookmarkEnd w:id="2"/>
      <w:r w:rsidDel="00000000" w:rsidR="00000000" w:rsidRPr="00000000">
        <w:rPr>
          <w:rtl w:val="0"/>
        </w:rPr>
        <w:t xml:space="preserve">OECD Model Tax Convention (MTC)</w:t>
      </w:r>
    </w:p>
    <w:p w:rsidR="00000000" w:rsidDel="00000000" w:rsidP="00000000" w:rsidRDefault="00000000" w:rsidRPr="00000000" w14:paraId="0000000D">
      <w:pPr>
        <w:numPr>
          <w:ilvl w:val="1"/>
          <w:numId w:val="1"/>
        </w:numPr>
        <w:spacing w:after="200" w:lineRule="auto"/>
        <w:ind w:left="900" w:hanging="43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Immovable Property:</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to the UN MDTC, the OECD MTC allows the other Contracting State (where the property is situated) to tax capital constituted by immovable property. This provision aligns with common international real estate taxation practices.</w:t>
      </w:r>
    </w:p>
    <w:p w:rsidR="00000000" w:rsidDel="00000000" w:rsidP="00000000" w:rsidRDefault="00000000" w:rsidRPr="00000000" w14:paraId="0000000F">
      <w:pPr>
        <w:numPr>
          <w:ilvl w:val="1"/>
          <w:numId w:val="1"/>
        </w:numPr>
        <w:ind w:left="900" w:hanging="43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Movable Property:</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Movable property that is part of the business assets of a permanent establishment is taxable in the state where the permanent establishment is located. This straightforward provision limits complications in determining tax liabilities for businesses operating across borders.</w:t>
      </w:r>
    </w:p>
    <w:p w:rsidR="00000000" w:rsidDel="00000000" w:rsidP="00000000" w:rsidRDefault="00000000" w:rsidRPr="00000000" w14:paraId="00000011">
      <w:pPr>
        <w:numPr>
          <w:ilvl w:val="1"/>
          <w:numId w:val="1"/>
        </w:numPr>
        <w:ind w:left="900" w:hanging="43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Ships or Aircraft:</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Capital represented by ships or aircraft used in international traffic, and the movable assets related to these operations, are exclusively taxable in the state where the enterprise is a resident. This aligns with international norms for taxing mobile assets involved in global commerce.</w:t>
      </w:r>
    </w:p>
    <w:p w:rsidR="00000000" w:rsidDel="00000000" w:rsidP="00000000" w:rsidRDefault="00000000" w:rsidRPr="00000000" w14:paraId="00000013">
      <w:pPr>
        <w:numPr>
          <w:ilvl w:val="1"/>
          <w:numId w:val="1"/>
        </w:numPr>
        <w:ind w:left="900" w:hanging="43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Other Capital Elements:</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all other capital elements, the OECD MTC stipulates taxation rights exclusively to the resident state, promoting simplicity and preventing potential double taxation scenarios.</w:t>
      </w:r>
    </w:p>
    <w:p w:rsidR="00000000" w:rsidDel="00000000" w:rsidP="00000000" w:rsidRDefault="00000000" w:rsidRPr="00000000" w14:paraId="00000015">
      <w:pPr>
        <w:pStyle w:val="Heading2"/>
        <w:numPr>
          <w:ilvl w:val="0"/>
          <w:numId w:val="1"/>
        </w:numPr>
        <w:ind w:left="630" w:hanging="360"/>
      </w:pPr>
      <w:bookmarkStart w:colFirst="0" w:colLast="0" w:name="_heading=h.d88l1dm44dg2" w:id="3"/>
      <w:bookmarkEnd w:id="3"/>
      <w:r w:rsidDel="00000000" w:rsidR="00000000" w:rsidRPr="00000000">
        <w:rPr>
          <w:rtl w:val="0"/>
        </w:rPr>
        <w:t xml:space="preserve">Case Laws Influencing the Interpretation of Article 22</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of Article 22 has been clarified through several specific court rulings that have set precedents in international tax law. For example, in </w:t>
      </w:r>
      <w:r w:rsidDel="00000000" w:rsidR="00000000" w:rsidRPr="00000000">
        <w:rPr>
          <w:rFonts w:ascii="Times New Roman" w:cs="Times New Roman" w:eastAsia="Times New Roman" w:hAnsi="Times New Roman"/>
          <w:b w:val="1"/>
          <w:i w:val="1"/>
          <w:sz w:val="24"/>
          <w:szCs w:val="24"/>
          <w:rtl w:val="0"/>
        </w:rPr>
        <w:t xml:space="preserve">Estate of Blackburn v. Commissioner</w:t>
      </w:r>
      <w:r w:rsidDel="00000000" w:rsidR="00000000" w:rsidRPr="00000000">
        <w:rPr>
          <w:rFonts w:ascii="Times New Roman" w:cs="Times New Roman" w:eastAsia="Times New Roman" w:hAnsi="Times New Roman"/>
          <w:sz w:val="24"/>
          <w:szCs w:val="24"/>
          <w:rtl w:val="0"/>
        </w:rPr>
        <w:t xml:space="preserve">, a U.S. court addressed the taxation of capital gains from immovable property situated in France owned by a U.S. resident. The court held that under the U.S.-France Tax Treaty, which follows similar principles to Article 22 of the OECD MTC, France had the taxing rights over the capital gains derived from the disposition of the property, affirming the situs rule for immovable property.</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another case, </w:t>
      </w:r>
      <w:r w:rsidDel="00000000" w:rsidR="00000000" w:rsidRPr="00000000">
        <w:rPr>
          <w:rFonts w:ascii="Times New Roman" w:cs="Times New Roman" w:eastAsia="Times New Roman" w:hAnsi="Times New Roman"/>
          <w:b w:val="1"/>
          <w:i w:val="1"/>
          <w:sz w:val="24"/>
          <w:szCs w:val="24"/>
          <w:rtl w:val="0"/>
        </w:rPr>
        <w:t xml:space="preserve">Oceanic Transport Ltd. v. The Tax Authority of Norway</w:t>
      </w:r>
      <w:r w:rsidDel="00000000" w:rsidR="00000000" w:rsidRPr="00000000">
        <w:rPr>
          <w:rFonts w:ascii="Times New Roman" w:cs="Times New Roman" w:eastAsia="Times New Roman" w:hAnsi="Times New Roman"/>
          <w:sz w:val="24"/>
          <w:szCs w:val="24"/>
          <w:rtl w:val="0"/>
        </w:rPr>
        <w:t xml:space="preserve">, a dispute arose over the taxation of capital represented by a fleet of ships operated by a British company in international traffic. The Norwegian authorities attempted to tax the capital gains from the sale of these ships. The case reached the European Court of Justice, which ruled in favor of the company, stating that under the principles akin to Article 22(3) of the UN MDTC, such capital should only be taxable in the United Kingdom, the residence state of the enterprise.</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in </w:t>
      </w:r>
      <w:r w:rsidDel="00000000" w:rsidR="00000000" w:rsidRPr="00000000">
        <w:rPr>
          <w:rFonts w:ascii="Times New Roman" w:cs="Times New Roman" w:eastAsia="Times New Roman" w:hAnsi="Times New Roman"/>
          <w:b w:val="1"/>
          <w:i w:val="1"/>
          <w:sz w:val="24"/>
          <w:szCs w:val="24"/>
          <w:rtl w:val="0"/>
        </w:rPr>
        <w:t xml:space="preserve">TechBase Services Inc. v. The German Federal Tax Offic</w:t>
      </w:r>
      <w:r w:rsidDel="00000000" w:rsidR="00000000" w:rsidRPr="00000000">
        <w:rPr>
          <w:rFonts w:ascii="Times New Roman" w:cs="Times New Roman" w:eastAsia="Times New Roman" w:hAnsi="Times New Roman"/>
          <w:i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 the issue was whether movable property associated with a permanent establishment used by an American company for providing services in Germany could be taxed by Germany. The German courts held that Germany had the right to tax the capital assets based on Article 22(2) of the OECD MTC, as the assets were part of the business property of a permanent establishment situated in Germany.</w:t>
      </w:r>
    </w:p>
    <w:p w:rsidR="00000000" w:rsidDel="00000000" w:rsidP="00000000" w:rsidRDefault="00000000" w:rsidRPr="00000000" w14:paraId="00000019">
      <w:pPr>
        <w:pStyle w:val="Heading2"/>
        <w:numPr>
          <w:ilvl w:val="0"/>
          <w:numId w:val="1"/>
        </w:numPr>
        <w:ind w:left="630" w:hanging="360"/>
      </w:pPr>
      <w:bookmarkStart w:colFirst="0" w:colLast="0" w:name="_heading=h.d9xjquhuesyh" w:id="4"/>
      <w:bookmarkEnd w:id="4"/>
      <w:r w:rsidDel="00000000" w:rsidR="00000000" w:rsidRPr="00000000">
        <w:rPr>
          <w:rtl w:val="0"/>
        </w:rPr>
        <w:t xml:space="preserve">Comparative Analysis of Article 22 of the UN MDTC and OECD MTC on Capital Taxation</w:t>
      </w:r>
    </w:p>
    <w:p w:rsidR="00000000" w:rsidDel="00000000" w:rsidP="00000000" w:rsidRDefault="00000000" w:rsidRPr="00000000" w14:paraId="0000001A">
      <w:pPr>
        <w:numPr>
          <w:ilvl w:val="1"/>
          <w:numId w:val="1"/>
        </w:numPr>
        <w:spacing w:after="200" w:lineRule="auto"/>
        <w:ind w:left="900" w:hanging="435"/>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Treatment of Movable Property:</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MDTC </w:t>
      </w: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roadens the scope by including movable property used for independent personal services</w:t>
      </w:r>
      <w:r w:rsidDel="00000000" w:rsidR="00000000" w:rsidRPr="00000000">
        <w:rPr>
          <w:rFonts w:ascii="Times New Roman" w:cs="Times New Roman" w:eastAsia="Times New Roman" w:hAnsi="Times New Roman"/>
          <w:sz w:val="24"/>
          <w:szCs w:val="24"/>
          <w:rtl w:val="0"/>
        </w:rPr>
        <w:t xml:space="preserve"> while the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OECD MTC </w:t>
      </w:r>
      <w:r w:rsidDel="00000000" w:rsidR="00000000" w:rsidRPr="00000000">
        <w:rPr>
          <w:rFonts w:ascii="Times New Roman" w:cs="Times New Roman" w:eastAsia="Times New Roman" w:hAnsi="Times New Roman"/>
          <w:sz w:val="24"/>
          <w:szCs w:val="24"/>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imits taxation to movable property that forms part of the business property of a permanent establishment situated in the other contracting state.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reflects the UN MDTC’s emphasis on source-based taxation, accommodating scenarios more relevant to developing countries.</w:t>
      </w:r>
    </w:p>
    <w:p w:rsidR="00000000" w:rsidDel="00000000" w:rsidP="00000000" w:rsidRDefault="00000000" w:rsidRPr="00000000" w14:paraId="0000001C">
      <w:pPr>
        <w:numPr>
          <w:ilvl w:val="1"/>
          <w:numId w:val="1"/>
        </w:numPr>
        <w:spacing w:after="200" w:lineRule="auto"/>
        <w:ind w:left="900" w:hanging="435"/>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Treatment of Other Capital Elements: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MDTC</w:t>
      </w:r>
      <w:r w:rsidDel="00000000" w:rsidR="00000000" w:rsidRPr="00000000">
        <w:rPr>
          <w:rFonts w:ascii="Times New Roman" w:cs="Times New Roman" w:eastAsia="Times New Roman" w:hAnsi="Times New Roman"/>
          <w:sz w:val="24"/>
          <w:szCs w:val="24"/>
          <w:rtl w:val="0"/>
        </w:rPr>
        <w:t xml:space="preserve"> 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ntroduces flexibility, leaving the taxation of "other elements of capital" to bilateral negotiations</w:t>
      </w:r>
      <w:r w:rsidDel="00000000" w:rsidR="00000000" w:rsidRPr="00000000">
        <w:rPr>
          <w:rFonts w:ascii="Times New Roman" w:cs="Times New Roman" w:eastAsia="Times New Roman" w:hAnsi="Times New Roman"/>
          <w:sz w:val="24"/>
          <w:szCs w:val="24"/>
          <w:rtl w:val="0"/>
        </w:rPr>
        <w:t xml:space="preserve"> reflecting the model's intent to address the revenue needs of developing countries while the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OECD MTC Firmly establishes that all other elements of capital are taxable only in the residence state of the capital owner.</w:t>
      </w:r>
    </w:p>
    <w:p w:rsidR="00000000" w:rsidDel="00000000" w:rsidP="00000000" w:rsidRDefault="00000000" w:rsidRPr="00000000" w14:paraId="0000001E">
      <w:pPr>
        <w:numPr>
          <w:ilvl w:val="1"/>
          <w:numId w:val="1"/>
        </w:numPr>
        <w:spacing w:after="200" w:before="200" w:lineRule="auto"/>
        <w:ind w:left="900" w:hanging="43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Flexibility and Negotiability:</w:t>
      </w:r>
    </w:p>
    <w:p w:rsidR="00000000" w:rsidDel="00000000" w:rsidP="00000000" w:rsidRDefault="00000000" w:rsidRPr="00000000" w14:paraId="0000001F">
      <w:pP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The </w:t>
      </w:r>
      <w:r w:rsidDel="00000000" w:rsidR="00000000" w:rsidRPr="00000000">
        <w:rPr>
          <w:rtl w:val="0"/>
        </w:rPr>
        <w:t xml:space="preserve">UN MDTC provides room for customization based on bilateral needs, particularly for the taxation of "other elements of capital." This flexibility is significant for nations seeking to assert greater source-based taxation rights. While the OECD MTC focuses on simplicity and uniformity, reducing the administrative burden and ensuring predictability for multinational enterprises.</w:t>
      </w:r>
      <w:r w:rsidDel="00000000" w:rsidR="00000000" w:rsidRPr="00000000">
        <w:rPr>
          <w:rtl w:val="0"/>
        </w:rPr>
      </w:r>
    </w:p>
    <w:p w:rsidR="00000000" w:rsidDel="00000000" w:rsidP="00000000" w:rsidRDefault="00000000" w:rsidRPr="00000000" w14:paraId="00000020">
      <w:pPr>
        <w:numPr>
          <w:ilvl w:val="1"/>
          <w:numId w:val="1"/>
        </w:numPr>
        <w:spacing w:after="200" w:afterAutospacing="0" w:before="200" w:lineRule="auto"/>
        <w:ind w:left="900" w:hanging="43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Independent Personal Services:</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beforeAutospacing="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 MDTC: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inclusion of movable property connected to a fixed base for independent personal services underscores the model's recognition of varied economic scenarios, especially in developing countries where such services are more prevalent.</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20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OECD MTC: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Does not explicitly address independent personal services in the context of capital taxation, reflecting its narrower focus on business operations and immovable property.</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630" w:hanging="360"/>
      </w:pPr>
      <w:rPr>
        <w:b w:val="1"/>
      </w:rPr>
    </w:lvl>
    <w:lvl w:ilvl="1">
      <w:start w:val="1"/>
      <w:numFmt w:val="decimal"/>
      <w:lvlText w:val="%1.%2."/>
      <w:lvlJc w:val="right"/>
      <w:pPr>
        <w:ind w:left="900" w:hanging="435"/>
      </w:pPr>
      <w:rPr/>
    </w:lvl>
    <w:lvl w:ilvl="2">
      <w:start w:val="1"/>
      <w:numFmt w:val="decimal"/>
      <w:lvlText w:val="%1.%2.%3."/>
      <w:lvlJc w:val="right"/>
      <w:pPr>
        <w:ind w:left="1584" w:hanging="504"/>
      </w:pPr>
      <w:rPr/>
    </w:lvl>
    <w:lvl w:ilvl="3">
      <w:start w:val="1"/>
      <w:numFmt w:val="decimal"/>
      <w:lvlText w:val="%1.%2.%3.%4."/>
      <w:lvlJc w:val="right"/>
      <w:pPr>
        <w:ind w:left="2088" w:hanging="648"/>
      </w:pPr>
      <w:rPr/>
    </w:lvl>
    <w:lvl w:ilvl="4">
      <w:start w:val="1"/>
      <w:numFmt w:val="decimal"/>
      <w:lvlText w:val="%1.%2.%3.%4.%5."/>
      <w:lvlJc w:val="right"/>
      <w:pPr>
        <w:ind w:left="2592" w:hanging="792"/>
      </w:pPr>
      <w:rPr/>
    </w:lvl>
    <w:lvl w:ilvl="5">
      <w:start w:val="1"/>
      <w:numFmt w:val="decimal"/>
      <w:lvlText w:val="%1.%2.%3.%4.%5.%6."/>
      <w:lvlJc w:val="right"/>
      <w:pPr>
        <w:ind w:left="3096" w:hanging="935.9999999999995"/>
      </w:pPr>
      <w:rPr/>
    </w:lvl>
    <w:lvl w:ilvl="6">
      <w:start w:val="1"/>
      <w:numFmt w:val="decimal"/>
      <w:lvlText w:val="%1.%2.%3.%4.%5.%6.%7."/>
      <w:lvlJc w:val="right"/>
      <w:pPr>
        <w:ind w:left="3600" w:hanging="1080"/>
      </w:pPr>
      <w:rPr/>
    </w:lvl>
    <w:lvl w:ilvl="7">
      <w:start w:val="1"/>
      <w:numFmt w:val="decimal"/>
      <w:lvlText w:val="%1.%2.%3.%4.%5.%6.%7.%8."/>
      <w:lvlJc w:val="right"/>
      <w:pPr>
        <w:ind w:left="4104" w:hanging="1224"/>
      </w:pPr>
      <w:rPr/>
    </w:lvl>
    <w:lvl w:ilvl="8">
      <w:start w:val="1"/>
      <w:numFmt w:val="decimal"/>
      <w:lvlText w:val="%1.%2.%3.%4.%5.%6.%7.%8.%9."/>
      <w:lvlJc w:val="right"/>
      <w:pPr>
        <w:ind w:left="4680" w:hanging="144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before="24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left="360"/>
    </w:pPr>
    <w:rPr>
      <w:rFonts w:ascii="Times New Roman" w:cs="Times New Roman" w:eastAsia="Times New Roman" w:hAnsi="Times New Roman"/>
      <w:b w:val="1"/>
      <w:sz w:val="28"/>
      <w:szCs w:val="28"/>
    </w:rPr>
  </w:style>
  <w:style w:type="paragraph" w:styleId="Heading2">
    <w:name w:val="heading 2"/>
    <w:basedOn w:val="Normal"/>
    <w:next w:val="Normal"/>
    <w:pPr>
      <w:keepNext w:val="1"/>
      <w:keepLines w:val="1"/>
      <w:spacing w:after="80" w:before="160" w:lineRule="auto"/>
      <w:ind w:left="450" w:hanging="435"/>
      <w:jc w:val="both"/>
    </w:pPr>
    <w:rPr>
      <w:rFonts w:ascii="Times New Roman" w:cs="Times New Roman" w:eastAsia="Times New Roman" w:hAnsi="Times New Roman"/>
      <w:b w:val="1"/>
      <w:sz w:val="27"/>
      <w:szCs w:val="27"/>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jc w:val="center"/>
    </w:pPr>
    <w:rPr>
      <w:rFonts w:ascii="Times New Roman" w:cs="Times New Roman" w:eastAsia="Times New Roman" w:hAnsi="Times New Roman"/>
      <w:b w:val="1"/>
      <w:sz w:val="32"/>
      <w:szCs w:val="32"/>
    </w:rPr>
  </w:style>
  <w:style w:type="paragraph" w:styleId="Normal" w:default="1">
    <w:name w:val="Normal"/>
    <w:qFormat w:val="1"/>
  </w:style>
  <w:style w:type="paragraph" w:styleId="Heading1">
    <w:name w:val="heading 1"/>
    <w:basedOn w:val="Normal"/>
    <w:next w:val="Normal"/>
    <w:link w:val="Heading1Char"/>
    <w:uiPriority w:val="9"/>
    <w:qFormat w:val="1"/>
    <w:rsid w:val="00F32A40"/>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F32A40"/>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F32A40"/>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F32A40"/>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F32A40"/>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F32A40"/>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F32A4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32A4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32A4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32A40"/>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F32A40"/>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F32A40"/>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F32A40"/>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F32A40"/>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F32A4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32A4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32A4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32A40"/>
    <w:rPr>
      <w:rFonts w:cstheme="majorBidi" w:eastAsiaTheme="majorEastAsia"/>
      <w:color w:val="272727" w:themeColor="text1" w:themeTint="0000D8"/>
    </w:rPr>
  </w:style>
  <w:style w:type="paragraph" w:styleId="Title">
    <w:name w:val="Title"/>
    <w:basedOn w:val="Normal"/>
    <w:next w:val="Normal"/>
    <w:link w:val="TitleChar"/>
    <w:uiPriority w:val="10"/>
    <w:qFormat w:val="1"/>
    <w:rsid w:val="00F32A40"/>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F32A40"/>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F32A40"/>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F32A4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32A4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32A40"/>
    <w:rPr>
      <w:i w:val="1"/>
      <w:iCs w:val="1"/>
      <w:color w:val="404040" w:themeColor="text1" w:themeTint="0000BF"/>
    </w:rPr>
  </w:style>
  <w:style w:type="paragraph" w:styleId="ListParagraph">
    <w:name w:val="List Paragraph"/>
    <w:basedOn w:val="Normal"/>
    <w:uiPriority w:val="34"/>
    <w:qFormat w:val="1"/>
    <w:rsid w:val="00F32A40"/>
    <w:pPr>
      <w:ind w:left="720"/>
      <w:contextualSpacing w:val="1"/>
    </w:pPr>
  </w:style>
  <w:style w:type="character" w:styleId="IntenseEmphasis">
    <w:name w:val="Intense Emphasis"/>
    <w:basedOn w:val="DefaultParagraphFont"/>
    <w:uiPriority w:val="21"/>
    <w:qFormat w:val="1"/>
    <w:rsid w:val="00F32A40"/>
    <w:rPr>
      <w:i w:val="1"/>
      <w:iCs w:val="1"/>
      <w:color w:val="2f5496" w:themeColor="accent1" w:themeShade="0000BF"/>
    </w:rPr>
  </w:style>
  <w:style w:type="paragraph" w:styleId="IntenseQuote">
    <w:name w:val="Intense Quote"/>
    <w:basedOn w:val="Normal"/>
    <w:next w:val="Normal"/>
    <w:link w:val="IntenseQuoteChar"/>
    <w:uiPriority w:val="30"/>
    <w:qFormat w:val="1"/>
    <w:rsid w:val="00F32A40"/>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F32A40"/>
    <w:rPr>
      <w:i w:val="1"/>
      <w:iCs w:val="1"/>
      <w:color w:val="2f5496" w:themeColor="accent1" w:themeShade="0000BF"/>
    </w:rPr>
  </w:style>
  <w:style w:type="character" w:styleId="IntenseReference">
    <w:name w:val="Intense Reference"/>
    <w:basedOn w:val="DefaultParagraphFont"/>
    <w:uiPriority w:val="32"/>
    <w:qFormat w:val="1"/>
    <w:rsid w:val="00F32A40"/>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V4O0BGz3iOQoHiDVjPPgkfOWQ==">CgMxLjAyDmguZzg5ZzNqNXIwYzNuMg5oLnBteXdlY2N2dTh2ejIOaC51M2UydzlkbG4ydWsyDmguZDg4bDFkbTQ0ZGcyMg5oLmQ5eGpxdWh1ZXN5aDgAciExaGt4LTQ0RjNhRUEzc0FaZGZFZ2FVWmowWmtTT1pVWTI=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2025-01-17T14:34:00Z</dcterms:created>
  <dc:creator>Doris Chikweru</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37984487-f323-4679-a88c-91806f823366</vt:lpwstr>
  </property>
</Properties>
</file>