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80" w:lineRule="auto"/>
        <w:rPr/>
      </w:pPr>
      <w:bookmarkStart w:colFirst="0" w:colLast="0" w:name="_heading=h.h5qiqa8t1lnm" w:id="0"/>
      <w:bookmarkEnd w:id="0"/>
      <w:r w:rsidDel="00000000" w:rsidR="00000000" w:rsidRPr="00000000">
        <w:rPr>
          <w:rtl w:val="0"/>
        </w:rPr>
        <w:t xml:space="preserve">M. RELEVANCE OF THE “OTHER INCOME” ARTICLE – ARTICLE 21, OECD MTC and UN MDTC</w:t>
      </w:r>
    </w:p>
    <w:p w:rsidR="00000000" w:rsidDel="00000000" w:rsidP="00000000" w:rsidRDefault="00000000" w:rsidRPr="00000000" w14:paraId="00000002">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21 of the OECD MTC, titled "Other Income," plays a significant yet sometimes understated role within this framework. This article addresses items of income that do not fall under the specific provisions of the preceding articles of the convention. In essence, Article 21 acts as a catch-all provision, ensuring that all forms of income are subject to taxation, thereby closing potential loopholes that might otherwise be exploited. </w:t>
      </w:r>
    </w:p>
    <w:p w:rsidR="00000000" w:rsidDel="00000000" w:rsidP="00000000" w:rsidRDefault="00000000" w:rsidRPr="00000000" w14:paraId="00000003">
      <w:pPr>
        <w:pStyle w:val="Heading2"/>
        <w:numPr>
          <w:ilvl w:val="0"/>
          <w:numId w:val="1"/>
        </w:numPr>
        <w:spacing w:after="280" w:before="280" w:lineRule="auto"/>
        <w:ind w:left="720" w:hanging="360"/>
        <w:rPr/>
      </w:pPr>
      <w:bookmarkStart w:colFirst="0" w:colLast="0" w:name="_heading=h.9gdquxn6p4ix" w:id="1"/>
      <w:bookmarkEnd w:id="1"/>
      <w:r w:rsidDel="00000000" w:rsidR="00000000" w:rsidRPr="00000000">
        <w:rPr>
          <w:rtl w:val="0"/>
        </w:rPr>
        <w:t xml:space="preserve">Structure and Purpose of Article 21</w:t>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21 is divided into two paragraphs, each addressing different scenarios concerning "other income." Paragraph 1 establishes the general rule, while Paragraph 2 provides an exception to this rule. The primary purpose of Article 21 is to ensure that income not explicitly covered by other articles of the convention is still subject to taxation, thereby preventing instances of double non-taxation or unintended tax exemptions.</w:t>
      </w:r>
    </w:p>
    <w:p w:rsidR="00000000" w:rsidDel="00000000" w:rsidP="00000000" w:rsidRDefault="00000000" w:rsidRPr="00000000" w14:paraId="00000005">
      <w:pPr>
        <w:numPr>
          <w:ilvl w:val="1"/>
          <w:numId w:val="1"/>
        </w:numPr>
        <w:spacing w:after="280" w:before="280" w:lineRule="auto"/>
        <w:ind w:left="900" w:hanging="360"/>
        <w:rPr>
          <w:b w:val="1"/>
        </w:rPr>
      </w:pPr>
      <w:r w:rsidDel="00000000" w:rsidR="00000000" w:rsidRPr="00000000">
        <w:rPr>
          <w:b w:val="1"/>
          <w:rtl w:val="0"/>
        </w:rPr>
        <w:t xml:space="preserve">Paragraph 1: General Rule</w:t>
      </w:r>
    </w:p>
    <w:p w:rsidR="00000000" w:rsidDel="00000000" w:rsidP="00000000" w:rsidRDefault="00000000" w:rsidRPr="00000000" w14:paraId="00000006">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Paragraph 1 of Article 21 states:</w:t>
      </w:r>
    </w:p>
    <w:p w:rsidR="00000000" w:rsidDel="00000000" w:rsidP="00000000" w:rsidRDefault="00000000" w:rsidRPr="00000000" w14:paraId="00000007">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"Items of income of a resident of a Contracting State, wherever arising, not dealt with in the foregoing Articles of this Convention shall be taxable only in that State."</w:t>
      </w:r>
    </w:p>
    <w:p w:rsidR="00000000" w:rsidDel="00000000" w:rsidP="00000000" w:rsidRDefault="00000000" w:rsidRPr="00000000" w14:paraId="00000008">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provision ensures that any income not specifically addressed by other articles of the OECD MTC is taxed solely by the country of residence. The rationale behind this rule is to provide a clear and straightforward guideline for taxing income that falls outside the scope of other specific articles, thus avoiding ambiguities and potential conflicts between contracting states.</w:t>
      </w:r>
    </w:p>
    <w:p w:rsidR="00000000" w:rsidDel="00000000" w:rsidP="00000000" w:rsidRDefault="00000000" w:rsidRPr="00000000" w14:paraId="00000009">
      <w:pPr>
        <w:numPr>
          <w:ilvl w:val="1"/>
          <w:numId w:val="1"/>
        </w:numPr>
        <w:spacing w:after="280" w:before="280" w:lineRule="auto"/>
        <w:ind w:left="900" w:hanging="360"/>
        <w:rPr>
          <w:b w:val="1"/>
        </w:rPr>
      </w:pPr>
      <w:r w:rsidDel="00000000" w:rsidR="00000000" w:rsidRPr="00000000">
        <w:rPr>
          <w:b w:val="1"/>
          <w:rtl w:val="0"/>
        </w:rPr>
        <w:t xml:space="preserve">Paragraph 2: Exception to the General Rule</w:t>
      </w:r>
    </w:p>
    <w:p w:rsidR="00000000" w:rsidDel="00000000" w:rsidP="00000000" w:rsidRDefault="00000000" w:rsidRPr="00000000" w14:paraId="0000000A">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Paragraph 2 of Article 21 reads:</w:t>
      </w:r>
    </w:p>
    <w:p w:rsidR="00000000" w:rsidDel="00000000" w:rsidP="00000000" w:rsidRDefault="00000000" w:rsidRPr="00000000" w14:paraId="0000000B">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provisions of paragraph 1 shall not apply to income, other than income from immovable property as defined in paragraph 2 of Article 6, if the recipient of such income, being a resident of a Contracting State, carries on business in the other Contracting State through a permanent establishment situated therein and the right or property in respect of which the income is paid is effectively connected with such permanent establishment. In such case the provisions of Article 7 shall apply."</w:t>
      </w:r>
    </w:p>
    <w:p w:rsidR="00000000" w:rsidDel="00000000" w:rsidP="00000000" w:rsidRDefault="00000000" w:rsidRPr="00000000" w14:paraId="0000000C">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exception addresses situations where a resident of one contracting state derives income that is effectively connected to a permanent establishment (PE) in the other contracting state. In such cases, the income is not solely taxed by the country of residence; instead, it is subject to the taxation rules applicable to business profits under Article 7 of the OECD MTC.</w:t>
      </w:r>
    </w:p>
    <w:p w:rsidR="00000000" w:rsidDel="00000000" w:rsidP="00000000" w:rsidRDefault="00000000" w:rsidRPr="00000000" w14:paraId="0000000D">
      <w:pPr>
        <w:pStyle w:val="Heading2"/>
        <w:numPr>
          <w:ilvl w:val="0"/>
          <w:numId w:val="1"/>
        </w:numPr>
        <w:spacing w:after="280" w:before="280" w:lineRule="auto"/>
        <w:ind w:left="720" w:hanging="360"/>
        <w:rPr/>
      </w:pPr>
      <w:bookmarkStart w:colFirst="0" w:colLast="0" w:name="_heading=h.uwg1euai8nud" w:id="2"/>
      <w:bookmarkEnd w:id="2"/>
      <w:r w:rsidDel="00000000" w:rsidR="00000000" w:rsidRPr="00000000">
        <w:rPr>
          <w:rtl w:val="0"/>
        </w:rPr>
        <w:t xml:space="preserve">Application and Interpretation of Article 21</w:t>
      </w:r>
    </w:p>
    <w:p w:rsidR="00000000" w:rsidDel="00000000" w:rsidP="00000000" w:rsidRDefault="00000000" w:rsidRPr="00000000" w14:paraId="0000000E">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of Article 21 involves several key considerations, including the identification of income not covered by other articles, the determination of the country of residence, and the assessment of the connection between income and a permanent establishment. Each of these elements requires careful interpretation to ensure proper implementation of the article's provisions.</w:t>
      </w:r>
    </w:p>
    <w:p w:rsidR="00000000" w:rsidDel="00000000" w:rsidP="00000000" w:rsidRDefault="00000000" w:rsidRPr="00000000" w14:paraId="0000000F">
      <w:pPr>
        <w:numPr>
          <w:ilvl w:val="1"/>
          <w:numId w:val="1"/>
        </w:numPr>
        <w:spacing w:after="280" w:before="280" w:lineRule="auto"/>
        <w:ind w:left="900" w:hanging="360"/>
        <w:rPr>
          <w:b w:val="1"/>
        </w:rPr>
      </w:pPr>
      <w:r w:rsidDel="00000000" w:rsidR="00000000" w:rsidRPr="00000000">
        <w:rPr>
          <w:b w:val="1"/>
          <w:rtl w:val="0"/>
        </w:rPr>
        <w:t xml:space="preserve">Identifying "Other Income"</w:t>
      </w:r>
    </w:p>
    <w:p w:rsidR="00000000" w:rsidDel="00000000" w:rsidP="00000000" w:rsidRDefault="00000000" w:rsidRPr="00000000" w14:paraId="00000010">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scope of "other income" under Article 21 is broad, encompassing all forms of income not explicitly addressed by the preceding articles of the OECD MTC. This includes, but is not limited to, certain types of financial income, miscellaneous receipts, and other non-traditional sources of income. The flexibility of this definition allows Article 21 to serve as a comprehensive catch-all provision, capturing diverse and potentially unforeseen types of income.</w:t>
      </w:r>
    </w:p>
    <w:p w:rsidR="00000000" w:rsidDel="00000000" w:rsidP="00000000" w:rsidRDefault="00000000" w:rsidRPr="00000000" w14:paraId="00000011">
      <w:pPr>
        <w:numPr>
          <w:ilvl w:val="1"/>
          <w:numId w:val="1"/>
        </w:numPr>
        <w:spacing w:after="280" w:before="280" w:lineRule="auto"/>
        <w:ind w:left="900" w:hanging="360"/>
        <w:rPr>
          <w:b w:val="1"/>
        </w:rPr>
      </w:pPr>
      <w:r w:rsidDel="00000000" w:rsidR="00000000" w:rsidRPr="00000000">
        <w:rPr>
          <w:b w:val="1"/>
          <w:rtl w:val="0"/>
        </w:rPr>
        <w:t xml:space="preserve">Determination of the Country of Residence</w:t>
      </w:r>
    </w:p>
    <w:p w:rsidR="00000000" w:rsidDel="00000000" w:rsidP="00000000" w:rsidRDefault="00000000" w:rsidRPr="00000000" w14:paraId="00000012">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purposes of Article 21, determining the country of residence of the income recipient is crucial. The country of residence is responsible for taxing the "other income" unless the exception in Paragraph 2 applies. The OECD MTC provides guidelines for establishing residency, typically based on factors such as the location of the individual's home, the center of vital interests, habitual abode, and nationality. These criteria help ensure that the correct contracting state exercises taxing rights under Article 21.</w:t>
      </w:r>
    </w:p>
    <w:p w:rsidR="00000000" w:rsidDel="00000000" w:rsidP="00000000" w:rsidRDefault="00000000" w:rsidRPr="00000000" w14:paraId="00000013">
      <w:pPr>
        <w:numPr>
          <w:ilvl w:val="1"/>
          <w:numId w:val="1"/>
        </w:numPr>
        <w:spacing w:after="280" w:before="280" w:lineRule="auto"/>
        <w:ind w:left="900" w:hanging="360"/>
        <w:rPr>
          <w:b w:val="1"/>
        </w:rPr>
      </w:pPr>
      <w:r w:rsidDel="00000000" w:rsidR="00000000" w:rsidRPr="00000000">
        <w:rPr>
          <w:b w:val="1"/>
          <w:rtl w:val="0"/>
        </w:rPr>
        <w:t xml:space="preserve">Effective Connection to a Permanent Establishment</w:t>
      </w:r>
    </w:p>
    <w:p w:rsidR="00000000" w:rsidDel="00000000" w:rsidP="00000000" w:rsidRDefault="00000000" w:rsidRPr="00000000" w14:paraId="00000014">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Paragraph 2 introduces the concept of effective connection to a permanent establishment as a basis for taxing "other income" in the source country. This requires a detailed analysis of the relationship between the income and the permanent establishment. The income must be sufficiently connected to the business activities carried out by the PE, which involves examining factors such as the nature of the income, the role of the PE in generating the income, and the extent to which the PE contributes to the income-earning process.</w:t>
      </w:r>
    </w:p>
    <w:p w:rsidR="00000000" w:rsidDel="00000000" w:rsidP="00000000" w:rsidRDefault="00000000" w:rsidRPr="00000000" w14:paraId="00000015">
      <w:pPr>
        <w:pStyle w:val="Heading2"/>
        <w:numPr>
          <w:ilvl w:val="0"/>
          <w:numId w:val="1"/>
        </w:numPr>
        <w:spacing w:after="280" w:before="280" w:lineRule="auto"/>
        <w:ind w:left="720" w:hanging="360"/>
        <w:rPr/>
      </w:pPr>
      <w:bookmarkStart w:colFirst="0" w:colLast="0" w:name="_heading=h.ngbzy6euio0k" w:id="3"/>
      <w:bookmarkEnd w:id="3"/>
      <w:r w:rsidDel="00000000" w:rsidR="00000000" w:rsidRPr="00000000">
        <w:rPr>
          <w:rtl w:val="0"/>
        </w:rPr>
        <w:t xml:space="preserve">Interaction with Other Articles of the OECD MTC</w:t>
      </w:r>
    </w:p>
    <w:p w:rsidR="00000000" w:rsidDel="00000000" w:rsidP="00000000" w:rsidRDefault="00000000" w:rsidRPr="00000000" w14:paraId="00000016">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21's relevance extends beyond its immediate provisions, interacting with other articles of the OECD MTC to create a cohesive and comprehensive framework for international taxation. Understanding these interactions is essential for appreciating the full scope and impact of Article 21.</w:t>
      </w:r>
    </w:p>
    <w:p w:rsidR="00000000" w:rsidDel="00000000" w:rsidP="00000000" w:rsidRDefault="00000000" w:rsidRPr="00000000" w14:paraId="00000017">
      <w:pPr>
        <w:numPr>
          <w:ilvl w:val="1"/>
          <w:numId w:val="1"/>
        </w:numPr>
        <w:spacing w:after="280" w:before="280" w:lineRule="auto"/>
        <w:ind w:left="900" w:hanging="360"/>
        <w:rPr>
          <w:b w:val="1"/>
        </w:rPr>
      </w:pPr>
      <w:r w:rsidDel="00000000" w:rsidR="00000000" w:rsidRPr="00000000">
        <w:rPr>
          <w:b w:val="1"/>
          <w:rtl w:val="0"/>
        </w:rPr>
        <w:t xml:space="preserve">Relationship with Article 7: Business Profits</w:t>
      </w:r>
    </w:p>
    <w:p w:rsidR="00000000" w:rsidDel="00000000" w:rsidP="00000000" w:rsidRDefault="00000000" w:rsidRPr="00000000" w14:paraId="00000018">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exception in Paragraph 2 of Article 21 directly references Article 7, which governs the taxation of business profits. When income is effectively connected to a permanent establishment, Article 7 applies, and the source country gains the right to tax the income as business profits. This interaction ensures that income related to business activities conducted through a PE is taxed appropriately, reflecting the economic reality of the business operations.</w:t>
      </w:r>
    </w:p>
    <w:p w:rsidR="00000000" w:rsidDel="00000000" w:rsidP="00000000" w:rsidRDefault="00000000" w:rsidRPr="00000000" w14:paraId="00000019">
      <w:pPr>
        <w:numPr>
          <w:ilvl w:val="1"/>
          <w:numId w:val="1"/>
        </w:numPr>
        <w:spacing w:after="280" w:before="280" w:lineRule="auto"/>
        <w:ind w:left="900" w:hanging="360"/>
        <w:rPr>
          <w:b w:val="1"/>
        </w:rPr>
      </w:pPr>
      <w:r w:rsidDel="00000000" w:rsidR="00000000" w:rsidRPr="00000000">
        <w:rPr>
          <w:b w:val="1"/>
          <w:rtl w:val="0"/>
        </w:rPr>
        <w:t xml:space="preserve">Interaction with Article 6: Income from Immovable Property</w:t>
      </w:r>
    </w:p>
    <w:p w:rsidR="00000000" w:rsidDel="00000000" w:rsidP="00000000" w:rsidRDefault="00000000" w:rsidRPr="00000000" w14:paraId="0000001A">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Paragraph 2 explicitly excludes income from immovable property as defined in Article 6 from the scope of its exception. This ensures that income from immovable property is consistently taxed under the specific rules of Article 6, regardless of any effective connection to a permanent establishment. This exclusion maintains the integrity of the taxation principles applicable to immovable property, recognizing its unique characteristics and the significance of its location.</w:t>
      </w:r>
    </w:p>
    <w:p w:rsidR="00000000" w:rsidDel="00000000" w:rsidP="00000000" w:rsidRDefault="00000000" w:rsidRPr="00000000" w14:paraId="0000001B">
      <w:pPr>
        <w:numPr>
          <w:ilvl w:val="1"/>
          <w:numId w:val="1"/>
        </w:numPr>
        <w:spacing w:after="280" w:before="280" w:lineRule="auto"/>
        <w:ind w:left="900" w:hanging="360"/>
        <w:rPr>
          <w:b w:val="1"/>
        </w:rPr>
      </w:pPr>
      <w:r w:rsidDel="00000000" w:rsidR="00000000" w:rsidRPr="00000000">
        <w:rPr>
          <w:b w:val="1"/>
          <w:rtl w:val="0"/>
        </w:rPr>
        <w:t xml:space="preserve">Potential Overlaps with Other Articles</w:t>
      </w:r>
    </w:p>
    <w:p w:rsidR="00000000" w:rsidDel="00000000" w:rsidP="00000000" w:rsidRDefault="00000000" w:rsidRPr="00000000" w14:paraId="0000001C">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Article 21 is designed to address income not covered by other articles, potential overlaps can still occur. For instance, certain types of financial income might fall under both Article 11 (Interest) and Article 21, depending on the specific circumstances. In such cases, careful interpretation and application of the relevant articles are necessary to avoid double taxation or unintended tax exemptions. The OECD MTC provides commentary and guidance to assist in resolving these overlaps, ensuring consistent and fair application of the convention's provisions.</w:t>
      </w:r>
    </w:p>
    <w:p w:rsidR="00000000" w:rsidDel="00000000" w:rsidP="00000000" w:rsidRDefault="00000000" w:rsidRPr="00000000" w14:paraId="0000001D">
      <w:pPr>
        <w:pStyle w:val="Heading2"/>
        <w:numPr>
          <w:ilvl w:val="0"/>
          <w:numId w:val="1"/>
        </w:numPr>
        <w:ind w:left="720" w:hanging="360"/>
        <w:rPr/>
      </w:pPr>
      <w:bookmarkStart w:colFirst="0" w:colLast="0" w:name="_heading=h.wbgwsgcessxd" w:id="4"/>
      <w:bookmarkEnd w:id="4"/>
      <w:r w:rsidDel="00000000" w:rsidR="00000000" w:rsidRPr="00000000">
        <w:rPr>
          <w:rtl w:val="0"/>
        </w:rPr>
        <w:t xml:space="preserve">Policy Considerations and Practical Implications</w:t>
      </w:r>
    </w:p>
    <w:p w:rsidR="00000000" w:rsidDel="00000000" w:rsidP="00000000" w:rsidRDefault="00000000" w:rsidRPr="00000000" w14:paraId="0000001E">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relevance of Article 21 extends beyond its technical application, encompassing broader policy considerations and practical implications for taxpayers and tax authorities. These aspects highlight the significance of Article 21 in achieving the overarching goals of the OECD MTC.</w:t>
      </w:r>
    </w:p>
    <w:p w:rsidR="00000000" w:rsidDel="00000000" w:rsidP="00000000" w:rsidRDefault="00000000" w:rsidRPr="00000000" w14:paraId="0000001F">
      <w:pPr>
        <w:numPr>
          <w:ilvl w:val="1"/>
          <w:numId w:val="1"/>
        </w:numPr>
        <w:spacing w:after="280" w:before="280" w:lineRule="auto"/>
        <w:ind w:left="900" w:hanging="360"/>
        <w:rPr>
          <w:b w:val="1"/>
        </w:rPr>
      </w:pPr>
      <w:r w:rsidDel="00000000" w:rsidR="00000000" w:rsidRPr="00000000">
        <w:rPr>
          <w:b w:val="1"/>
          <w:rtl w:val="0"/>
        </w:rPr>
        <w:t xml:space="preserve">Closing Loopholes and Preventing Abuse</w:t>
      </w:r>
    </w:p>
    <w:p w:rsidR="00000000" w:rsidDel="00000000" w:rsidP="00000000" w:rsidRDefault="00000000" w:rsidRPr="00000000" w14:paraId="00000020">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primary policy objectives of Article 21 is to close potential loopholes that could be exploited for tax avoidance or evasion. By providing a catch-all provision for "other income," Article 21 ensures that all forms of income are subject to taxation, regardless of their specific nature or source. This prevents taxpayers from exploiting gaps in the convention to achieve double non-taxation or undue tax advantages, thereby supporting the integrity and fairness of the international tax system.</w:t>
      </w:r>
    </w:p>
    <w:p w:rsidR="00000000" w:rsidDel="00000000" w:rsidP="00000000" w:rsidRDefault="00000000" w:rsidRPr="00000000" w14:paraId="00000021">
      <w:pPr>
        <w:numPr>
          <w:ilvl w:val="1"/>
          <w:numId w:val="1"/>
        </w:numPr>
        <w:spacing w:after="280" w:before="280" w:lineRule="auto"/>
        <w:ind w:left="900" w:hanging="360"/>
        <w:rPr>
          <w:b w:val="1"/>
        </w:rPr>
      </w:pPr>
      <w:r w:rsidDel="00000000" w:rsidR="00000000" w:rsidRPr="00000000">
        <w:rPr>
          <w:b w:val="1"/>
          <w:rtl w:val="0"/>
        </w:rPr>
        <w:t xml:space="preserve">Simplifying Tax Administration</w:t>
      </w:r>
    </w:p>
    <w:p w:rsidR="00000000" w:rsidDel="00000000" w:rsidP="00000000" w:rsidRDefault="00000000" w:rsidRPr="00000000" w14:paraId="00000022">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21 also contributes to the simplification of tax administration for both taxpayers and tax authorities. By establishing clear rules for taxing "other income," the article reduces the complexity and uncertainty associated with income not explicitly covered by other articles. This simplification facilitates compliance for taxpayers, who can rely on straightforward guidelines for reporting and paying taxes on their income. For tax authorities, the clear allocation of taxing rights helps streamline the administration and enforcement of tax laws, reducing disputes and enhancing efficiency.</w:t>
      </w:r>
    </w:p>
    <w:p w:rsidR="00000000" w:rsidDel="00000000" w:rsidP="00000000" w:rsidRDefault="00000000" w:rsidRPr="00000000" w14:paraId="00000023">
      <w:pPr>
        <w:numPr>
          <w:ilvl w:val="1"/>
          <w:numId w:val="1"/>
        </w:numPr>
        <w:spacing w:after="280" w:before="280" w:lineRule="auto"/>
        <w:ind w:left="900" w:hanging="360"/>
        <w:rPr>
          <w:b w:val="1"/>
        </w:rPr>
      </w:pPr>
      <w:r w:rsidDel="00000000" w:rsidR="00000000" w:rsidRPr="00000000">
        <w:rPr>
          <w:b w:val="1"/>
          <w:rtl w:val="0"/>
        </w:rPr>
        <w:t xml:space="preserve">Enhancing Certainty and Predictability</w:t>
      </w:r>
    </w:p>
    <w:p w:rsidR="00000000" w:rsidDel="00000000" w:rsidP="00000000" w:rsidRDefault="00000000" w:rsidRPr="00000000" w14:paraId="00000024">
      <w:pPr>
        <w:rPr/>
      </w:pPr>
      <w:r w:rsidDel="00000000" w:rsidR="00000000" w:rsidRPr="00000000">
        <w:rPr>
          <w:rtl w:val="0"/>
        </w:rPr>
        <w:t xml:space="preserve">In the context of international taxation, certainty and predictability are crucial for both taxpayers and tax authorities. Article 21 enhances these qualities by providing a definitive rule for taxing "other income," thereby reducing ambiguities and potential conflicts between contracting states. This certainty supports long-term planning and decision-making for businesses and individuals engaged in cross-border activities, promoting stability and confidence in the international tax system.</w:t>
      </w:r>
    </w:p>
    <w:p w:rsidR="00000000" w:rsidDel="00000000" w:rsidP="00000000" w:rsidRDefault="00000000" w:rsidRPr="00000000" w14:paraId="00000025">
      <w:pPr>
        <w:numPr>
          <w:ilvl w:val="1"/>
          <w:numId w:val="1"/>
        </w:numPr>
        <w:spacing w:after="280" w:before="280" w:lineRule="auto"/>
        <w:ind w:left="900" w:hanging="360"/>
        <w:rPr>
          <w:b w:val="1"/>
        </w:rPr>
      </w:pPr>
      <w:r w:rsidDel="00000000" w:rsidR="00000000" w:rsidRPr="00000000">
        <w:rPr>
          <w:b w:val="1"/>
          <w:rtl w:val="0"/>
        </w:rPr>
        <w:t xml:space="preserve">Addressing Emerging Forms of Income</w:t>
      </w:r>
    </w:p>
    <w:p w:rsidR="00000000" w:rsidDel="00000000" w:rsidP="00000000" w:rsidRDefault="00000000" w:rsidRPr="00000000" w14:paraId="00000026">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global economy evolves, new forms of income continue to emerge, driven by technological advancements and innovative business models. Article 21's broad and flexible scope allows it to adapt to these changes, capturing income types that may not have been anticipated when the convention was originally drafted. This adaptability ensures that the OECD MTC remains relevant and effective in addressing contemporary tax challenges, providing a robust framework for the taxation of emerging forms of income.</w:t>
      </w:r>
    </w:p>
    <w:p w:rsidR="00000000" w:rsidDel="00000000" w:rsidP="00000000" w:rsidRDefault="00000000" w:rsidRPr="00000000" w14:paraId="00000027">
      <w:pPr>
        <w:pStyle w:val="Heading2"/>
        <w:numPr>
          <w:ilvl w:val="0"/>
          <w:numId w:val="1"/>
        </w:numPr>
        <w:ind w:left="720" w:hanging="360"/>
        <w:rPr/>
      </w:pPr>
      <w:bookmarkStart w:colFirst="0" w:colLast="0" w:name="_heading=h.x9torqkx935t" w:id="5"/>
      <w:bookmarkEnd w:id="5"/>
      <w:r w:rsidDel="00000000" w:rsidR="00000000" w:rsidRPr="00000000">
        <w:rPr>
          <w:rtl w:val="0"/>
        </w:rPr>
        <w:t xml:space="preserve">Case Studies and Examples</w:t>
      </w:r>
    </w:p>
    <w:p w:rsidR="00000000" w:rsidDel="00000000" w:rsidP="00000000" w:rsidRDefault="00000000" w:rsidRPr="00000000" w14:paraId="00000028">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illustrate the practical application and relevance of Article 21, several case studies and examples can be examined. These scenarios highlight the diverse types of "other income" covered by the article and the various factors involved in determining taxing rights.</w:t>
      </w:r>
    </w:p>
    <w:p w:rsidR="00000000" w:rsidDel="00000000" w:rsidP="00000000" w:rsidRDefault="00000000" w:rsidRPr="00000000" w14:paraId="00000029">
      <w:pPr>
        <w:numPr>
          <w:ilvl w:val="1"/>
          <w:numId w:val="1"/>
        </w:numPr>
        <w:spacing w:after="280" w:before="280" w:lineRule="auto"/>
        <w:ind w:left="900" w:hanging="360"/>
        <w:rPr>
          <w:b w:val="1"/>
        </w:rPr>
      </w:pPr>
      <w:r w:rsidDel="00000000" w:rsidR="00000000" w:rsidRPr="00000000">
        <w:rPr>
          <w:b w:val="1"/>
          <w:rtl w:val="0"/>
        </w:rPr>
        <w:t xml:space="preserve">Case Study 1: Digital Services Income</w:t>
      </w:r>
    </w:p>
    <w:p w:rsidR="00000000" w:rsidDel="00000000" w:rsidP="00000000" w:rsidRDefault="00000000" w:rsidRPr="00000000" w14:paraId="0000002A">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 a scenario where a resident of Country A provides digital services to customers in Country B, generating income not explicitly covered by other articles of the OECD MTC. Under Article 21, this income would be taxable only in Country A, the country of residence. However, if the service provider maintains a permanent establishment in Country B, and the income is effectively connected to this PE, the exception in Paragraph 2 would apply. In such a case, the income would be taxed in Country B as business profits under Article 7.</w:t>
      </w:r>
    </w:p>
    <w:p w:rsidR="00000000" w:rsidDel="00000000" w:rsidP="00000000" w:rsidRDefault="00000000" w:rsidRPr="00000000" w14:paraId="0000002B">
      <w:pPr>
        <w:numPr>
          <w:ilvl w:val="1"/>
          <w:numId w:val="1"/>
        </w:numPr>
        <w:spacing w:after="280" w:before="280" w:lineRule="auto"/>
        <w:ind w:left="900" w:hanging="360"/>
        <w:rPr>
          <w:b w:val="1"/>
        </w:rPr>
      </w:pPr>
      <w:r w:rsidDel="00000000" w:rsidR="00000000" w:rsidRPr="00000000">
        <w:rPr>
          <w:b w:val="1"/>
          <w:rtl w:val="0"/>
        </w:rPr>
        <w:t xml:space="preserve">Case Study 2: Lottery Winnings</w:t>
      </w:r>
    </w:p>
    <w:p w:rsidR="00000000" w:rsidDel="00000000" w:rsidP="00000000" w:rsidRDefault="00000000" w:rsidRPr="00000000" w14:paraId="0000002C">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Lottery winnings represent another form of income not specifically addressed by other articles of the OECD MTC. If a resident of Country A wins a lottery in Country B, the general rule of Article 21 would apply, taxing the winnings only in Country A. This straightforward application underscores the catch-all nature of Article 21, ensuring that miscellaneous income types are subject to taxation by the country of residence.</w:t>
      </w:r>
    </w:p>
    <w:p w:rsidR="00000000" w:rsidDel="00000000" w:rsidP="00000000" w:rsidRDefault="00000000" w:rsidRPr="00000000" w14:paraId="0000002D">
      <w:pPr>
        <w:numPr>
          <w:ilvl w:val="1"/>
          <w:numId w:val="1"/>
        </w:numPr>
        <w:spacing w:after="280" w:before="280" w:lineRule="auto"/>
        <w:ind w:left="900" w:hanging="360"/>
        <w:rPr>
          <w:b w:val="1"/>
        </w:rPr>
      </w:pPr>
      <w:r w:rsidDel="00000000" w:rsidR="00000000" w:rsidRPr="00000000">
        <w:rPr>
          <w:b w:val="1"/>
          <w:rtl w:val="0"/>
        </w:rPr>
        <w:t xml:space="preserve">Case Study 3: Royalties from Intangible Assets</w:t>
      </w:r>
    </w:p>
    <w:p w:rsidR="00000000" w:rsidDel="00000000" w:rsidP="00000000" w:rsidRDefault="00000000" w:rsidRPr="00000000" w14:paraId="0000002E">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royalties are generally covered by Article 12 of the OECD MTC, certain types of royalties might fall outside its scope, particularly those related to emerging intangible assets. In such cases, Article 21 would come into play, providing a basis for taxing these royalties in the country of residence. If the royalties are effectively connected to a permanent establishment in the source country, the exception in Paragraph 2 would again apply, subjecting the income to taxation under Article 7.</w:t>
      </w:r>
    </w:p>
    <w:p w:rsidR="00000000" w:rsidDel="00000000" w:rsidP="00000000" w:rsidRDefault="00000000" w:rsidRPr="00000000" w14:paraId="0000002F">
      <w:pPr>
        <w:pStyle w:val="Heading2"/>
        <w:numPr>
          <w:ilvl w:val="0"/>
          <w:numId w:val="1"/>
        </w:numPr>
        <w:ind w:left="720" w:hanging="360"/>
        <w:rPr/>
      </w:pPr>
      <w:bookmarkStart w:colFirst="0" w:colLast="0" w:name="_heading=h.676u03te1vn5" w:id="6"/>
      <w:bookmarkEnd w:id="6"/>
      <w:r w:rsidDel="00000000" w:rsidR="00000000" w:rsidRPr="00000000">
        <w:rPr>
          <w:rtl w:val="0"/>
        </w:rPr>
        <w:t xml:space="preserve">Comparison of Article 21 of the OECD MTC 2017 and UN MTC 2021</w:t>
      </w:r>
    </w:p>
    <w:p w:rsidR="00000000" w:rsidDel="00000000" w:rsidP="00000000" w:rsidRDefault="00000000" w:rsidRPr="00000000" w14:paraId="00000030">
      <w:pPr>
        <w:numPr>
          <w:ilvl w:val="1"/>
          <w:numId w:val="1"/>
        </w:numPr>
        <w:spacing w:after="280" w:lineRule="auto"/>
        <w:ind w:left="900" w:hanging="360"/>
        <w:rPr>
          <w:b w:val="1"/>
        </w:rPr>
      </w:pPr>
      <w:r w:rsidDel="00000000" w:rsidR="00000000" w:rsidRPr="00000000">
        <w:rPr>
          <w:b w:val="1"/>
          <w:rtl w:val="0"/>
        </w:rPr>
        <w:t xml:space="preserve">Scope of paragraph 2:</w:t>
      </w:r>
    </w:p>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OECD MTC excludes income from independent personal services performed through a fixed base. While, the UN MDTC includes income from independent personal services performed through a fixed base.</w:t>
      </w:r>
    </w:p>
    <w:p w:rsidR="00000000" w:rsidDel="00000000" w:rsidP="00000000" w:rsidRDefault="00000000" w:rsidRPr="00000000" w14:paraId="00000032">
      <w:pPr>
        <w:numPr>
          <w:ilvl w:val="1"/>
          <w:numId w:val="1"/>
        </w:numPr>
        <w:spacing w:after="280" w:before="280" w:lineRule="auto"/>
        <w:ind w:left="900" w:hanging="360"/>
        <w:rPr>
          <w:b w:val="1"/>
        </w:rPr>
      </w:pPr>
      <w:r w:rsidDel="00000000" w:rsidR="00000000" w:rsidRPr="00000000">
        <w:rPr>
          <w:b w:val="1"/>
          <w:rtl w:val="0"/>
        </w:rPr>
        <w:t xml:space="preserve">Application of other Articles:</w:t>
      </w:r>
    </w:p>
    <w:p w:rsidR="00000000" w:rsidDel="00000000" w:rsidP="00000000" w:rsidRDefault="00000000" w:rsidRPr="00000000" w14:paraId="0000003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b w:val="1"/>
          <w:sz w:val="24"/>
          <w:szCs w:val="24"/>
          <w:rtl w:val="0"/>
        </w:rPr>
        <w:t xml:space="preserve">OECD MTC:</w:t>
      </w:r>
      <w:r w:rsidDel="00000000" w:rsidR="00000000" w:rsidRPr="00000000">
        <w:rPr>
          <w:rFonts w:ascii="Times New Roman" w:cs="Times New Roman" w:eastAsia="Times New Roman" w:hAnsi="Times New Roman"/>
          <w:sz w:val="24"/>
          <w:szCs w:val="24"/>
          <w:rtl w:val="0"/>
        </w:rPr>
        <w:t xml:space="preserve"> In cases where paragraph 2 applies, only Article 7 (Business Profits) is referenced.</w:t>
      </w:r>
    </w:p>
    <w:p w:rsidR="00000000" w:rsidDel="00000000" w:rsidP="00000000" w:rsidRDefault="00000000" w:rsidRPr="00000000" w14:paraId="0000003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b w:val="1"/>
          <w:sz w:val="24"/>
          <w:szCs w:val="24"/>
          <w:rtl w:val="0"/>
        </w:rPr>
        <w:t xml:space="preserve">UN MDTC</w:t>
      </w:r>
      <w:r w:rsidDel="00000000" w:rsidR="00000000" w:rsidRPr="00000000">
        <w:rPr>
          <w:rFonts w:ascii="Times New Roman" w:cs="Times New Roman" w:eastAsia="Times New Roman" w:hAnsi="Times New Roman"/>
          <w:sz w:val="24"/>
          <w:szCs w:val="24"/>
          <w:rtl w:val="0"/>
        </w:rPr>
        <w:t xml:space="preserve">: In cases where paragraph 2 applies, both Article 7 (Business Profits) and Article 14 (Independent Personal Services) are referenced.</w:t>
      </w:r>
      <w:r w:rsidDel="00000000" w:rsidR="00000000" w:rsidRPr="00000000">
        <w:rPr>
          <w:rtl w:val="0"/>
        </w:rPr>
      </w:r>
    </w:p>
    <w:sectPr>
      <w:head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sz w:val="24"/>
        <w:szCs w:val="24"/>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GB"/>
      </w:rPr>
    </w:rPrDefault>
    <w:pPrDefault>
      <w:pPr>
        <w:spacing w:after="280" w:before="28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ind w:left="360"/>
    </w:pPr>
    <w:rPr>
      <w:rFonts w:ascii="Times New Roman" w:cs="Times New Roman" w:eastAsia="Times New Roman" w:hAnsi="Times New Roman"/>
      <w:b w:val="1"/>
      <w:sz w:val="28"/>
      <w:szCs w:val="28"/>
    </w:rPr>
  </w:style>
  <w:style w:type="paragraph" w:styleId="Heading2">
    <w:name w:val="heading 2"/>
    <w:basedOn w:val="Normal"/>
    <w:next w:val="Normal"/>
    <w:pPr>
      <w:keepNext w:val="1"/>
      <w:keepLines w:val="1"/>
      <w:spacing w:after="80" w:before="160" w:lineRule="auto"/>
      <w:ind w:left="450" w:hanging="435"/>
      <w:jc w:val="both"/>
    </w:pPr>
    <w:rPr>
      <w:rFonts w:ascii="Times New Roman" w:cs="Times New Roman" w:eastAsia="Times New Roman" w:hAnsi="Times New Roman"/>
      <w:b w:val="1"/>
      <w:sz w:val="27"/>
      <w:szCs w:val="27"/>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jc w:val="center"/>
    </w:pPr>
    <w:rPr>
      <w:rFonts w:ascii="Times New Roman" w:cs="Times New Roman" w:eastAsia="Times New Roman" w:hAnsi="Times New Roman"/>
      <w:b w:val="1"/>
      <w:sz w:val="32"/>
      <w:szCs w:val="3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F825EB"/>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unhideWhenUsed w:val="1"/>
    <w:qFormat w:val="1"/>
    <w:rsid w:val="00F825EB"/>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unhideWhenUsed w:val="1"/>
    <w:qFormat w:val="1"/>
    <w:rsid w:val="00F825EB"/>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F825EB"/>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F825EB"/>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F825EB"/>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F825EB"/>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F825EB"/>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F825EB"/>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F825EB"/>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F825EB"/>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F825EB"/>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F825EB"/>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F825EB"/>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F825EB"/>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F825EB"/>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F825EB"/>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F825EB"/>
    <w:rPr>
      <w:rFonts w:cstheme="majorBidi" w:eastAsiaTheme="majorEastAsia"/>
      <w:color w:val="272727" w:themeColor="text1" w:themeTint="0000D8"/>
    </w:rPr>
  </w:style>
  <w:style w:type="paragraph" w:styleId="Title">
    <w:name w:val="Title"/>
    <w:basedOn w:val="Normal"/>
    <w:next w:val="Normal"/>
    <w:link w:val="TitleChar"/>
    <w:uiPriority w:val="10"/>
    <w:qFormat w:val="1"/>
    <w:rsid w:val="00F825EB"/>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F825EB"/>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F825EB"/>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F825EB"/>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F825EB"/>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F825EB"/>
    <w:rPr>
      <w:i w:val="1"/>
      <w:iCs w:val="1"/>
      <w:color w:val="404040" w:themeColor="text1" w:themeTint="0000BF"/>
    </w:rPr>
  </w:style>
  <w:style w:type="paragraph" w:styleId="ListParagraph">
    <w:name w:val="List Paragraph"/>
    <w:basedOn w:val="Normal"/>
    <w:uiPriority w:val="34"/>
    <w:qFormat w:val="1"/>
    <w:rsid w:val="00F825EB"/>
    <w:pPr>
      <w:ind w:left="720"/>
      <w:contextualSpacing w:val="1"/>
    </w:pPr>
  </w:style>
  <w:style w:type="character" w:styleId="IntenseEmphasis">
    <w:name w:val="Intense Emphasis"/>
    <w:basedOn w:val="DefaultParagraphFont"/>
    <w:uiPriority w:val="21"/>
    <w:qFormat w:val="1"/>
    <w:rsid w:val="00F825EB"/>
    <w:rPr>
      <w:i w:val="1"/>
      <w:iCs w:val="1"/>
      <w:color w:val="0f4761" w:themeColor="accent1" w:themeShade="0000BF"/>
    </w:rPr>
  </w:style>
  <w:style w:type="paragraph" w:styleId="IntenseQuote">
    <w:name w:val="Intense Quote"/>
    <w:basedOn w:val="Normal"/>
    <w:next w:val="Normal"/>
    <w:link w:val="IntenseQuoteChar"/>
    <w:uiPriority w:val="30"/>
    <w:qFormat w:val="1"/>
    <w:rsid w:val="00F825EB"/>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F825EB"/>
    <w:rPr>
      <w:i w:val="1"/>
      <w:iCs w:val="1"/>
      <w:color w:val="0f4761" w:themeColor="accent1" w:themeShade="0000BF"/>
    </w:rPr>
  </w:style>
  <w:style w:type="character" w:styleId="IntenseReference">
    <w:name w:val="Intense Reference"/>
    <w:basedOn w:val="DefaultParagraphFont"/>
    <w:uiPriority w:val="32"/>
    <w:qFormat w:val="1"/>
    <w:rsid w:val="00F825EB"/>
    <w:rPr>
      <w:b w:val="1"/>
      <w:bCs w:val="1"/>
      <w:smallCaps w:val="1"/>
      <w:color w:val="0f4761" w:themeColor="accent1" w:themeShade="0000BF"/>
      <w:spacing w:val="5"/>
    </w:rPr>
  </w:style>
  <w:style w:type="paragraph" w:styleId="NormalWeb">
    <w:name w:val="Normal (Web)"/>
    <w:basedOn w:val="Normal"/>
    <w:uiPriority w:val="99"/>
    <w:semiHidden w:val="1"/>
    <w:unhideWhenUsed w:val="1"/>
    <w:rsid w:val="00F825EB"/>
    <w:pPr>
      <w:spacing w:after="100" w:afterAutospacing="1" w:before="100" w:beforeAutospacing="1" w:line="240" w:lineRule="auto"/>
    </w:pPr>
    <w:rPr>
      <w:rFonts w:ascii="Times New Roman" w:cs="Times New Roman" w:eastAsia="Times New Roman" w:hAnsi="Times New Roman"/>
      <w:kern w:val="0"/>
      <w:lang w:eastAsia="en-GB"/>
    </w:rPr>
  </w:style>
  <w:style w:type="paragraph" w:styleId="Subtitle">
    <w:name w:val="Subtitle"/>
    <w:basedOn w:val="Normal"/>
    <w:next w:val="Normal"/>
    <w:pPr/>
    <w:rPr>
      <w:color w:val="595959"/>
      <w:sz w:val="28"/>
      <w:szCs w:val="28"/>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pZmCR6ugPiS/jua3nuU1EKJ1oA==">CgMxLjAyDmguaDVxaXFhOHQxbG5tMg5oLjlnZHF1eG42cDRpeDIOaC51d2cxZXVhaThudWQyDmgubmdienk2ZXVpbzBrMg5oLndiZ3dzZ2Nlc3N4ZDIOaC54OXRvcnFreDkzNXQyDmguNjc2dTAzdGUxdm41OAByITFKRElrTEpsYjlta2RfM3FkaDRMS3JGUDEzdUNWTXFUbw==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2024-07-25T22:31:00Z</dcterms:created>
  <dc:creator>Munachiso Ogu-Jude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f8d6a986-090c-4ec5-bd9a-da36420567e1</vt:lpwstr>
  </property>
</Properties>
</file>