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f5496"/>
          <w:sz w:val="24"/>
          <w:szCs w:val="24"/>
          <w:u w:val="none"/>
          <w:shd w:fill="auto" w:val="clear"/>
          <w:vertAlign w:val="baseline"/>
          <w:rtl w:val="0"/>
        </w:rPr>
        <w:t xml:space="preserve">Contents</w:t>
      </w:r>
    </w:p>
    <w:sdt>
      <w:sdtPr>
        <w:id w:val="764630364"/>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L.1. APPROACHES TO THE MISUSE OF DTCS</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Treaty Shopping</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85frjro3st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Hybrid Mismatch Arrangements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ps3hwjch1eu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Dividend Stripping</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n68b0cfyfr8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Round-Tripping</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4asrz2lzzm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Permanent Establishment</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L.2. ABUSE OF LAW DOCTRINES AND DTCS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drfllroyb6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Abuse of Law Doctrines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2o80b78zii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The Relationship Between Abuse of Law Doctrines and DTCs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ev5q6kj3lp2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Practical Applications and Examples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x4ccqyce9b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Recent Developments and BEPS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L.3. STATE PRACTICE WITH RESPECT TO LIMITATION OF BENEFIT PROVISIONS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hyperlink>
          <w:hyperlink w:anchor="_heading=h.26in1r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United States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kskzqlotyr9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European Union</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xmz3xk09f6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India</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d60z0b9whjc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Canada</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2u1jrkea2a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Other Jurisdictions</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40zgdjtp229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L.4. BEPS ACTION 6: TREATY ABUSE</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The Problem of Treaty Abuse and Treaty Shopping</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aa0xo4vtlj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The Solutions Provided by Action 6</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ee2eijjl8b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Flexibility in Implementation</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L.5. ARTICLES 1 AND 29: PERSONS COVERED AND ENTITLEMENT TO BENEFITS</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Article 1: Scope of Persons Covered</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hv6df7rd994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Article 29: Anti-Abuse Provisions</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qvufj1867j9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Interaction Between Articles 1 and 29</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bb60nexviiy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Evolution of Article 29 Under the BEPS Framework</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ulusefx1p92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The Future of Treaty Entitlement and Tax Planning</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dgdr3zvyb15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Comparison of Article 1 and 29 of the OECD MTC 2017 and UN MTC 2021</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jc w:val="center"/>
        <w:rPr/>
      </w:pPr>
      <w:bookmarkStart w:colFirst="0" w:colLast="0" w:name="_heading=h.tpfjc0qvycbu" w:id="0"/>
      <w:bookmarkEnd w:id="0"/>
      <w:r w:rsidDel="00000000" w:rsidR="00000000" w:rsidRPr="00000000">
        <w:rPr>
          <w:rtl w:val="0"/>
        </w:rPr>
        <w:t xml:space="preserve">L. LIMITATION OF BENEFIT PROVISIONS</w:t>
      </w:r>
    </w:p>
    <w:p w:rsidR="00000000" w:rsidDel="00000000" w:rsidP="00000000" w:rsidRDefault="00000000" w:rsidRPr="00000000" w14:paraId="00000021">
      <w:pPr>
        <w:pStyle w:val="Heading1"/>
        <w:spacing w:after="200" w:lineRule="auto"/>
        <w:rPr/>
      </w:pPr>
      <w:bookmarkStart w:colFirst="0" w:colLast="0" w:name="_heading=h.gjdgxs" w:id="1"/>
      <w:bookmarkEnd w:id="1"/>
      <w:r w:rsidDel="00000000" w:rsidR="00000000" w:rsidRPr="00000000">
        <w:rPr>
          <w:rtl w:val="0"/>
        </w:rPr>
        <w:t xml:space="preserve">L.1. APPROACHES TO THE MISUSE OF DTCS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Taxation Conventions (DTCs), or Double Taxation Agreements (DTAs), are treaties between two or more states to prevent the same income from being taxed twice. Double Tax Conventions (DTCs) which aim to encourage cross-border trade and investment by offering relief from double taxation are often misused in facilitating tax evasion and tax avoidance. Several methods, including treaty shopping, hybrid mismatch arrangements, dividend stripping, round-tripping, and the misuse of digital Permanent Establishment (PE) rules, have been identified as avenues through which DTCs are misused.</w:t>
      </w:r>
    </w:p>
    <w:p w:rsidR="00000000" w:rsidDel="00000000" w:rsidP="00000000" w:rsidRDefault="00000000" w:rsidRPr="00000000" w14:paraId="00000023">
      <w:pPr>
        <w:pStyle w:val="Heading2"/>
        <w:numPr>
          <w:ilvl w:val="0"/>
          <w:numId w:val="6"/>
        </w:numPr>
        <w:ind w:left="720" w:hanging="360"/>
        <w:rPr/>
      </w:pPr>
      <w:bookmarkStart w:colFirst="0" w:colLast="0" w:name="_heading=h.30j0zll" w:id="2"/>
      <w:bookmarkEnd w:id="2"/>
      <w:r w:rsidDel="00000000" w:rsidR="00000000" w:rsidRPr="00000000">
        <w:rPr>
          <w:rtl w:val="0"/>
        </w:rPr>
        <w:t xml:space="preserve">Treaty Shopping</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Treaty shopping refers to the practice where entities exploit DTCs by structuring their operations to benefit from more favorable tax treaties between countries in which they do not conduct significant economic activities. Essentially, businesses “shop” for a treaty jurisdiction that provides the lowest tax burden or best tax advantages, often through intermediary entities.</w:t>
      </w:r>
    </w:p>
    <w:p w:rsidR="00000000" w:rsidDel="00000000" w:rsidP="00000000" w:rsidRDefault="00000000" w:rsidRPr="00000000" w14:paraId="00000025">
      <w:pPr>
        <w:numPr>
          <w:ilvl w:val="1"/>
          <w:numId w:val="6"/>
        </w:numPr>
        <w:ind w:left="81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Relevant Treaty Articles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Treaty shopping primarily targets </w:t>
      </w:r>
      <w:r w:rsidDel="00000000" w:rsidR="00000000" w:rsidRPr="00000000">
        <w:rPr>
          <w:rFonts w:ascii="Times New Roman" w:cs="Times New Roman" w:eastAsia="Times New Roman" w:hAnsi="Times New Roman"/>
          <w:b w:val="1"/>
          <w:sz w:val="24"/>
          <w:szCs w:val="24"/>
          <w:rtl w:val="0"/>
        </w:rPr>
        <w:t xml:space="preserve">Article 1 (Persons Covered)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Article 4 (Resident)</w:t>
      </w:r>
      <w:r w:rsidDel="00000000" w:rsidR="00000000" w:rsidRPr="00000000">
        <w:rPr>
          <w:rFonts w:ascii="Times New Roman" w:cs="Times New Roman" w:eastAsia="Times New Roman" w:hAnsi="Times New Roman"/>
          <w:sz w:val="24"/>
          <w:szCs w:val="24"/>
          <w:rtl w:val="0"/>
        </w:rPr>
        <w:t xml:space="preserve"> of the OECD Model Tax Convention. Article 1 defines who is entitled to the benefits of the tax treaty, while Article 4 focuses on residency, a key determinant of whether a taxpayer is eligible for treaty benefits.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commonly used method of treaty shopping involves setting up an intermediary entity in a jurisdiction with favorable tax treaties. For example, a company based in a high-tax country may establish a subsidiary in a country with low tax rates and an extensive DTC network. This subsidiary, though only serving as a conduit, would channel income to reduce the overall tax liability.</w:t>
      </w:r>
    </w:p>
    <w:p w:rsidR="00000000" w:rsidDel="00000000" w:rsidP="00000000" w:rsidRDefault="00000000" w:rsidRPr="00000000" w14:paraId="00000028">
      <w:pPr>
        <w:numPr>
          <w:ilvl w:val="1"/>
          <w:numId w:val="6"/>
        </w:numPr>
        <w:ind w:left="81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OECD and UN Measures to Eliminate Treaty Shopping</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w:t>
      </w:r>
      <w:r w:rsidDel="00000000" w:rsidR="00000000" w:rsidRPr="00000000">
        <w:rPr>
          <w:rFonts w:ascii="Times New Roman" w:cs="Times New Roman" w:eastAsia="Times New Roman" w:hAnsi="Times New Roman"/>
          <w:b w:val="1"/>
          <w:sz w:val="24"/>
          <w:szCs w:val="24"/>
          <w:rtl w:val="0"/>
        </w:rPr>
        <w:t xml:space="preserve">Base Erosion and Profit Shifting (BEPS) Action Plan</w:t>
      </w:r>
      <w:r w:rsidDel="00000000" w:rsidR="00000000" w:rsidRPr="00000000">
        <w:rPr>
          <w:rFonts w:ascii="Times New Roman" w:cs="Times New Roman" w:eastAsia="Times New Roman" w:hAnsi="Times New Roman"/>
          <w:sz w:val="24"/>
          <w:szCs w:val="24"/>
          <w:rtl w:val="0"/>
        </w:rPr>
        <w:t xml:space="preserve">, particularly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(“Preventing the Granting of Treaty Benefits in Inappropriate Circumstances”), addresses treaty shopping. The main tool introduced by Action 6 is the </w:t>
      </w: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Fonts w:ascii="Times New Roman" w:cs="Times New Roman" w:eastAsia="Times New Roman" w:hAnsi="Times New Roman"/>
          <w:sz w:val="24"/>
          <w:szCs w:val="24"/>
          <w:rtl w:val="0"/>
        </w:rPr>
        <w:t xml:space="preserve">, which denies treaty benefits if obtaining such benefits was one of the principal purposes of a transaction or arrangement.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t>
      </w:r>
      <w:r w:rsidDel="00000000" w:rsidR="00000000" w:rsidRPr="00000000">
        <w:rPr>
          <w:rFonts w:ascii="Times New Roman" w:cs="Times New Roman" w:eastAsia="Times New Roman" w:hAnsi="Times New Roman"/>
          <w:b w:val="1"/>
          <w:sz w:val="24"/>
          <w:szCs w:val="24"/>
          <w:rtl w:val="0"/>
        </w:rPr>
        <w:t xml:space="preserve">Limitation on Benefits (LOB) provisions</w:t>
      </w:r>
      <w:r w:rsidDel="00000000" w:rsidR="00000000" w:rsidRPr="00000000">
        <w:rPr>
          <w:rFonts w:ascii="Times New Roman" w:cs="Times New Roman" w:eastAsia="Times New Roman" w:hAnsi="Times New Roman"/>
          <w:sz w:val="24"/>
          <w:szCs w:val="24"/>
          <w:rtl w:val="0"/>
        </w:rPr>
        <w:t xml:space="preserve"> have been incorporated into several DTCs to limit treaty benefits to entities that genuinely engage in substantial business activities in a jurisdiction. The LOB provisions aim to prevent conduit companies from accessing treaty benefits.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Multilateral Instrument (MLI)</w:t>
      </w:r>
      <w:r w:rsidDel="00000000" w:rsidR="00000000" w:rsidRPr="00000000">
        <w:rPr>
          <w:rFonts w:ascii="Times New Roman" w:cs="Times New Roman" w:eastAsia="Times New Roman" w:hAnsi="Times New Roman"/>
          <w:sz w:val="24"/>
          <w:szCs w:val="24"/>
          <w:rtl w:val="0"/>
        </w:rPr>
        <w:t xml:space="preserve">, implemented under BEPS Action 15, allows countries to modify their existing DTCs to prevent treaty shopping without the need to renegotiate each treaty individually. The MLI includes both PPT and LOB provisions as standard anti-abuse measures.</w:t>
      </w:r>
    </w:p>
    <w:p w:rsidR="00000000" w:rsidDel="00000000" w:rsidP="00000000" w:rsidRDefault="00000000" w:rsidRPr="00000000" w14:paraId="0000002C">
      <w:pPr>
        <w:numPr>
          <w:ilvl w:val="1"/>
          <w:numId w:val="6"/>
        </w:numPr>
        <w:ind w:left="81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State Measures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have taken individual steps to curb treaty shopping. For example, the </w:t>
      </w:r>
      <w:r w:rsidDel="00000000" w:rsidR="00000000" w:rsidRPr="00000000">
        <w:rPr>
          <w:rFonts w:ascii="Times New Roman" w:cs="Times New Roman" w:eastAsia="Times New Roman" w:hAnsi="Times New Roman"/>
          <w:b w:val="1"/>
          <w:sz w:val="24"/>
          <w:szCs w:val="24"/>
          <w:rtl w:val="0"/>
        </w:rPr>
        <w:t xml:space="preserve">United States</w:t>
      </w:r>
      <w:r w:rsidDel="00000000" w:rsidR="00000000" w:rsidRPr="00000000">
        <w:rPr>
          <w:rFonts w:ascii="Times New Roman" w:cs="Times New Roman" w:eastAsia="Times New Roman" w:hAnsi="Times New Roman"/>
          <w:sz w:val="24"/>
          <w:szCs w:val="24"/>
          <w:rtl w:val="0"/>
        </w:rPr>
        <w:t xml:space="preserve"> has incorporated comprehensive LOB clauses in its treaties, ensuring that only genuine residents can benefit from DTC provisions. India, similarly, has tightened its treaty with Mauritius, which was historically used for treaty shopping, by requiring companies to have substantial presence and economic activity in Mauritius to qualify for treaty benefits.</w:t>
      </w:r>
    </w:p>
    <w:p w:rsidR="00000000" w:rsidDel="00000000" w:rsidP="00000000" w:rsidRDefault="00000000" w:rsidRPr="00000000" w14:paraId="0000002E">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285frjro3stk" w:id="3"/>
      <w:bookmarkEnd w:id="3"/>
      <w:r w:rsidDel="00000000" w:rsidR="00000000" w:rsidRPr="00000000">
        <w:rPr>
          <w:rtl w:val="0"/>
        </w:rPr>
        <w:t xml:space="preserve">Hybrid Mismatch Arrangements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mismatch arrangements exploit differences in the tax treatment of entities or financial instruments between two or more jurisdictions, leading to situations where income is either not taxed at all (double non-taxation) or is subject to reduced tax rates. Hybrid mismatches often arise from the differing treatment of debt and equity, transparent and opaque entities, or variations in characterizations of payments.</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Relevant Treaty Articles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mismatches are typically not directly addressed by specific DTC articles, but they exploit inconsistencies between tax laws of different jurisdictions. These arrangements might take advantage of </w:t>
      </w:r>
      <w:r w:rsidDel="00000000" w:rsidR="00000000" w:rsidRPr="00000000">
        <w:rPr>
          <w:rFonts w:ascii="Times New Roman" w:cs="Times New Roman" w:eastAsia="Times New Roman" w:hAnsi="Times New Roman"/>
          <w:b w:val="1"/>
          <w:sz w:val="24"/>
          <w:szCs w:val="24"/>
          <w:rtl w:val="0"/>
        </w:rPr>
        <w:t xml:space="preserve">Article 2 (Taxes Covered)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Article 11 (Interest)</w:t>
      </w:r>
      <w:r w:rsidDel="00000000" w:rsidR="00000000" w:rsidRPr="00000000">
        <w:rPr>
          <w:rFonts w:ascii="Times New Roman" w:cs="Times New Roman" w:eastAsia="Times New Roman" w:hAnsi="Times New Roman"/>
          <w:sz w:val="24"/>
          <w:szCs w:val="24"/>
          <w:rtl w:val="0"/>
        </w:rPr>
        <w:t xml:space="preserve"> of DTCs. Article 2 outlines the taxes covered under a DTC, while Article 11 provides rules for taxing interest, which hybrid instruments frequently exploit by being treated as debt in one jurisdiction and equity in another.</w:t>
      </w:r>
    </w:p>
    <w:p w:rsidR="00000000" w:rsidDel="00000000" w:rsidP="00000000" w:rsidRDefault="00000000" w:rsidRPr="00000000" w14:paraId="000000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OECD and UN Measures to Eliminate Hybrid Mismatches</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BEPS </w:t>
      </w:r>
      <w:r w:rsidDel="00000000" w:rsidR="00000000" w:rsidRPr="00000000">
        <w:rPr>
          <w:rFonts w:ascii="Times New Roman" w:cs="Times New Roman" w:eastAsia="Times New Roman" w:hAnsi="Times New Roman"/>
          <w:b w:val="1"/>
          <w:sz w:val="24"/>
          <w:szCs w:val="24"/>
          <w:rtl w:val="0"/>
        </w:rPr>
        <w:t xml:space="preserve">Action 2</w:t>
      </w:r>
      <w:r w:rsidDel="00000000" w:rsidR="00000000" w:rsidRPr="00000000">
        <w:rPr>
          <w:rFonts w:ascii="Times New Roman" w:cs="Times New Roman" w:eastAsia="Times New Roman" w:hAnsi="Times New Roman"/>
          <w:sz w:val="24"/>
          <w:szCs w:val="24"/>
          <w:rtl w:val="0"/>
        </w:rPr>
        <w:t xml:space="preserve"> (“Neutralizing the Effects of Hybrid Mismatch Arrangements”) introduces recommendations to counter hybrid mismatches. The OECD suggests that countries amend their domestic laws to align the tax treatment of hybrid instruments and entities, reducing the opportunities for MNEs to exploit mismatches.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OECD's Hybrid Mismatch Rules</w:t>
      </w:r>
      <w:r w:rsidDel="00000000" w:rsidR="00000000" w:rsidRPr="00000000">
        <w:rPr>
          <w:rFonts w:ascii="Times New Roman" w:cs="Times New Roman" w:eastAsia="Times New Roman" w:hAnsi="Times New Roman"/>
          <w:sz w:val="24"/>
          <w:szCs w:val="24"/>
          <w:rtl w:val="0"/>
        </w:rPr>
        <w:t xml:space="preserve"> (HMR) propose that countries adopt defensive measures such as disallowing deductions for payments that are not taxed in the recipient's jurisdiction or denying treaty benefits for hybrid entities. These rules can be implemented via bilateral DTCs or domestic law changes.</w:t>
      </w:r>
    </w:p>
    <w:p w:rsidR="00000000" w:rsidDel="00000000" w:rsidP="00000000" w:rsidRDefault="00000000" w:rsidRPr="00000000" w14:paraId="0000003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State Measures</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 for instance, has introduced legislation under its </w:t>
      </w:r>
      <w:r w:rsidDel="00000000" w:rsidR="00000000" w:rsidRPr="00000000">
        <w:rPr>
          <w:rFonts w:ascii="Times New Roman" w:cs="Times New Roman" w:eastAsia="Times New Roman" w:hAnsi="Times New Roman"/>
          <w:b w:val="1"/>
          <w:sz w:val="24"/>
          <w:szCs w:val="24"/>
          <w:rtl w:val="0"/>
        </w:rPr>
        <w:t xml:space="preserve">Multinational Anti-Avoidance Law (MAAL)</w:t>
      </w:r>
      <w:r w:rsidDel="00000000" w:rsidR="00000000" w:rsidRPr="00000000">
        <w:rPr>
          <w:rFonts w:ascii="Times New Roman" w:cs="Times New Roman" w:eastAsia="Times New Roman" w:hAnsi="Times New Roman"/>
          <w:sz w:val="24"/>
          <w:szCs w:val="24"/>
          <w:rtl w:val="0"/>
        </w:rPr>
        <w:t xml:space="preserve"> that specifically targets hybrid mismatches. The UK and New Zealand have also adopted BEPS-aligned hybrid mismatch rules to counter such tax avoidance strategies. These rules ensure that the tax outcomes of financial instruments or entities are consistent across jurisdictions, thereby eliminating the tax advantages that hybrid mismatch arrangements provide.</w:t>
      </w:r>
    </w:p>
    <w:p w:rsidR="00000000" w:rsidDel="00000000" w:rsidP="00000000" w:rsidRDefault="00000000" w:rsidRPr="00000000" w14:paraId="00000037">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ps3hwjch1eun" w:id="4"/>
      <w:bookmarkEnd w:id="4"/>
      <w:r w:rsidDel="00000000" w:rsidR="00000000" w:rsidRPr="00000000">
        <w:rPr>
          <w:rtl w:val="0"/>
        </w:rPr>
        <w:t xml:space="preserve">Dividend Stripping</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Dividend stripping involves the transfer of shares or ownership rights in a company just before a dividend is paid, with the aim of reducing or eliminating the tax burden on dividends. This technique is often used to convert taxable dividend income into capital gains, which may be taxed at a lower rate or may qualify for exemptions under a DTC.</w:t>
      </w:r>
    </w:p>
    <w:p w:rsidR="00000000" w:rsidDel="00000000" w:rsidP="00000000" w:rsidRDefault="00000000" w:rsidRPr="00000000" w14:paraId="000000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Relevant Treaty Articles</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Dividend stripping exploits </w:t>
      </w:r>
      <w:r w:rsidDel="00000000" w:rsidR="00000000" w:rsidRPr="00000000">
        <w:rPr>
          <w:rFonts w:ascii="Times New Roman" w:cs="Times New Roman" w:eastAsia="Times New Roman" w:hAnsi="Times New Roman"/>
          <w:b w:val="1"/>
          <w:sz w:val="24"/>
          <w:szCs w:val="24"/>
          <w:rtl w:val="0"/>
        </w:rPr>
        <w:t xml:space="preserve">Article 10 (Dividends)</w:t>
      </w:r>
      <w:r w:rsidDel="00000000" w:rsidR="00000000" w:rsidRPr="00000000">
        <w:rPr>
          <w:rFonts w:ascii="Times New Roman" w:cs="Times New Roman" w:eastAsia="Times New Roman" w:hAnsi="Times New Roman"/>
          <w:sz w:val="24"/>
          <w:szCs w:val="24"/>
          <w:rtl w:val="0"/>
        </w:rPr>
        <w:t xml:space="preserve"> of DTCs, which provides rules for the taxation of dividend income. Article 10 typically limits the withholding tax rate on dividends paid to residents of a contracting state. In dividend stripping schemes, companies exploit this article to reduce withholding taxes or convert dividends into more tax-efficient income streams.</w:t>
      </w:r>
    </w:p>
    <w:p w:rsidR="00000000" w:rsidDel="00000000" w:rsidP="00000000" w:rsidRDefault="00000000" w:rsidRPr="00000000" w14:paraId="0000003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OECD and UN Measures to Eliminate Dividend Stripping</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OECD’s BEPS Action 6</w:t>
      </w:r>
      <w:r w:rsidDel="00000000" w:rsidR="00000000" w:rsidRPr="00000000">
        <w:rPr>
          <w:rFonts w:ascii="Times New Roman" w:cs="Times New Roman" w:eastAsia="Times New Roman" w:hAnsi="Times New Roman"/>
          <w:sz w:val="24"/>
          <w:szCs w:val="24"/>
          <w:rtl w:val="0"/>
        </w:rPr>
        <w:t xml:space="preserve"> addresses dividend stripping by discouraging treaty abuse. The PPT and LOB provisions prevent entities from claiming treaty benefits for dividend payments when the principal purpose of the transaction is to obtain tax benefits. The MLI also incorporates provisions that deny treaty benefits for dividend stripping arrangements.</w:t>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State Measures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such as </w:t>
      </w:r>
      <w:r w:rsidDel="00000000" w:rsidR="00000000" w:rsidRPr="00000000">
        <w:rPr>
          <w:rFonts w:ascii="Times New Roman" w:cs="Times New Roman" w:eastAsia="Times New Roman" w:hAnsi="Times New Roman"/>
          <w:b w:val="1"/>
          <w:sz w:val="24"/>
          <w:szCs w:val="24"/>
          <w:rtl w:val="0"/>
        </w:rPr>
        <w:t xml:space="preserve">Germany</w:t>
      </w:r>
      <w:r w:rsidDel="00000000" w:rsidR="00000000" w:rsidRPr="00000000">
        <w:rPr>
          <w:rFonts w:ascii="Times New Roman" w:cs="Times New Roman" w:eastAsia="Times New Roman" w:hAnsi="Times New Roman"/>
          <w:sz w:val="24"/>
          <w:szCs w:val="24"/>
          <w:rtl w:val="0"/>
        </w:rPr>
        <w:t xml:space="preserve"> have introduced anti-dividend stripping rules that deny the tax advantages of dividend stripping transactions. Germany’s </w:t>
      </w:r>
      <w:r w:rsidDel="00000000" w:rsidR="00000000" w:rsidRPr="00000000">
        <w:rPr>
          <w:rFonts w:ascii="Times New Roman" w:cs="Times New Roman" w:eastAsia="Times New Roman" w:hAnsi="Times New Roman"/>
          <w:b w:val="1"/>
          <w:sz w:val="24"/>
          <w:szCs w:val="24"/>
          <w:rtl w:val="0"/>
        </w:rPr>
        <w:t xml:space="preserve">Section 50d(3) of the Income Tax Act</w:t>
      </w:r>
      <w:r w:rsidDel="00000000" w:rsidR="00000000" w:rsidRPr="00000000">
        <w:rPr>
          <w:rFonts w:ascii="Times New Roman" w:cs="Times New Roman" w:eastAsia="Times New Roman" w:hAnsi="Times New Roman"/>
          <w:sz w:val="24"/>
          <w:szCs w:val="24"/>
          <w:rtl w:val="0"/>
        </w:rPr>
        <w:t xml:space="preserve"> ensures that only shareholders who own shares for a minimum holding period before the dividend distribution can benefit from reduced tax rates. Other countries, like the UK, have introduced similar anti-avoidance provisions to prevent the misuse of DTCs in dividend stripping schemes.</w:t>
      </w:r>
    </w:p>
    <w:p w:rsidR="00000000" w:rsidDel="00000000" w:rsidP="00000000" w:rsidRDefault="00000000" w:rsidRPr="00000000" w14:paraId="0000003F">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n68b0cfyfr8j" w:id="5"/>
      <w:bookmarkEnd w:id="5"/>
      <w:r w:rsidDel="00000000" w:rsidR="00000000" w:rsidRPr="00000000">
        <w:rPr>
          <w:rtl w:val="0"/>
        </w:rPr>
        <w:t xml:space="preserve">Round-Tripping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Round-tripping refers to the process where domestic capital is routed through a foreign jurisdiction and then returned to the original country as foreign investment, often to benefit from DTC provisions, lower tax rates, or other incentives offered to foreign investors. This practice distorts genuine foreign direct investment (FDI) figures and undermines the integrity of tax systems.</w:t>
      </w:r>
    </w:p>
    <w:p w:rsidR="00000000" w:rsidDel="00000000" w:rsidP="00000000" w:rsidRDefault="00000000" w:rsidRPr="00000000" w14:paraId="000000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Relevant Treaty Articles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Round-tripping typically takes advantage of </w:t>
      </w:r>
      <w:r w:rsidDel="00000000" w:rsidR="00000000" w:rsidRPr="00000000">
        <w:rPr>
          <w:rFonts w:ascii="Times New Roman" w:cs="Times New Roman" w:eastAsia="Times New Roman" w:hAnsi="Times New Roman"/>
          <w:b w:val="1"/>
          <w:sz w:val="24"/>
          <w:szCs w:val="24"/>
          <w:rtl w:val="0"/>
        </w:rPr>
        <w:t xml:space="preserve">Article 13 (Capital Gains)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Article 10 (Dividends)</w:t>
      </w:r>
      <w:r w:rsidDel="00000000" w:rsidR="00000000" w:rsidRPr="00000000">
        <w:rPr>
          <w:rFonts w:ascii="Times New Roman" w:cs="Times New Roman" w:eastAsia="Times New Roman" w:hAnsi="Times New Roman"/>
          <w:sz w:val="24"/>
          <w:szCs w:val="24"/>
          <w:rtl w:val="0"/>
        </w:rPr>
        <w:t xml:space="preserve"> in DTCs. These articles allow for reduced tax rates or exemptions on capital gains and dividends, which are exploited when domestic capital is funneled through foreign entities that are mere conduits.</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OECD and UN Measures to Eliminate Round-Tripping</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UN Model Double Taxation Convention</w:t>
      </w:r>
      <w:r w:rsidDel="00000000" w:rsidR="00000000" w:rsidRPr="00000000">
        <w:rPr>
          <w:rFonts w:ascii="Times New Roman" w:cs="Times New Roman" w:eastAsia="Times New Roman" w:hAnsi="Times New Roman"/>
          <w:sz w:val="24"/>
          <w:szCs w:val="24"/>
          <w:rtl w:val="0"/>
        </w:rPr>
        <w:t xml:space="preserve"> includes provisions that prevent round-tripping. In particular, the </w:t>
      </w:r>
      <w:r w:rsidDel="00000000" w:rsidR="00000000" w:rsidRPr="00000000">
        <w:rPr>
          <w:rFonts w:ascii="Times New Roman" w:cs="Times New Roman" w:eastAsia="Times New Roman" w:hAnsi="Times New Roman"/>
          <w:b w:val="1"/>
          <w:sz w:val="24"/>
          <w:szCs w:val="24"/>
          <w:rtl w:val="0"/>
        </w:rPr>
        <w:t xml:space="preserve">anti-abuse clauses</w:t>
      </w:r>
      <w:r w:rsidDel="00000000" w:rsidR="00000000" w:rsidRPr="00000000">
        <w:rPr>
          <w:rFonts w:ascii="Times New Roman" w:cs="Times New Roman" w:eastAsia="Times New Roman" w:hAnsi="Times New Roman"/>
          <w:sz w:val="24"/>
          <w:szCs w:val="24"/>
          <w:rtl w:val="0"/>
        </w:rPr>
        <w:t xml:space="preserve"> ensure that the benefits of a DTC cannot be claimed by entities that are set up primarily to take advantage of such treaties without substantial economic activity in the jurisdiction.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BEPS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also targets round-tripping by incorporating PPTs and LOB clauses, ensuring that treaty benefits are only granted to entities with real economic substance in the foreign jurisdiction.</w:t>
      </w:r>
    </w:p>
    <w:p w:rsidR="00000000" w:rsidDel="00000000" w:rsidP="00000000" w:rsidRDefault="00000000" w:rsidRPr="00000000" w14:paraId="0000004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State Measures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is a notable example of a country that has implemented measures to curb round-tripping. It renegotiated its DTC with </w:t>
      </w:r>
      <w:r w:rsidDel="00000000" w:rsidR="00000000" w:rsidRPr="00000000">
        <w:rPr>
          <w:rFonts w:ascii="Times New Roman" w:cs="Times New Roman" w:eastAsia="Times New Roman" w:hAnsi="Times New Roman"/>
          <w:b w:val="1"/>
          <w:sz w:val="24"/>
          <w:szCs w:val="24"/>
          <w:rtl w:val="0"/>
        </w:rPr>
        <w:t xml:space="preserve">Mauritius</w:t>
      </w:r>
      <w:r w:rsidDel="00000000" w:rsidR="00000000" w:rsidRPr="00000000">
        <w:rPr>
          <w:rFonts w:ascii="Times New Roman" w:cs="Times New Roman" w:eastAsia="Times New Roman" w:hAnsi="Times New Roman"/>
          <w:sz w:val="24"/>
          <w:szCs w:val="24"/>
          <w:rtl w:val="0"/>
        </w:rPr>
        <w:t xml:space="preserve"> in 2016, introducing provisions that deny tax treaty benefits for capital gains earned by shell companies with no substantial presence in Mauritius. Similar renegotiations with other jurisdictions, such as Cyprus and Singapore, have aimed to prevent round-tripping through these treaty partners.</w:t>
      </w:r>
    </w:p>
    <w:p w:rsidR="00000000" w:rsidDel="00000000" w:rsidP="00000000" w:rsidRDefault="00000000" w:rsidRPr="00000000" w14:paraId="00000048">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m4asrz2lzzmo" w:id="6"/>
      <w:bookmarkEnd w:id="6"/>
      <w:r w:rsidDel="00000000" w:rsidR="00000000" w:rsidRPr="00000000">
        <w:rPr>
          <w:rtl w:val="0"/>
        </w:rPr>
        <w:t xml:space="preserve">Permanent Establishment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w:t>
      </w:r>
      <w:r w:rsidDel="00000000" w:rsidR="00000000" w:rsidRPr="00000000">
        <w:rPr>
          <w:rFonts w:ascii="Times New Roman" w:cs="Times New Roman" w:eastAsia="Times New Roman" w:hAnsi="Times New Roman"/>
          <w:b w:val="1"/>
          <w:sz w:val="24"/>
          <w:szCs w:val="24"/>
          <w:rtl w:val="0"/>
        </w:rPr>
        <w:t xml:space="preserve">Permanent Establishment (PE)</w:t>
      </w:r>
      <w:r w:rsidDel="00000000" w:rsidR="00000000" w:rsidRPr="00000000">
        <w:rPr>
          <w:rFonts w:ascii="Times New Roman" w:cs="Times New Roman" w:eastAsia="Times New Roman" w:hAnsi="Times New Roman"/>
          <w:sz w:val="24"/>
          <w:szCs w:val="24"/>
          <w:rtl w:val="0"/>
        </w:rPr>
        <w:t xml:space="preserve"> is central to determining whether a business has sufficient presence in a country to be taxed on its income there. Traditional PE definitions require a physical presence, but the rise of the digital economy has led to businesses generating significant profits in jurisdictions without any physical presence, leading to challenges in taxing these profits.</w:t>
      </w:r>
    </w:p>
    <w:p w:rsidR="00000000" w:rsidDel="00000000" w:rsidP="00000000" w:rsidRDefault="00000000" w:rsidRPr="00000000" w14:paraId="0000004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Relevant Treaty Articles</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5 (Permanent Establishment)</w:t>
      </w:r>
      <w:r w:rsidDel="00000000" w:rsidR="00000000" w:rsidRPr="00000000">
        <w:rPr>
          <w:rFonts w:ascii="Times New Roman" w:cs="Times New Roman" w:eastAsia="Times New Roman" w:hAnsi="Times New Roman"/>
          <w:sz w:val="24"/>
          <w:szCs w:val="24"/>
          <w:rtl w:val="0"/>
        </w:rPr>
        <w:t xml:space="preserve"> of the OECD Model Tax Convention defines the concept of PE. However, digital businesses often avoid PE status by not maintaining a physical presence in a jurisdiction. As a result, the current definition of PE does not adequately capture the realities of the digital economy, where businesses can generate income through digital platforms without a substantial physical presence.</w:t>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OECD and UN Measures to Address Digital PE</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w:t>
      </w:r>
      <w:r w:rsidDel="00000000" w:rsidR="00000000" w:rsidRPr="00000000">
        <w:rPr>
          <w:rFonts w:ascii="Times New Roman" w:cs="Times New Roman" w:eastAsia="Times New Roman" w:hAnsi="Times New Roman"/>
          <w:b w:val="1"/>
          <w:sz w:val="24"/>
          <w:szCs w:val="24"/>
          <w:rtl w:val="0"/>
        </w:rPr>
        <w:t xml:space="preserve">BEPS Action 7</w:t>
      </w:r>
      <w:r w:rsidDel="00000000" w:rsidR="00000000" w:rsidRPr="00000000">
        <w:rPr>
          <w:rFonts w:ascii="Times New Roman" w:cs="Times New Roman" w:eastAsia="Times New Roman" w:hAnsi="Times New Roman"/>
          <w:sz w:val="24"/>
          <w:szCs w:val="24"/>
          <w:rtl w:val="0"/>
        </w:rPr>
        <w:t xml:space="preserve"> (“Preventing the Artificial Avoidance of PE Status”) focuses on expanding the definition of PE to include digital businesses. This action plan includes measures to ensure that companies cannot avoid PE status by fragmenting their operations across multiple jurisdictions or through commissionaire arrangements.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 digital economy’s challenges, the OECD has also developed the </w:t>
      </w:r>
      <w:r w:rsidDel="00000000" w:rsidR="00000000" w:rsidRPr="00000000">
        <w:rPr>
          <w:rFonts w:ascii="Times New Roman" w:cs="Times New Roman" w:eastAsia="Times New Roman" w:hAnsi="Times New Roman"/>
          <w:b w:val="1"/>
          <w:sz w:val="24"/>
          <w:szCs w:val="24"/>
          <w:rtl w:val="0"/>
        </w:rPr>
        <w:t xml:space="preserve">Pillar One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Pillar Two</w:t>
      </w:r>
      <w:r w:rsidDel="00000000" w:rsidR="00000000" w:rsidRPr="00000000">
        <w:rPr>
          <w:rFonts w:ascii="Times New Roman" w:cs="Times New Roman" w:eastAsia="Times New Roman" w:hAnsi="Times New Roman"/>
          <w:sz w:val="24"/>
          <w:szCs w:val="24"/>
          <w:rtl w:val="0"/>
        </w:rPr>
        <w:t xml:space="preserve"> frameworks. </w:t>
      </w:r>
      <w:r w:rsidDel="00000000" w:rsidR="00000000" w:rsidRPr="00000000">
        <w:rPr>
          <w:rFonts w:ascii="Times New Roman" w:cs="Times New Roman" w:eastAsia="Times New Roman" w:hAnsi="Times New Roman"/>
          <w:b w:val="1"/>
          <w:sz w:val="24"/>
          <w:szCs w:val="24"/>
          <w:rtl w:val="0"/>
        </w:rPr>
        <w:t xml:space="preserve">Pillar One</w:t>
      </w:r>
      <w:r w:rsidDel="00000000" w:rsidR="00000000" w:rsidRPr="00000000">
        <w:rPr>
          <w:rFonts w:ascii="Times New Roman" w:cs="Times New Roman" w:eastAsia="Times New Roman" w:hAnsi="Times New Roman"/>
          <w:sz w:val="24"/>
          <w:szCs w:val="24"/>
          <w:rtl w:val="0"/>
        </w:rPr>
        <w:t xml:space="preserve"> proposes a new taxing right, allocating profits to market jurisdictions where users are located, even if the business does not have a physical presence. </w:t>
      </w:r>
      <w:r w:rsidDel="00000000" w:rsidR="00000000" w:rsidRPr="00000000">
        <w:rPr>
          <w:rFonts w:ascii="Times New Roman" w:cs="Times New Roman" w:eastAsia="Times New Roman" w:hAnsi="Times New Roman"/>
          <w:b w:val="1"/>
          <w:sz w:val="24"/>
          <w:szCs w:val="24"/>
          <w:rtl w:val="0"/>
        </w:rPr>
        <w:t xml:space="preserve">Pillar Two</w:t>
      </w:r>
      <w:r w:rsidDel="00000000" w:rsidR="00000000" w:rsidRPr="00000000">
        <w:rPr>
          <w:rFonts w:ascii="Times New Roman" w:cs="Times New Roman" w:eastAsia="Times New Roman" w:hAnsi="Times New Roman"/>
          <w:sz w:val="24"/>
          <w:szCs w:val="24"/>
          <w:rtl w:val="0"/>
        </w:rPr>
        <w:t xml:space="preserve"> introduces a global minimum tax, ensuring that digital companies pay a minimum level of tax regardless of where they operate.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UN Model Tax Convention</w:t>
      </w:r>
      <w:r w:rsidDel="00000000" w:rsidR="00000000" w:rsidRPr="00000000">
        <w:rPr>
          <w:rFonts w:ascii="Times New Roman" w:cs="Times New Roman" w:eastAsia="Times New Roman" w:hAnsi="Times New Roman"/>
          <w:sz w:val="24"/>
          <w:szCs w:val="24"/>
          <w:rtl w:val="0"/>
        </w:rPr>
        <w:t xml:space="preserve"> is also evolving to address digital PE issues, with proposals for a “significant economic presence” test that would allow countries to tax businesses based on their digital engagement within their borders.</w:t>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State Measures and the Future of Digital PE</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countries have unilaterally introduced </w:t>
      </w:r>
      <w:r w:rsidDel="00000000" w:rsidR="00000000" w:rsidRPr="00000000">
        <w:rPr>
          <w:rFonts w:ascii="Times New Roman" w:cs="Times New Roman" w:eastAsia="Times New Roman" w:hAnsi="Times New Roman"/>
          <w:b w:val="1"/>
          <w:sz w:val="24"/>
          <w:szCs w:val="24"/>
          <w:rtl w:val="0"/>
        </w:rPr>
        <w:t xml:space="preserve">digital services taxes (DSTs)</w:t>
      </w:r>
      <w:r w:rsidDel="00000000" w:rsidR="00000000" w:rsidRPr="00000000">
        <w:rPr>
          <w:rFonts w:ascii="Times New Roman" w:cs="Times New Roman" w:eastAsia="Times New Roman" w:hAnsi="Times New Roman"/>
          <w:sz w:val="24"/>
          <w:szCs w:val="24"/>
          <w:rtl w:val="0"/>
        </w:rPr>
        <w:t xml:space="preserve"> to tax digital businesses that operate within their borders without a physical presence. </w:t>
      </w:r>
      <w:r w:rsidDel="00000000" w:rsidR="00000000" w:rsidRPr="00000000">
        <w:rPr>
          <w:rFonts w:ascii="Times New Roman" w:cs="Times New Roman" w:eastAsia="Times New Roman" w:hAnsi="Times New Roman"/>
          <w:b w:val="1"/>
          <w:sz w:val="24"/>
          <w:szCs w:val="24"/>
          <w:rtl w:val="0"/>
        </w:rPr>
        <w:t xml:space="preserve">France</w:t>
      </w:r>
      <w:r w:rsidDel="00000000" w:rsidR="00000000" w:rsidRPr="00000000">
        <w:rPr>
          <w:rFonts w:ascii="Times New Roman" w:cs="Times New Roman" w:eastAsia="Times New Roman" w:hAnsi="Times New Roman"/>
          <w:sz w:val="24"/>
          <w:szCs w:val="24"/>
          <w:rtl w:val="0"/>
        </w:rPr>
        <w:t xml:space="preserve">, for instance, has implemented a DST that targets large tech companies generating revenue from digital activities within the country. Similarly, </w:t>
      </w:r>
      <w:r w:rsidDel="00000000" w:rsidR="00000000" w:rsidRPr="00000000">
        <w:rPr>
          <w:rFonts w:ascii="Times New Roman" w:cs="Times New Roman" w:eastAsia="Times New Roman" w:hAnsi="Times New Roman"/>
          <w:b w:val="1"/>
          <w:sz w:val="24"/>
          <w:szCs w:val="24"/>
          <w:rtl w:val="0"/>
        </w:rPr>
        <w:t xml:space="preserve">India’s Equalization Levy</w:t>
      </w:r>
      <w:r w:rsidDel="00000000" w:rsidR="00000000" w:rsidRPr="00000000">
        <w:rPr>
          <w:rFonts w:ascii="Times New Roman" w:cs="Times New Roman" w:eastAsia="Times New Roman" w:hAnsi="Times New Roman"/>
          <w:sz w:val="24"/>
          <w:szCs w:val="24"/>
          <w:rtl w:val="0"/>
        </w:rPr>
        <w:t xml:space="preserve"> imposes a tax on online advertising services provided by non-resident companies.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Looking to the future, the global tax landscape for digital businesses is likely to change significantly with the implementation of the </w:t>
      </w:r>
      <w:r w:rsidDel="00000000" w:rsidR="00000000" w:rsidRPr="00000000">
        <w:rPr>
          <w:rFonts w:ascii="Times New Roman" w:cs="Times New Roman" w:eastAsia="Times New Roman" w:hAnsi="Times New Roman"/>
          <w:b w:val="1"/>
          <w:sz w:val="24"/>
          <w:szCs w:val="24"/>
          <w:rtl w:val="0"/>
        </w:rPr>
        <w:t xml:space="preserve">OECD’s Pillar One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Pillar Two</w:t>
      </w:r>
      <w:r w:rsidDel="00000000" w:rsidR="00000000" w:rsidRPr="00000000">
        <w:rPr>
          <w:rFonts w:ascii="Times New Roman" w:cs="Times New Roman" w:eastAsia="Times New Roman" w:hAnsi="Times New Roman"/>
          <w:sz w:val="24"/>
          <w:szCs w:val="24"/>
          <w:rtl w:val="0"/>
        </w:rPr>
        <w:t xml:space="preserve"> frameworks. These frameworks are expected to harmonize global tax rules and reduce the opportunities for digital businesses to avoid taxes by exploiting gaps in PE definitions.</w:t>
      </w:r>
      <w:r w:rsidDel="00000000" w:rsidR="00000000" w:rsidRPr="00000000">
        <w:rPr>
          <w:rtl w:val="0"/>
        </w:rPr>
      </w:r>
    </w:p>
    <w:p w:rsidR="00000000" w:rsidDel="00000000" w:rsidP="00000000" w:rsidRDefault="00000000" w:rsidRPr="00000000" w14:paraId="00000053">
      <w:pPr>
        <w:pStyle w:val="Heading1"/>
        <w:rPr/>
      </w:pPr>
      <w:bookmarkStart w:colFirst="0" w:colLast="0" w:name="_heading=h.3dy6vkm" w:id="7"/>
      <w:bookmarkEnd w:id="7"/>
      <w:r w:rsidDel="00000000" w:rsidR="00000000" w:rsidRPr="00000000">
        <w:rPr>
          <w:rtl w:val="0"/>
        </w:rPr>
        <w:t xml:space="preserve">L.2. ABUSE OF LAW DOCTRINES AND DTCS</w:t>
      </w:r>
    </w:p>
    <w:p w:rsidR="00000000" w:rsidDel="00000000" w:rsidP="00000000" w:rsidRDefault="00000000" w:rsidRPr="00000000" w14:paraId="00000054">
      <w:pPr>
        <w:pStyle w:val="Heading2"/>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1drfllroyb65" w:id="8"/>
      <w:bookmarkEnd w:id="8"/>
      <w:r w:rsidDel="00000000" w:rsidR="00000000" w:rsidRPr="00000000">
        <w:rPr>
          <w:rtl w:val="0"/>
        </w:rPr>
        <w:t xml:space="preserve">Abuse of Law Doctrines</w:t>
      </w:r>
    </w:p>
    <w:p w:rsidR="00000000" w:rsidDel="00000000" w:rsidP="00000000" w:rsidRDefault="00000000" w:rsidRPr="00000000" w14:paraId="00000055">
      <w:pPr>
        <w:numPr>
          <w:ilvl w:val="1"/>
          <w:numId w:val="15"/>
        </w:numPr>
        <w:ind w:left="81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Concept of Abuse in Tax Law:</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"abuse of law" refers to situations where taxpayers exploit legal frameworks, particularly Double Taxation Conventions (DTCs), to achieve an unintended tax advantage. The OECD defines this as behaviors designed to take advantage of DTCs in ways contrary to the object and purpose of the treaties, especially when such schemes reduce tax obligations across jurisdictions.</w:t>
      </w:r>
    </w:p>
    <w:p w:rsidR="00000000" w:rsidDel="00000000" w:rsidP="00000000" w:rsidRDefault="00000000" w:rsidRPr="00000000" w14:paraId="0000005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Main Doctrines: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Substance Over Form:</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"substance over form" principle dictates that the true economic nature of a transaction should determine its tax treatment, not the legal form it takes. In international tax, the principle is applied to counter tax avoidance schemes that, while adhering to the letter of the law, manipulate transactions in a way that obscures their true economic substance. In relation to DTCs, this doctrine helps prevent taxpayers from structuring transactions in such a way that they artificially reduce tax liabilities by taking advantage of legal formalities.</w:t>
      </w:r>
    </w:p>
    <w:p w:rsidR="00000000" w:rsidDel="00000000" w:rsidP="00000000" w:rsidRDefault="00000000" w:rsidRPr="00000000" w14:paraId="0000005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Anti-Avoidance Rules (GAAR and SAAR):</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authorities have developed General Anti-Avoidance Rules (GAAR) and Specific Anti-Avoidance Rules (SAAR) to combat abuse of DTCs. GAAR addresses broader, systemic avoidance schemes that undermine the intent of tax laws, while SAAR targets specific, identified strategies. GAAR focuses on the overall purpose of a transaction—if the primary objective is tax avoidance, the tax benefits may be denied. SAARs, on the other hand, target particular behaviors, such as treaty shopping or abusive transfer pricing, that exploit specific loopholes within tax legislation.</w:t>
      </w:r>
    </w:p>
    <w:p w:rsidR="00000000" w:rsidDel="00000000" w:rsidP="00000000" w:rsidRDefault="00000000" w:rsidRPr="00000000" w14:paraId="0000005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Treaty Shopping:</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Treaty shopping refers to the practice of structuring cross-border transactions to take advantage of more favorable tax treaties in jurisdictions where the taxpayer may not have substantive economic activities. Companies or individuals route income through intermediary countries solely to benefit from reduced withholding taxes or other benefits provided by DTCs.</w:t>
      </w:r>
    </w:p>
    <w:p w:rsidR="00000000" w:rsidDel="00000000" w:rsidP="00000000" w:rsidRDefault="00000000" w:rsidRPr="00000000" w14:paraId="0000005E">
      <w:pPr>
        <w:pStyle w:val="Heading2"/>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s2o80b78ziip" w:id="9"/>
      <w:bookmarkEnd w:id="9"/>
      <w:r w:rsidDel="00000000" w:rsidR="00000000" w:rsidRPr="00000000">
        <w:rPr>
          <w:rtl w:val="0"/>
        </w:rPr>
        <w:t xml:space="preserve">The Relationship Between Abuse of Law Doctrines and DTCs</w:t>
      </w:r>
    </w:p>
    <w:p w:rsidR="00000000" w:rsidDel="00000000" w:rsidP="00000000" w:rsidRDefault="00000000" w:rsidRPr="00000000" w14:paraId="0000005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The Abuse of DTCs:</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DTCs are designed to eliminate double taxation by assigning taxing rights between two jurisdictions. However, some taxpayers exploit these treaties for unintended benefits through treaty shopping or by artificially shifting profits. This undermines the spirit of DTCs, which aim to prevent both double taxation and double non-taxation, ensuring fair allocation of tax rights based on genuine economic activity.</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Treaty shopping is a classic example where multinational enterprises (MNEs) exploit DTCs by creating entities in jurisdictions with favorable tax treaties. These entities often lack substantial business operations or economic substance, and are merely used to route income in a way that reduces the overall tax burden.</w:t>
      </w:r>
    </w:p>
    <w:p w:rsidR="00000000" w:rsidDel="00000000" w:rsidP="00000000" w:rsidRDefault="00000000" w:rsidRPr="00000000" w14:paraId="0000006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OECD Guidance: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Base Erosion and Profit Shifting (BEPS) Initiative:</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BEPS project aims to combat abusive tax planning practices, including the abuse of DTCs. BEPS Action 6, specifically, is directed at preventing the granting of treaty benefits in inappropriate circumstances. It introduces measures such as the Principal Purpose Test (PPT) and Limitation on Benefits (LOB) clauses to prevent treaty shopping and other forms of DTC abuse. The OECD guidelines emphasize the importance of ensuring that DTC benefits are only available for genuine business operations and not for artificial arrangements designed to avoid tax​.</w:t>
      </w:r>
    </w:p>
    <w:p w:rsidR="00000000" w:rsidDel="00000000" w:rsidP="00000000" w:rsidRDefault="00000000" w:rsidRPr="00000000" w14:paraId="0000006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Principal Purpose Test (PPT):</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PPT is a crucial anti-abuse provision introduced in the 2017 OECD Model Tax Convention, aimed at denying treaty benefits if one of the principal purposes of a transaction is to obtain a tax advantage contrary to the object and purpose of the DTC. Under the PPT, if a transaction or arrangement is primarily designed to obtain tax benefits, those benefits may be denied even if the taxpayer complies with the formal requirements of the DTC.</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PPT has been widely adopted, particularly through the Multilateral Instrument (MLI), which allows countries to quickly amend their DTCs to include anti-abuse provisions such as the PPT. The PPT helps tax authorities identify and prevent abusive arrangements, ensuring that tax treaties are applied in line with their intended purposes.</w:t>
      </w:r>
    </w:p>
    <w:p w:rsidR="00000000" w:rsidDel="00000000" w:rsidP="00000000" w:rsidRDefault="00000000" w:rsidRPr="00000000" w14:paraId="0000006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Judicial Interpretations:</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have played a significant role in shaping the application of abuse of law doctrines in the context of DTCs. In several landmark cases, courts have reinforced the importance of economic substance over legal form and upheld anti-abuse provisions. For example, the European Court of Justice (ECJ) has developed the "abuse of law" principle in cases like </w:t>
      </w:r>
      <w:r w:rsidDel="00000000" w:rsidR="00000000" w:rsidRPr="00000000">
        <w:rPr>
          <w:rFonts w:ascii="Times New Roman" w:cs="Times New Roman" w:eastAsia="Times New Roman" w:hAnsi="Times New Roman"/>
          <w:i w:val="1"/>
          <w:sz w:val="24"/>
          <w:szCs w:val="24"/>
          <w:rtl w:val="0"/>
        </w:rPr>
        <w:t xml:space="preserve">Cadbury Schweppes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Danish Beneficial Ownership</w:t>
      </w:r>
      <w:r w:rsidDel="00000000" w:rsidR="00000000" w:rsidRPr="00000000">
        <w:rPr>
          <w:rFonts w:ascii="Times New Roman" w:cs="Times New Roman" w:eastAsia="Times New Roman" w:hAnsi="Times New Roman"/>
          <w:sz w:val="24"/>
          <w:szCs w:val="24"/>
          <w:rtl w:val="0"/>
        </w:rPr>
        <w:t xml:space="preserve">, where it ruled that taxpayers cannot artificially exploit DTCs if the main purpose of the transaction is to avoid taxes.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have often ruled in favor of applying substance over form in cases where taxpayers use treaty benefits in ways that contravene the object and purpose of the tax treaty. The judicial approach emphasizes that treaty benefits should only be available when transactions reflect genuine economic activity rather than schemes designed to evade taxes.</w:t>
      </w:r>
    </w:p>
    <w:p w:rsidR="00000000" w:rsidDel="00000000" w:rsidP="00000000" w:rsidRDefault="00000000" w:rsidRPr="00000000" w14:paraId="0000006B">
      <w:pPr>
        <w:pStyle w:val="Heading2"/>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ev5q6kj3lp26" w:id="10"/>
      <w:bookmarkEnd w:id="10"/>
      <w:r w:rsidDel="00000000" w:rsidR="00000000" w:rsidRPr="00000000">
        <w:rPr>
          <w:sz w:val="27"/>
          <w:szCs w:val="27"/>
          <w:rtl w:val="0"/>
        </w:rPr>
        <w:t xml:space="preserve">Practical</w:t>
      </w:r>
      <w:r w:rsidDel="00000000" w:rsidR="00000000" w:rsidRPr="00000000">
        <w:rPr>
          <w:rtl w:val="0"/>
        </w:rPr>
        <w:t xml:space="preserve"> Applications and Examples</w:t>
      </w:r>
    </w:p>
    <w:p w:rsidR="00000000" w:rsidDel="00000000" w:rsidP="00000000" w:rsidRDefault="00000000" w:rsidRPr="00000000" w14:paraId="0000006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Typical Tax Avoidance Schemes Using DTCs: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Treaty Shopping:</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form of DTC abuse involves treaty shopping, where MNEs structure transactions to exploit favorable DTC provisions in jurisdictions with no substantial business presence. For instance, a company may establish a holding company in a low-tax jurisdiction with an advantageous DTC network and route its income through this entity, thereby reducing or avoiding withholding taxes on dividends, interest, or royalties.</w:t>
      </w:r>
    </w:p>
    <w:p w:rsidR="00000000" w:rsidDel="00000000" w:rsidP="00000000" w:rsidRDefault="00000000" w:rsidRPr="00000000" w14:paraId="0000006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Artificial Transfer Pricing:</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pricing manipulation can be another tool for exploiting DTCs. By setting artificial prices for cross-border transactions between related parties, MNEs can shift profits to low-tax jurisdictions, taking advantage of DTC provisions to reduce their overall tax burden. DTCs often provide mechanisms for resolving disputes over transfer pricing, but these mechanisms can be abused when prices are not set at arm's length, resulting in an unfair allocation of taxing rights between jurisdictions.</w:t>
      </w:r>
    </w:p>
    <w:p w:rsidR="00000000" w:rsidDel="00000000" w:rsidP="00000000" w:rsidRDefault="00000000" w:rsidRPr="00000000" w14:paraId="0000007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Case Studies: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Netherlands Holding Companies: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Netherlands has long been a popular jurisdiction for treaty shopping due to its extensive DTC network and favorable tax regime for holding companies. Many MNEs have set up holding companies in the Netherlands to take advantage of low withholding taxes on dividends and interest. However, Dutch courts and tax authorities have increasingly scrutinized these arrangements under substance over form and anti-abuse doctrines, often denying treaty benefits where the holding company lacks substantial business operations.</w:t>
      </w:r>
    </w:p>
    <w:p w:rsidR="00000000" w:rsidDel="00000000" w:rsidP="00000000" w:rsidRDefault="00000000" w:rsidRPr="00000000" w14:paraId="0000007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18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Danish Beneficial Ownership Cases: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Danish courts, backed by the ECJ, have addressed cases involving the abuse of DTCs where intermediary companies were set up in Denmark to take advantage of favorable treaty rates on dividends, interest, and royalties. The courts emphasized the need for genuine beneficial ownership, ruling that treaty benefits could not be claimed if the intermediary was merely a conduit for the flow of income to another jurisdiction.</w:t>
      </w:r>
    </w:p>
    <w:p w:rsidR="00000000" w:rsidDel="00000000" w:rsidP="00000000" w:rsidRDefault="00000000" w:rsidRPr="00000000" w14:paraId="00000076">
      <w:pPr>
        <w:pStyle w:val="Heading2"/>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sx4ccqyce9bo" w:id="11"/>
      <w:bookmarkEnd w:id="11"/>
      <w:r w:rsidDel="00000000" w:rsidR="00000000" w:rsidRPr="00000000">
        <w:rPr>
          <w:sz w:val="27"/>
          <w:szCs w:val="27"/>
          <w:rtl w:val="0"/>
        </w:rPr>
        <w:t xml:space="preserve">Recent</w:t>
      </w:r>
      <w:r w:rsidDel="00000000" w:rsidR="00000000" w:rsidRPr="00000000">
        <w:rPr>
          <w:rtl w:val="0"/>
        </w:rPr>
        <w:t xml:space="preserve"> Developments and BEPS</w:t>
      </w:r>
    </w:p>
    <w:p w:rsidR="00000000" w:rsidDel="00000000" w:rsidP="00000000" w:rsidRDefault="00000000" w:rsidRPr="00000000" w14:paraId="0000007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BEPS Action 6:</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BEPS Action 6 is one of the OECD’s most significant steps in combating the abuse of DTCs. Its main objective is to prevent treaty shopping and other forms of abuse. Action 6 introduces several measures to ensure that tax treaties do not inadvertently facilitate tax avoidance strategies. Key provisions include:</w:t>
      </w:r>
    </w:p>
    <w:p w:rsidR="00000000" w:rsidDel="00000000" w:rsidP="00000000" w:rsidRDefault="00000000" w:rsidRPr="00000000" w14:paraId="00000079">
      <w:pPr>
        <w:numPr>
          <w:ilvl w:val="0"/>
          <w:numId w:val="7"/>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Fonts w:ascii="Times New Roman" w:cs="Times New Roman" w:eastAsia="Times New Roman" w:hAnsi="Times New Roman"/>
          <w:sz w:val="24"/>
          <w:szCs w:val="24"/>
          <w:rtl w:val="0"/>
        </w:rPr>
        <w:t xml:space="preserve">, as discussed earlier, which denies treaty benefits where the main purpose of a transaction is to obtain a tax benefit contrary to the object and purpose of the treaty.</w:t>
      </w:r>
    </w:p>
    <w:p w:rsidR="00000000" w:rsidDel="00000000" w:rsidP="00000000" w:rsidRDefault="00000000" w:rsidRPr="00000000" w14:paraId="0000007A">
      <w:pPr>
        <w:numPr>
          <w:ilvl w:val="0"/>
          <w:numId w:val="7"/>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Limitation on Benefits (LOB) Clause</w:t>
      </w:r>
      <w:r w:rsidDel="00000000" w:rsidR="00000000" w:rsidRPr="00000000">
        <w:rPr>
          <w:rFonts w:ascii="Times New Roman" w:cs="Times New Roman" w:eastAsia="Times New Roman" w:hAnsi="Times New Roman"/>
          <w:sz w:val="24"/>
          <w:szCs w:val="24"/>
          <w:rtl w:val="0"/>
        </w:rPr>
        <w:t xml:space="preserve">, which restricts access to treaty benefits based on a taxpayer’s activities and presence in the treaty country.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6 has had a significant impact on how tax authorities approach DTCs, with many jurisdictions adopting anti-abuse provisions in line with OECD recommendations. The emphasis is on ensuring that DTCs only benefit taxpayers engaged in genuine economic activities.</w:t>
      </w:r>
    </w:p>
    <w:p w:rsidR="00000000" w:rsidDel="00000000" w:rsidP="00000000" w:rsidRDefault="00000000" w:rsidRPr="00000000" w14:paraId="0000007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Multilateral Instrument (MLI):</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is a tool developed by the OECD to allow countries to swiftly update their existing DTCs with anti-abuse provisions such as the PPT and LOB. The MLI has been widely adopted, with over 90 countries signing the instrument, and it has become a key mechanism for incorporating BEPS Action 6 recommendations into existing tax treaties.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allowing countries to implement anti-abuse measures without renegotiating each DTC individually, the MLI has become a powerful tool in the fight against treaty abuse. Countries are increasingly applying the MLI to modify their DTCs to ensure that treaty benefits are only available for genuine economic transactions.</w:t>
      </w:r>
    </w:p>
    <w:p w:rsidR="00000000" w:rsidDel="00000000" w:rsidP="00000000" w:rsidRDefault="00000000" w:rsidRPr="00000000" w14:paraId="0000007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Country-Specific Measures:</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sectPr>
          <w:headerReference r:id="rId7" w:type="default"/>
          <w:footerReference r:id="rId8" w:type="default"/>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Different jurisdictions have responded to OECD recommendations by incorporating anti-abuse provisions into their domestic tax laws and DTCs. For example, countries like India and China have adopted robust GAAR provisions to combat abusive tax schemes. In Europe, the EU's Anti-Tax Avoidance Directive (ATAD) has incorporated many OECD recommendations, particularly regarding DTC abuse and artificial tax structures.</w:t>
      </w:r>
      <w:r w:rsidDel="00000000" w:rsidR="00000000" w:rsidRPr="00000000">
        <w:rPr>
          <w:rtl w:val="0"/>
        </w:rPr>
      </w:r>
    </w:p>
    <w:p w:rsidR="00000000" w:rsidDel="00000000" w:rsidP="00000000" w:rsidRDefault="00000000" w:rsidRPr="00000000" w14:paraId="00000081">
      <w:pPr>
        <w:pStyle w:val="Heading1"/>
        <w:rPr/>
      </w:pPr>
      <w:bookmarkStart w:colFirst="0" w:colLast="0" w:name="_heading=h.3rdcrjn" w:id="12"/>
      <w:bookmarkEnd w:id="12"/>
      <w:r w:rsidDel="00000000" w:rsidR="00000000" w:rsidRPr="00000000">
        <w:rPr>
          <w:rtl w:val="0"/>
        </w:rPr>
        <w:t xml:space="preserve">L.3. STATE PRACTICE WITH RESPECT TO LIMITATION OF BENEFIT PROVISIONS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Limitation of Benefits (LOB) provisions varies significantly among countries, reflecting differences in legal traditions, tax policies, and treaty networks. This section examines the practices of several key jurisdictions in more detail.</w:t>
      </w:r>
    </w:p>
    <w:p w:rsidR="00000000" w:rsidDel="00000000" w:rsidP="00000000" w:rsidRDefault="00000000" w:rsidRPr="00000000" w14:paraId="00000083">
      <w:pPr>
        <w:pStyle w:val="Heading2"/>
        <w:numPr>
          <w:ilvl w:val="0"/>
          <w:numId w:val="2"/>
        </w:numPr>
        <w:ind w:left="720" w:hanging="360"/>
        <w:rPr/>
      </w:pPr>
      <w:bookmarkStart w:colFirst="0" w:colLast="0" w:name="_heading=h.26in1rg" w:id="13"/>
      <w:bookmarkEnd w:id="13"/>
      <w:r w:rsidDel="00000000" w:rsidR="00000000" w:rsidRPr="00000000">
        <w:rPr>
          <w:rtl w:val="0"/>
        </w:rPr>
        <w:t xml:space="preserve">United States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has been at the forefront of incorporating LOB provisions in its tax treaties. U.S. treaties typically include comprehensive LOB articles with detailed tests, such as the ownership and base erosion test, the publicly traded test, the active business test, and the derivative benefits test. The inclusion of these tests ensures that only genuine residents benefit from treaty provisions.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the U.S.-Netherlands tax treaty includes all the standard LOB tests, ensuring stringent criteria are met before treaty benefits can be claimed. The U.S. approach has heavily influenced many other countries, particularly in the inclusion of the ownership and base erosion test and the publicly traded test.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 of the U.S. LOB provisions include:</w:t>
      </w:r>
    </w:p>
    <w:p w:rsidR="00000000" w:rsidDel="00000000" w:rsidP="00000000" w:rsidRDefault="00000000" w:rsidRPr="00000000" w14:paraId="00000087">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Ownership and Base Erosion Test</w:t>
      </w:r>
      <w:r w:rsidDel="00000000" w:rsidR="00000000" w:rsidRPr="00000000">
        <w:rPr>
          <w:rFonts w:ascii="Times New Roman" w:cs="Times New Roman" w:eastAsia="Times New Roman" w:hAnsi="Times New Roman"/>
          <w:sz w:val="24"/>
          <w:szCs w:val="24"/>
          <w:rtl w:val="0"/>
        </w:rPr>
        <w:t xml:space="preserve">: This test requires that at least 50% of the entity’s shares be owned by residents of either the U.S. or the treaty partner, and that no more than 50% of the entity’s gross income is used to meet liabilities to non-residents. The idea behind this test is to ensure that the entity claiming treaty benefits is genuinely linked to the contracting states and not merely set up as a conduit for third-country residents to benefit from the treaty.</w:t>
      </w:r>
    </w:p>
    <w:p w:rsidR="00000000" w:rsidDel="00000000" w:rsidP="00000000" w:rsidRDefault="00000000" w:rsidRPr="00000000" w14:paraId="00000088">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Publicly Traded Test</w:t>
      </w:r>
      <w:r w:rsidDel="00000000" w:rsidR="00000000" w:rsidRPr="00000000">
        <w:rPr>
          <w:rFonts w:ascii="Times New Roman" w:cs="Times New Roman" w:eastAsia="Times New Roman" w:hAnsi="Times New Roman"/>
          <w:sz w:val="24"/>
          <w:szCs w:val="24"/>
          <w:rtl w:val="0"/>
        </w:rPr>
        <w:t xml:space="preserve">: Entities with shares that are regularly traded on recognized stock exchanges in either country are eligible for treaty benefits. This test is based on the premise that publicly traded companies are less likely to be involved in treaty shopping due to the transparency and regulatory scrutiny they are subjected to.</w:t>
      </w:r>
    </w:p>
    <w:p w:rsidR="00000000" w:rsidDel="00000000" w:rsidP="00000000" w:rsidRDefault="00000000" w:rsidRPr="00000000" w14:paraId="00000089">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Active Business Test</w:t>
      </w:r>
      <w:r w:rsidDel="00000000" w:rsidR="00000000" w:rsidRPr="00000000">
        <w:rPr>
          <w:rFonts w:ascii="Times New Roman" w:cs="Times New Roman" w:eastAsia="Times New Roman" w:hAnsi="Times New Roman"/>
          <w:sz w:val="24"/>
          <w:szCs w:val="24"/>
          <w:rtl w:val="0"/>
        </w:rPr>
        <w:t xml:space="preserve">: Under this test, entities must be engaged in an active trade or business in their home country, and the income derived from the treaty partner country must be connected to that business. This provision aims to ensure that the entity has substantial economic activity in its home country, thereby reducing the risk of treaty abuse.</w:t>
      </w:r>
    </w:p>
    <w:p w:rsidR="00000000" w:rsidDel="00000000" w:rsidP="00000000" w:rsidRDefault="00000000" w:rsidRPr="00000000" w14:paraId="0000008A">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Derivative Benefits Test</w:t>
      </w:r>
      <w:r w:rsidDel="00000000" w:rsidR="00000000" w:rsidRPr="00000000">
        <w:rPr>
          <w:rFonts w:ascii="Times New Roman" w:cs="Times New Roman" w:eastAsia="Times New Roman" w:hAnsi="Times New Roman"/>
          <w:sz w:val="24"/>
          <w:szCs w:val="24"/>
          <w:rtl w:val="0"/>
        </w:rPr>
        <w:t xml:space="preserve">: This test allows entities owned by residents of countries with comparable tax treaties to benefit under certain conditions. The derivative benefits test ensures that entities with genuine economic substance in one of the contracting states can benefit from the treaty even if they are owned by residents of a third country.</w:t>
      </w:r>
    </w:p>
    <w:p w:rsidR="00000000" w:rsidDel="00000000" w:rsidP="00000000" w:rsidRDefault="00000000" w:rsidRPr="00000000" w14:paraId="0000008B">
      <w:pPr>
        <w:numPr>
          <w:ilvl w:val="0"/>
          <w:numId w:val="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Headquarters Company Test</w:t>
      </w:r>
      <w:r w:rsidDel="00000000" w:rsidR="00000000" w:rsidRPr="00000000">
        <w:rPr>
          <w:rFonts w:ascii="Times New Roman" w:cs="Times New Roman" w:eastAsia="Times New Roman" w:hAnsi="Times New Roman"/>
          <w:sz w:val="24"/>
          <w:szCs w:val="24"/>
          <w:rtl w:val="0"/>
        </w:rPr>
        <w:t xml:space="preserve">: Certain U.S. tax treaties include a provision for companies that serve as headquarters for a multinational group. These entities must meet specific criteria related to their operations and functions, ensuring they play a substantial role in the management and administration of the group.</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also incorporates anti-abuse rules and criteria that are periodically updated to address evolving tax avoidance strategies. This proactive approach ensures that LOB provisions remain effective in preventing treaty shopping.</w:t>
      </w:r>
    </w:p>
    <w:p w:rsidR="00000000" w:rsidDel="00000000" w:rsidP="00000000" w:rsidRDefault="00000000" w:rsidRPr="00000000" w14:paraId="0000008D">
      <w:pPr>
        <w:pStyle w:val="Heading2"/>
        <w:numPr>
          <w:ilvl w:val="0"/>
          <w:numId w:val="2"/>
        </w:numPr>
        <w:ind w:left="720" w:hanging="360"/>
        <w:rPr/>
      </w:pPr>
      <w:bookmarkStart w:colFirst="0" w:colLast="0" w:name="_heading=h.kskzqlotyr97" w:id="14"/>
      <w:bookmarkEnd w:id="14"/>
      <w:r w:rsidDel="00000000" w:rsidR="00000000" w:rsidRPr="00000000">
        <w:rPr>
          <w:rtl w:val="0"/>
        </w:rPr>
        <w:t xml:space="preserve">European Union</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European Union, the implementation of LOB provisions is influenced by the EU’s fundamental freedoms, particularly the freedom of establishment and the free movement of capital. EU Member States must design LOB provisions to comply with EU law, ensuring they do not impede these fundamental freedoms.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 Parent-Subsidiary Directive and the Interest and Royalties Directive contain anti-abuse provisions that function similarly to LOB provisions, aiming to prevent treaty shopping within the internal market. These directives include criteria such as:</w:t>
      </w:r>
    </w:p>
    <w:p w:rsidR="00000000" w:rsidDel="00000000" w:rsidP="00000000" w:rsidRDefault="00000000" w:rsidRPr="00000000" w14:paraId="00000090">
      <w:pPr>
        <w:numPr>
          <w:ilvl w:val="0"/>
          <w:numId w:val="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Substance Requirements</w:t>
      </w:r>
      <w:r w:rsidDel="00000000" w:rsidR="00000000" w:rsidRPr="00000000">
        <w:rPr>
          <w:rFonts w:ascii="Times New Roman" w:cs="Times New Roman" w:eastAsia="Times New Roman" w:hAnsi="Times New Roman"/>
          <w:sz w:val="24"/>
          <w:szCs w:val="24"/>
          <w:rtl w:val="0"/>
        </w:rPr>
        <w:t xml:space="preserve">: Entities must have substantial economic activities in their home country, which can include having a permanent establishment and active business operations. These requirements ensure that entities are genuinely established in the member state and are not merely set up to take advantage of favorable tax treaties.</w:t>
      </w:r>
    </w:p>
    <w:p w:rsidR="00000000" w:rsidDel="00000000" w:rsidP="00000000" w:rsidRDefault="00000000" w:rsidRPr="00000000" w14:paraId="00000091">
      <w:pPr>
        <w:numPr>
          <w:ilvl w:val="0"/>
          <w:numId w:val="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Beneficial Ownership</w:t>
      </w:r>
      <w:r w:rsidDel="00000000" w:rsidR="00000000" w:rsidRPr="00000000">
        <w:rPr>
          <w:rFonts w:ascii="Times New Roman" w:cs="Times New Roman" w:eastAsia="Times New Roman" w:hAnsi="Times New Roman"/>
          <w:sz w:val="24"/>
          <w:szCs w:val="24"/>
          <w:rtl w:val="0"/>
        </w:rPr>
        <w:t xml:space="preserve">: Requires that the ultimate beneficial owners are residents of the EU, preventing intermediate entities from claiming benefits. This provision is designed to ensure that the actual owners of the income are residents of the EU, thereby preventing the use of conduit entities.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like Germany, France, and the Netherlands have incorporated these principles into their national laws and tax treaties, often adding specific criteria to ensure compliance with both EU directives and domestic anti-abuse rules.</w:t>
      </w:r>
    </w:p>
    <w:p w:rsidR="00000000" w:rsidDel="00000000" w:rsidP="00000000" w:rsidRDefault="00000000" w:rsidRPr="00000000" w14:paraId="00000093">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Germany</w:t>
      </w:r>
      <w:r w:rsidDel="00000000" w:rsidR="00000000" w:rsidRPr="00000000">
        <w:rPr>
          <w:rFonts w:ascii="Times New Roman" w:cs="Times New Roman" w:eastAsia="Times New Roman" w:hAnsi="Times New Roman"/>
          <w:sz w:val="24"/>
          <w:szCs w:val="24"/>
          <w:rtl w:val="0"/>
        </w:rPr>
        <w:t xml:space="preserve">: Germany’s tax treaties often include stringent LOB provisions to prevent treaty shopping. The German approach emphasizes the economic substance of entities, requiring substantial business activities and economic presence in the country. Germany also includes specific anti-abuse rules in its domestic law, which align with the LOB provisions in its treaties.</w:t>
      </w:r>
    </w:p>
    <w:p w:rsidR="00000000" w:rsidDel="00000000" w:rsidP="00000000" w:rsidRDefault="00000000" w:rsidRPr="00000000" w14:paraId="00000094">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France</w:t>
      </w:r>
      <w:r w:rsidDel="00000000" w:rsidR="00000000" w:rsidRPr="00000000">
        <w:rPr>
          <w:rFonts w:ascii="Times New Roman" w:cs="Times New Roman" w:eastAsia="Times New Roman" w:hAnsi="Times New Roman"/>
          <w:sz w:val="24"/>
          <w:szCs w:val="24"/>
          <w:rtl w:val="0"/>
        </w:rPr>
        <w:t xml:space="preserve">: France incorporates LOB provisions in its tax treaties, focusing on preventing the use of intermediate entities to claim treaty benefits. French treaties often include detailed tests to ensure that entities have substantial economic activities and that the ultimate beneficial owners are residents of the contracting states.</w:t>
      </w:r>
    </w:p>
    <w:p w:rsidR="00000000" w:rsidDel="00000000" w:rsidP="00000000" w:rsidRDefault="00000000" w:rsidRPr="00000000" w14:paraId="00000095">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Netherlands</w:t>
      </w:r>
      <w:r w:rsidDel="00000000" w:rsidR="00000000" w:rsidRPr="00000000">
        <w:rPr>
          <w:rFonts w:ascii="Times New Roman" w:cs="Times New Roman" w:eastAsia="Times New Roman" w:hAnsi="Times New Roman"/>
          <w:sz w:val="24"/>
          <w:szCs w:val="24"/>
          <w:rtl w:val="0"/>
        </w:rPr>
        <w:t xml:space="preserve">: The Netherlands, known for its extensive tax treaty network, includes LOB provisions in many of its treaties. Dutch treaties often require entities to meet specific criteria related to ownership, business activities, and economic substance. The Netherlands also has domestic anti-abuse rules that complement the LOB provisions in its treaties.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EU law and LOB provisions can be complex, as member states must balance the need to prevent treaty abuse with the obligation to respect the fundamental freedoms of the EU. This balancing act often requires careful drafting and interpretation of LOB provisions to ensure compliance with both EU law and international tax principles.</w:t>
      </w:r>
    </w:p>
    <w:p w:rsidR="00000000" w:rsidDel="00000000" w:rsidP="00000000" w:rsidRDefault="00000000" w:rsidRPr="00000000" w14:paraId="00000097">
      <w:pPr>
        <w:pStyle w:val="Heading2"/>
        <w:numPr>
          <w:ilvl w:val="0"/>
          <w:numId w:val="2"/>
        </w:numPr>
        <w:ind w:left="720" w:hanging="360"/>
        <w:rPr/>
      </w:pPr>
      <w:bookmarkStart w:colFirst="0" w:colLast="0" w:name="_heading=h.vxmz3xk09f6n" w:id="15"/>
      <w:bookmarkEnd w:id="15"/>
      <w:r w:rsidDel="00000000" w:rsidR="00000000" w:rsidRPr="00000000">
        <w:rPr>
          <w:rtl w:val="0"/>
        </w:rPr>
        <w:t xml:space="preserve">India</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has adopted LOB provisions in several of its tax treaties, reflecting its commitment to combating treaty abuse. The India-Mauritius tax treaty, for instance, includes LOB provisions that limit benefits to entities meeting specific criteria, such as being listed on a recognized stock exchange or having substantial economic activity in Mauritius.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approach often emphasizes the substance over form principle, ensuring that entities cannot merely establish a formal presence to claim treaty benefits. Key elements include:</w:t>
      </w:r>
    </w:p>
    <w:p w:rsidR="00000000" w:rsidDel="00000000" w:rsidP="00000000" w:rsidRDefault="00000000" w:rsidRPr="00000000" w14:paraId="0000009A">
      <w:pPr>
        <w:numPr>
          <w:ilvl w:val="0"/>
          <w:numId w:val="1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Listing Requirement</w:t>
      </w:r>
      <w:r w:rsidDel="00000000" w:rsidR="00000000" w:rsidRPr="00000000">
        <w:rPr>
          <w:rFonts w:ascii="Times New Roman" w:cs="Times New Roman" w:eastAsia="Times New Roman" w:hAnsi="Times New Roman"/>
          <w:sz w:val="24"/>
          <w:szCs w:val="24"/>
          <w:rtl w:val="0"/>
        </w:rPr>
        <w:t xml:space="preserve">: Entities must be listed on a recognized stock exchange in the country of residence. This requirement aims to ensure transparency and reduce the risk of treaty shopping.</w:t>
      </w:r>
    </w:p>
    <w:p w:rsidR="00000000" w:rsidDel="00000000" w:rsidP="00000000" w:rsidRDefault="00000000" w:rsidRPr="00000000" w14:paraId="0000009B">
      <w:pPr>
        <w:numPr>
          <w:ilvl w:val="0"/>
          <w:numId w:val="1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Substantial Activity Requirement</w:t>
      </w:r>
      <w:r w:rsidDel="00000000" w:rsidR="00000000" w:rsidRPr="00000000">
        <w:rPr>
          <w:rFonts w:ascii="Times New Roman" w:cs="Times New Roman" w:eastAsia="Times New Roman" w:hAnsi="Times New Roman"/>
          <w:sz w:val="24"/>
          <w:szCs w:val="24"/>
          <w:rtl w:val="0"/>
        </w:rPr>
        <w:t xml:space="preserve">: Entities must demonstrate substantial business activities, such as maintaining an office and employing qualified personnel. This requirement ensures that the entity has a genuine economic presence in the country and is not merely a conduit for third-country residents.</w:t>
      </w:r>
    </w:p>
    <w:p w:rsidR="00000000" w:rsidDel="00000000" w:rsidP="00000000" w:rsidRDefault="00000000" w:rsidRPr="00000000" w14:paraId="0000009C">
      <w:pPr>
        <w:numPr>
          <w:ilvl w:val="0"/>
          <w:numId w:val="1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Fonts w:ascii="Times New Roman" w:cs="Times New Roman" w:eastAsia="Times New Roman" w:hAnsi="Times New Roman"/>
          <w:sz w:val="24"/>
          <w:szCs w:val="24"/>
          <w:rtl w:val="0"/>
        </w:rPr>
        <w:t xml:space="preserve">: India also uses the PPT, which allows tax authorities to deny treaty benefits if the principal purpose of an arrangement is to obtain those benefits, adding a subjective element to the LOB provisions. The PPT requires a thorough examination of the facts and circumstances to determine whether the arrangement has a principal purpose of obtaining treaty benefits.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treaties with Singapore and Cyprus include similar provisions, reinforcing the importance of economic substance and genuine business operations. These provisions are designed to prevent treaty abuse and ensure that treaty benefits are available only to entities with a genuine economic presence in the country.</w:t>
      </w:r>
    </w:p>
    <w:p w:rsidR="00000000" w:rsidDel="00000000" w:rsidP="00000000" w:rsidRDefault="00000000" w:rsidRPr="00000000" w14:paraId="0000009E">
      <w:pPr>
        <w:numPr>
          <w:ilvl w:val="0"/>
          <w:numId w:val="1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Singapore</w:t>
      </w:r>
      <w:r w:rsidDel="00000000" w:rsidR="00000000" w:rsidRPr="00000000">
        <w:rPr>
          <w:rFonts w:ascii="Times New Roman" w:cs="Times New Roman" w:eastAsia="Times New Roman" w:hAnsi="Times New Roman"/>
          <w:sz w:val="24"/>
          <w:szCs w:val="24"/>
          <w:rtl w:val="0"/>
        </w:rPr>
        <w:t xml:space="preserve">: The India-Singapore tax treaty includes LOB provisions that require entities to meet specific criteria related to ownership, business activities, and economic substance. The treaty also includes the PPT to prevent treaty abuse.</w:t>
      </w:r>
    </w:p>
    <w:p w:rsidR="00000000" w:rsidDel="00000000" w:rsidP="00000000" w:rsidRDefault="00000000" w:rsidRPr="00000000" w14:paraId="0000009F">
      <w:pPr>
        <w:numPr>
          <w:ilvl w:val="0"/>
          <w:numId w:val="1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Cyprus</w:t>
      </w:r>
      <w:r w:rsidDel="00000000" w:rsidR="00000000" w:rsidRPr="00000000">
        <w:rPr>
          <w:rFonts w:ascii="Times New Roman" w:cs="Times New Roman" w:eastAsia="Times New Roman" w:hAnsi="Times New Roman"/>
          <w:sz w:val="24"/>
          <w:szCs w:val="24"/>
          <w:rtl w:val="0"/>
        </w:rPr>
        <w:t xml:space="preserve">: The India-Cyprus tax treaty includes LOB provisions that limit benefits to entities with substantial economic activities in Cyprus. The treaty also includes specific criteria related to ownership and business operations.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approach to LOB provisions reflects its commitment to preventing treaty abuse and ensuring that treaty benefits are available only to entities with a genuine economic presence in the country. The use of the PPT and other anti-abuse measures ensures that tax authorities have the tools to combat sophisticated tax planning strategies.</w:t>
      </w:r>
    </w:p>
    <w:p w:rsidR="00000000" w:rsidDel="00000000" w:rsidP="00000000" w:rsidRDefault="00000000" w:rsidRPr="00000000" w14:paraId="000000A1">
      <w:pPr>
        <w:pStyle w:val="Heading2"/>
        <w:numPr>
          <w:ilvl w:val="0"/>
          <w:numId w:val="2"/>
        </w:numPr>
        <w:spacing w:before="0" w:lineRule="auto"/>
        <w:ind w:left="720" w:hanging="360"/>
        <w:rPr/>
      </w:pPr>
      <w:bookmarkStart w:colFirst="0" w:colLast="0" w:name="_heading=h.d60z0b9whjcf" w:id="16"/>
      <w:bookmarkEnd w:id="16"/>
      <w:r w:rsidDel="00000000" w:rsidR="00000000" w:rsidRPr="00000000">
        <w:rPr>
          <w:rtl w:val="0"/>
        </w:rPr>
        <w:t xml:space="preserve">Canada</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Canada’s tax treaties increasingly include LOB provisions, often inspired by the U.S. model. Canadian treaties with countries like the United States, Germany, and Japan incorporate detailed LOB articles, emphasizing the prevention of base erosion and profit shifting (BEPS) by ensuring that only entities with genuine economic ties to the treaty partner can access benefits.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 of Canada's LOB provisions include:</w:t>
      </w:r>
    </w:p>
    <w:p w:rsidR="00000000" w:rsidDel="00000000" w:rsidP="00000000" w:rsidRDefault="00000000" w:rsidRPr="00000000" w14:paraId="000000A5">
      <w:pPr>
        <w:numPr>
          <w:ilvl w:val="0"/>
          <w:numId w:val="1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Ownership and Base Erosion Test</w:t>
      </w:r>
      <w:r w:rsidDel="00000000" w:rsidR="00000000" w:rsidRPr="00000000">
        <w:rPr>
          <w:rFonts w:ascii="Times New Roman" w:cs="Times New Roman" w:eastAsia="Times New Roman" w:hAnsi="Times New Roman"/>
          <w:sz w:val="24"/>
          <w:szCs w:val="24"/>
          <w:rtl w:val="0"/>
        </w:rPr>
        <w:t xml:space="preserve">: Similar to the U.S., this test requires significant ownership by residents of the treaty countries and limits payments to non-residents. The test ensures that the entity claiming treaty benefits has a genuine connection to the contracting states and is not merely a conduit for third-country residents.</w:t>
      </w:r>
    </w:p>
    <w:p w:rsidR="00000000" w:rsidDel="00000000" w:rsidP="00000000" w:rsidRDefault="00000000" w:rsidRPr="00000000" w14:paraId="000000A6">
      <w:pPr>
        <w:numPr>
          <w:ilvl w:val="0"/>
          <w:numId w:val="1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Publicly Traded Test</w:t>
      </w:r>
      <w:r w:rsidDel="00000000" w:rsidR="00000000" w:rsidRPr="00000000">
        <w:rPr>
          <w:rFonts w:ascii="Times New Roman" w:cs="Times New Roman" w:eastAsia="Times New Roman" w:hAnsi="Times New Roman"/>
          <w:sz w:val="24"/>
          <w:szCs w:val="24"/>
          <w:rtl w:val="0"/>
        </w:rPr>
        <w:t xml:space="preserve">: Benefits are available to entities whose shares are regularly traded on recognized stock exchanges in the treaty partner countries. This test is based on the premise that publicly traded companies are less likely to engage in treaty shopping due to the transparency and regulatory scrutiny they face.</w:t>
      </w:r>
    </w:p>
    <w:p w:rsidR="00000000" w:rsidDel="00000000" w:rsidP="00000000" w:rsidRDefault="00000000" w:rsidRPr="00000000" w14:paraId="000000A7">
      <w:pPr>
        <w:numPr>
          <w:ilvl w:val="0"/>
          <w:numId w:val="1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Active Business Test</w:t>
      </w:r>
      <w:r w:rsidDel="00000000" w:rsidR="00000000" w:rsidRPr="00000000">
        <w:rPr>
          <w:rFonts w:ascii="Times New Roman" w:cs="Times New Roman" w:eastAsia="Times New Roman" w:hAnsi="Times New Roman"/>
          <w:sz w:val="24"/>
          <w:szCs w:val="24"/>
          <w:rtl w:val="0"/>
        </w:rPr>
        <w:t xml:space="preserve">: Entities must conduct substantial business activities in their home country, with the income connected to those activities. This provision ensures that the entity has genuine economic substance and is not merely established to take advantage of favorable tax treaties.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Canada also integrates anti-abuse rules and criteria that align with the OECD’s BEPS project, ensuring that LOB provisions are robust and effective. The Canada-U.S. tax treaty, for example, is known for its comprehensive LOB article, which serves as a model for Canada’s treaties with other countries.</w:t>
      </w:r>
    </w:p>
    <w:p w:rsidR="00000000" w:rsidDel="00000000" w:rsidP="00000000" w:rsidRDefault="00000000" w:rsidRPr="00000000" w14:paraId="000000A9">
      <w:pPr>
        <w:numPr>
          <w:ilvl w:val="0"/>
          <w:numId w:val="1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Canada-U.S. Tax Treaty</w:t>
      </w:r>
      <w:r w:rsidDel="00000000" w:rsidR="00000000" w:rsidRPr="00000000">
        <w:rPr>
          <w:rFonts w:ascii="Times New Roman" w:cs="Times New Roman" w:eastAsia="Times New Roman" w:hAnsi="Times New Roman"/>
          <w:sz w:val="24"/>
          <w:szCs w:val="24"/>
          <w:rtl w:val="0"/>
        </w:rPr>
        <w:t xml:space="preserve">: The LOB provisions in this treaty are detailed and comprehensive, including tests for ownership, base erosion, publicly traded status, and active business activities. The treaty also includes specific criteria for derivative benefits and headquarters companies.</w:t>
      </w:r>
    </w:p>
    <w:p w:rsidR="00000000" w:rsidDel="00000000" w:rsidP="00000000" w:rsidRDefault="00000000" w:rsidRPr="00000000" w14:paraId="000000AA">
      <w:pPr>
        <w:numPr>
          <w:ilvl w:val="0"/>
          <w:numId w:val="1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Canada-Germany Tax Treaty</w:t>
      </w:r>
      <w:r w:rsidDel="00000000" w:rsidR="00000000" w:rsidRPr="00000000">
        <w:rPr>
          <w:rFonts w:ascii="Times New Roman" w:cs="Times New Roman" w:eastAsia="Times New Roman" w:hAnsi="Times New Roman"/>
          <w:sz w:val="24"/>
          <w:szCs w:val="24"/>
          <w:rtl w:val="0"/>
        </w:rPr>
        <w:t xml:space="preserve">: This treaty includes LOB provisions that focus on preventing treaty shopping and ensuring that entities have substantial economic activities in their home country. The provisions are similar to those in the Canada-U.S. treaty, emphasizing ownership, business activities, and economic substance.</w:t>
      </w:r>
    </w:p>
    <w:p w:rsidR="00000000" w:rsidDel="00000000" w:rsidP="00000000" w:rsidRDefault="00000000" w:rsidRPr="00000000" w14:paraId="000000AB">
      <w:pPr>
        <w:numPr>
          <w:ilvl w:val="0"/>
          <w:numId w:val="1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Canada-Japan Tax Treaty</w:t>
      </w:r>
      <w:r w:rsidDel="00000000" w:rsidR="00000000" w:rsidRPr="00000000">
        <w:rPr>
          <w:rFonts w:ascii="Times New Roman" w:cs="Times New Roman" w:eastAsia="Times New Roman" w:hAnsi="Times New Roman"/>
          <w:sz w:val="24"/>
          <w:szCs w:val="24"/>
          <w:rtl w:val="0"/>
        </w:rPr>
        <w:t xml:space="preserve">: The LOB provisions in this treaty include tests for ownership, base erosion, and active business activities, ensuring that only entities with genuine economic ties to the contracting states can access treaty benefits.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Canada’s approach to LOB provisions reflects its commitment to preventing treaty abuse and ensuring the integrity of its tax treaties. By incorporating detailed criteria and aligning with international best practices, Canada ensures that treaty benefits are available only to entities with genuine economic presence and substantial business activities.</w:t>
      </w:r>
    </w:p>
    <w:p w:rsidR="00000000" w:rsidDel="00000000" w:rsidP="00000000" w:rsidRDefault="00000000" w:rsidRPr="00000000" w14:paraId="000000AD">
      <w:pPr>
        <w:pStyle w:val="Heading2"/>
        <w:numPr>
          <w:ilvl w:val="0"/>
          <w:numId w:val="2"/>
        </w:numPr>
        <w:spacing w:before="0" w:lineRule="auto"/>
        <w:ind w:left="720" w:hanging="360"/>
        <w:rPr/>
      </w:pPr>
      <w:bookmarkStart w:colFirst="0" w:colLast="0" w:name="_heading=h.r2u1jrkea2a5" w:id="17"/>
      <w:bookmarkEnd w:id="17"/>
      <w:r w:rsidDel="00000000" w:rsidR="00000000" w:rsidRPr="00000000">
        <w:rPr>
          <w:rtl w:val="0"/>
        </w:rPr>
        <w:t xml:space="preserve">Other Jurisdictions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above countries represent significant examples, other jurisdictions also implement LOB provisions tailored to their specific needs and treaty networks. For instance:</w:t>
      </w:r>
    </w:p>
    <w:p w:rsidR="00000000" w:rsidDel="00000000" w:rsidP="00000000" w:rsidRDefault="00000000" w:rsidRPr="00000000" w14:paraId="000000AF">
      <w:pPr>
        <w:numPr>
          <w:ilvl w:val="0"/>
          <w:numId w:val="1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Japan</w:t>
      </w:r>
      <w:r w:rsidDel="00000000" w:rsidR="00000000" w:rsidRPr="00000000">
        <w:rPr>
          <w:rFonts w:ascii="Times New Roman" w:cs="Times New Roman" w:eastAsia="Times New Roman" w:hAnsi="Times New Roman"/>
          <w:sz w:val="24"/>
          <w:szCs w:val="24"/>
          <w:rtl w:val="0"/>
        </w:rPr>
        <w:t xml:space="preserve">: Japan’s treaties often include LOB provisions focusing on preventing base erosion and ensuring substantial business activities. The Japan-United States tax treaty, for instance, includes detailed LOB criteria similar to those in U.S. treaties. Japan’s approach emphasizes the importance of economic substance and genuine business operations.</w:t>
      </w:r>
    </w:p>
    <w:p w:rsidR="00000000" w:rsidDel="00000000" w:rsidP="00000000" w:rsidRDefault="00000000" w:rsidRPr="00000000" w14:paraId="000000B0">
      <w:pPr>
        <w:numPr>
          <w:ilvl w:val="0"/>
          <w:numId w:val="1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United Kingdom</w:t>
      </w:r>
      <w:r w:rsidDel="00000000" w:rsidR="00000000" w:rsidRPr="00000000">
        <w:rPr>
          <w:rFonts w:ascii="Times New Roman" w:cs="Times New Roman" w:eastAsia="Times New Roman" w:hAnsi="Times New Roman"/>
          <w:sz w:val="24"/>
          <w:szCs w:val="24"/>
          <w:rtl w:val="0"/>
        </w:rPr>
        <w:t xml:space="preserve">: The UK incorporates LOB provisions in its treaties, particularly with non-EU countries, to prevent treaty shopping and ensure that treaty benefits are only available to genuine residents with substantial economic presence. The UK’s approach often includes specific criteria related to ownership, business activities, and economic substance.</w:t>
      </w:r>
    </w:p>
    <w:p w:rsidR="00000000" w:rsidDel="00000000" w:rsidP="00000000" w:rsidRDefault="00000000" w:rsidRPr="00000000" w14:paraId="000000B1">
      <w:pPr>
        <w:numPr>
          <w:ilvl w:val="0"/>
          <w:numId w:val="1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Australia</w:t>
      </w:r>
      <w:r w:rsidDel="00000000" w:rsidR="00000000" w:rsidRPr="00000000">
        <w:rPr>
          <w:rFonts w:ascii="Times New Roman" w:cs="Times New Roman" w:eastAsia="Times New Roman" w:hAnsi="Times New Roman"/>
          <w:sz w:val="24"/>
          <w:szCs w:val="24"/>
          <w:rtl w:val="0"/>
        </w:rPr>
        <w:t xml:space="preserve">: Australia includes LOB provisions in its tax treaties, focusing on preventing treaty abuse and ensuring that treaty benefits are available only to entities with genuine economic presence. The LOB provisions in Australia’s treaties often include tests for ownership, business activities, and economic substance, similar to those in U.S. and Canadian treaties.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country’s approach to implementing LOB provisions reflects its unique legal and economic context, but all share the common goal of preventing treaty abuse and ensuring that tax treaties function as intended. The differences in implementation often arise from variations in legal traditions, tax policies, and the specific challenges faced by each country.</w:t>
      </w:r>
    </w:p>
    <w:p w:rsidR="00000000" w:rsidDel="00000000" w:rsidP="00000000" w:rsidRDefault="00000000" w:rsidRPr="00000000" w14:paraId="000000B3">
      <w:pPr>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B4">
      <w:pPr>
        <w:pStyle w:val="Heading1"/>
        <w:rPr/>
      </w:pPr>
      <w:bookmarkStart w:colFirst="0" w:colLast="0" w:name="_heading=h.40zgdjtp229a" w:id="18"/>
      <w:bookmarkEnd w:id="18"/>
      <w:r w:rsidDel="00000000" w:rsidR="00000000" w:rsidRPr="00000000">
        <w:rPr>
          <w:rtl w:val="0"/>
        </w:rPr>
        <w:t xml:space="preserve">L.4. BEPS ACTION 6: TREATY ABUSE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of the BEPS Project, titled “Preventing the Granting of Treaty Benefits in Inappropriate Circumstances,” is one of the cornerstones of the BEPS initiative. This action aims to prevent the misuse of tax treaties, specifically targeting treaty shopping and other forms of treaty abuse. Treaty shopping, in particular, allows non-residents to gain inappropriate access to tax treaty benefits, which can result in the erosion of a country's tax base.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evaluation of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will provide an in-depth analysis of its objectives, its implementation through specific rules, and its impact on preventing treaty abuse.</w:t>
      </w:r>
    </w:p>
    <w:p w:rsidR="00000000" w:rsidDel="00000000" w:rsidP="00000000" w:rsidRDefault="00000000" w:rsidRPr="00000000" w14:paraId="000000B7">
      <w:pPr>
        <w:pStyle w:val="Heading2"/>
        <w:numPr>
          <w:ilvl w:val="0"/>
          <w:numId w:val="3"/>
        </w:numPr>
        <w:spacing w:after="0" w:afterAutospacing="0"/>
        <w:ind w:left="720" w:hanging="360"/>
        <w:rPr/>
      </w:pPr>
      <w:bookmarkStart w:colFirst="0" w:colLast="0" w:name="_heading=h.2jxsxqh" w:id="19"/>
      <w:bookmarkEnd w:id="19"/>
      <w:r w:rsidDel="00000000" w:rsidR="00000000" w:rsidRPr="00000000">
        <w:rPr>
          <w:rtl w:val="0"/>
        </w:rPr>
        <w:t xml:space="preserve">The Problem of Treaty Abuse and Treaty Shopping</w:t>
      </w:r>
    </w:p>
    <w:p w:rsidR="00000000" w:rsidDel="00000000" w:rsidP="00000000" w:rsidRDefault="00000000" w:rsidRPr="00000000" w14:paraId="000000B8">
      <w:pPr>
        <w:numPr>
          <w:ilvl w:val="1"/>
          <w:numId w:val="3"/>
        </w:numPr>
        <w:ind w:left="90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Treaty Shopping: An Overview</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heart of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is the issue of treaty shopping, which involves strategies employed by taxpayers to benefit from the provisions of a tax treaty even when they are not entitled to such benefits. A typical example of treaty shopping is the use of intermediary companies, also known as letterbox companies, which have no real economic activity in the country where they are based. These companies are established solely to exploit a tax treaty between two states, giving their owners reduced tax liability on cross-border income, such as dividends, interest, or royalties.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such practices is a distortion of the intended benefits of tax treaties. Tax treaties are designed to eliminate double taxation, promote cross-border economic activity, and facilitate international trade. However, treaty shopping undermines these objectives by depriving countries of their rightful tax revenues, encouraging profit shifting, and creating an unfair advantage for companies that engage in abusive practices. This undermines tax sovereignty, as countries lose the ability to tax income that, under normal circumstances, would have been subject to their domestic tax laws.</w:t>
      </w:r>
    </w:p>
    <w:p w:rsidR="00000000" w:rsidDel="00000000" w:rsidP="00000000" w:rsidRDefault="00000000" w:rsidRPr="00000000" w14:paraId="000000B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Wider Treaty Abuse Strategies</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treaty shopping, there are other forms of treaty abuse that companies and individuals may employ. These include the manipulation of treaty provisions to achieve outcomes that are inconsistent with the object and purpose of the tax treaty. For instance, taxpayers might use complex legal structures to take advantage of lower withholding tax rates on dividends, interest, or royalties, or claim treaty benefits in situations where such benefits were not intended to apply. In these cases, the abuse of tax treaties leads to double non-taxation or reduced taxation, resulting in a substantial loss of tax revenue for the countries involved.</w:t>
      </w:r>
    </w:p>
    <w:p w:rsidR="00000000" w:rsidDel="00000000" w:rsidP="00000000" w:rsidRDefault="00000000" w:rsidRPr="00000000" w14:paraId="000000BD">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4aa0xo4vtlj5" w:id="20"/>
      <w:bookmarkEnd w:id="20"/>
      <w:r w:rsidDel="00000000" w:rsidR="00000000" w:rsidRPr="00000000">
        <w:rPr>
          <w:rtl w:val="0"/>
        </w:rPr>
        <w:t xml:space="preserve">The Solutions Provided by Action 6</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addresses treaty abuse by introducing a set of anti-abuse provisions aimed at safeguarding the integrity of tax treaties. The recommendations laid out in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revolve around three key elements: a clear statement of intent, the limitation-on-benefits (LOB) rule, and the principal purposes test (PPT). Together, these measures create a robust framework to prevent treaty shopping and other forms of treaty abuse.</w:t>
      </w:r>
    </w:p>
    <w:p w:rsidR="00000000" w:rsidDel="00000000" w:rsidP="00000000" w:rsidRDefault="00000000" w:rsidRPr="00000000" w14:paraId="000000B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Clear Statement of Intent</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preventing treaty abuse is to establish a clear understanding among the states entering into a tax treaty.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recommends that countries include a statement in their treaties affirming their intention to prevent treaty abuse, including treaty shopping. This declaration makes it explicit that the goal of tax treaties is not to create opportunities for non-taxation or reduced taxation through evasion or avoidance schemes.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statement of intent is significant because it sets the foundation for the anti-abuse measures that follow. It makes clear that tax treaties are designed to prevent double taxation and foster legitimate cross-border trade and investment, not to serve as tools for aggressive tax planning. Moreover, it ensures that the courts and tax authorities interpreting the treaty have a clear reference point to determine whether certain arrangements are in line with the treaty's objectives.</w:t>
      </w:r>
    </w:p>
    <w:p w:rsidR="00000000" w:rsidDel="00000000" w:rsidP="00000000" w:rsidRDefault="00000000" w:rsidRPr="00000000" w14:paraId="000000C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Limitation-on-Benefits (LOB) Rule</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critical components of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is the introduction of the </w:t>
      </w:r>
      <w:r w:rsidDel="00000000" w:rsidR="00000000" w:rsidRPr="00000000">
        <w:rPr>
          <w:rFonts w:ascii="Times New Roman" w:cs="Times New Roman" w:eastAsia="Times New Roman" w:hAnsi="Times New Roman"/>
          <w:b w:val="1"/>
          <w:sz w:val="24"/>
          <w:szCs w:val="24"/>
          <w:rtl w:val="0"/>
        </w:rPr>
        <w:t xml:space="preserve">limitation-on-benefits (LOB) rule</w:t>
      </w:r>
      <w:r w:rsidDel="00000000" w:rsidR="00000000" w:rsidRPr="00000000">
        <w:rPr>
          <w:rFonts w:ascii="Times New Roman" w:cs="Times New Roman" w:eastAsia="Times New Roman" w:hAnsi="Times New Roman"/>
          <w:sz w:val="24"/>
          <w:szCs w:val="24"/>
          <w:rtl w:val="0"/>
        </w:rPr>
        <w:t xml:space="preserve">. The LOB rule restricts the availability of treaty benefits to entities that meet specific conditions, ensuring that only entities with genuine economic substance in a country can benefit from its tax treaties. This rule is based on the legal nature, ownership structure, and activities of the entity claiming treaty benefits. In essence, the LOB rule aims to establish a clear connection between the entity and its state of residence, ensuring that only residents with substantive economic ties to that state can claim tax treaty benefits.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LOB rule is already used in the tax treaties of several countries, most notably the United States, where it has proven to be effective in curbing treaty shopping. By incorporating this rule into the </w:t>
      </w:r>
      <w:r w:rsidDel="00000000" w:rsidR="00000000" w:rsidRPr="00000000">
        <w:rPr>
          <w:rFonts w:ascii="Times New Roman" w:cs="Times New Roman" w:eastAsia="Times New Roman" w:hAnsi="Times New Roman"/>
          <w:b w:val="1"/>
          <w:sz w:val="24"/>
          <w:szCs w:val="24"/>
          <w:rtl w:val="0"/>
        </w:rPr>
        <w:t xml:space="preserve">OECD Model Tax Convention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seeks to expand its application to a broader range of bilateral tax treaties.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LOB rule works by setting out specific tests that an entity must pass to qualify for treaty benefits. These tests include:</w:t>
      </w:r>
    </w:p>
    <w:p w:rsidR="00000000" w:rsidDel="00000000" w:rsidP="00000000" w:rsidRDefault="00000000" w:rsidRPr="00000000" w14:paraId="000000C6">
      <w:pPr>
        <w:numPr>
          <w:ilvl w:val="0"/>
          <w:numId w:val="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Publicly traded test</w:t>
      </w:r>
      <w:r w:rsidDel="00000000" w:rsidR="00000000" w:rsidRPr="00000000">
        <w:rPr>
          <w:rFonts w:ascii="Times New Roman" w:cs="Times New Roman" w:eastAsia="Times New Roman" w:hAnsi="Times New Roman"/>
          <w:sz w:val="24"/>
          <w:szCs w:val="24"/>
          <w:rtl w:val="0"/>
        </w:rPr>
        <w:t xml:space="preserve">: The entity must be a publicly traded company or a subsidiary of a publicly traded company.</w:t>
      </w:r>
    </w:p>
    <w:p w:rsidR="00000000" w:rsidDel="00000000" w:rsidP="00000000" w:rsidRDefault="00000000" w:rsidRPr="00000000" w14:paraId="000000C7">
      <w:pPr>
        <w:numPr>
          <w:ilvl w:val="0"/>
          <w:numId w:val="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Ownership and base erosion test</w:t>
      </w:r>
      <w:r w:rsidDel="00000000" w:rsidR="00000000" w:rsidRPr="00000000">
        <w:rPr>
          <w:rFonts w:ascii="Times New Roman" w:cs="Times New Roman" w:eastAsia="Times New Roman" w:hAnsi="Times New Roman"/>
          <w:sz w:val="24"/>
          <w:szCs w:val="24"/>
          <w:rtl w:val="0"/>
        </w:rPr>
        <w:t xml:space="preserve">: The entity must be owned primarily by residents of the treaty partner country, and it must not make significant payments to non-residents that erode its tax base.</w:t>
      </w:r>
    </w:p>
    <w:p w:rsidR="00000000" w:rsidDel="00000000" w:rsidP="00000000" w:rsidRDefault="00000000" w:rsidRPr="00000000" w14:paraId="000000C8">
      <w:pPr>
        <w:numPr>
          <w:ilvl w:val="0"/>
          <w:numId w:val="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Active business test</w:t>
      </w:r>
      <w:r w:rsidDel="00000000" w:rsidR="00000000" w:rsidRPr="00000000">
        <w:rPr>
          <w:rFonts w:ascii="Times New Roman" w:cs="Times New Roman" w:eastAsia="Times New Roman" w:hAnsi="Times New Roman"/>
          <w:sz w:val="24"/>
          <w:szCs w:val="24"/>
          <w:rtl w:val="0"/>
        </w:rPr>
        <w:t xml:space="preserve">: The entity must be engaged in an active business in the treaty partner country, and the income for which it is claiming treaty benefits must be connected to that business.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LOB rule provides a high degree of certainty and clarity for taxpayers and tax authorities, as it clearly defines the conditions under which treaty benefits can be claimed. However, one of the challenges of the LOB rule is its complexity. It requires detailed analysis of the entity’s structure and activities, which can make it difficult to apply in practice.</w:t>
      </w:r>
    </w:p>
    <w:p w:rsidR="00000000" w:rsidDel="00000000" w:rsidP="00000000" w:rsidRDefault="00000000" w:rsidRPr="00000000" w14:paraId="000000C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Principal Purposes Test (PPT)</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LOB rule is effective in preventing certain types of treaty shopping, it may not cover all forms of treaty abuse. To address this,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also introduces a more general anti-abuse rule known as the </w:t>
      </w:r>
      <w:r w:rsidDel="00000000" w:rsidR="00000000" w:rsidRPr="00000000">
        <w:rPr>
          <w:rFonts w:ascii="Times New Roman" w:cs="Times New Roman" w:eastAsia="Times New Roman" w:hAnsi="Times New Roman"/>
          <w:b w:val="1"/>
          <w:sz w:val="24"/>
          <w:szCs w:val="24"/>
          <w:rtl w:val="0"/>
        </w:rPr>
        <w:t xml:space="preserve">principal purposes test (PPT)</w:t>
      </w:r>
      <w:r w:rsidDel="00000000" w:rsidR="00000000" w:rsidRPr="00000000">
        <w:rPr>
          <w:rFonts w:ascii="Times New Roman" w:cs="Times New Roman" w:eastAsia="Times New Roman" w:hAnsi="Times New Roman"/>
          <w:sz w:val="24"/>
          <w:szCs w:val="24"/>
          <w:rtl w:val="0"/>
        </w:rPr>
        <w:t xml:space="preserve">. The PPT is designed to prevent taxpayers from obtaining treaty benefits in cases where one of the principal purposes of a transaction or arrangement is to secure those benefits.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PPT rule, treaty benefits will be denied if it is reasonable to conclude, based on the facts and circumstances, that one of the principal purposes of the arrangement was to obtain those benefits. The only exception to this rule is if it can be shown that granting the treaty benefits would be in line with the object and purpose of the treaty’s provisions.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PPT provides greater flexibility than the LOB rule, as it allows tax authorities to look at the overall context of the transaction and make a judgment based on the purpose of the arrangement. This flexibility makes the PPT a powerful tool in the fight against treaty abuse, as it can be applied to a wide range of abusive strategies that may not be captured by the more rigid LOB rule.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PPT also introduces a degree of uncertainty, as it requires subjective judgments about the purpose of transactions. This could lead to disputes between taxpayers and tax authorities over whether a particular arrangement was primarily motivated by tax benefits or had a legitimate business purpose. To mitigate this risk,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emphasizes the need for clear guidance on how the PPT should be applied, as well as robust dispute resolution mechanisms to resolve conflicts.</w:t>
      </w:r>
    </w:p>
    <w:p w:rsidR="00000000" w:rsidDel="00000000" w:rsidP="00000000" w:rsidRDefault="00000000" w:rsidRPr="00000000" w14:paraId="000000CF">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5ee2eijjl8bb" w:id="21"/>
      <w:bookmarkEnd w:id="21"/>
      <w:r w:rsidDel="00000000" w:rsidR="00000000" w:rsidRPr="00000000">
        <w:rPr>
          <w:rtl w:val="0"/>
        </w:rPr>
        <w:t xml:space="preserve">Flexibility in Implementation</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strengths of </w:t>
      </w:r>
      <w:r w:rsidDel="00000000" w:rsidR="00000000" w:rsidRPr="00000000">
        <w:rPr>
          <w:rFonts w:ascii="Times New Roman" w:cs="Times New Roman" w:eastAsia="Times New Roman" w:hAnsi="Times New Roman"/>
          <w:b w:val="1"/>
          <w:sz w:val="24"/>
          <w:szCs w:val="24"/>
          <w:rtl w:val="0"/>
        </w:rPr>
        <w:t xml:space="preserve">Action 6</w:t>
      </w:r>
      <w:r w:rsidDel="00000000" w:rsidR="00000000" w:rsidRPr="00000000">
        <w:rPr>
          <w:rFonts w:ascii="Times New Roman" w:cs="Times New Roman" w:eastAsia="Times New Roman" w:hAnsi="Times New Roman"/>
          <w:sz w:val="24"/>
          <w:szCs w:val="24"/>
          <w:rtl w:val="0"/>
        </w:rPr>
        <w:t xml:space="preserve"> is the recognition that different countries have different legal systems, economic conditions, and treaty negotiation practices. Therefore, the BEPS Project allows for flexibility in the implementation of the anti-abuse provisions, particularly with regard to the LOB and PPT rules.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can choose to adopt either the LOB rule, the PPT rule, or a combination of both, depending on their specific needs and circumstances. For instance, countries that have historically faced high levels of treaty shopping may prefer to adopt the LOB rule as a more precise and targeted measure. On the other hand, countries that are concerned about a broader range of treaty abuse strategies may opt for the PPT rule, which provides greater flexibility in dealing with abusive arrangements.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flexibility is essential to ensure that the anti-abuse provisions are tailored to the specific needs of each country while still adhering to the minimum standard agreed upon in the BEPS Project. However, it also introduces challenges, as different approaches to implementing the rules could create inconsistencies in the way tax treaties are interpreted and applied.</w:t>
      </w:r>
    </w:p>
    <w:p w:rsidR="00000000" w:rsidDel="00000000" w:rsidP="00000000" w:rsidRDefault="00000000" w:rsidRPr="00000000" w14:paraId="000000D3">
      <w:pPr>
        <w:pStyle w:val="Heading1"/>
        <w:ind w:left="0" w:firstLine="0"/>
        <w:rPr/>
      </w:pPr>
      <w:bookmarkStart w:colFirst="0" w:colLast="0" w:name="_heading=h.8bnmm840l1kn" w:id="22"/>
      <w:bookmarkEnd w:id="22"/>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ind w:left="0" w:firstLine="0"/>
        <w:rPr/>
      </w:pPr>
      <w:bookmarkStart w:colFirst="0" w:colLast="0" w:name="_heading=h.1y810tw" w:id="23"/>
      <w:bookmarkEnd w:id="23"/>
      <w:r w:rsidDel="00000000" w:rsidR="00000000" w:rsidRPr="00000000">
        <w:rPr>
          <w:rtl w:val="0"/>
        </w:rPr>
        <w:t xml:space="preserve">L.5. ARTICLES 1 AND 29: PERSONS COVERED AND ENTITLEMENT TO BENEFITS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w:t>
      </w:r>
      <w:r w:rsidDel="00000000" w:rsidR="00000000" w:rsidRPr="00000000">
        <w:rPr>
          <w:rFonts w:ascii="Times New Roman" w:cs="Times New Roman" w:eastAsia="Times New Roman" w:hAnsi="Times New Roman"/>
          <w:b w:val="1"/>
          <w:sz w:val="24"/>
          <w:szCs w:val="24"/>
          <w:rtl w:val="0"/>
        </w:rPr>
        <w:t xml:space="preserve">Articles 1 and 29</w:t>
      </w:r>
      <w:r w:rsidDel="00000000" w:rsidR="00000000" w:rsidRPr="00000000">
        <w:rPr>
          <w:rFonts w:ascii="Times New Roman" w:cs="Times New Roman" w:eastAsia="Times New Roman" w:hAnsi="Times New Roman"/>
          <w:sz w:val="24"/>
          <w:szCs w:val="24"/>
          <w:rtl w:val="0"/>
        </w:rPr>
        <w:t xml:space="preserve"> in tax treaties is pivotal to understanding the scope and limits of treaty entitlement. Article 1 establishes the general framework for who is covered by the tax treaty, while Article 29 sets the criteria for determining who is entitled to benefit from the treaty’s provisions. This interaction has gained increased significance with the introduction of anti-abuse measures, particularly in light of the OECD’s Base Erosion and Profit Shifting (BEPS) project. Understanding how these two articles interact provides insight into modern tax treaty policy, especially in preventing abuse while ensuring genuine taxpayers can benefit from tax treaties.</w:t>
      </w:r>
    </w:p>
    <w:p w:rsidR="00000000" w:rsidDel="00000000" w:rsidP="00000000" w:rsidRDefault="00000000" w:rsidRPr="00000000" w14:paraId="000000D6">
      <w:pPr>
        <w:pStyle w:val="Heading2"/>
        <w:numPr>
          <w:ilvl w:val="0"/>
          <w:numId w:val="1"/>
        </w:numPr>
        <w:ind w:left="720" w:hanging="360"/>
        <w:rPr/>
      </w:pPr>
      <w:bookmarkStart w:colFirst="0" w:colLast="0" w:name="_heading=h.4i7ojhp" w:id="24"/>
      <w:bookmarkEnd w:id="24"/>
      <w:r w:rsidDel="00000000" w:rsidR="00000000" w:rsidRPr="00000000">
        <w:rPr>
          <w:rtl w:val="0"/>
        </w:rPr>
        <w:t xml:space="preserve">Article 1: Scope of Persons Covered</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w:t>
      </w:r>
      <w:r w:rsidDel="00000000" w:rsidR="00000000" w:rsidRPr="00000000">
        <w:rPr>
          <w:rFonts w:ascii="Times New Roman" w:cs="Times New Roman" w:eastAsia="Times New Roman" w:hAnsi="Times New Roman"/>
          <w:sz w:val="24"/>
          <w:szCs w:val="24"/>
          <w:rtl w:val="0"/>
        </w:rPr>
        <w:t xml:space="preserve"> of the OECD Model Tax Convention broadly sets out the personal scope of the tax treaty. It applies to residents of one or both of the contracting states. A "resident," as defined in </w:t>
      </w:r>
      <w:r w:rsidDel="00000000" w:rsidR="00000000" w:rsidRPr="00000000">
        <w:rPr>
          <w:rFonts w:ascii="Times New Roman" w:cs="Times New Roman" w:eastAsia="Times New Roman" w:hAnsi="Times New Roman"/>
          <w:b w:val="1"/>
          <w:sz w:val="24"/>
          <w:szCs w:val="24"/>
          <w:rtl w:val="0"/>
        </w:rPr>
        <w:t xml:space="preserve">Article 4</w:t>
      </w:r>
      <w:r w:rsidDel="00000000" w:rsidR="00000000" w:rsidRPr="00000000">
        <w:rPr>
          <w:rFonts w:ascii="Times New Roman" w:cs="Times New Roman" w:eastAsia="Times New Roman" w:hAnsi="Times New Roman"/>
          <w:sz w:val="24"/>
          <w:szCs w:val="24"/>
          <w:rtl w:val="0"/>
        </w:rPr>
        <w:t xml:space="preserve">, refers to any person who, under the laws of the respective state, is subject to tax based on domicile, residence, or similar criteria. The coverage extends to individuals, companies, and other entities, which are recognized as taxable persons under the domestic laws of the contracting states.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 scope of </w:t>
      </w:r>
      <w:r w:rsidDel="00000000" w:rsidR="00000000" w:rsidRPr="00000000">
        <w:rPr>
          <w:rFonts w:ascii="Times New Roman" w:cs="Times New Roman" w:eastAsia="Times New Roman" w:hAnsi="Times New Roman"/>
          <w:b w:val="1"/>
          <w:sz w:val="24"/>
          <w:szCs w:val="24"/>
          <w:rtl w:val="0"/>
        </w:rPr>
        <w:t xml:space="preserve">Article 1</w:t>
      </w:r>
      <w:r w:rsidDel="00000000" w:rsidR="00000000" w:rsidRPr="00000000">
        <w:rPr>
          <w:rFonts w:ascii="Times New Roman" w:cs="Times New Roman" w:eastAsia="Times New Roman" w:hAnsi="Times New Roman"/>
          <w:sz w:val="24"/>
          <w:szCs w:val="24"/>
          <w:rtl w:val="0"/>
        </w:rPr>
        <w:t xml:space="preserve"> allows for both individuals and non-individual entities such as corporations and partnerships to be covered under tax treaties. However, this broad scope also leaves the system vulnerable to </w:t>
      </w:r>
      <w:r w:rsidDel="00000000" w:rsidR="00000000" w:rsidRPr="00000000">
        <w:rPr>
          <w:rFonts w:ascii="Times New Roman" w:cs="Times New Roman" w:eastAsia="Times New Roman" w:hAnsi="Times New Roman"/>
          <w:b w:val="1"/>
          <w:sz w:val="24"/>
          <w:szCs w:val="24"/>
          <w:rtl w:val="0"/>
        </w:rPr>
        <w:t xml:space="preserve">treaty shopping</w:t>
      </w:r>
      <w:r w:rsidDel="00000000" w:rsidR="00000000" w:rsidRPr="00000000">
        <w:rPr>
          <w:rFonts w:ascii="Times New Roman" w:cs="Times New Roman" w:eastAsia="Times New Roman" w:hAnsi="Times New Roman"/>
          <w:sz w:val="24"/>
          <w:szCs w:val="24"/>
          <w:rtl w:val="0"/>
        </w:rPr>
        <w:t xml:space="preserve"> and other forms of tax abuse, where entities or individuals may seek to claim the benefits of tax treaties without having a substantive connection to the contracting states.</w:t>
      </w:r>
    </w:p>
    <w:p w:rsidR="00000000" w:rsidDel="00000000" w:rsidP="00000000" w:rsidRDefault="00000000" w:rsidRPr="00000000" w14:paraId="000000D9">
      <w:pPr>
        <w:numPr>
          <w:ilvl w:val="1"/>
          <w:numId w:val="1"/>
        </w:numPr>
        <w:ind w:left="90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Dual Residency Issues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issue under </w:t>
      </w:r>
      <w:r w:rsidDel="00000000" w:rsidR="00000000" w:rsidRPr="00000000">
        <w:rPr>
          <w:rFonts w:ascii="Times New Roman" w:cs="Times New Roman" w:eastAsia="Times New Roman" w:hAnsi="Times New Roman"/>
          <w:b w:val="1"/>
          <w:sz w:val="24"/>
          <w:szCs w:val="24"/>
          <w:rtl w:val="0"/>
        </w:rPr>
        <w:t xml:space="preserve">Article 1</w:t>
      </w:r>
      <w:r w:rsidDel="00000000" w:rsidR="00000000" w:rsidRPr="00000000">
        <w:rPr>
          <w:rFonts w:ascii="Times New Roman" w:cs="Times New Roman" w:eastAsia="Times New Roman" w:hAnsi="Times New Roman"/>
          <w:sz w:val="24"/>
          <w:szCs w:val="24"/>
          <w:rtl w:val="0"/>
        </w:rPr>
        <w:t xml:space="preserve"> is the problem of </w:t>
      </w:r>
      <w:r w:rsidDel="00000000" w:rsidR="00000000" w:rsidRPr="00000000">
        <w:rPr>
          <w:rFonts w:ascii="Times New Roman" w:cs="Times New Roman" w:eastAsia="Times New Roman" w:hAnsi="Times New Roman"/>
          <w:b w:val="1"/>
          <w:sz w:val="24"/>
          <w:szCs w:val="24"/>
          <w:rtl w:val="0"/>
        </w:rPr>
        <w:t xml:space="preserve">dual residency</w:t>
      </w:r>
      <w:r w:rsidDel="00000000" w:rsidR="00000000" w:rsidRPr="00000000">
        <w:rPr>
          <w:rFonts w:ascii="Times New Roman" w:cs="Times New Roman" w:eastAsia="Times New Roman" w:hAnsi="Times New Roman"/>
          <w:sz w:val="24"/>
          <w:szCs w:val="24"/>
          <w:rtl w:val="0"/>
        </w:rPr>
        <w:t xml:space="preserve">, where a person may be considered a resident of both contracting states. In such cases, </w:t>
      </w:r>
      <w:r w:rsidDel="00000000" w:rsidR="00000000" w:rsidRPr="00000000">
        <w:rPr>
          <w:rFonts w:ascii="Times New Roman" w:cs="Times New Roman" w:eastAsia="Times New Roman" w:hAnsi="Times New Roman"/>
          <w:b w:val="1"/>
          <w:sz w:val="24"/>
          <w:szCs w:val="24"/>
          <w:rtl w:val="0"/>
        </w:rPr>
        <w:t xml:space="preserve">Article 4(2)</w:t>
      </w:r>
      <w:r w:rsidDel="00000000" w:rsidR="00000000" w:rsidRPr="00000000">
        <w:rPr>
          <w:rFonts w:ascii="Times New Roman" w:cs="Times New Roman" w:eastAsia="Times New Roman" w:hAnsi="Times New Roman"/>
          <w:sz w:val="24"/>
          <w:szCs w:val="24"/>
          <w:rtl w:val="0"/>
        </w:rPr>
        <w:t xml:space="preserve"> provides tie-breaking rules to determine the state of residence, which is critical because the determination of residence affects a taxpayer’s ability to claim treaty benefits. For individuals, factors such as the location of the permanent home, center of vital interests, habitual abode, and nationality help resolve dual residency conflicts. For corporations, the </w:t>
      </w:r>
      <w:r w:rsidDel="00000000" w:rsidR="00000000" w:rsidRPr="00000000">
        <w:rPr>
          <w:rFonts w:ascii="Times New Roman" w:cs="Times New Roman" w:eastAsia="Times New Roman" w:hAnsi="Times New Roman"/>
          <w:b w:val="1"/>
          <w:sz w:val="24"/>
          <w:szCs w:val="24"/>
          <w:rtl w:val="0"/>
        </w:rPr>
        <w:t xml:space="preserve">place of effective management</w:t>
      </w:r>
      <w:r w:rsidDel="00000000" w:rsidR="00000000" w:rsidRPr="00000000">
        <w:rPr>
          <w:rFonts w:ascii="Times New Roman" w:cs="Times New Roman" w:eastAsia="Times New Roman" w:hAnsi="Times New Roman"/>
          <w:sz w:val="24"/>
          <w:szCs w:val="24"/>
          <w:rtl w:val="0"/>
        </w:rPr>
        <w:t xml:space="preserve"> is often used as the deciding factor, though this too has limitations and may be subject to manipulation.</w:t>
      </w:r>
    </w:p>
    <w:p w:rsidR="00000000" w:rsidDel="00000000" w:rsidP="00000000" w:rsidRDefault="00000000" w:rsidRPr="00000000" w14:paraId="000000D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Hybrid Entities and Transparent Entities</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entities</w:t>
      </w:r>
      <w:r w:rsidDel="00000000" w:rsidR="00000000" w:rsidRPr="00000000">
        <w:rPr>
          <w:rFonts w:ascii="Times New Roman" w:cs="Times New Roman" w:eastAsia="Times New Roman" w:hAnsi="Times New Roman"/>
          <w:sz w:val="24"/>
          <w:szCs w:val="24"/>
          <w:rtl w:val="0"/>
        </w:rPr>
        <w:t xml:space="preserve">, which are treated differently in different jurisdictions (e.g., as a corporation in one and as a partnership in another), also pose challenges for treaty entitlement. The 2017 OECD Model introduced new rules in </w:t>
      </w:r>
      <w:r w:rsidDel="00000000" w:rsidR="00000000" w:rsidRPr="00000000">
        <w:rPr>
          <w:rFonts w:ascii="Times New Roman" w:cs="Times New Roman" w:eastAsia="Times New Roman" w:hAnsi="Times New Roman"/>
          <w:b w:val="1"/>
          <w:sz w:val="24"/>
          <w:szCs w:val="24"/>
          <w:rtl w:val="0"/>
        </w:rPr>
        <w:t xml:space="preserve">Article 1(2)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Article 1(3)</w:t>
      </w:r>
      <w:r w:rsidDel="00000000" w:rsidR="00000000" w:rsidRPr="00000000">
        <w:rPr>
          <w:rFonts w:ascii="Times New Roman" w:cs="Times New Roman" w:eastAsia="Times New Roman" w:hAnsi="Times New Roman"/>
          <w:sz w:val="24"/>
          <w:szCs w:val="24"/>
          <w:rtl w:val="0"/>
        </w:rPr>
        <w:t xml:space="preserve"> to address the issue of hybrid entities and ensure that they are not used as vehicles for double non-taxation. These provisions aim to clarify that income earned through hybrid entities is only eligible for treaty benefits if it is taxable in the hands of the entity’s participants.</w:t>
      </w:r>
    </w:p>
    <w:p w:rsidR="00000000" w:rsidDel="00000000" w:rsidP="00000000" w:rsidRDefault="00000000" w:rsidRPr="00000000" w14:paraId="000000DD">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hv6df7rd994w" w:id="25"/>
      <w:bookmarkEnd w:id="25"/>
      <w:r w:rsidDel="00000000" w:rsidR="00000000" w:rsidRPr="00000000">
        <w:rPr>
          <w:rtl w:val="0"/>
        </w:rPr>
        <w:t xml:space="preserve">Article 29: Anti-Abuse Provisions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29</w:t>
      </w:r>
      <w:r w:rsidDel="00000000" w:rsidR="00000000" w:rsidRPr="00000000">
        <w:rPr>
          <w:rFonts w:ascii="Times New Roman" w:cs="Times New Roman" w:eastAsia="Times New Roman" w:hAnsi="Times New Roman"/>
          <w:sz w:val="24"/>
          <w:szCs w:val="24"/>
          <w:rtl w:val="0"/>
        </w:rPr>
        <w:t xml:space="preserve">, added to the OECD Model Tax Convention in 2017, was a response to growing concerns over treaty abuse and forms the cornerstone of the anti-abuse measures implemented as part of the BEPS project. Article 29 introduces key provisions such as the </w:t>
      </w: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Limitation on Benefits (LOB)</w:t>
      </w:r>
      <w:r w:rsidDel="00000000" w:rsidR="00000000" w:rsidRPr="00000000">
        <w:rPr>
          <w:rFonts w:ascii="Times New Roman" w:cs="Times New Roman" w:eastAsia="Times New Roman" w:hAnsi="Times New Roman"/>
          <w:sz w:val="24"/>
          <w:szCs w:val="24"/>
          <w:rtl w:val="0"/>
        </w:rPr>
        <w:t xml:space="preserve"> clauses. These are aimed at preventing taxpayers from exploiting treaties to achieve unintended tax advantages, such as through </w:t>
      </w:r>
      <w:r w:rsidDel="00000000" w:rsidR="00000000" w:rsidRPr="00000000">
        <w:rPr>
          <w:rFonts w:ascii="Times New Roman" w:cs="Times New Roman" w:eastAsia="Times New Roman" w:hAnsi="Times New Roman"/>
          <w:b w:val="1"/>
          <w:sz w:val="24"/>
          <w:szCs w:val="24"/>
          <w:rtl w:val="0"/>
        </w:rPr>
        <w:t xml:space="preserve">treaty shopping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artificial arrangements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Fonts w:ascii="Times New Roman" w:cs="Times New Roman" w:eastAsia="Times New Roman" w:hAnsi="Times New Roman"/>
          <w:sz w:val="24"/>
          <w:szCs w:val="24"/>
          <w:rtl w:val="0"/>
        </w:rPr>
        <w:t xml:space="preserve"> is a general anti-abuse rule that allows tax authorities to deny treaty benefits if one of the principal purposes of an arrangement or transaction was to obtain those benefits in a manner inconsistent with the object and purpose of the treaty. This provision, found in </w:t>
      </w:r>
      <w:r w:rsidDel="00000000" w:rsidR="00000000" w:rsidRPr="00000000">
        <w:rPr>
          <w:rFonts w:ascii="Times New Roman" w:cs="Times New Roman" w:eastAsia="Times New Roman" w:hAnsi="Times New Roman"/>
          <w:b w:val="1"/>
          <w:sz w:val="24"/>
          <w:szCs w:val="24"/>
          <w:rtl w:val="0"/>
        </w:rPr>
        <w:t xml:space="preserve">Article 29(9)</w:t>
      </w:r>
      <w:r w:rsidDel="00000000" w:rsidR="00000000" w:rsidRPr="00000000">
        <w:rPr>
          <w:rFonts w:ascii="Times New Roman" w:cs="Times New Roman" w:eastAsia="Times New Roman" w:hAnsi="Times New Roman"/>
          <w:sz w:val="24"/>
          <w:szCs w:val="24"/>
          <w:rtl w:val="0"/>
        </w:rPr>
        <w:t xml:space="preserve">, applies broadly to any situation where a transaction or arrangement has been structured primarily to gain an undue tax advantage.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the PPT reflects the OECD's efforts to combat treaty shopping, where entities establish residence in a low-tax jurisdiction simply to benefit from a favorable treaty without having substantial economic activity in that jurisdiction. Under the PPT, if it is reasonable to conclude that obtaining the treaty benefit was one of the principal purposes of the transaction, the benefits can be denied, unless it is established that granting the benefit would align with the object and purpose of the treaty.</w:t>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 on Benefits (LOB)</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PPT is a flexible and subjective anti-abuse tool, </w:t>
      </w:r>
      <w:r w:rsidDel="00000000" w:rsidR="00000000" w:rsidRPr="00000000">
        <w:rPr>
          <w:rFonts w:ascii="Times New Roman" w:cs="Times New Roman" w:eastAsia="Times New Roman" w:hAnsi="Times New Roman"/>
          <w:b w:val="1"/>
          <w:sz w:val="24"/>
          <w:szCs w:val="24"/>
          <w:rtl w:val="0"/>
        </w:rPr>
        <w:t xml:space="preserve">Limitation on Benefits (LOB)</w:t>
      </w:r>
      <w:r w:rsidDel="00000000" w:rsidR="00000000" w:rsidRPr="00000000">
        <w:rPr>
          <w:rFonts w:ascii="Times New Roman" w:cs="Times New Roman" w:eastAsia="Times New Roman" w:hAnsi="Times New Roman"/>
          <w:sz w:val="24"/>
          <w:szCs w:val="24"/>
          <w:rtl w:val="0"/>
        </w:rPr>
        <w:t xml:space="preserve"> provisions offer a more objective approach to preventing treaty abuse. LOB clauses establish clear tests that entities must meet to qualify for treaty benefits. These tests often include </w:t>
      </w:r>
      <w:r w:rsidDel="00000000" w:rsidR="00000000" w:rsidRPr="00000000">
        <w:rPr>
          <w:rFonts w:ascii="Times New Roman" w:cs="Times New Roman" w:eastAsia="Times New Roman" w:hAnsi="Times New Roman"/>
          <w:b w:val="1"/>
          <w:sz w:val="24"/>
          <w:szCs w:val="24"/>
          <w:rtl w:val="0"/>
        </w:rPr>
        <w:t xml:space="preserve">ownership tests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active trade or business tests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derivative benefits tests</w:t>
      </w:r>
      <w:r w:rsidDel="00000000" w:rsidR="00000000" w:rsidRPr="00000000">
        <w:rPr>
          <w:rFonts w:ascii="Times New Roman" w:cs="Times New Roman" w:eastAsia="Times New Roman" w:hAnsi="Times New Roman"/>
          <w:sz w:val="24"/>
          <w:szCs w:val="24"/>
          <w:rtl w:val="0"/>
        </w:rPr>
        <w:t xml:space="preserve"> to ensure that only entities with substantive connections to the contracting states can claim benefits.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 clauses are particularly relevant for denying benefits to </w:t>
      </w:r>
      <w:r w:rsidDel="00000000" w:rsidR="00000000" w:rsidRPr="00000000">
        <w:rPr>
          <w:rFonts w:ascii="Times New Roman" w:cs="Times New Roman" w:eastAsia="Times New Roman" w:hAnsi="Times New Roman"/>
          <w:b w:val="1"/>
          <w:sz w:val="24"/>
          <w:szCs w:val="24"/>
          <w:rtl w:val="0"/>
        </w:rPr>
        <w:t xml:space="preserve">shell companies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conduit entities</w:t>
      </w:r>
      <w:r w:rsidDel="00000000" w:rsidR="00000000" w:rsidRPr="00000000">
        <w:rPr>
          <w:rFonts w:ascii="Times New Roman" w:cs="Times New Roman" w:eastAsia="Times New Roman" w:hAnsi="Times New Roman"/>
          <w:sz w:val="24"/>
          <w:szCs w:val="24"/>
          <w:rtl w:val="0"/>
        </w:rPr>
        <w:t xml:space="preserve"> that do not have real economic activity in the contracting states. For example, LOB provisions may require that a company be publicly traded or have a certain percentage of ownership by residents of the contracting states to qualify for treaty benefits.</w:t>
      </w:r>
    </w:p>
    <w:p w:rsidR="00000000" w:rsidDel="00000000" w:rsidP="00000000" w:rsidRDefault="00000000" w:rsidRPr="00000000" w14:paraId="000000E5">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qvufj1867j9m" w:id="26"/>
      <w:bookmarkEnd w:id="26"/>
      <w:r w:rsidDel="00000000" w:rsidR="00000000" w:rsidRPr="00000000">
        <w:rPr>
          <w:sz w:val="27"/>
          <w:szCs w:val="27"/>
          <w:rtl w:val="0"/>
        </w:rPr>
        <w:t xml:space="preserve">Interaction</w:t>
      </w:r>
      <w:r w:rsidDel="00000000" w:rsidR="00000000" w:rsidRPr="00000000">
        <w:rPr>
          <w:rtl w:val="0"/>
        </w:rPr>
        <w:t xml:space="preserve"> Between Articles 1 and 29</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w:t>
      </w:r>
      <w:r w:rsidDel="00000000" w:rsidR="00000000" w:rsidRPr="00000000">
        <w:rPr>
          <w:rFonts w:ascii="Times New Roman" w:cs="Times New Roman" w:eastAsia="Times New Roman" w:hAnsi="Times New Roman"/>
          <w:b w:val="1"/>
          <w:sz w:val="24"/>
          <w:szCs w:val="24"/>
          <w:rtl w:val="0"/>
        </w:rPr>
        <w:t xml:space="preserve">Articles 1 and 29</w:t>
      </w:r>
      <w:r w:rsidDel="00000000" w:rsidR="00000000" w:rsidRPr="00000000">
        <w:rPr>
          <w:rFonts w:ascii="Times New Roman" w:cs="Times New Roman" w:eastAsia="Times New Roman" w:hAnsi="Times New Roman"/>
          <w:sz w:val="24"/>
          <w:szCs w:val="24"/>
          <w:rtl w:val="0"/>
        </w:rPr>
        <w:t xml:space="preserve"> is central to the issue of treaty entitlement. Article 1 defines who is covered by the treaty, while Article 29 ensures that only those who meet certain anti-abuse criteria can actually claim the benefits of the treaty. This interaction is particularly important in the context of the </w:t>
      </w:r>
      <w:r w:rsidDel="00000000" w:rsidR="00000000" w:rsidRPr="00000000">
        <w:rPr>
          <w:rFonts w:ascii="Times New Roman" w:cs="Times New Roman" w:eastAsia="Times New Roman" w:hAnsi="Times New Roman"/>
          <w:b w:val="1"/>
          <w:sz w:val="24"/>
          <w:szCs w:val="24"/>
          <w:rtl w:val="0"/>
        </w:rPr>
        <w:t xml:space="preserve">OECD BEPS project</w:t>
      </w:r>
      <w:r w:rsidDel="00000000" w:rsidR="00000000" w:rsidRPr="00000000">
        <w:rPr>
          <w:rFonts w:ascii="Times New Roman" w:cs="Times New Roman" w:eastAsia="Times New Roman" w:hAnsi="Times New Roman"/>
          <w:sz w:val="24"/>
          <w:szCs w:val="24"/>
          <w:rtl w:val="0"/>
        </w:rPr>
        <w:t xml:space="preserve">, which sought to prevent the misuse of tax treaties by entities and individuals seeking to avoid tax in ways that were never intended by the contracting states.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introduction of Article 29 and the associated anti-abuse provisions, tax treaties were more vulnerable to abuse. Taxpayers could often claim treaty benefits simply by being a resident of a contracting state, even if their connection to that state was minimal or artificial. For example, companies could establish shell entities in a low-tax jurisdiction and route income through that entity to benefit from reduced withholding tax rates under a tax treaty.</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introduction of the </w:t>
      </w:r>
      <w:r w:rsidDel="00000000" w:rsidR="00000000" w:rsidRPr="00000000">
        <w:rPr>
          <w:rFonts w:ascii="Times New Roman" w:cs="Times New Roman" w:eastAsia="Times New Roman" w:hAnsi="Times New Roman"/>
          <w:b w:val="1"/>
          <w:sz w:val="24"/>
          <w:szCs w:val="24"/>
          <w:rtl w:val="0"/>
        </w:rPr>
        <w:t xml:space="preserve">PPT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LOB</w:t>
      </w:r>
      <w:r w:rsidDel="00000000" w:rsidR="00000000" w:rsidRPr="00000000">
        <w:rPr>
          <w:rFonts w:ascii="Times New Roman" w:cs="Times New Roman" w:eastAsia="Times New Roman" w:hAnsi="Times New Roman"/>
          <w:sz w:val="24"/>
          <w:szCs w:val="24"/>
          <w:rtl w:val="0"/>
        </w:rPr>
        <w:t xml:space="preserve"> clauses, this is no longer as simple. These provisions ensure that taxpayers must have a genuine connection to the contracting states, either by meeting the objective tests set out in the LOB clause or by passing the more subjective PPT. In practice, this means that companies that establish residence in a contracting state purely for tax purposes are likely to be denied treaty benefits.</w:t>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Practical Implications</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implications of the interaction between </w:t>
      </w:r>
      <w:r w:rsidDel="00000000" w:rsidR="00000000" w:rsidRPr="00000000">
        <w:rPr>
          <w:rFonts w:ascii="Times New Roman" w:cs="Times New Roman" w:eastAsia="Times New Roman" w:hAnsi="Times New Roman"/>
          <w:b w:val="1"/>
          <w:sz w:val="24"/>
          <w:szCs w:val="24"/>
          <w:rtl w:val="0"/>
        </w:rPr>
        <w:t xml:space="preserve">Articles 1 and 29</w:t>
      </w:r>
      <w:r w:rsidDel="00000000" w:rsidR="00000000" w:rsidRPr="00000000">
        <w:rPr>
          <w:rFonts w:ascii="Times New Roman" w:cs="Times New Roman" w:eastAsia="Times New Roman" w:hAnsi="Times New Roman"/>
          <w:sz w:val="24"/>
          <w:szCs w:val="24"/>
          <w:rtl w:val="0"/>
        </w:rPr>
        <w:t xml:space="preserve"> are significant for both taxpayers and tax authorities. For taxpayers, the introduction of the PPT and LOB clauses means that they must be more careful when structuring their operations to ensure that they can genuinely claim treaty benefits. This requires careful planning and documentation to demonstrate that their arrangements have economic substance and are not primarily motivated by tax considerations.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tax authorities, the introduction of these provisions gives them greater tools to challenge abusive arrangements. The </w:t>
      </w:r>
      <w:r w:rsidDel="00000000" w:rsidR="00000000" w:rsidRPr="00000000">
        <w:rPr>
          <w:rFonts w:ascii="Times New Roman" w:cs="Times New Roman" w:eastAsia="Times New Roman" w:hAnsi="Times New Roman"/>
          <w:b w:val="1"/>
          <w:sz w:val="24"/>
          <w:szCs w:val="24"/>
          <w:rtl w:val="0"/>
        </w:rPr>
        <w:t xml:space="preserve">PPT</w:t>
      </w:r>
      <w:r w:rsidDel="00000000" w:rsidR="00000000" w:rsidRPr="00000000">
        <w:rPr>
          <w:rFonts w:ascii="Times New Roman" w:cs="Times New Roman" w:eastAsia="Times New Roman" w:hAnsi="Times New Roman"/>
          <w:sz w:val="24"/>
          <w:szCs w:val="24"/>
          <w:rtl w:val="0"/>
        </w:rPr>
        <w:t xml:space="preserve">, in particular, allows tax authorities to take a broad view of the facts and circumstances surrounding a transaction to determine whether the taxpayer’s primary motive was to obtain a tax benefit. This provides flexibility to deny treaty benefits in cases where the taxpayer’s motives are primarily tax-driven, even if the transaction technically complies with the letter of the treaty.</w:t>
      </w:r>
    </w:p>
    <w:p w:rsidR="00000000" w:rsidDel="00000000" w:rsidP="00000000" w:rsidRDefault="00000000" w:rsidRPr="00000000" w14:paraId="000000EC">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bb60nexviiym" w:id="27"/>
      <w:bookmarkEnd w:id="27"/>
      <w:r w:rsidDel="00000000" w:rsidR="00000000" w:rsidRPr="00000000">
        <w:rPr>
          <w:sz w:val="27"/>
          <w:szCs w:val="27"/>
          <w:rtl w:val="0"/>
        </w:rPr>
        <w:t xml:space="preserve">Evolution</w:t>
      </w:r>
      <w:r w:rsidDel="00000000" w:rsidR="00000000" w:rsidRPr="00000000">
        <w:rPr>
          <w:rtl w:val="0"/>
        </w:rPr>
        <w:t xml:space="preserve"> of Article 29 Under the BEPS Framework</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w:t>
      </w:r>
      <w:r w:rsidDel="00000000" w:rsidR="00000000" w:rsidRPr="00000000">
        <w:rPr>
          <w:rFonts w:ascii="Times New Roman" w:cs="Times New Roman" w:eastAsia="Times New Roman" w:hAnsi="Times New Roman"/>
          <w:b w:val="1"/>
          <w:sz w:val="24"/>
          <w:szCs w:val="24"/>
          <w:rtl w:val="0"/>
        </w:rPr>
        <w:t xml:space="preserve">Article 29</w:t>
      </w:r>
      <w:r w:rsidDel="00000000" w:rsidR="00000000" w:rsidRPr="00000000">
        <w:rPr>
          <w:rFonts w:ascii="Times New Roman" w:cs="Times New Roman" w:eastAsia="Times New Roman" w:hAnsi="Times New Roman"/>
          <w:sz w:val="24"/>
          <w:szCs w:val="24"/>
          <w:rtl w:val="0"/>
        </w:rPr>
        <w:t xml:space="preserve"> under the BEPS framework represents a significant shift in international tax policy. The inclusion of </w:t>
      </w:r>
      <w:r w:rsidDel="00000000" w:rsidR="00000000" w:rsidRPr="00000000">
        <w:rPr>
          <w:rFonts w:ascii="Times New Roman" w:cs="Times New Roman" w:eastAsia="Times New Roman" w:hAnsi="Times New Roman"/>
          <w:b w:val="1"/>
          <w:sz w:val="24"/>
          <w:szCs w:val="24"/>
          <w:rtl w:val="0"/>
        </w:rPr>
        <w:t xml:space="preserve">PPT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LOB</w:t>
      </w:r>
      <w:r w:rsidDel="00000000" w:rsidR="00000000" w:rsidRPr="00000000">
        <w:rPr>
          <w:rFonts w:ascii="Times New Roman" w:cs="Times New Roman" w:eastAsia="Times New Roman" w:hAnsi="Times New Roman"/>
          <w:sz w:val="24"/>
          <w:szCs w:val="24"/>
          <w:rtl w:val="0"/>
        </w:rPr>
        <w:t xml:space="preserve"> clauses reflects a broader effort to ensure that tax treaties are used to promote legitimate cross-border trade and investment, rather than as tools for tax avoidance. The OECD’s BEPS project identified treaty shopping and other forms of tax treaty abuse as major issues that needed to be addressed to maintain the integrity of the international tax system.</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w:t>
      </w:r>
      <w:r w:rsidDel="00000000" w:rsidR="00000000" w:rsidRPr="00000000">
        <w:rPr>
          <w:rFonts w:ascii="Times New Roman" w:cs="Times New Roman" w:eastAsia="Times New Roman" w:hAnsi="Times New Roman"/>
          <w:b w:val="1"/>
          <w:sz w:val="24"/>
          <w:szCs w:val="24"/>
          <w:rtl w:val="0"/>
        </w:rPr>
        <w:t xml:space="preserve">Action 6 Report</w:t>
      </w:r>
      <w:r w:rsidDel="00000000" w:rsidR="00000000" w:rsidRPr="00000000">
        <w:rPr>
          <w:rFonts w:ascii="Times New Roman" w:cs="Times New Roman" w:eastAsia="Times New Roman" w:hAnsi="Times New Roman"/>
          <w:sz w:val="24"/>
          <w:szCs w:val="24"/>
          <w:rtl w:val="0"/>
        </w:rPr>
        <w:t xml:space="preserve"> on preventing the granting of treaty benefits in inappropriate circumstances laid the groundwork for the introduction of the PPT and LOB clauses. The report emphasized the need for both </w:t>
      </w:r>
      <w:r w:rsidDel="00000000" w:rsidR="00000000" w:rsidRPr="00000000">
        <w:rPr>
          <w:rFonts w:ascii="Times New Roman" w:cs="Times New Roman" w:eastAsia="Times New Roman" w:hAnsi="Times New Roman"/>
          <w:b w:val="1"/>
          <w:sz w:val="24"/>
          <w:szCs w:val="24"/>
          <w:rtl w:val="0"/>
        </w:rPr>
        <w:t xml:space="preserve">general anti-abuse rules</w:t>
      </w:r>
      <w:r w:rsidDel="00000000" w:rsidR="00000000" w:rsidRPr="00000000">
        <w:rPr>
          <w:rFonts w:ascii="Times New Roman" w:cs="Times New Roman" w:eastAsia="Times New Roman" w:hAnsi="Times New Roman"/>
          <w:sz w:val="24"/>
          <w:szCs w:val="24"/>
          <w:rtl w:val="0"/>
        </w:rPr>
        <w:t xml:space="preserve">, such as the PPT, and </w:t>
      </w:r>
      <w:r w:rsidDel="00000000" w:rsidR="00000000" w:rsidRPr="00000000">
        <w:rPr>
          <w:rFonts w:ascii="Times New Roman" w:cs="Times New Roman" w:eastAsia="Times New Roman" w:hAnsi="Times New Roman"/>
          <w:b w:val="1"/>
          <w:sz w:val="24"/>
          <w:szCs w:val="24"/>
          <w:rtl w:val="0"/>
        </w:rPr>
        <w:t xml:space="preserve">specific anti-abuse rules</w:t>
      </w:r>
      <w:r w:rsidDel="00000000" w:rsidR="00000000" w:rsidRPr="00000000">
        <w:rPr>
          <w:rFonts w:ascii="Times New Roman" w:cs="Times New Roman" w:eastAsia="Times New Roman" w:hAnsi="Times New Roman"/>
          <w:sz w:val="24"/>
          <w:szCs w:val="24"/>
          <w:rtl w:val="0"/>
        </w:rPr>
        <w:t xml:space="preserve">, such as the LOB clauses, to ensure that tax treaties are not misused. The inclusion of these provisions in the </w:t>
      </w:r>
      <w:r w:rsidDel="00000000" w:rsidR="00000000" w:rsidRPr="00000000">
        <w:rPr>
          <w:rFonts w:ascii="Times New Roman" w:cs="Times New Roman" w:eastAsia="Times New Roman" w:hAnsi="Times New Roman"/>
          <w:b w:val="1"/>
          <w:sz w:val="24"/>
          <w:szCs w:val="24"/>
          <w:rtl w:val="0"/>
        </w:rPr>
        <w:t xml:space="preserve">Multilateral Instrument (MLI)</w:t>
      </w:r>
      <w:r w:rsidDel="00000000" w:rsidR="00000000" w:rsidRPr="00000000">
        <w:rPr>
          <w:rFonts w:ascii="Times New Roman" w:cs="Times New Roman" w:eastAsia="Times New Roman" w:hAnsi="Times New Roman"/>
          <w:sz w:val="24"/>
          <w:szCs w:val="24"/>
          <w:rtl w:val="0"/>
        </w:rPr>
        <w:t xml:space="preserve">, which modifies existing tax treaties to incorporate BEPS measures, ensures that the PPT and LOB clauses are now a standard feature of most tax treaties.</w:t>
      </w:r>
    </w:p>
    <w:p w:rsidR="00000000" w:rsidDel="00000000" w:rsidP="00000000" w:rsidRDefault="00000000" w:rsidRPr="00000000" w14:paraId="000000EF">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rPr/>
      </w:pPr>
      <w:bookmarkStart w:colFirst="0" w:colLast="0" w:name="_heading=h.ulusefx1p92u" w:id="28"/>
      <w:bookmarkEnd w:id="28"/>
      <w:r w:rsidDel="00000000" w:rsidR="00000000" w:rsidRPr="00000000">
        <w:rPr>
          <w:sz w:val="27"/>
          <w:szCs w:val="27"/>
          <w:rtl w:val="0"/>
        </w:rPr>
        <w:t xml:space="preserve">The</w:t>
      </w:r>
      <w:r w:rsidDel="00000000" w:rsidR="00000000" w:rsidRPr="00000000">
        <w:rPr>
          <w:rtl w:val="0"/>
        </w:rPr>
        <w:t xml:space="preserve"> Future of Treaty Entitlement and Tax Planning</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Articles 1 and 29 is likely to continue evolving as more countries adopt the OECD’s anti-abuse measures and as tax authorities gain more experience in applying the </w:t>
      </w:r>
      <w:r w:rsidDel="00000000" w:rsidR="00000000" w:rsidRPr="00000000">
        <w:rPr>
          <w:rFonts w:ascii="Times New Roman" w:cs="Times New Roman" w:eastAsia="Times New Roman" w:hAnsi="Times New Roman"/>
          <w:b w:val="1"/>
          <w:sz w:val="24"/>
          <w:szCs w:val="24"/>
          <w:rtl w:val="0"/>
        </w:rPr>
        <w:t xml:space="preserve">PPT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LOB</w:t>
      </w:r>
      <w:r w:rsidDel="00000000" w:rsidR="00000000" w:rsidRPr="00000000">
        <w:rPr>
          <w:rFonts w:ascii="Times New Roman" w:cs="Times New Roman" w:eastAsia="Times New Roman" w:hAnsi="Times New Roman"/>
          <w:sz w:val="24"/>
          <w:szCs w:val="24"/>
          <w:rtl w:val="0"/>
        </w:rPr>
        <w:t xml:space="preserve"> provisions. While these provisions provide a strong framework for preventing treaty abuse, they also introduce new complexities for both taxpayers and tax authorities.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taxpayers, the key challenge will be to navigate the </w:t>
      </w:r>
      <w:r w:rsidDel="00000000" w:rsidR="00000000" w:rsidRPr="00000000">
        <w:rPr>
          <w:rFonts w:ascii="Times New Roman" w:cs="Times New Roman" w:eastAsia="Times New Roman" w:hAnsi="Times New Roman"/>
          <w:b w:val="1"/>
          <w:sz w:val="24"/>
          <w:szCs w:val="24"/>
          <w:rtl w:val="0"/>
        </w:rPr>
        <w:t xml:space="preserve">PPT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LOB</w:t>
      </w:r>
      <w:r w:rsidDel="00000000" w:rsidR="00000000" w:rsidRPr="00000000">
        <w:rPr>
          <w:rFonts w:ascii="Times New Roman" w:cs="Times New Roman" w:eastAsia="Times New Roman" w:hAnsi="Times New Roman"/>
          <w:sz w:val="24"/>
          <w:szCs w:val="24"/>
          <w:rtl w:val="0"/>
        </w:rPr>
        <w:t xml:space="preserve"> clauses while ensuring that their operations remain tax-efficient. This may require more sophisticated tax planning and greater attention to the economic substance of cross-border arrangements. For tax authorities, the challenge will be to apply the </w:t>
      </w:r>
      <w:r w:rsidDel="00000000" w:rsidR="00000000" w:rsidRPr="00000000">
        <w:rPr>
          <w:rFonts w:ascii="Times New Roman" w:cs="Times New Roman" w:eastAsia="Times New Roman" w:hAnsi="Times New Roman"/>
          <w:b w:val="1"/>
          <w:sz w:val="24"/>
          <w:szCs w:val="24"/>
          <w:rtl w:val="0"/>
        </w:rPr>
        <w:t xml:space="preserve">PPT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LOB</w:t>
      </w:r>
      <w:r w:rsidDel="00000000" w:rsidR="00000000" w:rsidRPr="00000000">
        <w:rPr>
          <w:rFonts w:ascii="Times New Roman" w:cs="Times New Roman" w:eastAsia="Times New Roman" w:hAnsi="Times New Roman"/>
          <w:sz w:val="24"/>
          <w:szCs w:val="24"/>
          <w:rtl w:val="0"/>
        </w:rPr>
        <w:t xml:space="preserve"> provisions consistently and fairly, without creating undue uncertainty for taxpayers.</w:t>
      </w:r>
    </w:p>
    <w:p w:rsidR="00000000" w:rsidDel="00000000" w:rsidP="00000000" w:rsidRDefault="00000000" w:rsidRPr="00000000" w14:paraId="000000F2">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60" w:line="259" w:lineRule="auto"/>
        <w:ind w:left="720" w:right="0" w:hanging="360"/>
        <w:jc w:val="both"/>
        <w:rPr/>
      </w:pPr>
      <w:bookmarkStart w:colFirst="0" w:colLast="0" w:name="_heading=h.dgdr3zvyb156" w:id="29"/>
      <w:bookmarkEnd w:id="29"/>
      <w:r w:rsidDel="00000000" w:rsidR="00000000" w:rsidRPr="00000000">
        <w:rPr>
          <w:rtl w:val="0"/>
        </w:rPr>
        <w:t xml:space="preserve">Comparison of Article 1 and 29 of the OECD MTC 2017 and UN MTC 2021</w:t>
      </w:r>
    </w:p>
    <w:p w:rsidR="00000000" w:rsidDel="00000000" w:rsidP="00000000" w:rsidRDefault="00000000" w:rsidRPr="00000000" w14:paraId="000000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Entitlement to Benefits provisions (Article 29):</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Article 29 (1): General Limitation on Benefits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paragraph in both conventions introduces the concept that treaty benefits are restricted to a resident of a contracting state who is a "qualified person" under paragraph 2. While the OECD MTC applies this limitation generally, it allows exceptions under specific paragraphs (3–5). The UN MTC mirrors this structure but explicitly excludes benefits under specific provisions, such as paragraph 3 of Article 4 and paragraph 2 of Article 9.</w:t>
      </w:r>
    </w:p>
    <w:p w:rsidR="00000000" w:rsidDel="00000000" w:rsidP="00000000" w:rsidRDefault="00000000" w:rsidRPr="00000000" w14:paraId="000000F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Article 29 (2): Definition of Qualified Person</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conventions outline the criteria for determining whether an entity or individual qualifies for treaty benefits. The OECD MTC offers a broad definition, including individuals, governments, publicly traded companies, certain affiliates, non-profit organizations, recognized pension funds, and entities meeting ownership and base erosion tests. It also explicitly includes collective investment vehicles (CIVs), reflecting its focus on facilitating cross-border investments.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while adopting a similar structure, incorporates stricter conditions, particularly regarding ownership thresholds and income distribution. For instance, entities must demonstrate that less than 50% of their gross income is deductible to non-residents. This additional layer of economic substance requirements highlights the UN's emphasis on ensuring that benefits are granted only to entities with genuine economic ties to the contracting states. </w:t>
      </w:r>
    </w:p>
    <w:p w:rsidR="00000000" w:rsidDel="00000000" w:rsidP="00000000" w:rsidRDefault="00000000" w:rsidRPr="00000000" w14:paraId="000000F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Paragraph 3: Active Conduct of Business Test</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active conduct of business test in both conventions allows entities not qualifying under paragraph 2 to access treaty benefits if they are engaged in substantive business activities in their state of residence. The OECD MTC excludes passive activities such as holding companies or group financing unless these activities are incidental to an active business.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adopts a similar stance but introduces an additional substantiality requirement. It mandates that the business activity in the state of residence must be substantial relative to the connected activity in the source state. Furthermore, the UN MTC considers activities of connected persons, broadening the scope to ensure that fragmented structures cannot be used to bypass the substantiality test.</w:t>
      </w:r>
    </w:p>
    <w:p w:rsidR="00000000" w:rsidDel="00000000" w:rsidP="00000000" w:rsidRDefault="00000000" w:rsidRPr="00000000" w14:paraId="000000F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Article 29 (4): Derivative Benefits</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addressing derivative benefits, the OECD MTC provides a detailed framework that allows entities owned by residents of third states to access treaty benefits if the third states have equivalent treaties with the contracting states. The UN MTC acknowledges derivative benefits but refrains from prescribing a detailed framework, leaving this aspect to bilateral negotiations.</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difference illustrates the OECD’s preference for uniformity and predictability in applying treaty provisions, whereas the UN adopts a more flexible approach. The UN’s approach aligns with the needs of developing countries, which may prefer to negotiate such provisions on a case-by-case basis to address specific policy objectives.</w:t>
      </w:r>
    </w:p>
    <w:p w:rsidR="00000000" w:rsidDel="00000000" w:rsidP="00000000" w:rsidRDefault="00000000" w:rsidRPr="00000000" w14:paraId="000000F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Article 29 (5): Headquarters Companies</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conventions provide for the entitlement of headquarters companies to treaty benefits, subject to certain conditions. The OECD MTC requires that the company’s primary place of management and control be in the state of residence and imposes conditions on the distribution of income and geographical diversity of operations.</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adopts these principles but imposes additional restrictions, such as requiring operations in at least four countries, with each contributing at least 10% of the group’s gross income. It also caps the income derived from the source state at 25% of the group’s total income.</w:t>
      </w:r>
    </w:p>
    <w:p w:rsidR="00000000" w:rsidDel="00000000" w:rsidP="00000000" w:rsidRDefault="00000000" w:rsidRPr="00000000" w14:paraId="0000010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Article 29 (6): Discretionary Relief by Competent Authority</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conventions allow the competent authority of a contracting state to grant benefits even if the entity does not qualify under the earlier provisions. The OECD MTC grants this authority based on consistency with the treaty’s objectives. The UN MTC, however, introduces a requirement for the applicant to demonstrate that its establishment or operations were not primarily aimed at obtaining treaty benefits.</w:t>
      </w:r>
    </w:p>
    <w:p w:rsidR="00000000" w:rsidDel="00000000" w:rsidP="00000000" w:rsidRDefault="00000000" w:rsidRPr="00000000" w14:paraId="0000010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Article 29 (7): Definitions</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definitions provided in both conventions aim to clarify terms such as "qualified person" and "principal class of shares." The OECD MTC provides straightforward definitions, whereas the UN MTC introduces more detailed and restrictive definitions, particularly concerning deductible payments and tested groups.</w:t>
      </w:r>
    </w:p>
    <w:p w:rsidR="00000000" w:rsidDel="00000000" w:rsidP="00000000" w:rsidRDefault="00000000" w:rsidRPr="00000000" w14:paraId="000001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Article 29 (8): Anti-Abuse Rules for Permanent Establishments in Third Jurisdictions</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conventions include provisions to deny benefits to income routed through permanent establishments in low-tax jurisdictions unless the income is connected to active business. The OECD MTC provides specific guidance on tax rates and conditions, while the UN MTC leaves these aspects open to bilateral agreement.</w:t>
      </w:r>
    </w:p>
    <w:p w:rsidR="00000000" w:rsidDel="00000000" w:rsidP="00000000" w:rsidRDefault="00000000" w:rsidRPr="00000000" w14:paraId="000001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90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"Persons Covered" article (Article 1)</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Scope – Article 1 (1)</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OECD Model Tax Convention (MTC) and the UN Model Tax Convention (UN MTC) outline the scope of the treaty in Article 1, specifying that the convention applies to persons who are residents of one or both of the contracting states.</w:t>
      </w:r>
    </w:p>
    <w:p w:rsidR="00000000" w:rsidDel="00000000" w:rsidP="00000000" w:rsidRDefault="00000000" w:rsidRPr="00000000" w14:paraId="000001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20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Fiscal Transparency – Article 1 (2)</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wording and treatment are aligned between the OECD MTC (2017) and the UN MTC (2021).</w:t>
      </w:r>
    </w:p>
    <w:p w:rsidR="00000000" w:rsidDel="00000000" w:rsidP="00000000" w:rsidRDefault="00000000" w:rsidRPr="00000000" w14:paraId="000001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Resident Taxation – Article 1 (3)</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material difference in the treatment of this provision between the OECD and UN models.</w:t>
      </w:r>
    </w:p>
    <w:p w:rsidR="00000000" w:rsidDel="00000000" w:rsidP="00000000" w:rsidRDefault="00000000" w:rsidRPr="00000000" w14:paraId="000001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Collective Investment Vehicles (CIVs):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includes a placeholder discussing potential inclusion of provisions related to CIVs in Article 1. These provisions, if included, are dependent on bilateral negotiations, reflecting the contracting states' preferences regarding how CIVs are treated under the treaty. The OECD MTC does not explicitly include provisions for CIVs within Article 1, which may imply less emphasis on this aspect compared to the UN MTC.</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407" w:right="0" w:firstLine="4513"/>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right"/>
      <w:pPr>
        <w:ind w:left="720" w:hanging="360"/>
      </w:pPr>
      <w:rPr/>
    </w:lvl>
    <w:lvl w:ilvl="1">
      <w:start w:val="1"/>
      <w:numFmt w:val="decimal"/>
      <w:lvlText w:val="%1.%2."/>
      <w:lvlJc w:val="right"/>
      <w:pPr>
        <w:ind w:left="810" w:hanging="360"/>
      </w:pPr>
      <w:rPr>
        <w:sz w:val="24"/>
        <w:szCs w:val="24"/>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right"/>
      <w:pPr>
        <w:ind w:left="720" w:hanging="360"/>
      </w:pPr>
      <w:rPr/>
    </w:lvl>
    <w:lvl w:ilvl="1">
      <w:start w:val="1"/>
      <w:numFmt w:val="decimal"/>
      <w:lvlText w:val="%1.%2."/>
      <w:lvlJc w:val="right"/>
      <w:pPr>
        <w:ind w:left="810" w:hanging="360"/>
      </w:pPr>
      <w:rPr>
        <w:sz w:val="24"/>
        <w:szCs w:val="24"/>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160" w:lineRule="auto"/>
      <w:ind w:left="450" w:hanging="43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78.00000000000006"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465B2F"/>
    <w:pPr>
      <w:keepNext w:val="1"/>
      <w:keepLines w:val="1"/>
      <w:spacing w:after="0" w:before="240" w:line="278" w:lineRule="auto"/>
      <w:outlineLvl w:val="0"/>
    </w:pPr>
    <w:rPr>
      <w:rFonts w:ascii="Times New Roman" w:hAnsi="Times New Roman" w:cstheme="majorBidi" w:eastAsiaTheme="majorEastAsia"/>
      <w:b w:val="1"/>
      <w:color w:val="000000" w:themeColor="text1"/>
      <w:sz w:val="28"/>
      <w:szCs w:val="28"/>
      <w:lang w:val="en-NG"/>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65B2F"/>
    <w:rPr>
      <w:rFonts w:ascii="Times New Roman" w:hAnsi="Times New Roman" w:cstheme="majorBidi" w:eastAsiaTheme="majorEastAsia"/>
      <w:b w:val="1"/>
      <w:color w:val="000000" w:themeColor="text1"/>
      <w:sz w:val="28"/>
      <w:szCs w:val="28"/>
      <w:lang w:val="en-NG"/>
    </w:rPr>
  </w:style>
  <w:style w:type="paragraph" w:styleId="ListParagraph">
    <w:name w:val="List Paragraph"/>
    <w:basedOn w:val="Normal"/>
    <w:uiPriority w:val="34"/>
    <w:qFormat w:val="1"/>
    <w:rsid w:val="00B53E57"/>
    <w:pPr>
      <w:ind w:left="720"/>
      <w:contextualSpacing w:val="1"/>
    </w:pPr>
  </w:style>
  <w:style w:type="paragraph" w:styleId="TOCHeading">
    <w:name w:val="TOC Heading"/>
    <w:basedOn w:val="Heading1"/>
    <w:next w:val="Normal"/>
    <w:uiPriority w:val="39"/>
    <w:unhideWhenUsed w:val="1"/>
    <w:qFormat w:val="1"/>
    <w:rsid w:val="00465B2F"/>
    <w:pPr>
      <w:spacing w:line="259" w:lineRule="auto"/>
      <w:outlineLvl w:val="9"/>
    </w:pPr>
    <w:rPr>
      <w:rFonts w:asciiTheme="majorHAnsi" w:hAnsiTheme="majorHAnsi"/>
      <w:b w:val="0"/>
      <w:color w:val="2f5496" w:themeColor="accent1" w:themeShade="0000BF"/>
      <w:kern w:val="0"/>
      <w:sz w:val="32"/>
      <w:szCs w:val="32"/>
      <w:lang w:eastAsia="en-NG"/>
    </w:rPr>
  </w:style>
  <w:style w:type="paragraph" w:styleId="TOC1">
    <w:name w:val="toc 1"/>
    <w:basedOn w:val="Normal"/>
    <w:next w:val="Normal"/>
    <w:autoRedefine w:val="1"/>
    <w:uiPriority w:val="39"/>
    <w:unhideWhenUsed w:val="1"/>
    <w:rsid w:val="00465B2F"/>
    <w:pPr>
      <w:spacing w:after="100"/>
    </w:pPr>
  </w:style>
  <w:style w:type="character" w:styleId="Hyperlink">
    <w:name w:val="Hyperlink"/>
    <w:basedOn w:val="DefaultParagraphFont"/>
    <w:uiPriority w:val="99"/>
    <w:unhideWhenUsed w:val="1"/>
    <w:rsid w:val="00465B2F"/>
    <w:rPr>
      <w:color w:val="0563c1" w:themeColor="hyperlink"/>
      <w:u w:val="single"/>
    </w:rPr>
  </w:style>
  <w:style w:type="paragraph" w:styleId="Header">
    <w:name w:val="header"/>
    <w:basedOn w:val="Normal"/>
    <w:link w:val="HeaderChar"/>
    <w:uiPriority w:val="99"/>
    <w:unhideWhenUsed w:val="1"/>
    <w:rsid w:val="00856D04"/>
    <w:pPr>
      <w:tabs>
        <w:tab w:val="center" w:pos="4513"/>
        <w:tab w:val="right" w:pos="9026"/>
      </w:tabs>
      <w:spacing w:after="0" w:line="240" w:lineRule="auto"/>
    </w:pPr>
  </w:style>
  <w:style w:type="character" w:styleId="HeaderChar" w:customStyle="1">
    <w:name w:val="Header Char"/>
    <w:basedOn w:val="DefaultParagraphFont"/>
    <w:link w:val="Header"/>
    <w:uiPriority w:val="99"/>
    <w:rsid w:val="00856D04"/>
  </w:style>
  <w:style w:type="paragraph" w:styleId="Footer">
    <w:name w:val="footer"/>
    <w:basedOn w:val="Normal"/>
    <w:link w:val="FooterChar"/>
    <w:uiPriority w:val="99"/>
    <w:unhideWhenUsed w:val="1"/>
    <w:rsid w:val="00856D04"/>
    <w:pPr>
      <w:tabs>
        <w:tab w:val="center" w:pos="4513"/>
        <w:tab w:val="right" w:pos="9026"/>
      </w:tabs>
      <w:spacing w:after="0" w:line="240" w:lineRule="auto"/>
    </w:pPr>
  </w:style>
  <w:style w:type="character" w:styleId="FooterChar" w:customStyle="1">
    <w:name w:val="Footer Char"/>
    <w:basedOn w:val="DefaultParagraphFont"/>
    <w:link w:val="Footer"/>
    <w:uiPriority w:val="99"/>
    <w:rsid w:val="00856D0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9taUCzelJqjqeWniawF242/ng==">CgMxLjAyDmgudHBmamMwcXZ5Y2J1MghoLmdqZGd4czIJaC4zMGowemxsMg5oLjI4NWZyanJvM3N0azIOaC5wczNod2pjaDFldW4yDmgubjY4YjBjZnlmcjhqMg5oLm00YXNyejJsenptbzIJaC4zZHk2dmttMg5oLjFkcmZsbHJveWI2NTIOaC5zMm84MGI3OHppaXAyDmguZXY1cTZrajNscDI2Mg5oLnN4NGNjcXljZTlibzIJaC4zcmRjcmpuMgloLjI2aW4xcmcyDmgua3NrenFsb3R5cjk3Mg5oLnZ4bXozeGswOWY2bjIOaC5kNjB6MGI5d2hqY2YyDmgucjJ1MWpya2VhMmE1Mg5oLjQwemdkanRwMjI5YTIJaC4yanhzeHFoMg5oLjRhYTB4bzR2dGxqNTIOaC41ZWUyZWlqamw4YmIyDmguOGJubW04NDBsMWtuMgloLjF5ODEwdHcyCWguNGk3b2pocDIOaC5odjZkZjdyZDk5NHcyDmgucXZ1ZmoxODY3ajltMg5oLmJiNjBuZXh2aWl5bTIOaC51bHVzZWZ4MXA5MnUyDmguZGdkcjN6dnliMTU2OAByITEyaWRRU3hjNHZwNnBBcmJxMEZ0SVBvM1NuUk5hbWlC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2024-09-13T12:03:00Z</dcterms:created>
  <dc:creator>victory otamiri</dc:creator>
</cp:coreProperties>
</file>