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left"/>
        <w:rPr/>
      </w:pPr>
      <w:bookmarkStart w:colFirst="0" w:colLast="0" w:name="_heading=h.rek202xfa84" w:id="0"/>
      <w:bookmarkEnd w:id="0"/>
      <w:r w:rsidDel="00000000" w:rsidR="00000000" w:rsidRPr="00000000">
        <w:rPr>
          <w:rtl w:val="0"/>
        </w:rPr>
        <w:t xml:space="preserve">O. METHODS OF ELIMINATION OF DOUBLE TAXATION – ARTICLES 23A AND 23B, OECD MTC</w:t>
      </w:r>
    </w:p>
    <w:p w:rsidR="00000000" w:rsidDel="00000000" w:rsidP="00000000" w:rsidRDefault="00000000" w:rsidRPr="00000000" w14:paraId="00000002">
      <w:pPr>
        <w:pStyle w:val="Heading2"/>
        <w:numPr>
          <w:ilvl w:val="0"/>
          <w:numId w:val="1"/>
        </w:numPr>
        <w:ind w:left="630" w:hanging="360"/>
        <w:rPr/>
      </w:pPr>
      <w:bookmarkStart w:colFirst="0" w:colLast="0" w:name="_heading=h.plqvl848v1zl" w:id="1"/>
      <w:bookmarkEnd w:id="1"/>
      <w:r w:rsidDel="00000000" w:rsidR="00000000" w:rsidRPr="00000000">
        <w:rPr>
          <w:rtl w:val="0"/>
        </w:rPr>
        <w:t xml:space="preserve">Background to the Methods of Elimination of Double Taxation</w:t>
      </w:r>
    </w:p>
    <w:p w:rsidR="00000000" w:rsidDel="00000000" w:rsidP="00000000" w:rsidRDefault="00000000" w:rsidRPr="00000000" w14:paraId="00000003">
      <w:pPr>
        <w:numPr>
          <w:ilvl w:val="1"/>
          <w:numId w:val="1"/>
        </w:numPr>
        <w:ind w:left="81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Scope of Articles 23A and 23B</w:t>
      </w:r>
    </w:p>
    <w:p w:rsidR="00000000" w:rsidDel="00000000" w:rsidP="00000000" w:rsidRDefault="00000000" w:rsidRPr="00000000" w14:paraId="0000000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Articles 23A and 23B of the OECD Model Tax Convention (MTC) aim to eliminate juridical double taxation, which occurs when two different states tax the same income earned by the same taxpayer. This often arises when income is taxed in both the source and residence state. Both articles address only </w:t>
      </w:r>
      <w:r w:rsidDel="00000000" w:rsidR="00000000" w:rsidRPr="00000000">
        <w:rPr>
          <w:rFonts w:ascii="Times New Roman" w:cs="Times New Roman" w:eastAsia="Times New Roman" w:hAnsi="Times New Roman"/>
          <w:i w:val="1"/>
          <w:sz w:val="24"/>
          <w:szCs w:val="24"/>
          <w:rtl w:val="0"/>
        </w:rPr>
        <w:t xml:space="preserve">juridical double taxation</w:t>
      </w:r>
      <w:r w:rsidDel="00000000" w:rsidR="00000000" w:rsidRPr="00000000">
        <w:rPr>
          <w:rFonts w:ascii="Times New Roman" w:cs="Times New Roman" w:eastAsia="Times New Roman" w:hAnsi="Times New Roman"/>
          <w:sz w:val="24"/>
          <w:szCs w:val="24"/>
          <w:rtl w:val="0"/>
        </w:rPr>
        <w:t xml:space="preserve">, meaning they focus on double taxation experienced by the same legal entity. </w:t>
      </w:r>
      <w:r w:rsidDel="00000000" w:rsidR="00000000" w:rsidRPr="00000000">
        <w:rPr>
          <w:rFonts w:ascii="Times New Roman" w:cs="Times New Roman" w:eastAsia="Times New Roman" w:hAnsi="Times New Roman"/>
          <w:i w:val="1"/>
          <w:sz w:val="24"/>
          <w:szCs w:val="24"/>
          <w:rtl w:val="0"/>
        </w:rPr>
        <w:t xml:space="preserve">Economic double taxation</w:t>
      </w:r>
      <w:r w:rsidDel="00000000" w:rsidR="00000000" w:rsidRPr="00000000">
        <w:rPr>
          <w:rFonts w:ascii="Times New Roman" w:cs="Times New Roman" w:eastAsia="Times New Roman" w:hAnsi="Times New Roman"/>
          <w:sz w:val="24"/>
          <w:szCs w:val="24"/>
          <w:rtl w:val="0"/>
        </w:rPr>
        <w:t xml:space="preserve">, where two different entities are taxed on the same income (for example, a company and its shareholders), is generally not covered.</w:t>
      </w:r>
    </w:p>
    <w:p w:rsidR="00000000" w:rsidDel="00000000" w:rsidP="00000000" w:rsidRDefault="00000000" w:rsidRPr="00000000" w14:paraId="0000000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function of these articles is to ensure that income from cross-border activities is not taxed twice by two contracting states. This is achieved through the allocation of taxing rights, notably through phrases such as "shall be taxed only" (exclusive taxing rights) versus "may be taxed" (shared or discretionary taxing rights).</w:t>
      </w:r>
    </w:p>
    <w:p w:rsidR="00000000" w:rsidDel="00000000" w:rsidP="00000000" w:rsidRDefault="00000000" w:rsidRPr="00000000" w14:paraId="00000006">
      <w:pPr>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"Shall be taxed only"</w:t>
      </w:r>
      <w:r w:rsidDel="00000000" w:rsidR="00000000" w:rsidRPr="00000000">
        <w:rPr>
          <w:rFonts w:ascii="Times New Roman" w:cs="Times New Roman" w:eastAsia="Times New Roman" w:hAnsi="Times New Roman"/>
          <w:sz w:val="24"/>
          <w:szCs w:val="24"/>
          <w:rtl w:val="0"/>
        </w:rPr>
        <w:t xml:space="preserve">: When the source state has the exclusive right to tax income, the residence state is required to exempt the income entirely.</w:t>
      </w:r>
    </w:p>
    <w:p w:rsidR="00000000" w:rsidDel="00000000" w:rsidP="00000000" w:rsidRDefault="00000000" w:rsidRPr="00000000" w14:paraId="00000007">
      <w:pPr>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"May be taxed"</w:t>
      </w:r>
      <w:r w:rsidDel="00000000" w:rsidR="00000000" w:rsidRPr="00000000">
        <w:rPr>
          <w:rFonts w:ascii="Times New Roman" w:cs="Times New Roman" w:eastAsia="Times New Roman" w:hAnsi="Times New Roman"/>
          <w:sz w:val="24"/>
          <w:szCs w:val="24"/>
          <w:rtl w:val="0"/>
        </w:rPr>
        <w:t xml:space="preserve">: When both states have the right to tax, the residence state must offer either an exemption (Article 23A) or a credit (Article 23B) for the taxes paid in the source state to avoid double taxation.</w:t>
      </w:r>
    </w:p>
    <w:p w:rsidR="00000000" w:rsidDel="00000000" w:rsidP="00000000" w:rsidRDefault="00000000" w:rsidRPr="00000000" w14:paraId="0000000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Articles 23A and 23B apply exclusively to the </w:t>
      </w:r>
      <w:r w:rsidDel="00000000" w:rsidR="00000000" w:rsidRPr="00000000">
        <w:rPr>
          <w:rFonts w:ascii="Times New Roman" w:cs="Times New Roman" w:eastAsia="Times New Roman" w:hAnsi="Times New Roman"/>
          <w:i w:val="1"/>
          <w:sz w:val="24"/>
          <w:szCs w:val="24"/>
          <w:rtl w:val="0"/>
        </w:rPr>
        <w:t xml:space="preserve">resident state</w:t>
      </w:r>
      <w:r w:rsidDel="00000000" w:rsidR="00000000" w:rsidRPr="00000000">
        <w:rPr>
          <w:rFonts w:ascii="Times New Roman" w:cs="Times New Roman" w:eastAsia="Times New Roman" w:hAnsi="Times New Roman"/>
          <w:sz w:val="24"/>
          <w:szCs w:val="24"/>
          <w:rtl w:val="0"/>
        </w:rPr>
        <w:t xml:space="preserve"> of the taxpayer, placing the responsibility on the residence state to eliminate double taxation either by exempting income taxed in the source state (Article 23A) or by allowing a tax credit for taxes paid in the source state (Article 23B).</w:t>
      </w:r>
    </w:p>
    <w:p w:rsidR="00000000" w:rsidDel="00000000" w:rsidP="00000000" w:rsidRDefault="00000000" w:rsidRPr="00000000" w14:paraId="0000000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59" w:lineRule="auto"/>
        <w:ind w:left="810" w:right="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Description of Methods of Elimination</w:t>
      </w:r>
    </w:p>
    <w:p w:rsidR="00000000" w:rsidDel="00000000" w:rsidP="00000000" w:rsidRDefault="00000000" w:rsidRPr="00000000" w14:paraId="0000000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Principle of Exemption</w:t>
      </w:r>
      <w:r w:rsidDel="00000000" w:rsidR="00000000" w:rsidRPr="00000000">
        <w:rPr>
          <w:rFonts w:ascii="Times New Roman" w:cs="Times New Roman" w:eastAsia="Times New Roman" w:hAnsi="Times New Roman"/>
          <w:sz w:val="24"/>
          <w:szCs w:val="24"/>
          <w:rtl w:val="0"/>
        </w:rPr>
        <w:t xml:space="preserve"> (Article 23A): The exemption method is based on the principle that income taxable in the source state is exempt from taxation in the residence state. The residence state disregards the income in its tax base, offering full relief from double taxation. However, some variations (e.g., </w:t>
      </w:r>
      <w:r w:rsidDel="00000000" w:rsidR="00000000" w:rsidRPr="00000000">
        <w:rPr>
          <w:rFonts w:ascii="Times New Roman" w:cs="Times New Roman" w:eastAsia="Times New Roman" w:hAnsi="Times New Roman"/>
          <w:i w:val="1"/>
          <w:sz w:val="24"/>
          <w:szCs w:val="24"/>
          <w:rtl w:val="0"/>
        </w:rPr>
        <w:t xml:space="preserve">exemption with progression</w:t>
      </w:r>
      <w:r w:rsidDel="00000000" w:rsidR="00000000" w:rsidRPr="00000000">
        <w:rPr>
          <w:rFonts w:ascii="Times New Roman" w:cs="Times New Roman" w:eastAsia="Times New Roman" w:hAnsi="Times New Roman"/>
          <w:sz w:val="24"/>
          <w:szCs w:val="24"/>
          <w:rtl w:val="0"/>
        </w:rPr>
        <w:t xml:space="preserve">) allow the residence state to consider exempt income for calculating tax rates on non-exempt income.</w:t>
      </w:r>
    </w:p>
    <w:p w:rsidR="00000000" w:rsidDel="00000000" w:rsidP="00000000" w:rsidRDefault="00000000" w:rsidRPr="00000000" w14:paraId="0000000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Principle of Credit</w:t>
      </w:r>
      <w:r w:rsidDel="00000000" w:rsidR="00000000" w:rsidRPr="00000000">
        <w:rPr>
          <w:rFonts w:ascii="Times New Roman" w:cs="Times New Roman" w:eastAsia="Times New Roman" w:hAnsi="Times New Roman"/>
          <w:sz w:val="24"/>
          <w:szCs w:val="24"/>
          <w:rtl w:val="0"/>
        </w:rPr>
        <w:t xml:space="preserve"> (Article 23B): Under the credit method, the residence state includes the foreign-sourced income in its tax base but grants a tax credit for the taxes paid in the source state. This ensures that income is not taxed twice, but it can be taxed at the higher of the two rates. Tax sparing and ordinary credit methods are also variations under this principle, which allow further relief under certain conditions.</w:t>
      </w:r>
    </w:p>
    <w:p w:rsidR="00000000" w:rsidDel="00000000" w:rsidP="00000000" w:rsidRDefault="00000000" w:rsidRPr="00000000" w14:paraId="0000000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59" w:lineRule="auto"/>
        <w:ind w:left="810" w:right="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Operations and Effects of the Methods</w:t>
      </w:r>
    </w:p>
    <w:p w:rsidR="00000000" w:rsidDel="00000000" w:rsidP="00000000" w:rsidRDefault="00000000" w:rsidRPr="00000000" w14:paraId="0000000D">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160" w:before="0" w:line="259" w:lineRule="auto"/>
        <w:ind w:left="810" w:right="0" w:hanging="180"/>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Exemption Method (Article 23A)</w:t>
      </w:r>
      <w:r w:rsidDel="00000000" w:rsidR="00000000" w:rsidRPr="00000000">
        <w:rPr>
          <w:rFonts w:ascii="Times New Roman" w:cs="Times New Roman" w:eastAsia="Times New Roman" w:hAnsi="Times New Roman"/>
          <w:i w:val="1"/>
          <w:sz w:val="24"/>
          <w:szCs w:val="24"/>
          <w:rtl w:val="0"/>
        </w:rPr>
        <w:t xml:space="preserve">: </w:t>
      </w:r>
    </w:p>
    <w:p w:rsidR="00000000" w:rsidDel="00000000" w:rsidP="00000000" w:rsidRDefault="00000000" w:rsidRPr="00000000" w14:paraId="0000000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exemption method provides more direct relief by excluding income taxed in the source state from the residence state’s tax base. However, this can sometimes lead to </w:t>
      </w:r>
      <w:r w:rsidDel="00000000" w:rsidR="00000000" w:rsidRPr="00000000">
        <w:rPr>
          <w:rFonts w:ascii="Times New Roman" w:cs="Times New Roman" w:eastAsia="Times New Roman" w:hAnsi="Times New Roman"/>
          <w:b w:val="1"/>
          <w:sz w:val="24"/>
          <w:szCs w:val="24"/>
          <w:rtl w:val="0"/>
        </w:rPr>
        <w:t xml:space="preserve">double non-taxation</w:t>
      </w:r>
      <w:r w:rsidDel="00000000" w:rsidR="00000000" w:rsidRPr="00000000">
        <w:rPr>
          <w:rFonts w:ascii="Times New Roman" w:cs="Times New Roman" w:eastAsia="Times New Roman" w:hAnsi="Times New Roman"/>
          <w:sz w:val="24"/>
          <w:szCs w:val="24"/>
          <w:rtl w:val="0"/>
        </w:rPr>
        <w:t xml:space="preserve"> if the source state offers tax holidays or other incentives.</w:t>
      </w:r>
    </w:p>
    <w:p w:rsidR="00000000" w:rsidDel="00000000" w:rsidP="00000000" w:rsidRDefault="00000000" w:rsidRPr="00000000" w14:paraId="0000000F">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160" w:before="0" w:line="259" w:lineRule="auto"/>
        <w:ind w:left="810" w:right="0" w:hanging="180"/>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Credit Method (Article 23B)</w:t>
      </w:r>
      <w:r w:rsidDel="00000000" w:rsidR="00000000" w:rsidRPr="00000000">
        <w:rPr>
          <w:rFonts w:ascii="Times New Roman" w:cs="Times New Roman" w:eastAsia="Times New Roman" w:hAnsi="Times New Roman"/>
          <w:i w:val="1"/>
          <w:sz w:val="24"/>
          <w:szCs w:val="24"/>
          <w:rtl w:val="0"/>
        </w:rPr>
        <w:t xml:space="preserve">: </w:t>
      </w:r>
    </w:p>
    <w:p w:rsidR="00000000" w:rsidDel="00000000" w:rsidP="00000000" w:rsidRDefault="00000000" w:rsidRPr="00000000" w14:paraId="0000001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credit method typically results in higher overall taxation, as the taxpayer is taxed on the income in both jurisdictions but receives a credit for the source state taxes. It allows for progressivity in taxation and prevents instances of double non-taxation but can create a greater compliance burden.</w:t>
      </w:r>
    </w:p>
    <w:p w:rsidR="00000000" w:rsidDel="00000000" w:rsidP="00000000" w:rsidRDefault="00000000" w:rsidRPr="00000000" w14:paraId="00000011">
      <w:pPr>
        <w:pStyle w:val="Heading2"/>
        <w:numPr>
          <w:ilvl w:val="0"/>
          <w:numId w:val="1"/>
        </w:numPr>
        <w:ind w:left="630" w:hanging="360"/>
        <w:rPr/>
      </w:pPr>
      <w:bookmarkStart w:colFirst="0" w:colLast="0" w:name="_heading=h.gmjhw9ncqclh" w:id="2"/>
      <w:bookmarkEnd w:id="2"/>
      <w:r w:rsidDel="00000000" w:rsidR="00000000" w:rsidRPr="00000000">
        <w:rPr>
          <w:rtl w:val="0"/>
        </w:rPr>
        <w:t xml:space="preserve">Article 23A (Exemption Method)</w:t>
      </w:r>
    </w:p>
    <w:p w:rsidR="00000000" w:rsidDel="00000000" w:rsidP="00000000" w:rsidRDefault="00000000" w:rsidRPr="00000000" w14:paraId="0000001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59" w:lineRule="auto"/>
        <w:ind w:left="810" w:right="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Obligation of Resident State to Give Exemption</w:t>
      </w:r>
    </w:p>
    <w:p w:rsidR="00000000" w:rsidDel="00000000" w:rsidP="00000000" w:rsidRDefault="00000000" w:rsidRPr="00000000" w14:paraId="0000001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Article 23A(1) mandates that the residence state must exempt income that is taxed in the source state. This is based on the concept that income sourced in one state, and taxed there, should not be taxed again by the residence state. The residence state is obliged to ensure that the taxpayer does not suffer from double taxation, especially in cases where the source state has exclusive taxing rights.</w:t>
      </w:r>
    </w:p>
    <w:p w:rsidR="00000000" w:rsidDel="00000000" w:rsidP="00000000" w:rsidRDefault="00000000" w:rsidRPr="00000000" w14:paraId="0000001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59" w:lineRule="auto"/>
        <w:ind w:left="810" w:right="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Alternative Provision – Allow Tax Deduction</w:t>
      </w:r>
    </w:p>
    <w:p w:rsidR="00000000" w:rsidDel="00000000" w:rsidP="00000000" w:rsidRDefault="00000000" w:rsidRPr="00000000" w14:paraId="0000001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alternative method under Article 23A allows the residence state to offer a </w:t>
      </w:r>
      <w:r w:rsidDel="00000000" w:rsidR="00000000" w:rsidRPr="00000000">
        <w:rPr>
          <w:rFonts w:ascii="Times New Roman" w:cs="Times New Roman" w:eastAsia="Times New Roman" w:hAnsi="Times New Roman"/>
          <w:i w:val="1"/>
          <w:sz w:val="24"/>
          <w:szCs w:val="24"/>
          <w:rtl w:val="0"/>
        </w:rPr>
        <w:t xml:space="preserve">deduction</w:t>
      </w:r>
      <w:r w:rsidDel="00000000" w:rsidR="00000000" w:rsidRPr="00000000">
        <w:rPr>
          <w:rFonts w:ascii="Times New Roman" w:cs="Times New Roman" w:eastAsia="Times New Roman" w:hAnsi="Times New Roman"/>
          <w:sz w:val="24"/>
          <w:szCs w:val="24"/>
          <w:rtl w:val="0"/>
        </w:rPr>
        <w:t xml:space="preserve"> for foreign taxes paid instead of full exemption. While this is less commonly applied, it is a way for states to manage their tax systems and prevent double taxation without completely exempting the foreign income. However, this is generally a less favorable method for taxpayers since it provides only partial relief compared to a full exemption or credit.</w:t>
      </w:r>
    </w:p>
    <w:p w:rsidR="00000000" w:rsidDel="00000000" w:rsidP="00000000" w:rsidRDefault="00000000" w:rsidRPr="00000000" w14:paraId="0000001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59" w:lineRule="auto"/>
        <w:ind w:left="810" w:right="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Implementation Left to Contracting State</w:t>
      </w:r>
    </w:p>
    <w:p w:rsidR="00000000" w:rsidDel="00000000" w:rsidP="00000000" w:rsidRDefault="00000000" w:rsidRPr="00000000" w14:paraId="0000001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implementation of Article 23A is largely at the discretion of the contracting states, allowing them to design domestic laws that achieve the goal of eliminating double taxation. This flexibility allows states to tailor the method to their particular tax policies, so long as the end result of avoiding double taxation is achieved.</w:t>
      </w:r>
    </w:p>
    <w:p w:rsidR="00000000" w:rsidDel="00000000" w:rsidP="00000000" w:rsidRDefault="00000000" w:rsidRPr="00000000" w14:paraId="0000001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59" w:lineRule="auto"/>
        <w:ind w:left="810" w:right="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Article 23A(2) - Dividends from Substantial Holdings by a Company</w:t>
      </w:r>
    </w:p>
    <w:p w:rsidR="00000000" w:rsidDel="00000000" w:rsidP="00000000" w:rsidRDefault="00000000" w:rsidRPr="00000000" w14:paraId="0000001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Article 23A(2) addresses the treatment of dividends from substantial holdings, stipulating that even though dividends may be taxed in the source state, the residence state must still exempt them under certain conditions. This provision applies to companies that hold significant shares in foreign entities and prevents economic double taxation at both the corporate and shareholder levels. The exemption is crucial in maintaining neutrality for international business operations.</w:t>
      </w:r>
    </w:p>
    <w:p w:rsidR="00000000" w:rsidDel="00000000" w:rsidP="00000000" w:rsidRDefault="00000000" w:rsidRPr="00000000" w14:paraId="0000001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59" w:lineRule="auto"/>
        <w:ind w:left="810" w:right="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Article 23A(3) - Exemption with Progression</w:t>
      </w:r>
    </w:p>
    <w:p w:rsidR="00000000" w:rsidDel="00000000" w:rsidP="00000000" w:rsidRDefault="00000000" w:rsidRPr="00000000" w14:paraId="0000001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paragraph introduces the concept of </w:t>
      </w:r>
      <w:r w:rsidDel="00000000" w:rsidR="00000000" w:rsidRPr="00000000">
        <w:rPr>
          <w:rFonts w:ascii="Times New Roman" w:cs="Times New Roman" w:eastAsia="Times New Roman" w:hAnsi="Times New Roman"/>
          <w:i w:val="1"/>
          <w:sz w:val="24"/>
          <w:szCs w:val="24"/>
          <w:rtl w:val="0"/>
        </w:rPr>
        <w:t xml:space="preserve">exemption with progression</w:t>
      </w:r>
      <w:r w:rsidDel="00000000" w:rsidR="00000000" w:rsidRPr="00000000">
        <w:rPr>
          <w:rFonts w:ascii="Times New Roman" w:cs="Times New Roman" w:eastAsia="Times New Roman" w:hAnsi="Times New Roman"/>
          <w:sz w:val="24"/>
          <w:szCs w:val="24"/>
          <w:rtl w:val="0"/>
        </w:rPr>
        <w:t xml:space="preserve">, where exempt income can still influence the tax rate applied to non-exempt income. In this scenario, the residence state exempts the income from taxation but includes it for the purposes of determining the overall tax rate applicable to the taxpayer. This ensures that taxpayers with significant foreign income do not benefit from lower tax rates on their domestic income.</w:t>
      </w:r>
    </w:p>
    <w:p w:rsidR="00000000" w:rsidDel="00000000" w:rsidP="00000000" w:rsidRDefault="00000000" w:rsidRPr="00000000" w14:paraId="0000001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59" w:lineRule="auto"/>
        <w:ind w:left="810" w:right="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Article 23A(4) - Double Non-Taxation</w:t>
      </w:r>
    </w:p>
    <w:p w:rsidR="00000000" w:rsidDel="00000000" w:rsidP="00000000" w:rsidRDefault="00000000" w:rsidRPr="00000000" w14:paraId="0000001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Article 23A(4) is an anti-abuse measure designed to prevent </w:t>
      </w:r>
      <w:r w:rsidDel="00000000" w:rsidR="00000000" w:rsidRPr="00000000">
        <w:rPr>
          <w:rFonts w:ascii="Times New Roman" w:cs="Times New Roman" w:eastAsia="Times New Roman" w:hAnsi="Times New Roman"/>
          <w:b w:val="1"/>
          <w:sz w:val="24"/>
          <w:szCs w:val="24"/>
          <w:rtl w:val="0"/>
        </w:rPr>
        <w:t xml:space="preserve">double non-taxation</w:t>
      </w:r>
      <w:r w:rsidDel="00000000" w:rsidR="00000000" w:rsidRPr="00000000">
        <w:rPr>
          <w:rFonts w:ascii="Times New Roman" w:cs="Times New Roman" w:eastAsia="Times New Roman" w:hAnsi="Times New Roman"/>
          <w:sz w:val="24"/>
          <w:szCs w:val="24"/>
          <w:rtl w:val="0"/>
        </w:rPr>
        <w:t xml:space="preserve">. It ensures that the exemption method is not applied if the income in question is not effectively taxed in the source state. This provision targets situations where income may be exempted in the residence state under Article 23A while being subject to minimal or no taxation in the source state due to preferential regimes or tax holidays.</w:t>
      </w:r>
    </w:p>
    <w:p w:rsidR="00000000" w:rsidDel="00000000" w:rsidP="00000000" w:rsidRDefault="00000000" w:rsidRPr="00000000" w14:paraId="0000001E">
      <w:pPr>
        <w:pStyle w:val="Heading2"/>
        <w:numPr>
          <w:ilvl w:val="0"/>
          <w:numId w:val="1"/>
        </w:numPr>
        <w:ind w:left="630" w:hanging="360"/>
        <w:rPr/>
      </w:pPr>
      <w:bookmarkStart w:colFirst="0" w:colLast="0" w:name="_heading=h.6ytlku7yhw8p" w:id="3"/>
      <w:bookmarkEnd w:id="3"/>
      <w:r w:rsidDel="00000000" w:rsidR="00000000" w:rsidRPr="00000000">
        <w:rPr>
          <w:rtl w:val="0"/>
        </w:rPr>
        <w:t xml:space="preserve">Article 23B (Credit Method)</w:t>
      </w:r>
    </w:p>
    <w:p w:rsidR="00000000" w:rsidDel="00000000" w:rsidP="00000000" w:rsidRDefault="00000000" w:rsidRPr="00000000" w14:paraId="0000001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59" w:lineRule="auto"/>
        <w:ind w:left="810" w:right="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Methods – Ordinary and Full Credit Method</w:t>
      </w:r>
    </w:p>
    <w:p w:rsidR="00000000" w:rsidDel="00000000" w:rsidP="00000000" w:rsidRDefault="00000000" w:rsidRPr="00000000" w14:paraId="0000002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Article 23B employs the </w:t>
      </w:r>
      <w:r w:rsidDel="00000000" w:rsidR="00000000" w:rsidRPr="00000000">
        <w:rPr>
          <w:rFonts w:ascii="Times New Roman" w:cs="Times New Roman" w:eastAsia="Times New Roman" w:hAnsi="Times New Roman"/>
          <w:b w:val="1"/>
          <w:sz w:val="24"/>
          <w:szCs w:val="24"/>
          <w:rtl w:val="0"/>
        </w:rPr>
        <w:t xml:space="preserve">credit method</w:t>
      </w:r>
      <w:r w:rsidDel="00000000" w:rsidR="00000000" w:rsidRPr="00000000">
        <w:rPr>
          <w:rFonts w:ascii="Times New Roman" w:cs="Times New Roman" w:eastAsia="Times New Roman" w:hAnsi="Times New Roman"/>
          <w:sz w:val="24"/>
          <w:szCs w:val="24"/>
          <w:rtl w:val="0"/>
        </w:rPr>
        <w:t xml:space="preserve"> to eliminate double taxation. The ordinary credit method allows a tax credit for foreign taxes paid, but this credit is typically limited to the amount of tax that would have been payable on the same income in the residence state. The </w:t>
      </w:r>
      <w:r w:rsidDel="00000000" w:rsidR="00000000" w:rsidRPr="00000000">
        <w:rPr>
          <w:rFonts w:ascii="Times New Roman" w:cs="Times New Roman" w:eastAsia="Times New Roman" w:hAnsi="Times New Roman"/>
          <w:b w:val="1"/>
          <w:sz w:val="24"/>
          <w:szCs w:val="24"/>
          <w:rtl w:val="0"/>
        </w:rPr>
        <w:t xml:space="preserve">full credit method</w:t>
      </w:r>
      <w:r w:rsidDel="00000000" w:rsidR="00000000" w:rsidRPr="00000000">
        <w:rPr>
          <w:rFonts w:ascii="Times New Roman" w:cs="Times New Roman" w:eastAsia="Times New Roman" w:hAnsi="Times New Roman"/>
          <w:sz w:val="24"/>
          <w:szCs w:val="24"/>
          <w:rtl w:val="0"/>
        </w:rPr>
        <w:t xml:space="preserve"> allows a credit for the entire amount of foreign tax paid, which may exceed the tax liability in the residence state. This provides more comprehensive relief but is less common due to potential revenue losses for the residence state.</w:t>
      </w:r>
    </w:p>
    <w:p w:rsidR="00000000" w:rsidDel="00000000" w:rsidP="00000000" w:rsidRDefault="00000000" w:rsidRPr="00000000" w14:paraId="0000002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59" w:lineRule="auto"/>
        <w:ind w:left="810" w:right="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Exemption for Income Taxable Only in the Other Contracting State</w:t>
      </w:r>
    </w:p>
    <w:p w:rsidR="00000000" w:rsidDel="00000000" w:rsidP="00000000" w:rsidRDefault="00000000" w:rsidRPr="00000000" w14:paraId="0000002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Article 23B(1) ensures that when income is taxable </w:t>
      </w:r>
      <w:r w:rsidDel="00000000" w:rsidR="00000000" w:rsidRPr="00000000">
        <w:rPr>
          <w:rFonts w:ascii="Times New Roman" w:cs="Times New Roman" w:eastAsia="Times New Roman" w:hAnsi="Times New Roman"/>
          <w:i w:val="1"/>
          <w:sz w:val="24"/>
          <w:szCs w:val="24"/>
          <w:rtl w:val="0"/>
        </w:rPr>
        <w:t xml:space="preserve">only</w:t>
      </w:r>
      <w:r w:rsidDel="00000000" w:rsidR="00000000" w:rsidRPr="00000000">
        <w:rPr>
          <w:rFonts w:ascii="Times New Roman" w:cs="Times New Roman" w:eastAsia="Times New Roman" w:hAnsi="Times New Roman"/>
          <w:sz w:val="24"/>
          <w:szCs w:val="24"/>
          <w:rtl w:val="0"/>
        </w:rPr>
        <w:t xml:space="preserve"> in the other contracting state, the residence state must exempt the income from its tax base. This ensures consistency between the exemption and credit methods in situations where the source state has exclusive taxing rights.</w:t>
      </w:r>
    </w:p>
    <w:p w:rsidR="00000000" w:rsidDel="00000000" w:rsidP="00000000" w:rsidRDefault="00000000" w:rsidRPr="00000000" w14:paraId="0000002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59" w:lineRule="auto"/>
        <w:ind w:left="810" w:right="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Credit to Be Computed Under Domestic Law</w:t>
      </w:r>
    </w:p>
    <w:p w:rsidR="00000000" w:rsidDel="00000000" w:rsidP="00000000" w:rsidRDefault="00000000" w:rsidRPr="00000000" w14:paraId="0000002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specific mechanics of calculating the tax credit under Article 23B are left to the domestic laws of the contracting states. Generally, the credit is calculated based on the lower of the taxes paid in the source state or the taxes that would be due on the same income in the residence state. This prevents double taxation but ensures that the residence state still collects some tax if its rates are higher than those in the source state.</w:t>
      </w:r>
    </w:p>
    <w:p w:rsidR="00000000" w:rsidDel="00000000" w:rsidP="00000000" w:rsidRDefault="00000000" w:rsidRPr="00000000" w14:paraId="0000002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59" w:lineRule="auto"/>
        <w:ind w:left="810" w:right="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Credit for Capital Tax</w:t>
      </w:r>
    </w:p>
    <w:p w:rsidR="00000000" w:rsidDel="00000000" w:rsidP="00000000" w:rsidRDefault="00000000" w:rsidRPr="00000000" w14:paraId="0000002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to income taxes, Article 23B extends the credit method to capital taxes. If the source state imposes a capital tax on certain assets, the residence state must allow a credit for this tax to ensure the total tax burden is not duplicated on the same asset.</w:t>
      </w:r>
    </w:p>
    <w:p w:rsidR="00000000" w:rsidDel="00000000" w:rsidP="00000000" w:rsidRDefault="00000000" w:rsidRPr="00000000" w14:paraId="0000002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59" w:lineRule="auto"/>
        <w:ind w:left="810" w:right="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Tax Sparing</w:t>
      </w:r>
    </w:p>
    <w:p w:rsidR="00000000" w:rsidDel="00000000" w:rsidP="00000000" w:rsidRDefault="00000000" w:rsidRPr="00000000" w14:paraId="0000002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treaties include a provision for </w:t>
      </w:r>
      <w:r w:rsidDel="00000000" w:rsidR="00000000" w:rsidRPr="00000000">
        <w:rPr>
          <w:rFonts w:ascii="Times New Roman" w:cs="Times New Roman" w:eastAsia="Times New Roman" w:hAnsi="Times New Roman"/>
          <w:i w:val="1"/>
          <w:sz w:val="24"/>
          <w:szCs w:val="24"/>
          <w:rtl w:val="0"/>
        </w:rPr>
        <w:t xml:space="preserve">tax sparing</w:t>
      </w:r>
      <w:r w:rsidDel="00000000" w:rsidR="00000000" w:rsidRPr="00000000">
        <w:rPr>
          <w:rFonts w:ascii="Times New Roman" w:cs="Times New Roman" w:eastAsia="Times New Roman" w:hAnsi="Times New Roman"/>
          <w:sz w:val="24"/>
          <w:szCs w:val="24"/>
          <w:rtl w:val="0"/>
        </w:rPr>
        <w:t xml:space="preserve">, which allows a credit for taxes that have been waived or reduced in the source state due to tax incentives. This is common in treaties between developed and developing countries, where the developed country grants a credit for taxes that would have been paid absent the source state's incentive policies. Tax sparing prevents the residence state from negating the benefits of the tax incentive.</w:t>
      </w:r>
    </w:p>
    <w:p w:rsidR="00000000" w:rsidDel="00000000" w:rsidP="00000000" w:rsidRDefault="00000000" w:rsidRPr="00000000" w14:paraId="0000002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59" w:lineRule="auto"/>
        <w:ind w:left="810" w:right="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Article 23B(2) - Progression Safeguard for Residence State</w:t>
      </w:r>
    </w:p>
    <w:p w:rsidR="00000000" w:rsidDel="00000000" w:rsidP="00000000" w:rsidRDefault="00000000" w:rsidRPr="00000000" w14:paraId="0000002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Similar to the exemption method's progression concept, Article 23B(2) provides a safeguard for the residence state to maintain progressive tax rates. While foreign income is credited for foreign taxes paid, it may still be included in the residence state’s calculations for determining the overall tax rate applied to the taxpayer's other income. This ensures that high-income taxpayers do not avoid higher tax rates by earning income primarily in low-tax jurisdictions.</w:t>
      </w:r>
    </w:p>
    <w:p w:rsidR="00000000" w:rsidDel="00000000" w:rsidP="00000000" w:rsidRDefault="00000000" w:rsidRPr="00000000" w14:paraId="0000002B">
      <w:pPr>
        <w:pStyle w:val="Heading2"/>
        <w:numPr>
          <w:ilvl w:val="0"/>
          <w:numId w:val="1"/>
        </w:numPr>
        <w:ind w:left="630" w:hanging="360"/>
        <w:jc w:val="left"/>
        <w:rPr/>
      </w:pPr>
      <w:bookmarkStart w:colFirst="0" w:colLast="0" w:name="_heading=h.zfdognqwccka" w:id="4"/>
      <w:bookmarkEnd w:id="4"/>
      <w:r w:rsidDel="00000000" w:rsidR="00000000" w:rsidRPr="00000000">
        <w:rPr>
          <w:rtl w:val="0"/>
        </w:rPr>
        <w:t xml:space="preserve">Comparison of Article 23 of the OECD MTC 2017 and UN MTC 2021</w:t>
      </w:r>
    </w:p>
    <w:p w:rsidR="00000000" w:rsidDel="00000000" w:rsidP="00000000" w:rsidRDefault="00000000" w:rsidRPr="00000000" w14:paraId="0000002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59" w:lineRule="auto"/>
        <w:ind w:left="810" w:right="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Exemption Method (Article 23 A)</w:t>
      </w:r>
    </w:p>
    <w:p w:rsidR="00000000" w:rsidDel="00000000" w:rsidP="00000000" w:rsidRDefault="00000000" w:rsidRPr="00000000" w14:paraId="0000002D">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160" w:before="0" w:line="259" w:lineRule="auto"/>
        <w:ind w:left="810" w:right="0" w:hanging="180"/>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Paragraph 2 (Partial Credit Within the Exemption Scheme)</w:t>
      </w:r>
    </w:p>
    <w:p w:rsidR="00000000" w:rsidDel="00000000" w:rsidP="00000000" w:rsidRDefault="00000000" w:rsidRPr="00000000" w14:paraId="0000002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OECD MTC triggers a credit only for specific items like dividends (Article 10) and interest (Article 11).</w:t>
      </w:r>
    </w:p>
    <w:p w:rsidR="00000000" w:rsidDel="00000000" w:rsidP="00000000" w:rsidRDefault="00000000" w:rsidRPr="00000000" w14:paraId="0000002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UN MTC triggers a credit for all those items plus royalties (Article 12), fees for technical services (Article 12A), and automated digital services (Article 12B).</w:t>
      </w:r>
    </w:p>
    <w:p w:rsidR="00000000" w:rsidDel="00000000" w:rsidP="00000000" w:rsidRDefault="00000000" w:rsidRPr="00000000" w14:paraId="00000030">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160" w:before="0" w:line="259" w:lineRule="auto"/>
        <w:ind w:left="810" w:right="0" w:hanging="180"/>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Paragraph 4 (When the Exemption Method Does Not Apply)</w:t>
      </w:r>
    </w:p>
    <w:p w:rsidR="00000000" w:rsidDel="00000000" w:rsidP="00000000" w:rsidRDefault="00000000" w:rsidRPr="00000000" w14:paraId="0000003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 the OECD MTC, if the other State actually exempts the income (or applies a reduced rate on dividends or interest), then the home State likewise does not provide a full exemption (but may provide a credit).</w:t>
      </w:r>
    </w:p>
    <w:p w:rsidR="00000000" w:rsidDel="00000000" w:rsidP="00000000" w:rsidRDefault="00000000" w:rsidRPr="00000000" w14:paraId="0000003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 the UN MTC, this same rule is broader: it also covers royalties, fees for technical services, and automated digital services. If the source State grants an exemption or lower rate on these items, the residence State does not provide a full exemption but instead gives a credit for the tax actually paid.</w:t>
      </w:r>
    </w:p>
    <w:p w:rsidR="00000000" w:rsidDel="00000000" w:rsidP="00000000" w:rsidRDefault="00000000" w:rsidRPr="00000000" w14:paraId="0000003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59" w:lineRule="auto"/>
        <w:ind w:left="810" w:right="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Credit Method (Article 23 B)</w:t>
      </w:r>
    </w:p>
    <w:p w:rsidR="00000000" w:rsidDel="00000000" w:rsidP="00000000" w:rsidRDefault="00000000" w:rsidRPr="00000000" w14:paraId="00000034">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160" w:before="0" w:line="259" w:lineRule="auto"/>
        <w:ind w:left="810" w:right="0" w:hanging="180"/>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Expanded Reference to More Articles Under the UN MTC</w:t>
      </w:r>
    </w:p>
    <w:p w:rsidR="00000000" w:rsidDel="00000000" w:rsidP="00000000" w:rsidRDefault="00000000" w:rsidRPr="00000000" w14:paraId="0000003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Models require the residence State to grant a tax credit where the source State is entitled to tax specific items of income or capital.</w:t>
      </w:r>
    </w:p>
    <w:p w:rsidR="00000000" w:rsidDel="00000000" w:rsidP="00000000" w:rsidRDefault="00000000" w:rsidRPr="00000000" w14:paraId="0000003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UN MTC effectively ensures the credit method also applies to the extended categories (Articles 12, 12A, 12B) if the source State taxes them. The OECD MTC has no parallel for those specific income types.</w:t>
      </w:r>
    </w:p>
    <w:p w:rsidR="00000000" w:rsidDel="00000000" w:rsidP="00000000" w:rsidRDefault="00000000" w:rsidRPr="00000000" w14:paraId="00000037">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160" w:before="0" w:line="259" w:lineRule="auto"/>
        <w:ind w:left="810" w:right="0" w:hanging="180"/>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Consistency in Calculation</w:t>
      </w:r>
    </w:p>
    <w:p w:rsidR="00000000" w:rsidDel="00000000" w:rsidP="00000000" w:rsidRDefault="00000000" w:rsidRPr="00000000" w14:paraId="0000003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both Models, the amount of the credit is limited to the portion of the residence State’s tax attributable to the income taxed in the source State.</w:t>
      </w:r>
    </w:p>
    <w:p w:rsidR="00000000" w:rsidDel="00000000" w:rsidP="00000000" w:rsidRDefault="00000000" w:rsidRPr="00000000" w14:paraId="0000003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mechanics (e.g., no credit can exceed the home State tax on the same income) remain the same in principle. The difference is that the UN MTC often triggers the credit in more situations because it recognizes more categories of income as taxable by the source State.</w:t>
      </w:r>
      <w:r w:rsidDel="00000000" w:rsidR="00000000" w:rsidRPr="00000000">
        <w:rPr>
          <w:rtl w:val="0"/>
        </w:rPr>
      </w:r>
    </w:p>
    <w:sectPr>
      <w:headerReference r:id="rId7"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630" w:hanging="360"/>
      </w:pPr>
      <w:rPr/>
    </w:lvl>
    <w:lvl w:ilvl="1">
      <w:start w:val="1"/>
      <w:numFmt w:val="decimal"/>
      <w:lvlText w:val="%1.%2."/>
      <w:lvlJc w:val="right"/>
      <w:pPr>
        <w:ind w:left="1080" w:hanging="360"/>
      </w:pPr>
      <w:rPr/>
    </w:lvl>
    <w:lvl w:ilvl="2">
      <w:start w:val="1"/>
      <w:numFmt w:val="decimal"/>
      <w:lvlText w:val="%1.%2.%3."/>
      <w:lvlJc w:val="right"/>
      <w:pPr>
        <w:ind w:left="1800" w:hanging="180"/>
      </w:pPr>
      <w:rPr/>
    </w:lvl>
    <w:lvl w:ilvl="3">
      <w:start w:val="1"/>
      <w:numFmt w:val="decimal"/>
      <w:lvlText w:val="%1.%2.%3.%4."/>
      <w:lvlJc w:val="right"/>
      <w:pPr>
        <w:ind w:left="2520" w:hanging="360"/>
      </w:pPr>
      <w:rPr/>
    </w:lvl>
    <w:lvl w:ilvl="4">
      <w:start w:val="1"/>
      <w:numFmt w:val="decimal"/>
      <w:lvlText w:val="%1.%2.%3.%4.%5."/>
      <w:lvlJc w:val="right"/>
      <w:pPr>
        <w:ind w:left="3240" w:hanging="360"/>
      </w:pPr>
      <w:rPr/>
    </w:lvl>
    <w:lvl w:ilvl="5">
      <w:start w:val="1"/>
      <w:numFmt w:val="decimal"/>
      <w:lvlText w:val="%1.%2.%3.%4.%5.%6."/>
      <w:lvlJc w:val="right"/>
      <w:pPr>
        <w:ind w:left="3960" w:hanging="180"/>
      </w:pPr>
      <w:rPr/>
    </w:lvl>
    <w:lvl w:ilvl="6">
      <w:start w:val="1"/>
      <w:numFmt w:val="decimal"/>
      <w:lvlText w:val="%1.%2.%3.%4.%5.%6.%7."/>
      <w:lvlJc w:val="right"/>
      <w:pPr>
        <w:ind w:left="4680" w:hanging="360"/>
      </w:pPr>
      <w:rPr/>
    </w:lvl>
    <w:lvl w:ilvl="7">
      <w:start w:val="1"/>
      <w:numFmt w:val="decimal"/>
      <w:lvlText w:val="%1.%2.%3.%4.%5.%6.%7.%8."/>
      <w:lvlJc w:val="right"/>
      <w:pPr>
        <w:ind w:left="5400" w:hanging="360"/>
      </w:pPr>
      <w:rPr/>
    </w:lvl>
    <w:lvl w:ilvl="8">
      <w:start w:val="1"/>
      <w:numFmt w:val="decimal"/>
      <w:lvlText w:val="%1.%2.%3.%4.%5.%6.%7.%8.%9."/>
      <w:lvlJc w:val="right"/>
      <w:pPr>
        <w:ind w:left="612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GB"/>
      </w:rPr>
    </w:rPrDefault>
    <w:pPrDefault>
      <w:pPr>
        <w:spacing w:after="160" w:line="259"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ind w:left="360"/>
    </w:pPr>
    <w:rPr>
      <w:rFonts w:ascii="Times New Roman" w:cs="Times New Roman" w:eastAsia="Times New Roman" w:hAnsi="Times New Roman"/>
      <w:b w:val="1"/>
      <w:sz w:val="28"/>
      <w:szCs w:val="28"/>
    </w:rPr>
  </w:style>
  <w:style w:type="paragraph" w:styleId="Heading2">
    <w:name w:val="heading 2"/>
    <w:basedOn w:val="Normal"/>
    <w:next w:val="Normal"/>
    <w:pPr>
      <w:keepNext w:val="1"/>
      <w:keepLines w:val="1"/>
      <w:spacing w:after="0" w:before="240" w:line="278.00000000000006" w:lineRule="auto"/>
      <w:ind w:firstLine="15"/>
      <w:jc w:val="both"/>
    </w:pPr>
    <w:rPr>
      <w:rFonts w:ascii="Times New Roman" w:cs="Times New Roman" w:eastAsia="Times New Roman" w:hAnsi="Times New Roman"/>
      <w:b w:val="1"/>
      <w:sz w:val="27"/>
      <w:szCs w:val="27"/>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jc w:val="center"/>
    </w:pPr>
    <w:rPr>
      <w:rFonts w:ascii="Times New Roman" w:cs="Times New Roman" w:eastAsia="Times New Roman" w:hAnsi="Times New Roman"/>
      <w:b w:val="1"/>
      <w:sz w:val="32"/>
      <w:szCs w:val="3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qFormat w:val="1"/>
  </w:style>
  <w:style w:type="paragraph" w:styleId="Heading1">
    <w:name w:val="heading 1"/>
    <w:basedOn w:val="Normal"/>
    <w:next w:val="Normal"/>
    <w:link w:val="Heading1Char"/>
    <w:uiPriority w:val="9"/>
    <w:qFormat w:val="1"/>
    <w:rsid w:val="00E27019"/>
    <w:pPr>
      <w:keepNext w:val="1"/>
      <w:keepLines w:val="1"/>
      <w:spacing w:after="80" w:before="360"/>
      <w:outlineLvl w:val="0"/>
    </w:pPr>
    <w:rPr>
      <w:rFonts w:asciiTheme="majorHAnsi" w:cstheme="majorBidi" w:eastAsiaTheme="majorEastAsia" w:hAnsiTheme="majorHAnsi"/>
      <w:color w:val="0f4761" w:themeColor="accent1" w:themeShade="0000BF"/>
      <w:sz w:val="40"/>
      <w:szCs w:val="40"/>
    </w:rPr>
  </w:style>
  <w:style w:type="paragraph" w:styleId="Heading2">
    <w:name w:val="heading 2"/>
    <w:basedOn w:val="Normal"/>
    <w:next w:val="Normal"/>
    <w:link w:val="Heading2Char"/>
    <w:uiPriority w:val="9"/>
    <w:semiHidden w:val="1"/>
    <w:unhideWhenUsed w:val="1"/>
    <w:qFormat w:val="1"/>
    <w:rsid w:val="00E27019"/>
    <w:pPr>
      <w:keepNext w:val="1"/>
      <w:keepLines w:val="1"/>
      <w:spacing w:after="80" w:before="160"/>
      <w:outlineLvl w:val="1"/>
    </w:pPr>
    <w:rPr>
      <w:rFonts w:asciiTheme="majorHAnsi" w:cstheme="majorBidi" w:eastAsiaTheme="majorEastAsia" w:hAnsiTheme="majorHAnsi"/>
      <w:color w:val="0f4761" w:themeColor="accent1" w:themeShade="0000BF"/>
      <w:sz w:val="32"/>
      <w:szCs w:val="32"/>
    </w:rPr>
  </w:style>
  <w:style w:type="paragraph" w:styleId="Heading3">
    <w:name w:val="heading 3"/>
    <w:basedOn w:val="Normal"/>
    <w:next w:val="Normal"/>
    <w:link w:val="Heading3Char"/>
    <w:uiPriority w:val="9"/>
    <w:semiHidden w:val="1"/>
    <w:unhideWhenUsed w:val="1"/>
    <w:qFormat w:val="1"/>
    <w:rsid w:val="00E27019"/>
    <w:pPr>
      <w:keepNext w:val="1"/>
      <w:keepLines w:val="1"/>
      <w:spacing w:after="80" w:before="160"/>
      <w:outlineLvl w:val="2"/>
    </w:pPr>
    <w:rPr>
      <w:rFonts w:cstheme="majorBidi" w:eastAsiaTheme="majorEastAsia"/>
      <w:color w:val="0f4761" w:themeColor="accent1" w:themeShade="0000BF"/>
      <w:sz w:val="28"/>
      <w:szCs w:val="28"/>
    </w:rPr>
  </w:style>
  <w:style w:type="paragraph" w:styleId="Heading4">
    <w:name w:val="heading 4"/>
    <w:basedOn w:val="Normal"/>
    <w:next w:val="Normal"/>
    <w:link w:val="Heading4Char"/>
    <w:uiPriority w:val="9"/>
    <w:semiHidden w:val="1"/>
    <w:unhideWhenUsed w:val="1"/>
    <w:qFormat w:val="1"/>
    <w:rsid w:val="00E27019"/>
    <w:pPr>
      <w:keepNext w:val="1"/>
      <w:keepLines w:val="1"/>
      <w:spacing w:after="40" w:before="80"/>
      <w:outlineLvl w:val="3"/>
    </w:pPr>
    <w:rPr>
      <w:rFonts w:cstheme="majorBidi" w:eastAsiaTheme="majorEastAsia"/>
      <w:i w:val="1"/>
      <w:iCs w:val="1"/>
      <w:color w:val="0f4761" w:themeColor="accent1" w:themeShade="0000BF"/>
    </w:rPr>
  </w:style>
  <w:style w:type="paragraph" w:styleId="Heading5">
    <w:name w:val="heading 5"/>
    <w:basedOn w:val="Normal"/>
    <w:next w:val="Normal"/>
    <w:link w:val="Heading5Char"/>
    <w:uiPriority w:val="9"/>
    <w:semiHidden w:val="1"/>
    <w:unhideWhenUsed w:val="1"/>
    <w:qFormat w:val="1"/>
    <w:rsid w:val="00E27019"/>
    <w:pPr>
      <w:keepNext w:val="1"/>
      <w:keepLines w:val="1"/>
      <w:spacing w:after="40" w:before="80"/>
      <w:outlineLvl w:val="4"/>
    </w:pPr>
    <w:rPr>
      <w:rFonts w:cstheme="majorBidi" w:eastAsiaTheme="majorEastAsia"/>
      <w:color w:val="0f4761" w:themeColor="accent1" w:themeShade="0000BF"/>
    </w:rPr>
  </w:style>
  <w:style w:type="paragraph" w:styleId="Heading6">
    <w:name w:val="heading 6"/>
    <w:basedOn w:val="Normal"/>
    <w:next w:val="Normal"/>
    <w:link w:val="Heading6Char"/>
    <w:uiPriority w:val="9"/>
    <w:semiHidden w:val="1"/>
    <w:unhideWhenUsed w:val="1"/>
    <w:qFormat w:val="1"/>
    <w:rsid w:val="00E27019"/>
    <w:pPr>
      <w:keepNext w:val="1"/>
      <w:keepLines w:val="1"/>
      <w:spacing w:after="0"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E27019"/>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E27019"/>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E27019"/>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E27019"/>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E27019"/>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E27019"/>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E27019"/>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E27019"/>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E27019"/>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E27019"/>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E27019"/>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E27019"/>
    <w:rPr>
      <w:rFonts w:cstheme="majorBidi" w:eastAsiaTheme="majorEastAsia"/>
      <w:color w:val="272727" w:themeColor="text1" w:themeTint="0000D8"/>
    </w:rPr>
  </w:style>
  <w:style w:type="paragraph" w:styleId="Title">
    <w:name w:val="Title"/>
    <w:basedOn w:val="Normal"/>
    <w:next w:val="Normal"/>
    <w:link w:val="TitleChar"/>
    <w:uiPriority w:val="10"/>
    <w:qFormat w:val="1"/>
    <w:rsid w:val="00E27019"/>
    <w:pPr>
      <w:spacing w:after="80"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E27019"/>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E27019"/>
    <w:pPr>
      <w:numPr>
        <w:ilvl w:val="1"/>
      </w:numPr>
    </w:pPr>
    <w:rPr>
      <w:rFonts w:cstheme="majorBidi" w:eastAsiaTheme="majorEastAsia"/>
      <w:color w:val="595959" w:themeColor="text1" w:themeTint="0000A6"/>
      <w:spacing w:val="15"/>
      <w:sz w:val="28"/>
      <w:szCs w:val="28"/>
    </w:rPr>
  </w:style>
  <w:style w:type="character" w:styleId="SubtitleChar" w:customStyle="1">
    <w:name w:val="Subtitle Char"/>
    <w:basedOn w:val="DefaultParagraphFont"/>
    <w:link w:val="Subtitle"/>
    <w:uiPriority w:val="11"/>
    <w:rsid w:val="00E27019"/>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E27019"/>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E27019"/>
    <w:rPr>
      <w:i w:val="1"/>
      <w:iCs w:val="1"/>
      <w:color w:val="404040" w:themeColor="text1" w:themeTint="0000BF"/>
    </w:rPr>
  </w:style>
  <w:style w:type="paragraph" w:styleId="ListParagraph">
    <w:name w:val="List Paragraph"/>
    <w:basedOn w:val="Normal"/>
    <w:uiPriority w:val="34"/>
    <w:qFormat w:val="1"/>
    <w:rsid w:val="00E27019"/>
    <w:pPr>
      <w:ind w:left="720"/>
      <w:contextualSpacing w:val="1"/>
    </w:pPr>
  </w:style>
  <w:style w:type="character" w:styleId="IntenseEmphasis">
    <w:name w:val="Intense Emphasis"/>
    <w:basedOn w:val="DefaultParagraphFont"/>
    <w:uiPriority w:val="21"/>
    <w:qFormat w:val="1"/>
    <w:rsid w:val="00E27019"/>
    <w:rPr>
      <w:i w:val="1"/>
      <w:iCs w:val="1"/>
      <w:color w:val="0f4761" w:themeColor="accent1" w:themeShade="0000BF"/>
    </w:rPr>
  </w:style>
  <w:style w:type="paragraph" w:styleId="IntenseQuote">
    <w:name w:val="Intense Quote"/>
    <w:basedOn w:val="Normal"/>
    <w:next w:val="Normal"/>
    <w:link w:val="IntenseQuoteChar"/>
    <w:uiPriority w:val="30"/>
    <w:qFormat w:val="1"/>
    <w:rsid w:val="00E27019"/>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E27019"/>
    <w:rPr>
      <w:i w:val="1"/>
      <w:iCs w:val="1"/>
      <w:color w:val="0f4761" w:themeColor="accent1" w:themeShade="0000BF"/>
    </w:rPr>
  </w:style>
  <w:style w:type="character" w:styleId="IntenseReference">
    <w:name w:val="Intense Reference"/>
    <w:basedOn w:val="DefaultParagraphFont"/>
    <w:uiPriority w:val="32"/>
    <w:qFormat w:val="1"/>
    <w:rsid w:val="00E27019"/>
    <w:rPr>
      <w:b w:val="1"/>
      <w:bCs w:val="1"/>
      <w:smallCaps w:val="1"/>
      <w:color w:val="0f4761" w:themeColor="accent1" w:themeShade="0000BF"/>
      <w:spacing w:val="5"/>
    </w:rPr>
  </w:style>
  <w:style w:type="paragraph" w:styleId="Subtitle">
    <w:name w:val="Subtitle"/>
    <w:basedOn w:val="Normal"/>
    <w:next w:val="Normal"/>
    <w:pPr/>
    <w:rPr>
      <w:color w:val="595959"/>
      <w:sz w:val="28"/>
      <w:szCs w:val="28"/>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8XpGj3CC0XIA67eyN4JdsHSung==">CgMxLjAyDWgucmVrMjAyeGZhODQyDmgucGxxdmw4NDh2MXpsMg5oLmdtamh3OW5jcWNsaDIOaC42eXRsa3U3eWh3OHAyDmguemZkb2ducXdjY2thOAByITFQRHdRMDY0bFZraTNKSkxMdVZ2Ty1zRm9DU25MRzBZNQ==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2024-09-13T06:04:00Z</dcterms:created>
  <dc:creator>Munachiso Ogu-Jude</dc:creator>
</cp:coreProperties>
</file>