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rPr>
          <w:i w:val="0"/>
          <w:smallCaps w:val="0"/>
          <w:strike w:val="0"/>
          <w:color w:val="2f5496"/>
          <w:u w:val="none"/>
          <w:shd w:fill="auto" w:val="clear"/>
          <w:vertAlign w:val="baseline"/>
        </w:rPr>
      </w:pPr>
      <w:r w:rsidDel="00000000" w:rsidR="00000000" w:rsidRPr="00000000">
        <w:rPr>
          <w:i w:val="0"/>
          <w:smallCaps w:val="0"/>
          <w:strike w:val="0"/>
          <w:color w:val="2f5496"/>
          <w:u w:val="none"/>
          <w:shd w:fill="auto" w:val="clear"/>
          <w:vertAlign w:val="baseline"/>
          <w:rtl w:val="0"/>
        </w:rPr>
        <w:t xml:space="preserve">Contents</w:t>
      </w:r>
    </w:p>
    <w:sdt>
      <w:sdtPr>
        <w:id w:val="969520009"/>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after="0" w:before="60" w:line="240" w:lineRule="auto"/>
            <w:jc w:val="left"/>
            <w:rPr>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b w:val="1"/>
                <w:i w:val="0"/>
                <w:smallCaps w:val="0"/>
                <w:strike w:val="0"/>
                <w:color w:val="000000"/>
                <w:sz w:val="24"/>
                <w:szCs w:val="24"/>
                <w:u w:val="none"/>
                <w:shd w:fill="auto" w:val="clear"/>
                <w:vertAlign w:val="baseline"/>
                <w:rtl w:val="0"/>
              </w:rPr>
              <w:t xml:space="preserve">R.1. BEPS ACTION 1: TAX CHALLENGES OF THE DIGITAL ECONOMY</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30j0zll">
            <w:r w:rsidDel="00000000" w:rsidR="00000000" w:rsidRPr="00000000">
              <w:rPr>
                <w:i w:val="0"/>
                <w:smallCaps w:val="0"/>
                <w:strike w:val="0"/>
                <w:color w:val="000000"/>
                <w:sz w:val="24"/>
                <w:szCs w:val="24"/>
                <w:u w:val="none"/>
                <w:shd w:fill="auto" w:val="clear"/>
                <w:vertAlign w:val="baseline"/>
                <w:rtl w:val="0"/>
              </w:rPr>
              <w:t xml:space="preserve">1. Key Characteristics of the Digital Economy</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2twm1k6ns0rc">
            <w:r w:rsidDel="00000000" w:rsidR="00000000" w:rsidRPr="00000000">
              <w:rPr>
                <w:i w:val="0"/>
                <w:smallCaps w:val="0"/>
                <w:strike w:val="0"/>
                <w:color w:val="000000"/>
                <w:sz w:val="24"/>
                <w:szCs w:val="24"/>
                <w:u w:val="none"/>
                <w:shd w:fill="auto" w:val="clear"/>
                <w:vertAlign w:val="baseline"/>
                <w:rtl w:val="0"/>
              </w:rPr>
              <w:t xml:space="preserve">2. BEPS Issues Exacerbated by the Digital Economy</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o2hlfefbcgwe">
            <w:r w:rsidDel="00000000" w:rsidR="00000000" w:rsidRPr="00000000">
              <w:rPr>
                <w:i w:val="0"/>
                <w:smallCaps w:val="0"/>
                <w:strike w:val="0"/>
                <w:color w:val="000000"/>
                <w:sz w:val="24"/>
                <w:szCs w:val="24"/>
                <w:u w:val="none"/>
                <w:shd w:fill="auto" w:val="clear"/>
                <w:vertAlign w:val="baseline"/>
                <w:rtl w:val="0"/>
              </w:rPr>
              <w:t xml:space="preserve">3. Broader Tax Challenges of the Digital Economy</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oh13bnkbhgpt">
            <w:r w:rsidDel="00000000" w:rsidR="00000000" w:rsidRPr="00000000">
              <w:rPr>
                <w:i w:val="0"/>
                <w:smallCaps w:val="0"/>
                <w:strike w:val="0"/>
                <w:color w:val="000000"/>
                <w:sz w:val="24"/>
                <w:szCs w:val="24"/>
                <w:u w:val="none"/>
                <w:shd w:fill="auto" w:val="clear"/>
                <w:vertAlign w:val="baseline"/>
                <w:rtl w:val="0"/>
              </w:rPr>
              <w:t xml:space="preserve">4. Recent Developments in BEPS Action 1 and the Digital Economy</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9z8thp8e5ixr">
            <w:r w:rsidDel="00000000" w:rsidR="00000000" w:rsidRPr="00000000">
              <w:rPr>
                <w:i w:val="0"/>
                <w:smallCaps w:val="0"/>
                <w:strike w:val="0"/>
                <w:color w:val="000000"/>
                <w:sz w:val="24"/>
                <w:szCs w:val="24"/>
                <w:u w:val="none"/>
                <w:shd w:fill="auto" w:val="clear"/>
                <w:vertAlign w:val="baseline"/>
                <w:rtl w:val="0"/>
              </w:rPr>
              <w:t xml:space="preserve">5. VAT and Cross-Border Transactions in the Digital Economy</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tm4k9ihn2p11">
            <w:r w:rsidDel="00000000" w:rsidR="00000000" w:rsidRPr="00000000">
              <w:rPr>
                <w:i w:val="0"/>
                <w:smallCaps w:val="0"/>
                <w:strike w:val="0"/>
                <w:color w:val="000000"/>
                <w:sz w:val="24"/>
                <w:szCs w:val="24"/>
                <w:u w:val="none"/>
                <w:shd w:fill="auto" w:val="clear"/>
                <w:vertAlign w:val="baseline"/>
                <w:rtl w:val="0"/>
              </w:rPr>
              <w:t xml:space="preserve">6. Future Outlook and Continued Work</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jc w:val="left"/>
            <w:rPr>
              <w:b w:val="1"/>
              <w:i w:val="0"/>
              <w:smallCaps w:val="0"/>
              <w:strike w:val="0"/>
              <w:color w:val="000000"/>
              <w:sz w:val="22"/>
              <w:szCs w:val="22"/>
              <w:u w:val="none"/>
              <w:shd w:fill="auto" w:val="clear"/>
              <w:vertAlign w:val="baseline"/>
            </w:rPr>
          </w:pPr>
          <w:hyperlink w:anchor="_heading=h.1t3h5sf">
            <w:r w:rsidDel="00000000" w:rsidR="00000000" w:rsidRPr="00000000">
              <w:rPr>
                <w:b w:val="1"/>
                <w:i w:val="0"/>
                <w:smallCaps w:val="0"/>
                <w:strike w:val="0"/>
                <w:color w:val="000000"/>
                <w:sz w:val="24"/>
                <w:szCs w:val="24"/>
                <w:u w:val="none"/>
                <w:shd w:fill="auto" w:val="clear"/>
                <w:vertAlign w:val="baseline"/>
                <w:rtl w:val="0"/>
              </w:rPr>
              <w:t xml:space="preserve">R.2. VAT/GST ISSUES</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4d34og8">
            <w:r w:rsidDel="00000000" w:rsidR="00000000" w:rsidRPr="00000000">
              <w:rPr>
                <w:i w:val="0"/>
                <w:smallCaps w:val="0"/>
                <w:strike w:val="0"/>
                <w:color w:val="000000"/>
                <w:sz w:val="24"/>
                <w:szCs w:val="24"/>
                <w:u w:val="none"/>
                <w:shd w:fill="auto" w:val="clear"/>
                <w:vertAlign w:val="baseline"/>
                <w:rtl w:val="0"/>
              </w:rPr>
              <w:t xml:space="preserve">1. Challenges of VAT/GST in the Digital Economy</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duyykt49xsd8">
            <w:r w:rsidDel="00000000" w:rsidR="00000000" w:rsidRPr="00000000">
              <w:rPr>
                <w:i w:val="0"/>
                <w:smallCaps w:val="0"/>
                <w:strike w:val="0"/>
                <w:color w:val="000000"/>
                <w:sz w:val="24"/>
                <w:szCs w:val="24"/>
                <w:u w:val="none"/>
                <w:shd w:fill="auto" w:val="clear"/>
                <w:vertAlign w:val="baseline"/>
                <w:rtl w:val="0"/>
              </w:rPr>
              <w:t xml:space="preserve">2. International Responses and Solutions</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nfwtojs0cmtv">
            <w:r w:rsidDel="00000000" w:rsidR="00000000" w:rsidRPr="00000000">
              <w:rPr>
                <w:i w:val="0"/>
                <w:smallCaps w:val="0"/>
                <w:strike w:val="0"/>
                <w:color w:val="000000"/>
                <w:sz w:val="24"/>
                <w:szCs w:val="24"/>
                <w:u w:val="none"/>
                <w:shd w:fill="auto" w:val="clear"/>
                <w:vertAlign w:val="baseline"/>
                <w:rtl w:val="0"/>
              </w:rPr>
              <w:t xml:space="preserve">3. Future Outlook and Challenges</w:t>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jc w:val="left"/>
            <w:rPr>
              <w:b w:val="1"/>
              <w:i w:val="0"/>
              <w:smallCaps w:val="0"/>
              <w:strike w:val="0"/>
              <w:color w:val="000000"/>
              <w:sz w:val="22"/>
              <w:szCs w:val="22"/>
              <w:u w:val="none"/>
              <w:shd w:fill="auto" w:val="clear"/>
              <w:vertAlign w:val="baseline"/>
            </w:rPr>
          </w:pPr>
          <w:hyperlink w:anchor="_heading=h.1ksv4uv">
            <w:r w:rsidDel="00000000" w:rsidR="00000000" w:rsidRPr="00000000">
              <w:rPr>
                <w:b w:val="1"/>
                <w:i w:val="0"/>
                <w:smallCaps w:val="0"/>
                <w:strike w:val="0"/>
                <w:color w:val="000000"/>
                <w:sz w:val="24"/>
                <w:szCs w:val="24"/>
                <w:u w:val="none"/>
                <w:shd w:fill="auto" w:val="clear"/>
                <w:vertAlign w:val="baseline"/>
                <w:rtl w:val="0"/>
              </w:rPr>
              <w:t xml:space="preserve">R.3. NEXUS ISSUES</w:t>
              <w:tab/>
              <w:t xml:space="preserve">11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44sinio">
            <w:r w:rsidDel="00000000" w:rsidR="00000000" w:rsidRPr="00000000">
              <w:rPr>
                <w:i w:val="0"/>
                <w:smallCaps w:val="0"/>
                <w:strike w:val="0"/>
                <w:color w:val="000000"/>
                <w:sz w:val="24"/>
                <w:szCs w:val="24"/>
                <w:u w:val="none"/>
                <w:shd w:fill="auto" w:val="clear"/>
                <w:vertAlign w:val="baseline"/>
                <w:rtl w:val="0"/>
              </w:rPr>
              <w:t xml:space="preserve">1. Traditional Nexus and Its Limitations</w:t>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2dvsb17yr2u3">
            <w:r w:rsidDel="00000000" w:rsidR="00000000" w:rsidRPr="00000000">
              <w:rPr>
                <w:i w:val="0"/>
                <w:smallCaps w:val="0"/>
                <w:strike w:val="0"/>
                <w:color w:val="000000"/>
                <w:sz w:val="24"/>
                <w:szCs w:val="24"/>
                <w:u w:val="none"/>
                <w:shd w:fill="auto" w:val="clear"/>
                <w:vertAlign w:val="baseline"/>
                <w:rtl w:val="0"/>
              </w:rPr>
              <w:t xml:space="preserve">2. BEPS Action 1 and Nexus Redefinition</w:t>
              <w:tab/>
              <w:t xml:space="preserve">11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z4d08unkkp3g">
            <w:r w:rsidDel="00000000" w:rsidR="00000000" w:rsidRPr="00000000">
              <w:rPr>
                <w:i w:val="0"/>
                <w:smallCaps w:val="0"/>
                <w:strike w:val="0"/>
                <w:color w:val="000000"/>
                <w:sz w:val="24"/>
                <w:szCs w:val="24"/>
                <w:u w:val="none"/>
                <w:shd w:fill="auto" w:val="clear"/>
                <w:vertAlign w:val="baseline"/>
                <w:rtl w:val="0"/>
              </w:rPr>
              <w:t xml:space="preserve">3. Implementation and Global Coordination</w:t>
              <w:tab/>
              <w:t xml:space="preserve">12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gn1lg83rs7gi">
            <w:r w:rsidDel="00000000" w:rsidR="00000000" w:rsidRPr="00000000">
              <w:rPr>
                <w:i w:val="0"/>
                <w:smallCaps w:val="0"/>
                <w:strike w:val="0"/>
                <w:color w:val="000000"/>
                <w:sz w:val="24"/>
                <w:szCs w:val="24"/>
                <w:u w:val="none"/>
                <w:shd w:fill="auto" w:val="clear"/>
                <w:vertAlign w:val="baseline"/>
                <w:rtl w:val="0"/>
              </w:rPr>
              <w:t xml:space="preserve">4. Impact on Digital Businesses</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jc w:val="left"/>
            <w:rPr>
              <w:b w:val="1"/>
              <w:i w:val="0"/>
              <w:smallCaps w:val="0"/>
              <w:strike w:val="0"/>
              <w:color w:val="000000"/>
              <w:sz w:val="22"/>
              <w:szCs w:val="22"/>
              <w:u w:val="none"/>
              <w:shd w:fill="auto" w:val="clear"/>
              <w:vertAlign w:val="baseline"/>
            </w:rPr>
          </w:pPr>
          <w:hyperlink w:anchor="_heading=h.1y810tw">
            <w:r w:rsidDel="00000000" w:rsidR="00000000" w:rsidRPr="00000000">
              <w:rPr>
                <w:b w:val="1"/>
                <w:i w:val="0"/>
                <w:smallCaps w:val="0"/>
                <w:strike w:val="0"/>
                <w:color w:val="000000"/>
                <w:sz w:val="24"/>
                <w:szCs w:val="24"/>
                <w:u w:val="none"/>
                <w:shd w:fill="auto" w:val="clear"/>
                <w:vertAlign w:val="baseline"/>
                <w:rtl w:val="0"/>
              </w:rPr>
              <w:t xml:space="preserve">R.4. DEFINITION OF PERMANENT ESTABLISHMENTS</w:t>
              <w:tab/>
              <w:t xml:space="preserve">15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4i7ojhp">
            <w:r w:rsidDel="00000000" w:rsidR="00000000" w:rsidRPr="00000000">
              <w:rPr>
                <w:i w:val="0"/>
                <w:smallCaps w:val="0"/>
                <w:strike w:val="0"/>
                <w:color w:val="000000"/>
                <w:sz w:val="24"/>
                <w:szCs w:val="24"/>
                <w:u w:val="none"/>
                <w:shd w:fill="auto" w:val="clear"/>
                <w:vertAlign w:val="baseline"/>
                <w:rtl w:val="0"/>
              </w:rPr>
              <w:t xml:space="preserve">1. Traditional Definition of Permanent Establishment</w:t>
              <w:tab/>
              <w:t xml:space="preserve">15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kki5enp4zugn">
            <w:r w:rsidDel="00000000" w:rsidR="00000000" w:rsidRPr="00000000">
              <w:rPr>
                <w:i w:val="0"/>
                <w:smallCaps w:val="0"/>
                <w:strike w:val="0"/>
                <w:color w:val="000000"/>
                <w:sz w:val="24"/>
                <w:szCs w:val="24"/>
                <w:u w:val="none"/>
                <w:shd w:fill="auto" w:val="clear"/>
                <w:vertAlign w:val="baseline"/>
                <w:rtl w:val="0"/>
              </w:rPr>
              <w:t xml:space="preserve">2. Challenges in the Digital Economy</w:t>
              <w:tab/>
              <w:t xml:space="preserve">15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gjffr4klajc3">
            <w:r w:rsidDel="00000000" w:rsidR="00000000" w:rsidRPr="00000000">
              <w:rPr>
                <w:i w:val="0"/>
                <w:smallCaps w:val="0"/>
                <w:strike w:val="0"/>
                <w:color w:val="000000"/>
                <w:sz w:val="24"/>
                <w:szCs w:val="24"/>
                <w:u w:val="none"/>
                <w:shd w:fill="auto" w:val="clear"/>
                <w:vertAlign w:val="baseline"/>
                <w:rtl w:val="0"/>
              </w:rPr>
              <w:t xml:space="preserve">3. BEPS Action 7: Preventing the Artificial Avoidance of PE Status</w:t>
              <w:tab/>
              <w:t xml:space="preserve">16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tq8e81pvpl2n">
            <w:r w:rsidDel="00000000" w:rsidR="00000000" w:rsidRPr="00000000">
              <w:rPr>
                <w:i w:val="0"/>
                <w:smallCaps w:val="0"/>
                <w:strike w:val="0"/>
                <w:color w:val="000000"/>
                <w:sz w:val="24"/>
                <w:szCs w:val="24"/>
                <w:u w:val="none"/>
                <w:shd w:fill="auto" w:val="clear"/>
                <w:vertAlign w:val="baseline"/>
                <w:rtl w:val="0"/>
              </w:rPr>
              <w:t xml:space="preserve">4. Implementation and Challenges</w:t>
              <w:tab/>
              <w:t xml:space="preserve">17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e3eba6mflpm">
            <w:r w:rsidDel="00000000" w:rsidR="00000000" w:rsidRPr="00000000">
              <w:rPr>
                <w:i w:val="0"/>
                <w:smallCaps w:val="0"/>
                <w:strike w:val="0"/>
                <w:color w:val="000000"/>
                <w:sz w:val="24"/>
                <w:szCs w:val="24"/>
                <w:u w:val="none"/>
                <w:shd w:fill="auto" w:val="clear"/>
                <w:vertAlign w:val="baseline"/>
                <w:rtl w:val="0"/>
              </w:rPr>
              <w:t xml:space="preserve">5. Impact on International Tax Framework</w:t>
              <w:tab/>
              <w:t xml:space="preserve">17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jc w:val="left"/>
            <w:rPr>
              <w:b w:val="1"/>
              <w:i w:val="0"/>
              <w:smallCaps w:val="0"/>
              <w:strike w:val="0"/>
              <w:color w:val="000000"/>
              <w:sz w:val="22"/>
              <w:szCs w:val="22"/>
              <w:u w:val="none"/>
              <w:shd w:fill="auto" w:val="clear"/>
              <w:vertAlign w:val="baseline"/>
            </w:rPr>
          </w:pPr>
          <w:hyperlink w:anchor="_heading=h.nhg8kswhko9d">
            <w:r w:rsidDel="00000000" w:rsidR="00000000" w:rsidRPr="00000000">
              <w:rPr>
                <w:b w:val="1"/>
                <w:i w:val="0"/>
                <w:smallCaps w:val="0"/>
                <w:strike w:val="0"/>
                <w:color w:val="000000"/>
                <w:sz w:val="24"/>
                <w:szCs w:val="24"/>
                <w:u w:val="none"/>
                <w:shd w:fill="auto" w:val="clear"/>
                <w:vertAlign w:val="baseline"/>
                <w:rtl w:val="0"/>
              </w:rPr>
              <w:t xml:space="preserve">R.5. MULTILATERAL CONVENTION TO IMPLEMENT TAX TREATY RELATED MEASURES TO PREVENT BASE EROSION AND PROFIT SHIFTING – ALL PROVISIONS</w:t>
              <w:tab/>
              <w:t xml:space="preserve">19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e9cosiirisda">
            <w:r w:rsidDel="00000000" w:rsidR="00000000" w:rsidRPr="00000000">
              <w:rPr>
                <w:i w:val="0"/>
                <w:smallCaps w:val="0"/>
                <w:strike w:val="0"/>
                <w:color w:val="000000"/>
                <w:sz w:val="24"/>
                <w:szCs w:val="24"/>
                <w:u w:val="none"/>
                <w:shd w:fill="auto" w:val="clear"/>
                <w:vertAlign w:val="baseline"/>
                <w:rtl w:val="0"/>
              </w:rPr>
              <w:t xml:space="preserve">1. Part I: Scope and Interpretation of Terms (Articles 1–2)</w:t>
              <w:tab/>
              <w:t xml:space="preserve">19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71323zwxejxz">
            <w:r w:rsidDel="00000000" w:rsidR="00000000" w:rsidRPr="00000000">
              <w:rPr>
                <w:i w:val="0"/>
                <w:smallCaps w:val="0"/>
                <w:strike w:val="0"/>
                <w:color w:val="000000"/>
                <w:sz w:val="24"/>
                <w:szCs w:val="24"/>
                <w:u w:val="none"/>
                <w:shd w:fill="auto" w:val="clear"/>
                <w:vertAlign w:val="baseline"/>
                <w:rtl w:val="0"/>
              </w:rPr>
              <w:t xml:space="preserve">2. Part II: Hybrid Mismatches (Articles 3–5)</w:t>
              <w:tab/>
              <w:t xml:space="preserve">19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xsw8vba7z9br">
            <w:r w:rsidDel="00000000" w:rsidR="00000000" w:rsidRPr="00000000">
              <w:rPr>
                <w:i w:val="0"/>
                <w:smallCaps w:val="0"/>
                <w:strike w:val="0"/>
                <w:color w:val="000000"/>
                <w:sz w:val="24"/>
                <w:szCs w:val="24"/>
                <w:u w:val="none"/>
                <w:shd w:fill="auto" w:val="clear"/>
                <w:vertAlign w:val="baseline"/>
                <w:rtl w:val="0"/>
              </w:rPr>
              <w:t xml:space="preserve">3. Part III: Treaty Abuse (Articles 6–11)</w:t>
              <w:tab/>
              <w:t xml:space="preserve">20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j1bp30436i5k">
            <w:r w:rsidDel="00000000" w:rsidR="00000000" w:rsidRPr="00000000">
              <w:rPr>
                <w:i w:val="0"/>
                <w:smallCaps w:val="0"/>
                <w:strike w:val="0"/>
                <w:color w:val="000000"/>
                <w:sz w:val="24"/>
                <w:szCs w:val="24"/>
                <w:u w:val="none"/>
                <w:shd w:fill="auto" w:val="clear"/>
                <w:vertAlign w:val="baseline"/>
                <w:rtl w:val="0"/>
              </w:rPr>
              <w:t xml:space="preserve">4. Part IV: Avoidance of Permanent Establishment (PE) Status (Articles 12–15)</w:t>
              <w:tab/>
              <w:t xml:space="preserve">21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6j6gz57o475t">
            <w:r w:rsidDel="00000000" w:rsidR="00000000" w:rsidRPr="00000000">
              <w:rPr>
                <w:i w:val="0"/>
                <w:smallCaps w:val="0"/>
                <w:strike w:val="0"/>
                <w:color w:val="000000"/>
                <w:sz w:val="24"/>
                <w:szCs w:val="24"/>
                <w:u w:val="none"/>
                <w:shd w:fill="auto" w:val="clear"/>
                <w:vertAlign w:val="baseline"/>
                <w:rtl w:val="0"/>
              </w:rPr>
              <w:t xml:space="preserve">5. Part V: Improving Dispute Resolution (Articles 16–17)</w:t>
              <w:tab/>
              <w:t xml:space="preserve">21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4csmxjfzwlwk">
            <w:r w:rsidDel="00000000" w:rsidR="00000000" w:rsidRPr="00000000">
              <w:rPr>
                <w:i w:val="0"/>
                <w:smallCaps w:val="0"/>
                <w:strike w:val="0"/>
                <w:color w:val="000000"/>
                <w:sz w:val="24"/>
                <w:szCs w:val="24"/>
                <w:u w:val="none"/>
                <w:shd w:fill="auto" w:val="clear"/>
                <w:vertAlign w:val="baseline"/>
                <w:rtl w:val="0"/>
              </w:rPr>
              <w:t xml:space="preserve">6. Part VI: Arbitration (Articles 18–26)</w:t>
              <w:tab/>
              <w:t xml:space="preserve">22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fqqt4tikewrv">
            <w:r w:rsidDel="00000000" w:rsidR="00000000" w:rsidRPr="00000000">
              <w:rPr>
                <w:i w:val="0"/>
                <w:smallCaps w:val="0"/>
                <w:strike w:val="0"/>
                <w:color w:val="000000"/>
                <w:sz w:val="24"/>
                <w:szCs w:val="24"/>
                <w:u w:val="none"/>
                <w:shd w:fill="auto" w:val="clear"/>
                <w:vertAlign w:val="baseline"/>
                <w:rtl w:val="0"/>
              </w:rPr>
              <w:t xml:space="preserve">7. Part VII: Final Provisions (Articles 27–39)</w:t>
              <w:tab/>
              <w:t xml:space="preserve">23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jc w:val="left"/>
            <w:rPr>
              <w:b w:val="1"/>
              <w:i w:val="0"/>
              <w:smallCaps w:val="0"/>
              <w:strike w:val="0"/>
              <w:color w:val="000000"/>
              <w:sz w:val="22"/>
              <w:szCs w:val="22"/>
              <w:u w:val="none"/>
              <w:shd w:fill="auto" w:val="clear"/>
              <w:vertAlign w:val="baseline"/>
            </w:rPr>
          </w:pPr>
          <w:hyperlink w:anchor="_heading=h.p11hap66dxvp">
            <w:r w:rsidDel="00000000" w:rsidR="00000000" w:rsidRPr="00000000">
              <w:rPr>
                <w:b w:val="1"/>
                <w:i w:val="0"/>
                <w:smallCaps w:val="0"/>
                <w:strike w:val="0"/>
                <w:color w:val="000000"/>
                <w:sz w:val="24"/>
                <w:szCs w:val="24"/>
                <w:u w:val="none"/>
                <w:shd w:fill="auto" w:val="clear"/>
                <w:vertAlign w:val="baseline"/>
                <w:rtl w:val="0"/>
              </w:rPr>
              <w:t xml:space="preserve">R.6. EXPLANATORY STATEMENT</w:t>
              <w:tab/>
              <w:t xml:space="preserve">24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d4qx3fmfzj5z">
            <w:r w:rsidDel="00000000" w:rsidR="00000000" w:rsidRPr="00000000">
              <w:rPr>
                <w:i w:val="0"/>
                <w:smallCaps w:val="0"/>
                <w:strike w:val="0"/>
                <w:color w:val="000000"/>
                <w:sz w:val="24"/>
                <w:szCs w:val="24"/>
                <w:u w:val="none"/>
                <w:shd w:fill="auto" w:val="clear"/>
                <w:vertAlign w:val="baseline"/>
                <w:rtl w:val="0"/>
              </w:rPr>
              <w:t xml:space="preserve">1. Purpose and Background</w:t>
              <w:tab/>
              <w:t xml:space="preserve">24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dsclczl9yvsv">
            <w:r w:rsidDel="00000000" w:rsidR="00000000" w:rsidRPr="00000000">
              <w:rPr>
                <w:i w:val="0"/>
                <w:smallCaps w:val="0"/>
                <w:strike w:val="0"/>
                <w:color w:val="000000"/>
                <w:sz w:val="24"/>
                <w:szCs w:val="24"/>
                <w:u w:val="none"/>
                <w:shd w:fill="auto" w:val="clear"/>
                <w:vertAlign w:val="baseline"/>
                <w:rtl w:val="0"/>
              </w:rPr>
              <w:t xml:space="preserve">2. Scope and Application</w:t>
              <w:tab/>
              <w:t xml:space="preserve">25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ntvap2c5bc6o">
            <w:r w:rsidDel="00000000" w:rsidR="00000000" w:rsidRPr="00000000">
              <w:rPr>
                <w:i w:val="0"/>
                <w:smallCaps w:val="0"/>
                <w:strike w:val="0"/>
                <w:color w:val="000000"/>
                <w:sz w:val="24"/>
                <w:szCs w:val="24"/>
                <w:u w:val="none"/>
                <w:shd w:fill="auto" w:val="clear"/>
                <w:vertAlign w:val="baseline"/>
                <w:rtl w:val="0"/>
              </w:rPr>
              <w:t xml:space="preserve">3. Key Articles of the MLI</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                  </w:t>
      </w:r>
    </w:p>
    <w:p w:rsidR="00000000" w:rsidDel="00000000" w:rsidP="00000000" w:rsidRDefault="00000000" w:rsidRPr="00000000" w14:paraId="00000025">
      <w:pPr>
        <w:rPr>
          <w:rFonts w:ascii="Times New Roman" w:cs="Times New Roman" w:eastAsia="Times New Roman" w:hAnsi="Times New Roman"/>
          <w:b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Title"/>
        <w:jc w:val="center"/>
        <w:rPr>
          <w:sz w:val="30"/>
          <w:szCs w:val="30"/>
        </w:rPr>
      </w:pPr>
      <w:bookmarkStart w:colFirst="0" w:colLast="0" w:name="_heading=h.x2bhfeqc8lcv" w:id="0"/>
      <w:bookmarkEnd w:id="0"/>
      <w:r w:rsidDel="00000000" w:rsidR="00000000" w:rsidRPr="00000000">
        <w:rPr>
          <w:rtl w:val="0"/>
        </w:rPr>
        <w:t xml:space="preserve">R</w:t>
      </w:r>
      <w:r w:rsidDel="00000000" w:rsidR="00000000" w:rsidRPr="00000000">
        <w:rPr>
          <w:rtl w:val="0"/>
        </w:rPr>
        <w:t xml:space="preserve">. THE DIGITAL ECONOMY</w:t>
      </w:r>
      <w:r w:rsidDel="00000000" w:rsidR="00000000" w:rsidRPr="00000000">
        <w:rPr>
          <w:rtl w:val="0"/>
        </w:rPr>
      </w:r>
    </w:p>
    <w:p w:rsidR="00000000" w:rsidDel="00000000" w:rsidP="00000000" w:rsidRDefault="00000000" w:rsidRPr="00000000" w14:paraId="00000027">
      <w:pPr>
        <w:pStyle w:val="Heading1"/>
        <w:jc w:val="left"/>
        <w:rPr/>
      </w:pPr>
      <w:bookmarkStart w:colFirst="0" w:colLast="0" w:name="_heading=h.gjdgxs" w:id="1"/>
      <w:bookmarkEnd w:id="1"/>
      <w:r w:rsidDel="00000000" w:rsidR="00000000" w:rsidRPr="00000000">
        <w:rPr>
          <w:rtl w:val="0"/>
        </w:rPr>
        <w:t xml:space="preserve">R.1. BEPS ACTION 1: TAX CHALLENGES OF THE DIGITAL ECONOMY</w:t>
      </w:r>
    </w:p>
    <w:p w:rsidR="00000000" w:rsidDel="00000000" w:rsidP="00000000" w:rsidRDefault="00000000" w:rsidRPr="00000000" w14:paraId="00000028">
      <w:pPr>
        <w:pStyle w:val="Heading2"/>
        <w:numPr>
          <w:ilvl w:val="0"/>
          <w:numId w:val="26"/>
        </w:numPr>
        <w:ind w:left="720" w:hanging="360"/>
        <w:rPr/>
      </w:pPr>
      <w:bookmarkStart w:colFirst="0" w:colLast="0" w:name="_heading=h.30j0zll" w:id="2"/>
      <w:bookmarkEnd w:id="2"/>
      <w:r w:rsidDel="00000000" w:rsidR="00000000" w:rsidRPr="00000000">
        <w:rPr>
          <w:rtl w:val="0"/>
        </w:rPr>
        <w:t xml:space="preserve">Key Characteristics of the Digital Economy</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digital economy encompasses a wide range of business activities enabled by information and communication technology (ICT). This includes everything from e-commerce and cloud computing to social media platforms and online advertising. Unlike traditional business models, many of these digital activities can be carried out without a significant physical presence in the markets where value is generated. This creates fundamental challenges for tax authorities, which typically rely on the concept of physical presence to determine tax liabilities.</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OECD's work identified several key characteristics of the digital economy that exacerbate BEPS risks:</w:t>
      </w:r>
    </w:p>
    <w:p w:rsidR="00000000" w:rsidDel="00000000" w:rsidP="00000000" w:rsidRDefault="00000000" w:rsidRPr="00000000" w14:paraId="0000002B">
      <w:pPr>
        <w:numPr>
          <w:ilvl w:val="0"/>
          <w:numId w:val="28"/>
        </w:numPr>
        <w:spacing w:after="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Mobility</w:t>
      </w:r>
      <w:r w:rsidDel="00000000" w:rsidR="00000000" w:rsidRPr="00000000">
        <w:rPr>
          <w:rFonts w:ascii="Times New Roman" w:cs="Times New Roman" w:eastAsia="Times New Roman" w:hAnsi="Times New Roman"/>
          <w:sz w:val="24"/>
          <w:szCs w:val="24"/>
          <w:rtl w:val="0"/>
        </w:rPr>
        <w:t xml:space="preserve">: The digital economy is highly mobile in nature. Digital goods and services can be delivered remotely, and intellectual property (IP), which is a key asset in many digital businesses, can be easily relocated to low-tax jurisdictions. This mobility enables MNEs to structure their operations in ways that minimize their global tax liabilities.</w:t>
      </w:r>
    </w:p>
    <w:p w:rsidR="00000000" w:rsidDel="00000000" w:rsidP="00000000" w:rsidRDefault="00000000" w:rsidRPr="00000000" w14:paraId="0000002C">
      <w:pPr>
        <w:numPr>
          <w:ilvl w:val="0"/>
          <w:numId w:val="28"/>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Reliance on Data</w:t>
      </w:r>
      <w:r w:rsidDel="00000000" w:rsidR="00000000" w:rsidRPr="00000000">
        <w:rPr>
          <w:rFonts w:ascii="Times New Roman" w:cs="Times New Roman" w:eastAsia="Times New Roman" w:hAnsi="Times New Roman"/>
          <w:sz w:val="24"/>
          <w:szCs w:val="24"/>
          <w:rtl w:val="0"/>
        </w:rPr>
        <w:t xml:space="preserve">: Digital businesses rely heavily on the collection and processing of user data. This data is often a critical factor in generating value, yet its geographic origin is difficult to pinpoint, making it hard to determine where value creation—and therefore taxation—should occur.</w:t>
      </w:r>
    </w:p>
    <w:p w:rsidR="00000000" w:rsidDel="00000000" w:rsidP="00000000" w:rsidRDefault="00000000" w:rsidRPr="00000000" w14:paraId="0000002D">
      <w:pPr>
        <w:numPr>
          <w:ilvl w:val="0"/>
          <w:numId w:val="28"/>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Network Effects</w:t>
      </w:r>
      <w:r w:rsidDel="00000000" w:rsidR="00000000" w:rsidRPr="00000000">
        <w:rPr>
          <w:rFonts w:ascii="Times New Roman" w:cs="Times New Roman" w:eastAsia="Times New Roman" w:hAnsi="Times New Roman"/>
          <w:sz w:val="24"/>
          <w:szCs w:val="24"/>
          <w:rtl w:val="0"/>
        </w:rPr>
        <w:t xml:space="preserve">: Many digital platforms and businesses benefit from network effects, where the value of their service increases as more users participate. These effects often occur across multiple jurisdictions, further complicating the issue of where value is created.</w:t>
      </w:r>
    </w:p>
    <w:p w:rsidR="00000000" w:rsidDel="00000000" w:rsidP="00000000" w:rsidRDefault="00000000" w:rsidRPr="00000000" w14:paraId="0000002E">
      <w:pPr>
        <w:numPr>
          <w:ilvl w:val="0"/>
          <w:numId w:val="28"/>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Multi-Sided Business Models</w:t>
      </w:r>
      <w:r w:rsidDel="00000000" w:rsidR="00000000" w:rsidRPr="00000000">
        <w:rPr>
          <w:rFonts w:ascii="Times New Roman" w:cs="Times New Roman" w:eastAsia="Times New Roman" w:hAnsi="Times New Roman"/>
          <w:sz w:val="24"/>
          <w:szCs w:val="24"/>
          <w:rtl w:val="0"/>
        </w:rPr>
        <w:t xml:space="preserve">: Digital platforms often operate with multi-sided business models, where different groups of users (such as advertisers and consumers) interact on a single platform. These platforms can generate revenue from one group while providing services to another, which creates challenges in attributing tax liabilities.</w:t>
      </w:r>
    </w:p>
    <w:p w:rsidR="00000000" w:rsidDel="00000000" w:rsidP="00000000" w:rsidRDefault="00000000" w:rsidRPr="00000000" w14:paraId="0000002F">
      <w:pPr>
        <w:numPr>
          <w:ilvl w:val="0"/>
          <w:numId w:val="28"/>
        </w:numPr>
        <w:spacing w:after="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Market Concentration</w:t>
      </w:r>
      <w:r w:rsidDel="00000000" w:rsidR="00000000" w:rsidRPr="00000000">
        <w:rPr>
          <w:rFonts w:ascii="Times New Roman" w:cs="Times New Roman" w:eastAsia="Times New Roman" w:hAnsi="Times New Roman"/>
          <w:sz w:val="24"/>
          <w:szCs w:val="24"/>
          <w:rtl w:val="0"/>
        </w:rPr>
        <w:t xml:space="preserve">: The digital economy is characterized by a tendency toward market concentration, with a few dominant players (such as large tech companies) controlling significant portions of the market. These companies often have the resources to engage in sophisticated tax planning, further complicating efforts to tax them fairly.</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characteristics, while not entirely unique to the digital economy, significantly magnify the risks of BEPS and pose challenges that traditional tax rules struggle to address.</w:t>
      </w:r>
    </w:p>
    <w:p w:rsidR="00000000" w:rsidDel="00000000" w:rsidP="00000000" w:rsidRDefault="00000000" w:rsidRPr="00000000" w14:paraId="00000031">
      <w:pPr>
        <w:pStyle w:val="Heading2"/>
        <w:keepNext w:val="1"/>
        <w:keepLines w:val="1"/>
        <w:pageBreakBefore w:val="0"/>
        <w:widowControl w:val="1"/>
        <w:numPr>
          <w:ilvl w:val="0"/>
          <w:numId w:val="26"/>
        </w:numPr>
        <w:pBdr>
          <w:top w:space="0" w:sz="0" w:val="nil"/>
          <w:left w:space="0" w:sz="0" w:val="nil"/>
          <w:bottom w:space="0" w:sz="0" w:val="nil"/>
          <w:right w:space="0" w:sz="0" w:val="nil"/>
          <w:between w:space="0" w:sz="0" w:val="nil"/>
        </w:pBdr>
        <w:shd w:fill="auto" w:val="clear"/>
        <w:spacing w:after="80" w:before="160" w:line="259" w:lineRule="auto"/>
        <w:ind w:left="720" w:right="0" w:hanging="360"/>
        <w:jc w:val="both"/>
      </w:pPr>
      <w:bookmarkStart w:colFirst="0" w:colLast="0" w:name="_heading=h.2twm1k6ns0rc" w:id="3"/>
      <w:bookmarkEnd w:id="3"/>
      <w:r w:rsidDel="00000000" w:rsidR="00000000" w:rsidRPr="00000000">
        <w:rPr>
          <w:rtl w:val="0"/>
        </w:rPr>
        <w:t xml:space="preserve">BEPS Issues Exacerbated by the Digital Economy</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digital economy does not introduce entirely new BEPS risks, it amplifies several existing issues. The key BEPS-related concerns in the digital economy are centered around </w:t>
      </w:r>
      <w:r w:rsidDel="00000000" w:rsidR="00000000" w:rsidRPr="00000000">
        <w:rPr>
          <w:rFonts w:ascii="Times New Roman" w:cs="Times New Roman" w:eastAsia="Times New Roman" w:hAnsi="Times New Roman"/>
          <w:b w:val="1"/>
          <w:sz w:val="24"/>
          <w:szCs w:val="24"/>
          <w:rtl w:val="0"/>
        </w:rPr>
        <w:t xml:space="preserve">Permanent Establishment (PE)</w:t>
      </w:r>
      <w:r w:rsidDel="00000000" w:rsidR="00000000" w:rsidRPr="00000000">
        <w:rPr>
          <w:rFonts w:ascii="Times New Roman" w:cs="Times New Roman" w:eastAsia="Times New Roman" w:hAnsi="Times New Roman"/>
          <w:sz w:val="24"/>
          <w:szCs w:val="24"/>
          <w:rtl w:val="0"/>
        </w:rPr>
        <w:t xml:space="preserve"> rules, </w:t>
      </w:r>
      <w:r w:rsidDel="00000000" w:rsidR="00000000" w:rsidRPr="00000000">
        <w:rPr>
          <w:rFonts w:ascii="Times New Roman" w:cs="Times New Roman" w:eastAsia="Times New Roman" w:hAnsi="Times New Roman"/>
          <w:b w:val="1"/>
          <w:sz w:val="24"/>
          <w:szCs w:val="24"/>
          <w:rtl w:val="0"/>
        </w:rPr>
        <w:t xml:space="preserve">transfer pricing</w:t>
      </w:r>
      <w:r w:rsidDel="00000000" w:rsidR="00000000" w:rsidRPr="00000000">
        <w:rPr>
          <w:rFonts w:ascii="Times New Roman" w:cs="Times New Roman" w:eastAsia="Times New Roman" w:hAnsi="Times New Roman"/>
          <w:sz w:val="24"/>
          <w:szCs w:val="24"/>
          <w:rtl w:val="0"/>
        </w:rPr>
        <w:t xml:space="preserve">, and the taxation of </w:t>
      </w:r>
      <w:r w:rsidDel="00000000" w:rsidR="00000000" w:rsidRPr="00000000">
        <w:rPr>
          <w:rFonts w:ascii="Times New Roman" w:cs="Times New Roman" w:eastAsia="Times New Roman" w:hAnsi="Times New Roman"/>
          <w:b w:val="1"/>
          <w:sz w:val="24"/>
          <w:szCs w:val="24"/>
          <w:rtl w:val="0"/>
        </w:rPr>
        <w:t xml:space="preserve">intellectual property (IP)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numPr>
          <w:ilvl w:val="0"/>
          <w:numId w:val="12"/>
        </w:numPr>
        <w:spacing w:after="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Permanent Establishment (PE)</w:t>
      </w:r>
      <w:r w:rsidDel="00000000" w:rsidR="00000000" w:rsidRPr="00000000">
        <w:rPr>
          <w:rFonts w:ascii="Times New Roman" w:cs="Times New Roman" w:eastAsia="Times New Roman" w:hAnsi="Times New Roman"/>
          <w:sz w:val="24"/>
          <w:szCs w:val="24"/>
          <w:rtl w:val="0"/>
        </w:rPr>
        <w:t xml:space="preserve">: Traditional tax rules rely heavily on the concept of PE, which is generally based on physical presence. However, many digital businesses can operate without establishing a significant physical presence in a market. This allows them to avoid triggering PE status and, therefore, tax obligations in jurisdictions where they derive significant profits. In response, the OECD proposed modifications to PE rules under Action 1, ensuring that exceptions to PE status apply only to activities that are genuinely preparatory or auxiliary in nature. Additionally, a new anti-fragmentation rule was introduced to prevent MNEs from artificially splitting up business activities across jurisdictions to avoid PE status.</w:t>
      </w:r>
    </w:p>
    <w:p w:rsidR="00000000" w:rsidDel="00000000" w:rsidP="00000000" w:rsidRDefault="00000000" w:rsidRPr="00000000" w14:paraId="00000034">
      <w:pPr>
        <w:numPr>
          <w:ilvl w:val="0"/>
          <w:numId w:val="12"/>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Transfer Pricing</w:t>
      </w:r>
      <w:r w:rsidDel="00000000" w:rsidR="00000000" w:rsidRPr="00000000">
        <w:rPr>
          <w:rFonts w:ascii="Times New Roman" w:cs="Times New Roman" w:eastAsia="Times New Roman" w:hAnsi="Times New Roman"/>
          <w:sz w:val="24"/>
          <w:szCs w:val="24"/>
          <w:rtl w:val="0"/>
        </w:rPr>
        <w:t xml:space="preserve">: Transfer pricing refers to the rules governing how profits are allocated among related entities within an MNE. Digital businesses often use intangible assets, such as IP, which can be difficult to value and easily shifted to low-tax jurisdictions. The revised transfer pricing guidelines clarify that legal ownership of an intangible asset does not automatically entitle the owner to the full economic return. Instead, the return should be based on the actual functions performed and risks assumed by each entity within the group.</w:t>
      </w:r>
    </w:p>
    <w:p w:rsidR="00000000" w:rsidDel="00000000" w:rsidP="00000000" w:rsidRDefault="00000000" w:rsidRPr="00000000" w14:paraId="00000035">
      <w:pPr>
        <w:numPr>
          <w:ilvl w:val="0"/>
          <w:numId w:val="12"/>
        </w:numPr>
        <w:spacing w:after="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Controlled Foreign Companies (CFC) Rules</w:t>
      </w:r>
      <w:r w:rsidDel="00000000" w:rsidR="00000000" w:rsidRPr="00000000">
        <w:rPr>
          <w:rFonts w:ascii="Times New Roman" w:cs="Times New Roman" w:eastAsia="Times New Roman" w:hAnsi="Times New Roman"/>
          <w:sz w:val="24"/>
          <w:szCs w:val="24"/>
          <w:rtl w:val="0"/>
        </w:rPr>
        <w:t xml:space="preserve">: CFC rules are designed to prevent the deferral of tax by taxing income earned by foreign subsidiaries of a parent company. Action 1 includes recommendations to strengthen CFC rules, ensuring that income typically earned in the digital economy, such as royalties from IP, is taxed appropriately in the jurisdiction of the parent company.</w:t>
      </w:r>
    </w:p>
    <w:p w:rsidR="00000000" w:rsidDel="00000000" w:rsidP="00000000" w:rsidRDefault="00000000" w:rsidRPr="00000000" w14:paraId="00000036">
      <w:pPr>
        <w:pStyle w:val="Heading2"/>
        <w:keepNext w:val="1"/>
        <w:keepLines w:val="1"/>
        <w:pageBreakBefore w:val="0"/>
        <w:widowControl w:val="1"/>
        <w:numPr>
          <w:ilvl w:val="0"/>
          <w:numId w:val="26"/>
        </w:numPr>
        <w:pBdr>
          <w:top w:space="0" w:sz="0" w:val="nil"/>
          <w:left w:space="0" w:sz="0" w:val="nil"/>
          <w:bottom w:space="0" w:sz="0" w:val="nil"/>
          <w:right w:space="0" w:sz="0" w:val="nil"/>
          <w:between w:space="0" w:sz="0" w:val="nil"/>
        </w:pBdr>
        <w:shd w:fill="auto" w:val="clear"/>
        <w:spacing w:after="80" w:before="160" w:line="259" w:lineRule="auto"/>
        <w:ind w:left="720" w:right="0" w:hanging="360"/>
        <w:jc w:val="both"/>
      </w:pPr>
      <w:bookmarkStart w:colFirst="0" w:colLast="0" w:name="_heading=h.o2hlfefbcgwe" w:id="4"/>
      <w:bookmarkEnd w:id="4"/>
      <w:r w:rsidDel="00000000" w:rsidR="00000000" w:rsidRPr="00000000">
        <w:rPr>
          <w:rtl w:val="0"/>
        </w:rPr>
        <w:t xml:space="preserve">Broader Tax Challenges of the Digital Economy</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exacerbating BEPS risks, the digital economy raises broader tax challenges related to nexus, data, and the characterization of income. These issues are intertwined and difficult to address with traditional tax rules.</w:t>
      </w:r>
    </w:p>
    <w:p w:rsidR="00000000" w:rsidDel="00000000" w:rsidP="00000000" w:rsidRDefault="00000000" w:rsidRPr="00000000" w14:paraId="00000038">
      <w:pPr>
        <w:numPr>
          <w:ilvl w:val="0"/>
          <w:numId w:val="17"/>
        </w:numPr>
        <w:spacing w:after="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Nexus</w:t>
      </w:r>
      <w:r w:rsidDel="00000000" w:rsidR="00000000" w:rsidRPr="00000000">
        <w:rPr>
          <w:rFonts w:ascii="Times New Roman" w:cs="Times New Roman" w:eastAsia="Times New Roman" w:hAnsi="Times New Roman"/>
          <w:sz w:val="24"/>
          <w:szCs w:val="24"/>
          <w:rtl w:val="0"/>
        </w:rPr>
        <w:t xml:space="preserve">: One of the most pressing challenges is determining a new taxable nexus for digital businesses. The traditional concept of nexus is based on physical presence, but digital businesses often generate significant revenues from jurisdictions where they have no physical presence. Various proposals have been considered to address this, including the concept of a "significant economic presence," which would establish nexus based on a business's economic activities in a market, such as user engagement or data collection.</w:t>
      </w:r>
    </w:p>
    <w:p w:rsidR="00000000" w:rsidDel="00000000" w:rsidP="00000000" w:rsidRDefault="00000000" w:rsidRPr="00000000" w14:paraId="00000039">
      <w:pPr>
        <w:numPr>
          <w:ilvl w:val="0"/>
          <w:numId w:val="17"/>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The value of data in the digital economy is undeniable, but the question of how to tax the value generated from data remains unresolved. Data collection and processing often occur across multiple jurisdictions, and it is challenging to determine where the value is created and where it should be taxed.</w:t>
      </w:r>
    </w:p>
    <w:p w:rsidR="00000000" w:rsidDel="00000000" w:rsidP="00000000" w:rsidRDefault="00000000" w:rsidRPr="00000000" w14:paraId="0000003A">
      <w:pPr>
        <w:numPr>
          <w:ilvl w:val="0"/>
          <w:numId w:val="17"/>
        </w:numPr>
        <w:spacing w:after="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Characterization of Income</w:t>
      </w:r>
      <w:r w:rsidDel="00000000" w:rsidR="00000000" w:rsidRPr="00000000">
        <w:rPr>
          <w:rFonts w:ascii="Times New Roman" w:cs="Times New Roman" w:eastAsia="Times New Roman" w:hAnsi="Times New Roman"/>
          <w:sz w:val="24"/>
          <w:szCs w:val="24"/>
          <w:rtl w:val="0"/>
        </w:rPr>
        <w:t xml:space="preserve">: The digital economy introduces new types of income that do not fit neatly into traditional categories. For example, revenue from online advertising, app stores, or participative networked platforms may be difficult to classify for tax purposes, complicating efforts to apply existing tax rules.</w:t>
      </w:r>
    </w:p>
    <w:p w:rsidR="00000000" w:rsidDel="00000000" w:rsidP="00000000" w:rsidRDefault="00000000" w:rsidRPr="00000000" w14:paraId="0000003B">
      <w:pPr>
        <w:pStyle w:val="Heading2"/>
        <w:keepNext w:val="1"/>
        <w:keepLines w:val="1"/>
        <w:pageBreakBefore w:val="0"/>
        <w:widowControl w:val="1"/>
        <w:numPr>
          <w:ilvl w:val="0"/>
          <w:numId w:val="26"/>
        </w:numPr>
        <w:pBdr>
          <w:top w:space="0" w:sz="0" w:val="nil"/>
          <w:left w:space="0" w:sz="0" w:val="nil"/>
          <w:bottom w:space="0" w:sz="0" w:val="nil"/>
          <w:right w:space="0" w:sz="0" w:val="nil"/>
          <w:between w:space="0" w:sz="0" w:val="nil"/>
        </w:pBdr>
        <w:shd w:fill="auto" w:val="clear"/>
        <w:spacing w:after="80" w:before="160" w:line="259" w:lineRule="auto"/>
        <w:ind w:left="720" w:right="0" w:hanging="360"/>
        <w:jc w:val="both"/>
      </w:pPr>
      <w:bookmarkStart w:colFirst="0" w:colLast="0" w:name="_heading=h.oh13bnkbhgpt" w:id="5"/>
      <w:bookmarkEnd w:id="5"/>
      <w:r w:rsidDel="00000000" w:rsidR="00000000" w:rsidRPr="00000000">
        <w:rPr>
          <w:rtl w:val="0"/>
        </w:rPr>
        <w:t xml:space="preserve">Recent Developments in BEPS Action 1 and the Digital Economy</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response to these challenges, recent years have seen further developments in the international tax landscape, including the adoption of </w:t>
      </w:r>
      <w:r w:rsidDel="00000000" w:rsidR="00000000" w:rsidRPr="00000000">
        <w:rPr>
          <w:rFonts w:ascii="Times New Roman" w:cs="Times New Roman" w:eastAsia="Times New Roman" w:hAnsi="Times New Roman"/>
          <w:b w:val="1"/>
          <w:sz w:val="24"/>
          <w:szCs w:val="24"/>
          <w:rtl w:val="0"/>
        </w:rPr>
        <w:t xml:space="preserve">Pillar One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Pillar Two</w:t>
      </w:r>
      <w:r w:rsidDel="00000000" w:rsidR="00000000" w:rsidRPr="00000000">
        <w:rPr>
          <w:rFonts w:ascii="Times New Roman" w:cs="Times New Roman" w:eastAsia="Times New Roman" w:hAnsi="Times New Roman"/>
          <w:sz w:val="24"/>
          <w:szCs w:val="24"/>
          <w:rtl w:val="0"/>
        </w:rPr>
        <w:t xml:space="preserve"> under the OECD’s Inclusive Framework on BEPS. These proposals, agreed upon in principle by more than 130 countries in 2021, aim to address both the challenges of taxing the digital economy and broader BEPS issues.</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Pillar One</w:t>
      </w:r>
      <w:r w:rsidDel="00000000" w:rsidR="00000000" w:rsidRPr="00000000">
        <w:rPr>
          <w:rFonts w:ascii="Times New Roman" w:cs="Times New Roman" w:eastAsia="Times New Roman" w:hAnsi="Times New Roman"/>
          <w:sz w:val="24"/>
          <w:szCs w:val="24"/>
          <w:rtl w:val="0"/>
        </w:rPr>
        <w:t xml:space="preserve"> seeks to reallocate taxing rights, giving more taxing rights to market jurisdictions where MNEs have significant user engagement but no physical presence. This would ensure that companies pay taxes in countries where they generate value, regardless of their physical location. Pillar One focuses primarily on large MNEs with global revenues above a certain threshold, which includes many digital giants.</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Pillar Two</w:t>
      </w:r>
      <w:r w:rsidDel="00000000" w:rsidR="00000000" w:rsidRPr="00000000">
        <w:rPr>
          <w:rFonts w:ascii="Times New Roman" w:cs="Times New Roman" w:eastAsia="Times New Roman" w:hAnsi="Times New Roman"/>
          <w:sz w:val="24"/>
          <w:szCs w:val="24"/>
          <w:rtl w:val="0"/>
        </w:rPr>
        <w:t xml:space="preserve">, on the other hand, introduces a global minimum tax rate of 15% to prevent MNEs from shifting profits to low-tax jurisdictions. This proposal is aimed at reducing the incentives for profit shifting by ensuring that MNEs pay at least a minimum level of tax, regardless of where they are headquartered or operate.</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these global initiatives, several countries have introduced </w:t>
      </w:r>
      <w:r w:rsidDel="00000000" w:rsidR="00000000" w:rsidRPr="00000000">
        <w:rPr>
          <w:rFonts w:ascii="Times New Roman" w:cs="Times New Roman" w:eastAsia="Times New Roman" w:hAnsi="Times New Roman"/>
          <w:b w:val="1"/>
          <w:sz w:val="24"/>
          <w:szCs w:val="24"/>
          <w:rtl w:val="0"/>
        </w:rPr>
        <w:t xml:space="preserve">unilateral digital services taxes (DSTs)</w:t>
      </w:r>
      <w:r w:rsidDel="00000000" w:rsidR="00000000" w:rsidRPr="00000000">
        <w:rPr>
          <w:rFonts w:ascii="Times New Roman" w:cs="Times New Roman" w:eastAsia="Times New Roman" w:hAnsi="Times New Roman"/>
          <w:sz w:val="24"/>
          <w:szCs w:val="24"/>
          <w:rtl w:val="0"/>
        </w:rPr>
        <w:t xml:space="preserve"> as a way to address the challenges of the digital economy. These taxes are designed to target revenue generated from digital activities, such as online advertising and the provision of digital platforms, in the absence of comprehensive international tax reform. However, DSTs have sparked controversy, as some countries, particularly the United States, view them as discriminatory against U.S.-based tech giants.</w:t>
      </w:r>
    </w:p>
    <w:p w:rsidR="00000000" w:rsidDel="00000000" w:rsidP="00000000" w:rsidRDefault="00000000" w:rsidRPr="00000000" w14:paraId="00000040">
      <w:pPr>
        <w:pStyle w:val="Heading2"/>
        <w:keepNext w:val="1"/>
        <w:keepLines w:val="1"/>
        <w:pageBreakBefore w:val="0"/>
        <w:widowControl w:val="1"/>
        <w:numPr>
          <w:ilvl w:val="0"/>
          <w:numId w:val="26"/>
        </w:numPr>
        <w:pBdr>
          <w:top w:space="0" w:sz="0" w:val="nil"/>
          <w:left w:space="0" w:sz="0" w:val="nil"/>
          <w:bottom w:space="0" w:sz="0" w:val="nil"/>
          <w:right w:space="0" w:sz="0" w:val="nil"/>
          <w:between w:space="0" w:sz="0" w:val="nil"/>
        </w:pBdr>
        <w:shd w:fill="auto" w:val="clear"/>
        <w:spacing w:after="80" w:before="160" w:line="259" w:lineRule="auto"/>
        <w:ind w:left="720" w:right="0" w:hanging="360"/>
        <w:jc w:val="both"/>
      </w:pPr>
      <w:bookmarkStart w:colFirst="0" w:colLast="0" w:name="_heading=h.9z8thp8e5ixr" w:id="6"/>
      <w:bookmarkEnd w:id="6"/>
      <w:r w:rsidDel="00000000" w:rsidR="00000000" w:rsidRPr="00000000">
        <w:rPr>
          <w:rtl w:val="0"/>
        </w:rPr>
        <w:t xml:space="preserve">VAT and Cross-Border Transactions in the Digital Economy</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area of concern in the digital economy is the collection of value-added tax (VAT) or goods and services tax (GST) on cross-border transactions. As consumers increasingly purchase goods, services, and intangibles from foreign suppliers, many jurisdictions struggle to collect VAT on these transactions, especially when the supplier is located in a different country.</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issue, the OECD has recommended that countries adopt the principles of the </w:t>
      </w:r>
      <w:r w:rsidDel="00000000" w:rsidR="00000000" w:rsidRPr="00000000">
        <w:rPr>
          <w:rFonts w:ascii="Times New Roman" w:cs="Times New Roman" w:eastAsia="Times New Roman" w:hAnsi="Times New Roman"/>
          <w:b w:val="1"/>
          <w:sz w:val="24"/>
          <w:szCs w:val="24"/>
          <w:rtl w:val="0"/>
        </w:rPr>
        <w:t xml:space="preserve">International VAT/GST Guidelines</w:t>
      </w:r>
      <w:r w:rsidDel="00000000" w:rsidR="00000000" w:rsidRPr="00000000">
        <w:rPr>
          <w:rFonts w:ascii="Times New Roman" w:cs="Times New Roman" w:eastAsia="Times New Roman" w:hAnsi="Times New Roman"/>
          <w:sz w:val="24"/>
          <w:szCs w:val="24"/>
          <w:rtl w:val="0"/>
        </w:rPr>
        <w:t xml:space="preserve">, which provide a framework for ensuring that VAT is collected on cross-border transactions in a fair and efficient manner. These guidelines suggest that VAT should be collected in the jurisdiction where the final consumption occurs, rather than where the supplier is located.</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Countries are also encouraged to adopt VAT collection mechanisms, such as requiring foreign suppliers to register for VAT in the jurisdiction of the consumer. This would ensure that VAT is collected on digital services and intangibles sold to consumers, even when the supplier has no physical presence in the jurisdiction.</w:t>
      </w:r>
    </w:p>
    <w:p w:rsidR="00000000" w:rsidDel="00000000" w:rsidP="00000000" w:rsidRDefault="00000000" w:rsidRPr="00000000" w14:paraId="00000044">
      <w:pPr>
        <w:pStyle w:val="Heading2"/>
        <w:keepNext w:val="1"/>
        <w:keepLines w:val="1"/>
        <w:pageBreakBefore w:val="0"/>
        <w:widowControl w:val="1"/>
        <w:numPr>
          <w:ilvl w:val="0"/>
          <w:numId w:val="26"/>
        </w:numPr>
        <w:pBdr>
          <w:top w:space="0" w:sz="0" w:val="nil"/>
          <w:left w:space="0" w:sz="0" w:val="nil"/>
          <w:bottom w:space="0" w:sz="0" w:val="nil"/>
          <w:right w:space="0" w:sz="0" w:val="nil"/>
          <w:between w:space="0" w:sz="0" w:val="nil"/>
        </w:pBdr>
        <w:shd w:fill="auto" w:val="clear"/>
        <w:spacing w:after="80" w:before="160" w:line="259" w:lineRule="auto"/>
        <w:ind w:left="720" w:right="0" w:hanging="360"/>
        <w:jc w:val="both"/>
      </w:pPr>
      <w:bookmarkStart w:colFirst="0" w:colLast="0" w:name="_heading=h.tm4k9ihn2p11" w:id="7"/>
      <w:bookmarkEnd w:id="7"/>
      <w:r w:rsidDel="00000000" w:rsidR="00000000" w:rsidRPr="00000000">
        <w:rPr>
          <w:sz w:val="27"/>
          <w:szCs w:val="27"/>
          <w:rtl w:val="0"/>
        </w:rPr>
        <w:t xml:space="preserve">Future</w:t>
      </w:r>
      <w:r w:rsidDel="00000000" w:rsidR="00000000" w:rsidRPr="00000000">
        <w:rPr>
          <w:rtl w:val="0"/>
        </w:rPr>
        <w:t xml:space="preserve"> Outlook and Continued Work</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OECD recognizes that the digital economy will continue to evolve, and with it, the tax challenges associated with digital business models. As a result, the OECD has committed to ongoing work on these issues, including monitoring the implementation of BEPS measures and assessing the impact of new tax policies such as Pillars One and Two.</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also clear that unilateral measures, such as DSTs, will continue to play a role in the interim period before a global consensus is fully reached. However, these measures risk creating fragmentation and double taxation if not carefully coordinated with international efforts.</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digital economy becomes increasingly intertwined with the broader economy, the need for innovative and flexible tax policies will only grow. The OECD’s work on BEPS Action 1 provides a foundation for addressing the unique challenges posed by the digital economy, but continued collaboration and adaptation will be essential to ensure that the international tax system remains fit for purpose in the digital age.</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1"/>
        <w:jc w:val="left"/>
        <w:rPr>
          <w:sz w:val="24"/>
          <w:szCs w:val="24"/>
        </w:rPr>
      </w:pPr>
      <w:bookmarkStart w:colFirst="0" w:colLast="0" w:name="_heading=h.1t3h5sf" w:id="8"/>
      <w:bookmarkEnd w:id="8"/>
      <w:r w:rsidDel="00000000" w:rsidR="00000000" w:rsidRPr="00000000">
        <w:rPr>
          <w:rtl w:val="0"/>
        </w:rPr>
        <w:t xml:space="preserve">R.2. VAT/GST ISSUES</w:t>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VAT and GST are forms of indirect taxation, levied on the consumption of goods and services. These taxes are typically collected at each stage of production or distribution, with businesses charging VAT or GST on sales and recovering the tax paid on purchases. The consumer ultimately bears the cost of VAT/GST, as businesses are reimbursed for the tax they pay.</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traditional economies, VAT/GST systems have been relatively straightforward to administer. Physical goods are usually sold within a particular jurisdiction, allowing tax authorities to monitor transactions and ensure compliance. However, the digital economy has disrupted this model by enabling the sale of goods and services without a physical presence in the market where consumption occurs.</w:t>
      </w:r>
    </w:p>
    <w:p w:rsidR="00000000" w:rsidDel="00000000" w:rsidP="00000000" w:rsidRDefault="00000000" w:rsidRPr="00000000" w14:paraId="0000005D">
      <w:pPr>
        <w:pStyle w:val="Heading2"/>
        <w:numPr>
          <w:ilvl w:val="0"/>
          <w:numId w:val="25"/>
        </w:numPr>
        <w:spacing w:after="200" w:lineRule="auto"/>
        <w:ind w:left="720" w:hanging="360"/>
        <w:rPr/>
      </w:pPr>
      <w:bookmarkStart w:colFirst="0" w:colLast="0" w:name="_heading=h.4d34og8" w:id="9"/>
      <w:bookmarkEnd w:id="9"/>
      <w:r w:rsidDel="00000000" w:rsidR="00000000" w:rsidRPr="00000000">
        <w:rPr>
          <w:rtl w:val="0"/>
        </w:rPr>
        <w:t xml:space="preserve">Challenges of VAT/GST in the Digital Economy</w:t>
      </w:r>
    </w:p>
    <w:p w:rsidR="00000000" w:rsidDel="00000000" w:rsidP="00000000" w:rsidRDefault="00000000" w:rsidRPr="00000000" w14:paraId="0000005E">
      <w:pPr>
        <w:numPr>
          <w:ilvl w:val="1"/>
          <w:numId w:val="25"/>
        </w:numPr>
        <w:spacing w:after="20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Cross-Border Digital Transactions</w:t>
      </w:r>
      <w:r w:rsidDel="00000000" w:rsidR="00000000" w:rsidRPr="00000000">
        <w:rPr>
          <w:rtl w:val="0"/>
        </w:rPr>
      </w:r>
    </w:p>
    <w:p w:rsidR="00000000" w:rsidDel="00000000" w:rsidP="00000000" w:rsidRDefault="00000000" w:rsidRPr="00000000" w14:paraId="0000005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challenge of VAT/GST in the digital economy arises from the cross-border nature of digital transactions. The sale of digital goods and services—such as software, e-books, music streaming, and cloud computing—can be easily delivered across borders without the need for a physical presence in the customer’s country. This presents a challenge for tax authorities, as traditional rules for determining VAT/GST liability often rely on the supplier’s location or physical presence, making it difficult to impose tax on foreign suppliers.</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cross-border B2C transactions, the issue is particularly pronounced. Consumers are increasingly purchasing digital goods and services from suppliers outside their jurisdiction, but many tax authorities struggle to enforce VAT/GST collection on foreign suppliers. This creates an uneven playing field, where domestic suppliers are subject to VAT/GST, but foreign suppliers may escape taxation, putting local businesses at a competitive disadvantage.</w:t>
      </w:r>
    </w:p>
    <w:p w:rsidR="00000000" w:rsidDel="00000000" w:rsidP="00000000" w:rsidRDefault="00000000" w:rsidRPr="00000000" w14:paraId="00000061">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59" w:lineRule="auto"/>
        <w:ind w:left="90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The Role of Intermediaries</w:t>
      </w:r>
      <w:r w:rsidDel="00000000" w:rsidR="00000000" w:rsidRPr="00000000">
        <w:rPr>
          <w:rtl w:val="0"/>
        </w:rPr>
      </w:r>
    </w:p>
    <w:p w:rsidR="00000000" w:rsidDel="00000000" w:rsidP="00000000" w:rsidRDefault="00000000" w:rsidRPr="00000000" w14:paraId="00000062">
      <w:pPr>
        <w:ind w:left="0" w:firstLine="0"/>
        <w:jc w:val="both"/>
        <w:rPr>
          <w:rFonts w:ascii="Times New Roman" w:cs="Times New Roman" w:eastAsia="Times New Roman" w:hAnsi="Times New Roman"/>
          <w:sz w:val="24"/>
          <w:szCs w:val="24"/>
        </w:rPr>
      </w:pPr>
      <w:bookmarkStart w:colFirst="0" w:colLast="0" w:name="_heading=h.4ydl83won69y" w:id="10"/>
      <w:bookmarkEnd w:id="10"/>
      <w:r w:rsidDel="00000000" w:rsidR="00000000" w:rsidRPr="00000000">
        <w:rPr>
          <w:rFonts w:ascii="Times New Roman" w:cs="Times New Roman" w:eastAsia="Times New Roman" w:hAnsi="Times New Roman"/>
          <w:sz w:val="24"/>
          <w:szCs w:val="24"/>
          <w:rtl w:val="0"/>
        </w:rPr>
        <w:t xml:space="preserve">The digital economy often operates through intermediaries, such as online platforms, which facilitate transactions between suppliers and customers. These platforms may be located in a different jurisdiction from both the supplier and the customer, further complicating VAT/GST collection. In such cases, tax authorities face challenges in determining which party is responsible for collecting and remitting VAT/GST. Should the tax obligation fall on the platform, the supplier, or the end consumer? Resolving this question has proven difficult, particularly in the absence of international consensus on how to treat digital platforms for VAT/GST purposes.</w:t>
      </w:r>
    </w:p>
    <w:p w:rsidR="00000000" w:rsidDel="00000000" w:rsidP="00000000" w:rsidRDefault="00000000" w:rsidRPr="00000000" w14:paraId="00000063">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59" w:lineRule="auto"/>
        <w:ind w:left="90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Business-to-Business (B2B) Transactions</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B2B transactions, VAT/GST systems generally function more smoothly because businesses are often required to register for VAT/GST and can reclaim the tax paid on purchases. However, in the digital economy, even B2B transactions can be problematic. Some businesses may not be required to register for VAT/GST if their turnover falls below a certain threshold, leading to the potential loss of tax revenue when they purchase digital services from abroad. Additionally, small businesses or startups that purchase digital services may not be familiar with reverse charge mechanisms, which shift the responsibility for paying VAT/GST to the customer in certain cross-border B2B transactions.</w:t>
      </w:r>
    </w:p>
    <w:p w:rsidR="00000000" w:rsidDel="00000000" w:rsidP="00000000" w:rsidRDefault="00000000" w:rsidRPr="00000000" w14:paraId="00000065">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59" w:lineRule="auto"/>
        <w:ind w:left="90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VAT/GST on Imported Goods and Services</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traditional economy, customs duties and VAT/GST are typically collected at the border when physical goods are imported. However, digital goods and services can cross borders without any customs intervention, leading to difficulties in collecting VAT/GST. Consumers purchasing digital services, such as online streaming subscriptions, from foreign suppliers may not even be aware that they are supposed to pay VAT/GST on these services.</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physical goods purchased online, such as through e-commerce platforms, VAT/GST collection has also become problematic. Small packages delivered directly to consumers from foreign suppliers often evade VAT/GST collection due to thresholds that exempt low-value imports from taxation. This phenomenon, known as "VAT/GST leakage," erodes the tax base and creates an unfair advantage for foreign suppliers over domestic businesses.</w:t>
      </w:r>
    </w:p>
    <w:p w:rsidR="00000000" w:rsidDel="00000000" w:rsidP="00000000" w:rsidRDefault="00000000" w:rsidRPr="00000000" w14:paraId="00000068">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59" w:lineRule="auto"/>
        <w:ind w:left="90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Jurisdictional Complexit</w:t>
      </w:r>
      <w:r w:rsidDel="00000000" w:rsidR="00000000" w:rsidRPr="00000000">
        <w:rPr>
          <w:rFonts w:ascii="Times New Roman" w:cs="Times New Roman" w:eastAsia="Times New Roman" w:hAnsi="Times New Roman"/>
          <w:b w:val="1"/>
          <w:sz w:val="24"/>
          <w:szCs w:val="24"/>
          <w:rtl w:val="0"/>
        </w:rPr>
        <w:t xml:space="preserve">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digital economy often transcends national boundaries, leading to jurisdictional complexities in VAT/GST administration. For example, a digital business based in one country may supply goods or services to customers in multiple jurisdictions, each with its own VAT/GST rates, rules, and filing requirements. This creates significant compliance burdens for businesses, especially smaller enterprises that may lack the resources to navigate these complexities. Without clear and harmonized rules across jurisdictions, digital businesses face uncertainty regarding their VAT/GST obligations, leading to potential underreporting and non-compliance.</w:t>
      </w:r>
    </w:p>
    <w:p w:rsidR="00000000" w:rsidDel="00000000" w:rsidP="00000000" w:rsidRDefault="00000000" w:rsidRPr="00000000" w14:paraId="0000006A">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59" w:lineRule="auto"/>
        <w:ind w:left="90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VAT/GST on New Types of Digital Goods and Services</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digital economy has introduced new types of goods and services that challenge existing VAT/GST frameworks. For example, cloud computing services, cryptocurrency transactions, and participative networked platforms (such as peer-to-peer networks) do not fit neatly into traditional tax categories. As a result, tax authorities must adapt their VAT/GST frameworks to ensure that these new types of services are adequately taxed.</w:t>
      </w:r>
    </w:p>
    <w:p w:rsidR="00000000" w:rsidDel="00000000" w:rsidP="00000000" w:rsidRDefault="00000000" w:rsidRPr="00000000" w14:paraId="0000006C">
      <w:pPr>
        <w:pStyle w:val="Heading2"/>
        <w:numPr>
          <w:ilvl w:val="0"/>
          <w:numId w:val="25"/>
        </w:numPr>
        <w:ind w:left="720" w:hanging="360"/>
      </w:pPr>
      <w:bookmarkStart w:colFirst="0" w:colLast="0" w:name="_heading=h.duyykt49xsd8" w:id="11"/>
      <w:bookmarkEnd w:id="11"/>
      <w:r w:rsidDel="00000000" w:rsidR="00000000" w:rsidRPr="00000000">
        <w:rPr>
          <w:rtl w:val="0"/>
        </w:rPr>
        <w:t xml:space="preserve">International Responses and Solutions</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Recognizing the challenges of VAT/GST in the digital economy, the OECD has played a leading role in promoting solutions. The </w:t>
      </w:r>
      <w:r w:rsidDel="00000000" w:rsidR="00000000" w:rsidRPr="00000000">
        <w:rPr>
          <w:rFonts w:ascii="Times New Roman" w:cs="Times New Roman" w:eastAsia="Times New Roman" w:hAnsi="Times New Roman"/>
          <w:b w:val="1"/>
          <w:sz w:val="24"/>
          <w:szCs w:val="24"/>
          <w:rtl w:val="0"/>
        </w:rPr>
        <w:t xml:space="preserve">OECD’s International VAT/GST Guidelines</w:t>
      </w:r>
      <w:r w:rsidDel="00000000" w:rsidR="00000000" w:rsidRPr="00000000">
        <w:rPr>
          <w:rFonts w:ascii="Times New Roman" w:cs="Times New Roman" w:eastAsia="Times New Roman" w:hAnsi="Times New Roman"/>
          <w:sz w:val="24"/>
          <w:szCs w:val="24"/>
          <w:rtl w:val="0"/>
        </w:rPr>
        <w:t xml:space="preserve">, adopted by many jurisdictions, provide a framework for addressing VAT/GST issues in cross-border transactions, especially those involving digital goods and services. The guidelines recommend several key principles:</w:t>
      </w:r>
    </w:p>
    <w:p w:rsidR="00000000" w:rsidDel="00000000" w:rsidP="00000000" w:rsidRDefault="00000000" w:rsidRPr="00000000" w14:paraId="0000006E">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59" w:lineRule="auto"/>
        <w:ind w:left="90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Destination-Based Taxation</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OECD guidelines advocate for VAT/GST to be collected based on the principle of destination-based taxation, meaning that tax should be imposed in the jurisdiction where the final consumption occurs. This approach ensures that VAT/GST is paid in the country where the consumer resides, rather than where the supplier is located, thereby leveling the playing field between domestic and foreign suppliers.</w:t>
      </w:r>
    </w:p>
    <w:p w:rsidR="00000000" w:rsidDel="00000000" w:rsidP="00000000" w:rsidRDefault="00000000" w:rsidRPr="00000000" w14:paraId="00000070">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59" w:lineRule="auto"/>
        <w:ind w:left="90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Simplified VAT/GST Collection Mechanisms</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facilitate the collection of VAT/GST on cross-border B2C digital transactions, the OECD recommends the use of simplified registration and compliance systems. Under these systems, foreign suppliers of digital services are required to register for VAT/GST in the jurisdiction where they supply services to consumers. The European Union's </w:t>
      </w:r>
      <w:r w:rsidDel="00000000" w:rsidR="00000000" w:rsidRPr="00000000">
        <w:rPr>
          <w:rFonts w:ascii="Times New Roman" w:cs="Times New Roman" w:eastAsia="Times New Roman" w:hAnsi="Times New Roman"/>
          <w:b w:val="1"/>
          <w:sz w:val="24"/>
          <w:szCs w:val="24"/>
          <w:rtl w:val="0"/>
        </w:rPr>
        <w:t xml:space="preserve">Mini One-Stop Shop (MOSS)</w:t>
      </w:r>
      <w:r w:rsidDel="00000000" w:rsidR="00000000" w:rsidRPr="00000000">
        <w:rPr>
          <w:rFonts w:ascii="Times New Roman" w:cs="Times New Roman" w:eastAsia="Times New Roman" w:hAnsi="Times New Roman"/>
          <w:sz w:val="24"/>
          <w:szCs w:val="24"/>
          <w:rtl w:val="0"/>
        </w:rPr>
        <w:t xml:space="preserve">, introduced in 2015, is an example of this approach. MOSS allows foreign suppliers of digital services to register for VAT in a single EU member state, rather than in each individual member state where they supply services.</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many countries have introduced electronic filing and payment systems that make it easier for foreign suppliers to comply with VAT/GST obligations. These systems reduce the administrative burden on businesses and help tax authorities track cross-border transactions more effectively.</w:t>
      </w:r>
    </w:p>
    <w:p w:rsidR="00000000" w:rsidDel="00000000" w:rsidP="00000000" w:rsidRDefault="00000000" w:rsidRPr="00000000" w14:paraId="00000073">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59" w:lineRule="auto"/>
        <w:ind w:left="90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Reverse Charge Mechanism for B2B Transactions</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B2B transactions, the OECD guidelines suggest the use of a </w:t>
      </w:r>
      <w:r w:rsidDel="00000000" w:rsidR="00000000" w:rsidRPr="00000000">
        <w:rPr>
          <w:rFonts w:ascii="Times New Roman" w:cs="Times New Roman" w:eastAsia="Times New Roman" w:hAnsi="Times New Roman"/>
          <w:b w:val="1"/>
          <w:sz w:val="24"/>
          <w:szCs w:val="24"/>
          <w:rtl w:val="0"/>
        </w:rPr>
        <w:t xml:space="preserve">reverse charge mechanism</w:t>
      </w:r>
      <w:r w:rsidDel="00000000" w:rsidR="00000000" w:rsidRPr="00000000">
        <w:rPr>
          <w:rFonts w:ascii="Times New Roman" w:cs="Times New Roman" w:eastAsia="Times New Roman" w:hAnsi="Times New Roman"/>
          <w:sz w:val="24"/>
          <w:szCs w:val="24"/>
          <w:rtl w:val="0"/>
        </w:rPr>
        <w:t xml:space="preserve"> to simplify VAT/GST collection. Under this system, the business customer, rather than the foreign supplier, is responsible for reporting and paying VAT/GST on the purchase of digital services. The reverse charge mechanism ensures that tax is collected in the jurisdiction of the customer, reducing the risk of tax leakage.</w:t>
      </w:r>
    </w:p>
    <w:p w:rsidR="00000000" w:rsidDel="00000000" w:rsidP="00000000" w:rsidRDefault="00000000" w:rsidRPr="00000000" w14:paraId="00000075">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59" w:lineRule="auto"/>
        <w:ind w:left="90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Thresholds and Exemptions</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reduce the administrative burden on small businesses, many jurisdictions have introduced thresholds below which foreign suppliers are not required to register for VAT/GST. These thresholds vary by country but typically apply to suppliers with a limited amount of sales in the jurisdiction. While thresholds can simplify compliance for small businesses, they also risk creating loopholes and incentivizing tax avoidance. Therefore, careful consideration is needed to strike a balance between simplicity and fairness in VAT/GST administration.</w:t>
      </w:r>
    </w:p>
    <w:p w:rsidR="00000000" w:rsidDel="00000000" w:rsidP="00000000" w:rsidRDefault="00000000" w:rsidRPr="00000000" w14:paraId="00000077">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59" w:lineRule="auto"/>
        <w:ind w:left="90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VAT on Low-Value Imports</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response to the problem of VAT leakage on low-value imports, several countries have removed VAT exemptions for small packages. For example, in 2021, the European Union eliminated the VAT exemption for goods imported from outside the EU with a value of less than €22. This policy change aims to ensure that all goods, regardless of their value, are subject to VAT, thereby reducing the advantage that foreign suppliers previously enjoyed.</w:t>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Australia and New Zealand have introduced policies that require foreign suppliers to collect and remit VAT/GST on low-value goods sold to consumers within their borders. These measures ensure that VAT/GST is collected on digital transactions involving physical goods, even when the goods are imported directly by consumers.</w:t>
      </w:r>
    </w:p>
    <w:p w:rsidR="00000000" w:rsidDel="00000000" w:rsidP="00000000" w:rsidRDefault="00000000" w:rsidRPr="00000000" w14:paraId="0000007A">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200" w:before="0" w:line="259" w:lineRule="auto"/>
        <w:ind w:left="90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Country-Specific Approaches to VAT/GST in the Digital Economy</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countries have adopted measures to address the challenges posed by the digital economy in the context of VAT/GST. Here are some examples:</w:t>
      </w:r>
    </w:p>
    <w:p w:rsidR="00000000" w:rsidDel="00000000" w:rsidP="00000000" w:rsidRDefault="00000000" w:rsidRPr="00000000" w14:paraId="0000007C">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200" w:before="0" w:line="259" w:lineRule="auto"/>
        <w:ind w:left="1080" w:right="0" w:hanging="36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European Union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EU has been at the forefront of addressing VAT issues in the digital economy. In addition to implementing the MOSS system, the EU introduced the </w:t>
      </w:r>
      <w:r w:rsidDel="00000000" w:rsidR="00000000" w:rsidRPr="00000000">
        <w:rPr>
          <w:rFonts w:ascii="Times New Roman" w:cs="Times New Roman" w:eastAsia="Times New Roman" w:hAnsi="Times New Roman"/>
          <w:b w:val="1"/>
          <w:sz w:val="24"/>
          <w:szCs w:val="24"/>
          <w:rtl w:val="0"/>
        </w:rPr>
        <w:t xml:space="preserve">One-Stop Shop (OSS)</w:t>
      </w:r>
      <w:r w:rsidDel="00000000" w:rsidR="00000000" w:rsidRPr="00000000">
        <w:rPr>
          <w:rFonts w:ascii="Times New Roman" w:cs="Times New Roman" w:eastAsia="Times New Roman" w:hAnsi="Times New Roman"/>
          <w:sz w:val="24"/>
          <w:szCs w:val="24"/>
          <w:rtl w:val="0"/>
        </w:rPr>
        <w:t xml:space="preserve"> system in 2021, which expands the scope of MOSS to cover all cross-border e-commerce transactions, including physical goods. Under OSS, businesses can register for VAT in one member state and apply that VAT to all sales made to consumers in other EU countries.</w:t>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EU has introduced the </w:t>
      </w:r>
      <w:r w:rsidDel="00000000" w:rsidR="00000000" w:rsidRPr="00000000">
        <w:rPr>
          <w:rFonts w:ascii="Times New Roman" w:cs="Times New Roman" w:eastAsia="Times New Roman" w:hAnsi="Times New Roman"/>
          <w:b w:val="1"/>
          <w:sz w:val="24"/>
          <w:szCs w:val="24"/>
          <w:rtl w:val="0"/>
        </w:rPr>
        <w:t xml:space="preserve">Import One-Stop Shop (IOSS)</w:t>
      </w:r>
      <w:r w:rsidDel="00000000" w:rsidR="00000000" w:rsidRPr="00000000">
        <w:rPr>
          <w:rFonts w:ascii="Times New Roman" w:cs="Times New Roman" w:eastAsia="Times New Roman" w:hAnsi="Times New Roman"/>
          <w:sz w:val="24"/>
          <w:szCs w:val="24"/>
          <w:rtl w:val="0"/>
        </w:rPr>
        <w:t xml:space="preserve">, which simplifies VAT collection for imported goods valued at €150 or less. IOSS allows businesses to declare and pay VAT on low-value imports at the point of sale, streamlining the process and ensuring that VAT is collected on all goods entering the EU.</w:t>
      </w:r>
    </w:p>
    <w:p w:rsidR="00000000" w:rsidDel="00000000" w:rsidP="00000000" w:rsidRDefault="00000000" w:rsidRPr="00000000" w14:paraId="0000007F">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200" w:before="0" w:line="259" w:lineRule="auto"/>
        <w:ind w:left="1080" w:right="0" w:hanging="36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Australia</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Australia implemented significant reforms to its GST system in response to the growth of the digital economy. In 2017, the Australian government extended GST to include digital products and services supplied by foreign companies to Australian consumers. The law requires foreign suppliers to register for GST and collect the tax on sales of digital goods, such as software, music, and e-books, to Australian consumers.</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in 2018, Australia introduced new rules requiring foreign suppliers to collect GST on low-value goods sold to Australian consumers, closing a loophole that had previously allowed foreign retailers to avoid collecting GST on small packages.</w:t>
      </w:r>
    </w:p>
    <w:p w:rsidR="00000000" w:rsidDel="00000000" w:rsidP="00000000" w:rsidRDefault="00000000" w:rsidRPr="00000000" w14:paraId="00000082">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200" w:before="0" w:line="259" w:lineRule="auto"/>
        <w:ind w:left="1080" w:right="0" w:hanging="36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New Zealand</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Australia, New Zealand extended its GST rules to cover digital goods and services supplied by foreign companies in 2016. The country’s </w:t>
      </w:r>
      <w:r w:rsidDel="00000000" w:rsidR="00000000" w:rsidRPr="00000000">
        <w:rPr>
          <w:rFonts w:ascii="Times New Roman" w:cs="Times New Roman" w:eastAsia="Times New Roman" w:hAnsi="Times New Roman"/>
          <w:b w:val="1"/>
          <w:sz w:val="24"/>
          <w:szCs w:val="24"/>
          <w:rtl w:val="0"/>
        </w:rPr>
        <w:t xml:space="preserve">remote services rules</w:t>
      </w:r>
      <w:r w:rsidDel="00000000" w:rsidR="00000000" w:rsidRPr="00000000">
        <w:rPr>
          <w:rFonts w:ascii="Times New Roman" w:cs="Times New Roman" w:eastAsia="Times New Roman" w:hAnsi="Times New Roman"/>
          <w:sz w:val="24"/>
          <w:szCs w:val="24"/>
          <w:rtl w:val="0"/>
        </w:rPr>
        <w:t xml:space="preserve"> require foreign suppliers of digital services to collect and remit GST on sales made to New Zealand consumers. This approach ensures that both foreign and domestic suppliers are subject to the same tax treatment, promoting a level playing field in the digital marketplace.</w:t>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2019, New Zealand also introduced rules requiring foreign suppliers to collect GST on low-value imported goods. These measures ensure that GST is collected on all physical goods entering the country, regardless of their value.</w:t>
      </w:r>
    </w:p>
    <w:p w:rsidR="00000000" w:rsidDel="00000000" w:rsidP="00000000" w:rsidRDefault="00000000" w:rsidRPr="00000000" w14:paraId="00000085">
      <w:pPr>
        <w:pStyle w:val="Heading2"/>
        <w:numPr>
          <w:ilvl w:val="0"/>
          <w:numId w:val="25"/>
        </w:numPr>
        <w:ind w:left="720" w:hanging="360"/>
      </w:pPr>
      <w:bookmarkStart w:colFirst="0" w:colLast="0" w:name="_heading=h.nfwtojs0cmtv" w:id="12"/>
      <w:bookmarkEnd w:id="12"/>
      <w:r w:rsidDel="00000000" w:rsidR="00000000" w:rsidRPr="00000000">
        <w:rPr>
          <w:rtl w:val="0"/>
        </w:rPr>
        <w:t xml:space="preserve">Future Outlook and Challenges</w:t>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significant progress has been made in addressing VAT/GST challenges in the digital economy, several issues remain unresolved. First, international coordination is essential to ensure that VAT/GST systems operate smoothly across borders. Without harmonized rules, businesses will continue to face compliance challenges, and tax authorities may struggle to enforce tax collection on cross-border transactions.</w:t>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digital economy continues to evolve, introducing new business models and types of transactions that may not fit within existing VAT/GST frameworks. For example, the rise of blockchain technology, cryptocurrencies, and decentralized finance (DeFi) presents new challenges for VAT/GST administration, as these technologies operate without centralized intermediaries or clear geographic boundaries.</w:t>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enforcement remains a key challenge for tax authorities. While digital platforms and foreign suppliers are increasingly required to collect and remit VAT/GST, ensuring compliance can be difficult, particularly for small or new businesses that may be unfamiliar with the rules. Tax authorities will need to invest in new technologies and strategies to monitor digital transactions and ensure that VAT/GST is collected effectively.</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Style w:val="Heading1"/>
        <w:rPr/>
        <w:sectPr>
          <w:headerReference r:id="rId7" w:type="default"/>
          <w:footerReference r:id="rId8" w:type="default"/>
          <w:pgSz w:h="16838" w:w="11906" w:orient="portrait"/>
          <w:pgMar w:bottom="1440" w:top="1440" w:left="1440" w:right="1440" w:header="708" w:footer="708"/>
          <w:pgNumType w:start="1"/>
        </w:sectPr>
      </w:pPr>
      <w:bookmarkStart w:colFirst="0" w:colLast="0" w:name="_heading=h.s9pmgkcy4nbm" w:id="13"/>
      <w:bookmarkEnd w:id="13"/>
      <w:r w:rsidDel="00000000" w:rsidR="00000000" w:rsidRPr="00000000">
        <w:rPr>
          <w:rtl w:val="0"/>
        </w:rPr>
      </w:r>
    </w:p>
    <w:p w:rsidR="00000000" w:rsidDel="00000000" w:rsidP="00000000" w:rsidRDefault="00000000" w:rsidRPr="00000000" w14:paraId="000000A0">
      <w:pPr>
        <w:pStyle w:val="Heading1"/>
        <w:jc w:val="left"/>
        <w:rPr/>
      </w:pPr>
      <w:bookmarkStart w:colFirst="0" w:colLast="0" w:name="_heading=h.1ksv4uv" w:id="14"/>
      <w:bookmarkEnd w:id="14"/>
      <w:r w:rsidDel="00000000" w:rsidR="00000000" w:rsidRPr="00000000">
        <w:rPr>
          <w:rtl w:val="0"/>
        </w:rPr>
        <w:t xml:space="preserve">R.3. NEXUS ISSUES</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t xml:space="preserve">The concept of "nexus" is a cornerstone of international tax law, determining a jurisdiction's right to tax a business based on its connection to that jurisdiction. Traditionally, nexus has been established through physical presence, such as offices, factories, or employees. However, the digital economy, characterized by its ability to operate across borders without significant physical infrastructure, has rendered the traditional nexus concept increasingly obsolete. This section explores the nexus issues in the digital economy, highlighting the challenges and proposed solutions.</w:t>
      </w:r>
      <w:r w:rsidDel="00000000" w:rsidR="00000000" w:rsidRPr="00000000">
        <w:rPr>
          <w:rtl w:val="0"/>
        </w:rPr>
      </w:r>
    </w:p>
    <w:p w:rsidR="00000000" w:rsidDel="00000000" w:rsidP="00000000" w:rsidRDefault="00000000" w:rsidRPr="00000000" w14:paraId="000000A2">
      <w:pPr>
        <w:pStyle w:val="Heading2"/>
        <w:numPr>
          <w:ilvl w:val="0"/>
          <w:numId w:val="15"/>
        </w:numPr>
        <w:ind w:left="720" w:hanging="360"/>
        <w:rPr>
          <w:u w:val="none"/>
        </w:rPr>
      </w:pPr>
      <w:bookmarkStart w:colFirst="0" w:colLast="0" w:name="_heading=h.44sinio" w:id="15"/>
      <w:bookmarkEnd w:id="15"/>
      <w:r w:rsidDel="00000000" w:rsidR="00000000" w:rsidRPr="00000000">
        <w:rPr>
          <w:rtl w:val="0"/>
        </w:rPr>
        <w:t xml:space="preserve">Traditional Nexus and Its Limitations</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traditional nexus concept is rooted in the physical presence rule, which posits that a business must have a tangible, physical presence in a jurisdiction to be subject to its tax laws. This framework, however, faces significant limitations in the context of the digital economy:</w:t>
      </w:r>
    </w:p>
    <w:p w:rsidR="00000000" w:rsidDel="00000000" w:rsidP="00000000" w:rsidRDefault="00000000" w:rsidRPr="00000000" w14:paraId="000000A4">
      <w:pPr>
        <w:numPr>
          <w:ilvl w:val="0"/>
          <w:numId w:val="34"/>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Virtual Presence:</w:t>
      </w:r>
      <w:r w:rsidDel="00000000" w:rsidR="00000000" w:rsidRPr="00000000">
        <w:rPr>
          <w:rFonts w:ascii="Times New Roman" w:cs="Times New Roman" w:eastAsia="Times New Roman" w:hAnsi="Times New Roman"/>
          <w:sz w:val="24"/>
          <w:szCs w:val="24"/>
          <w:rtl w:val="0"/>
        </w:rPr>
        <w:t xml:space="preserve"> Digital businesses can generate substantial revenue in a jurisdiction without any physical presence. For example, a company providing online streaming services can have millions of subscribers in a country without owning any physical assets there.</w:t>
      </w:r>
    </w:p>
    <w:p w:rsidR="00000000" w:rsidDel="00000000" w:rsidP="00000000" w:rsidRDefault="00000000" w:rsidRPr="00000000" w14:paraId="000000A5">
      <w:pPr>
        <w:numPr>
          <w:ilvl w:val="0"/>
          <w:numId w:val="34"/>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Intangible Assets:</w:t>
      </w:r>
      <w:r w:rsidDel="00000000" w:rsidR="00000000" w:rsidRPr="00000000">
        <w:rPr>
          <w:rFonts w:ascii="Times New Roman" w:cs="Times New Roman" w:eastAsia="Times New Roman" w:hAnsi="Times New Roman"/>
          <w:sz w:val="24"/>
          <w:szCs w:val="24"/>
          <w:rtl w:val="0"/>
        </w:rPr>
        <w:t xml:space="preserve"> The digital economy relies heavily on intangible assets, such as intellectual property, data, and algorithms. These assets can be easily transferred and utilized across borders, complicating the determination of a taxable nexus.</w:t>
      </w:r>
    </w:p>
    <w:p w:rsidR="00000000" w:rsidDel="00000000" w:rsidP="00000000" w:rsidRDefault="00000000" w:rsidRPr="00000000" w14:paraId="000000A6">
      <w:pPr>
        <w:numPr>
          <w:ilvl w:val="0"/>
          <w:numId w:val="34"/>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Remote Operations:</w:t>
      </w:r>
      <w:r w:rsidDel="00000000" w:rsidR="00000000" w:rsidRPr="00000000">
        <w:rPr>
          <w:rFonts w:ascii="Times New Roman" w:cs="Times New Roman" w:eastAsia="Times New Roman" w:hAnsi="Times New Roman"/>
          <w:sz w:val="24"/>
          <w:szCs w:val="24"/>
          <w:rtl w:val="0"/>
        </w:rPr>
        <w:t xml:space="preserve"> Many digital businesses operate remotely, with employees and infrastructure spread across multiple countries. This distributed model challenges the traditional notions of a centralized, physical nexus.</w:t>
      </w:r>
    </w:p>
    <w:p w:rsidR="00000000" w:rsidDel="00000000" w:rsidP="00000000" w:rsidRDefault="00000000" w:rsidRPr="00000000" w14:paraId="000000A7">
      <w:pPr>
        <w:pStyle w:val="Heading2"/>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160" w:line="259" w:lineRule="auto"/>
        <w:ind w:left="720" w:right="0" w:hanging="360"/>
        <w:jc w:val="both"/>
      </w:pPr>
      <w:bookmarkStart w:colFirst="0" w:colLast="0" w:name="_heading=h.2dvsb17yr2u3" w:id="16"/>
      <w:bookmarkEnd w:id="16"/>
      <w:r w:rsidDel="00000000" w:rsidR="00000000" w:rsidRPr="00000000">
        <w:rPr>
          <w:rtl w:val="0"/>
        </w:rPr>
        <w:t xml:space="preserve">BEPS Action 1 and Nexus Redefinition</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response to these challenges, BEPS Action 1 proposes redefining the nexus concept to better capture the economic activities of digital businesses. The key proposals include:</w:t>
      </w:r>
    </w:p>
    <w:p w:rsidR="00000000" w:rsidDel="00000000" w:rsidP="00000000" w:rsidRDefault="00000000" w:rsidRPr="00000000" w14:paraId="000000A9">
      <w:pPr>
        <w:numPr>
          <w:ilvl w:val="1"/>
          <w:numId w:val="15"/>
        </w:numPr>
        <w:ind w:left="900" w:hanging="360"/>
        <w:rPr>
          <w:b w:val="1"/>
        </w:rPr>
      </w:pPr>
      <w:r w:rsidDel="00000000" w:rsidR="00000000" w:rsidRPr="00000000">
        <w:rPr>
          <w:b w:val="1"/>
          <w:rtl w:val="0"/>
        </w:rPr>
        <w:t xml:space="preserve">Significant</w:t>
      </w:r>
      <w:r w:rsidDel="00000000" w:rsidR="00000000" w:rsidRPr="00000000">
        <w:rPr>
          <w:b w:val="1"/>
          <w:sz w:val="24"/>
          <w:szCs w:val="24"/>
          <w:rtl w:val="0"/>
        </w:rPr>
        <w:t xml:space="preserve"> Economic Presence</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core proposals under BEPS Action 1 is the concept of "significant economic presence." This approach redefines nexus based on the economic activities of a business in a jurisdiction, regardless of physical presence. The criteria for establishing significant economic presence may include:</w:t>
      </w:r>
    </w:p>
    <w:p w:rsidR="00000000" w:rsidDel="00000000" w:rsidP="00000000" w:rsidRDefault="00000000" w:rsidRPr="00000000" w14:paraId="000000AB">
      <w:pPr>
        <w:numPr>
          <w:ilvl w:val="0"/>
          <w:numId w:val="35"/>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Revenue Threshold:</w:t>
      </w:r>
      <w:r w:rsidDel="00000000" w:rsidR="00000000" w:rsidRPr="00000000">
        <w:rPr>
          <w:rFonts w:ascii="Times New Roman" w:cs="Times New Roman" w:eastAsia="Times New Roman" w:hAnsi="Times New Roman"/>
          <w:sz w:val="24"/>
          <w:szCs w:val="24"/>
          <w:rtl w:val="0"/>
        </w:rPr>
        <w:t xml:space="preserve"> Businesses generating significant revenue from a jurisdiction's market, even without physical presence, could be deemed to have a nexus. This threshold would be set at a level that ensures only businesses with substantial economic activities are affected.</w:t>
      </w:r>
    </w:p>
    <w:p w:rsidR="00000000" w:rsidDel="00000000" w:rsidP="00000000" w:rsidRDefault="00000000" w:rsidRPr="00000000" w14:paraId="000000AC">
      <w:pPr>
        <w:numPr>
          <w:ilvl w:val="0"/>
          <w:numId w:val="35"/>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User Base:</w:t>
      </w:r>
      <w:r w:rsidDel="00000000" w:rsidR="00000000" w:rsidRPr="00000000">
        <w:rPr>
          <w:rFonts w:ascii="Times New Roman" w:cs="Times New Roman" w:eastAsia="Times New Roman" w:hAnsi="Times New Roman"/>
          <w:sz w:val="24"/>
          <w:szCs w:val="24"/>
          <w:rtl w:val="0"/>
        </w:rPr>
        <w:t xml:space="preserve"> A large user base or high levels of user interaction in a jurisdiction could establish a nexus. For instance, social media platforms with millions of active users in a country would be considered to have a significant economic presence.</w:t>
      </w:r>
    </w:p>
    <w:p w:rsidR="00000000" w:rsidDel="00000000" w:rsidP="00000000" w:rsidRDefault="00000000" w:rsidRPr="00000000" w14:paraId="000000AD">
      <w:pPr>
        <w:numPr>
          <w:ilvl w:val="0"/>
          <w:numId w:val="35"/>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Digital Services:</w:t>
      </w:r>
      <w:r w:rsidDel="00000000" w:rsidR="00000000" w:rsidRPr="00000000">
        <w:rPr>
          <w:rFonts w:ascii="Times New Roman" w:cs="Times New Roman" w:eastAsia="Times New Roman" w:hAnsi="Times New Roman"/>
          <w:sz w:val="24"/>
          <w:szCs w:val="24"/>
          <w:rtl w:val="0"/>
        </w:rPr>
        <w:t xml:space="preserve"> The provision of digital services, such as online advertising, cloud computing, and digital marketplaces, could also be a criterion for nexus. This would ensure that businesses deriving value from digital services in a jurisdiction are taxed accordingly.</w:t>
      </w:r>
    </w:p>
    <w:p w:rsidR="00000000" w:rsidDel="00000000" w:rsidP="00000000" w:rsidRDefault="00000000" w:rsidRPr="00000000" w14:paraId="000000A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Withholding Taxes on Digital Transactions</w:t>
      </w: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approach to address nexus issues is the introduction of withholding taxes on digital transactions. This method involves taxing payments made to foreign digital service providers by residents of a jurisdiction. Key aspects include:</w:t>
      </w:r>
    </w:p>
    <w:p w:rsidR="00000000" w:rsidDel="00000000" w:rsidP="00000000" w:rsidRDefault="00000000" w:rsidRPr="00000000" w14:paraId="000000B0">
      <w:pPr>
        <w:numPr>
          <w:ilvl w:val="0"/>
          <w:numId w:val="36"/>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Scope and Rate:</w:t>
      </w:r>
      <w:r w:rsidDel="00000000" w:rsidR="00000000" w:rsidRPr="00000000">
        <w:rPr>
          <w:rFonts w:ascii="Times New Roman" w:cs="Times New Roman" w:eastAsia="Times New Roman" w:hAnsi="Times New Roman"/>
          <w:sz w:val="24"/>
          <w:szCs w:val="24"/>
          <w:rtl w:val="0"/>
        </w:rPr>
        <w:t xml:space="preserve"> The scope of the withholding tax would need to be clearly defined, specifying the types of digital services subject to the tax. The tax rate should balance revenue generation with the risk of discouraging digital business operations.</w:t>
      </w:r>
    </w:p>
    <w:p w:rsidR="00000000" w:rsidDel="00000000" w:rsidP="00000000" w:rsidRDefault="00000000" w:rsidRPr="00000000" w14:paraId="000000B1">
      <w:pPr>
        <w:numPr>
          <w:ilvl w:val="0"/>
          <w:numId w:val="36"/>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Administrative Mechanisms:</w:t>
      </w:r>
      <w:r w:rsidDel="00000000" w:rsidR="00000000" w:rsidRPr="00000000">
        <w:rPr>
          <w:rFonts w:ascii="Times New Roman" w:cs="Times New Roman" w:eastAsia="Times New Roman" w:hAnsi="Times New Roman"/>
          <w:sz w:val="24"/>
          <w:szCs w:val="24"/>
          <w:rtl w:val="0"/>
        </w:rPr>
        <w:t xml:space="preserve"> Efficient administrative mechanisms would be necessary to implement withholding taxes, including systems for withholding and remitting taxes by payers of digital services. This approach requires robust cooperation between tax authorities and businesses to ensure compliance.</w:t>
      </w:r>
    </w:p>
    <w:p w:rsidR="00000000" w:rsidDel="00000000" w:rsidP="00000000" w:rsidRDefault="00000000" w:rsidRPr="00000000" w14:paraId="000000B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Equalization Levy</w:t>
      </w: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equalization levy, also known as the digital services tax, aims to level the playing field between domestic and foreign digital service providers. This levy is typically applied to revenues generated from specific digital services provided to consumers in a jurisdiction. Key considerations include:</w:t>
      </w:r>
    </w:p>
    <w:p w:rsidR="00000000" w:rsidDel="00000000" w:rsidP="00000000" w:rsidRDefault="00000000" w:rsidRPr="00000000" w14:paraId="000000B4">
      <w:pPr>
        <w:numPr>
          <w:ilvl w:val="0"/>
          <w:numId w:val="37"/>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Tax Base:</w:t>
      </w:r>
      <w:r w:rsidDel="00000000" w:rsidR="00000000" w:rsidRPr="00000000">
        <w:rPr>
          <w:rFonts w:ascii="Times New Roman" w:cs="Times New Roman" w:eastAsia="Times New Roman" w:hAnsi="Times New Roman"/>
          <w:sz w:val="24"/>
          <w:szCs w:val="24"/>
          <w:rtl w:val="0"/>
        </w:rPr>
        <w:t xml:space="preserve"> Identifying the appropriate tax base is crucial for the equalization levy. This may include revenues from online advertising, digital marketplaces, and other digital services.</w:t>
      </w:r>
    </w:p>
    <w:p w:rsidR="00000000" w:rsidDel="00000000" w:rsidP="00000000" w:rsidRDefault="00000000" w:rsidRPr="00000000" w14:paraId="000000B5">
      <w:pPr>
        <w:numPr>
          <w:ilvl w:val="0"/>
          <w:numId w:val="37"/>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Compliance and Enforcement:</w:t>
      </w:r>
      <w:r w:rsidDel="00000000" w:rsidR="00000000" w:rsidRPr="00000000">
        <w:rPr>
          <w:rFonts w:ascii="Times New Roman" w:cs="Times New Roman" w:eastAsia="Times New Roman" w:hAnsi="Times New Roman"/>
          <w:sz w:val="24"/>
          <w:szCs w:val="24"/>
          <w:rtl w:val="0"/>
        </w:rPr>
        <w:t xml:space="preserve"> Ensuring compliance with the equalization levy involves establishing clear reporting requirements and enforcement mechanisms. Tax authorities must be equipped to monitor digital transactions and enforce the levy effectively.</w:t>
      </w:r>
    </w:p>
    <w:p w:rsidR="00000000" w:rsidDel="00000000" w:rsidP="00000000" w:rsidRDefault="00000000" w:rsidRPr="00000000" w14:paraId="000000B6">
      <w:pPr>
        <w:pStyle w:val="Heading2"/>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200" w:line="259" w:lineRule="auto"/>
        <w:ind w:left="720" w:right="0" w:hanging="360"/>
        <w:jc w:val="both"/>
      </w:pPr>
      <w:bookmarkStart w:colFirst="0" w:colLast="0" w:name="_heading=h.z4d08unkkp3g" w:id="17"/>
      <w:bookmarkEnd w:id="17"/>
      <w:r w:rsidDel="00000000" w:rsidR="00000000" w:rsidRPr="00000000">
        <w:rPr>
          <w:rtl w:val="0"/>
        </w:rPr>
        <w:t xml:space="preserve">Implementation and Global Coordination</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new nexus rules and addressing the associated challenges require significant coordination and cooperation at the global level. Key issues include:</w:t>
      </w:r>
    </w:p>
    <w:p w:rsidR="00000000" w:rsidDel="00000000" w:rsidP="00000000" w:rsidRDefault="00000000" w:rsidRPr="00000000" w14:paraId="000000B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Achieving Consensus</w:t>
      </w: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Achieving global consensus on new nexus rules is challenging due to differing national interests and economic priorities. While some countries may favor aggressive taxation of digital businesses to protect their tax base, others may prioritize attracting digital investments and fostering innovation. The OECD's Inclusive Framework provides a platform for multilateral negotiations and consensus-building, but reaching agreement requires compromise and collaboration among member states.</w:t>
      </w:r>
    </w:p>
    <w:p w:rsidR="00000000" w:rsidDel="00000000" w:rsidP="00000000" w:rsidRDefault="00000000" w:rsidRPr="00000000" w14:paraId="000000B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Administrative Complexity</w:t>
      </w: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new nexus rules, such as significant economic presence and digital services taxes, involves administrative complexities. Tax authorities must develop new systems and processes to identify and monitor digital businesses, track revenues, and enforce compliance. This requires significant investments in technology and capacity-building.</w:t>
      </w:r>
    </w:p>
    <w:p w:rsidR="00000000" w:rsidDel="00000000" w:rsidP="00000000" w:rsidRDefault="00000000" w:rsidRPr="00000000" w14:paraId="000000B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Double Taxation and Disputes</w:t>
      </w: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nexus rules increase the risk of double taxation and tax disputes. Ensuring that businesses are not taxed multiple times on the same income requires effective dispute resolution mechanisms and clear guidelines on profit allocation. The OECD's work on dispute resolution and mutual agreement procedures is critical in this regard.</w:t>
      </w:r>
    </w:p>
    <w:p w:rsidR="00000000" w:rsidDel="00000000" w:rsidP="00000000" w:rsidRDefault="00000000" w:rsidRPr="00000000" w14:paraId="000000B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Unilateral Measures</w:t>
      </w: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absence of a global consensus, some countries have implemented unilateral measures to tax digital businesses. These measures, such as digital services taxes and equalization levies, can lead to conflicts and trade disputes. Coordinating unilateral actions with multilateral efforts is essential to avoid fragmentation and ensure a coherent global tax framework.</w:t>
      </w:r>
    </w:p>
    <w:p w:rsidR="00000000" w:rsidDel="00000000" w:rsidP="00000000" w:rsidRDefault="00000000" w:rsidRPr="00000000" w14:paraId="000000C0">
      <w:pPr>
        <w:pStyle w:val="Heading2"/>
        <w:numPr>
          <w:ilvl w:val="0"/>
          <w:numId w:val="15"/>
        </w:numPr>
        <w:spacing w:after="200" w:lineRule="auto"/>
        <w:ind w:left="720" w:hanging="360"/>
      </w:pPr>
      <w:bookmarkStart w:colFirst="0" w:colLast="0" w:name="_heading=h.gn1lg83rs7gi" w:id="18"/>
      <w:bookmarkEnd w:id="18"/>
      <w:r w:rsidDel="00000000" w:rsidR="00000000" w:rsidRPr="00000000">
        <w:rPr>
          <w:rtl w:val="0"/>
        </w:rPr>
        <w:t xml:space="preserve">Impact on Digital Businesses</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redefinition of nexus and the implementation of new tax rules have significant implications for digital businesses:</w:t>
      </w:r>
    </w:p>
    <w:p w:rsidR="00000000" w:rsidDel="00000000" w:rsidP="00000000" w:rsidRDefault="00000000" w:rsidRPr="00000000" w14:paraId="000000C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b w:val="1"/>
        </w:rPr>
      </w:pPr>
      <w:r w:rsidDel="00000000" w:rsidR="00000000" w:rsidRPr="00000000">
        <w:rPr>
          <w:b w:val="1"/>
          <w:rtl w:val="0"/>
        </w:rPr>
        <w:t xml:space="preserve">Increased Compliance Burden</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businesses face increased compliance burdens due to the need to navigate varying nexus rules across different jurisdictions. Simplified registration and compliance procedures, such as those recommended by the OECD, aim to mitigate these challenges. However, businesses must invest in robust systems and processes to ensure accurate reporting and remittance of taxes.</w:t>
      </w:r>
    </w:p>
    <w:p w:rsidR="00000000" w:rsidDel="00000000" w:rsidP="00000000" w:rsidRDefault="00000000" w:rsidRPr="00000000" w14:paraId="000000C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Strategic and Financial Planning</w:t>
      </w: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Businesses need to reassess their strategic and financial planning to account for new nexus rules and potential tax liabilities. This includes evaluating the impact of significant economic presence criteria, withholding taxes, and digital services taxes on their operations and profitability. Strategic decisions, such as market entry and pricing, must consider the tax implications of new nexus rules.</w:t>
      </w:r>
    </w:p>
    <w:p w:rsidR="00000000" w:rsidDel="00000000" w:rsidP="00000000" w:rsidRDefault="00000000" w:rsidRPr="00000000" w14:paraId="000000C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Transfer Pricing and Profit Allocation</w:t>
      </w: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Revised transfer pricing rules and profit allocation principles require digital businesses to review and potentially adjust their intercompany transactions and profit allocation models. This ensures that profits are allocated to jurisdictions where significant economic activities occur. Businesses must provide detailed documentation and justifications for their transfer pricing methods, ensuring transparency and compliance with the new rules.</w:t>
      </w:r>
    </w:p>
    <w:p w:rsidR="00000000" w:rsidDel="00000000" w:rsidP="00000000" w:rsidRDefault="00000000" w:rsidRPr="00000000" w14:paraId="000000C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Risk of Double Taxation</w:t>
      </w: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lack of global consensus and the proliferation of unilateral measures increase the risk of double taxation for digital businesses. Ensuring that profits are not taxed multiple times across different jurisdictions is a critical concern. Businesses must navigate complex tax treaties and dispute resolution mechanisms to mitigate the risk of double taxation and ensure fair treatment.</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pStyle w:val="Heading1"/>
        <w:rPr/>
        <w:sectPr>
          <w:type w:val="nextPage"/>
          <w:pgSz w:h="16838" w:w="11906" w:orient="portrait"/>
          <w:pgMar w:bottom="1440" w:top="1440" w:left="1440" w:right="1440" w:header="708" w:footer="708"/>
        </w:sectPr>
      </w:pPr>
      <w:bookmarkStart w:colFirst="0" w:colLast="0" w:name="_heading=h.jodkdgz9cina" w:id="19"/>
      <w:bookmarkEnd w:id="19"/>
      <w:r w:rsidDel="00000000" w:rsidR="00000000" w:rsidRPr="00000000">
        <w:rPr>
          <w:rtl w:val="0"/>
        </w:rPr>
      </w:r>
    </w:p>
    <w:p w:rsidR="00000000" w:rsidDel="00000000" w:rsidP="00000000" w:rsidRDefault="00000000" w:rsidRPr="00000000" w14:paraId="000000E5">
      <w:pPr>
        <w:pStyle w:val="Heading1"/>
        <w:jc w:val="left"/>
        <w:rPr/>
      </w:pPr>
      <w:bookmarkStart w:colFirst="0" w:colLast="0" w:name="_heading=h.1y810tw" w:id="20"/>
      <w:bookmarkEnd w:id="20"/>
      <w:r w:rsidDel="00000000" w:rsidR="00000000" w:rsidRPr="00000000">
        <w:rPr>
          <w:rtl w:val="0"/>
        </w:rPr>
        <w:t xml:space="preserve">R.4. DEFINITION OF PERMANENT ESTABLISHMENTS</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a Permanent Establishment (PE) is fundamental in determining a business's tax obligations in a particular jurisdiction. Traditionally, a PE has been defined by physical presence, such as a fixed place of business through which the business of an enterprise is wholly or partly carried on. However, the digital economy's ability to operate extensively without physical presence challenges this traditional definition. This section explores the challenges and proposed redefinitions of PE in the context of the digital economy.</w:t>
      </w:r>
    </w:p>
    <w:p w:rsidR="00000000" w:rsidDel="00000000" w:rsidP="00000000" w:rsidRDefault="00000000" w:rsidRPr="00000000" w14:paraId="000000E7">
      <w:pPr>
        <w:pStyle w:val="Heading2"/>
        <w:numPr>
          <w:ilvl w:val="0"/>
          <w:numId w:val="29"/>
        </w:numPr>
        <w:spacing w:after="200" w:line="276" w:lineRule="auto"/>
        <w:ind w:left="720" w:hanging="360"/>
        <w:rPr/>
      </w:pPr>
      <w:bookmarkStart w:colFirst="0" w:colLast="0" w:name="_heading=h.4i7ojhp" w:id="21"/>
      <w:bookmarkEnd w:id="21"/>
      <w:r w:rsidDel="00000000" w:rsidR="00000000" w:rsidRPr="00000000">
        <w:rPr>
          <w:rtl w:val="0"/>
        </w:rPr>
        <w:t xml:space="preserve">Traditional Definition of Permanent Establishment</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traditional international tax rules, a PE is typically defined by Article 5 of the OECD Model Tax Convention on Income and on Capital, which includes:</w:t>
      </w:r>
    </w:p>
    <w:p w:rsidR="00000000" w:rsidDel="00000000" w:rsidP="00000000" w:rsidRDefault="00000000" w:rsidRPr="00000000" w14:paraId="000000E9">
      <w:pPr>
        <w:numPr>
          <w:ilvl w:val="0"/>
          <w:numId w:val="38"/>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Fixed Place of Business:</w:t>
      </w:r>
      <w:r w:rsidDel="00000000" w:rsidR="00000000" w:rsidRPr="00000000">
        <w:rPr>
          <w:rFonts w:ascii="Times New Roman" w:cs="Times New Roman" w:eastAsia="Times New Roman" w:hAnsi="Times New Roman"/>
          <w:sz w:val="24"/>
          <w:szCs w:val="24"/>
          <w:rtl w:val="0"/>
        </w:rPr>
        <w:t xml:space="preserve"> A place of management, branch, office, factory, workshop, or similar fixed places of business. This encompasses locations where the company conducts its primary operations.</w:t>
      </w:r>
    </w:p>
    <w:p w:rsidR="00000000" w:rsidDel="00000000" w:rsidP="00000000" w:rsidRDefault="00000000" w:rsidRPr="00000000" w14:paraId="000000EA">
      <w:pPr>
        <w:numPr>
          <w:ilvl w:val="0"/>
          <w:numId w:val="38"/>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Dependent Agents:</w:t>
      </w:r>
      <w:r w:rsidDel="00000000" w:rsidR="00000000" w:rsidRPr="00000000">
        <w:rPr>
          <w:rFonts w:ascii="Times New Roman" w:cs="Times New Roman" w:eastAsia="Times New Roman" w:hAnsi="Times New Roman"/>
          <w:sz w:val="24"/>
          <w:szCs w:val="24"/>
          <w:rtl w:val="0"/>
        </w:rPr>
        <w:t xml:space="preserve"> Activities conducted by a dependent agent who has, and habitually exercises, the authority to conclude contracts on behalf of the enterprise. This provision ensures that businesses cannot avoid PE status merely by operating through agents.</w:t>
      </w:r>
    </w:p>
    <w:p w:rsidR="00000000" w:rsidDel="00000000" w:rsidP="00000000" w:rsidRDefault="00000000" w:rsidRPr="00000000" w14:paraId="000000EB">
      <w:pPr>
        <w:numPr>
          <w:ilvl w:val="0"/>
          <w:numId w:val="38"/>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Exemptions:</w:t>
      </w:r>
      <w:r w:rsidDel="00000000" w:rsidR="00000000" w:rsidRPr="00000000">
        <w:rPr>
          <w:rFonts w:ascii="Times New Roman" w:cs="Times New Roman" w:eastAsia="Times New Roman" w:hAnsi="Times New Roman"/>
          <w:sz w:val="24"/>
          <w:szCs w:val="24"/>
          <w:rtl w:val="0"/>
        </w:rPr>
        <w:t xml:space="preserve"> Specific exemptions include facilities used solely for storage, display, or delivery of goods, as well as activities that are preparatory or auxiliary in nature. These exemptions recognize that not all business activities conducted in a jurisdiction constitute a substantial economic presence.</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physical presence-based definition has guided international tax rules for decades. However, the rise of digital businesses that can operate and generate significant income in jurisdictions without any physical presence has exposed the limitations of this definition.</w:t>
      </w:r>
    </w:p>
    <w:p w:rsidR="00000000" w:rsidDel="00000000" w:rsidP="00000000" w:rsidRDefault="00000000" w:rsidRPr="00000000" w14:paraId="000000ED">
      <w:pPr>
        <w:pStyle w:val="Heading2"/>
        <w:keepNext w:val="1"/>
        <w:keepLines w:val="1"/>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160" w:line="259" w:lineRule="auto"/>
        <w:ind w:left="720" w:right="0" w:hanging="360"/>
        <w:jc w:val="both"/>
      </w:pPr>
      <w:bookmarkStart w:colFirst="0" w:colLast="0" w:name="_heading=h.kki5enp4zugn" w:id="22"/>
      <w:bookmarkEnd w:id="22"/>
      <w:r w:rsidDel="00000000" w:rsidR="00000000" w:rsidRPr="00000000">
        <w:rPr>
          <w:rtl w:val="0"/>
        </w:rPr>
        <w:t xml:space="preserve">Challenges in the Digital Economy</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digital economy presents several challenges to the traditional PE definition:</w:t>
      </w:r>
    </w:p>
    <w:p w:rsidR="00000000" w:rsidDel="00000000" w:rsidP="00000000" w:rsidRDefault="00000000" w:rsidRPr="00000000" w14:paraId="000000EF">
      <w:pPr>
        <w:numPr>
          <w:ilvl w:val="0"/>
          <w:numId w:val="39"/>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Virtual Operations:</w:t>
      </w:r>
      <w:r w:rsidDel="00000000" w:rsidR="00000000" w:rsidRPr="00000000">
        <w:rPr>
          <w:rFonts w:ascii="Times New Roman" w:cs="Times New Roman" w:eastAsia="Times New Roman" w:hAnsi="Times New Roman"/>
          <w:sz w:val="24"/>
          <w:szCs w:val="24"/>
          <w:rtl w:val="0"/>
        </w:rPr>
        <w:t xml:space="preserve"> Many digital businesses, such as e-commerce platforms, social media companies, and cloud service providers, can operate extensively in multiple jurisdictions without a physical presence. For instance, an e-commerce platform may serve millions of customers in a country without having a warehouse, office, or employees there.</w:t>
      </w:r>
    </w:p>
    <w:p w:rsidR="00000000" w:rsidDel="00000000" w:rsidP="00000000" w:rsidRDefault="00000000" w:rsidRPr="00000000" w14:paraId="000000F0">
      <w:pPr>
        <w:numPr>
          <w:ilvl w:val="0"/>
          <w:numId w:val="39"/>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Intangible Assets:</w:t>
      </w:r>
      <w:r w:rsidDel="00000000" w:rsidR="00000000" w:rsidRPr="00000000">
        <w:rPr>
          <w:rFonts w:ascii="Times New Roman" w:cs="Times New Roman" w:eastAsia="Times New Roman" w:hAnsi="Times New Roman"/>
          <w:sz w:val="24"/>
          <w:szCs w:val="24"/>
          <w:rtl w:val="0"/>
        </w:rPr>
        <w:t xml:space="preserve"> The reliance on intangible assets like software, data, and intellectual property, which do not have a physical location, complicates the determination of a fixed place of business. These assets can be easily transferred and utilized across borders without any need for physical infrastructure.</w:t>
      </w:r>
    </w:p>
    <w:p w:rsidR="00000000" w:rsidDel="00000000" w:rsidP="00000000" w:rsidRDefault="00000000" w:rsidRPr="00000000" w14:paraId="000000F1">
      <w:pPr>
        <w:numPr>
          <w:ilvl w:val="0"/>
          <w:numId w:val="39"/>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Remote Sales and Services:</w:t>
      </w:r>
      <w:r w:rsidDel="00000000" w:rsidR="00000000" w:rsidRPr="00000000">
        <w:rPr>
          <w:rFonts w:ascii="Times New Roman" w:cs="Times New Roman" w:eastAsia="Times New Roman" w:hAnsi="Times New Roman"/>
          <w:sz w:val="24"/>
          <w:szCs w:val="24"/>
          <w:rtl w:val="0"/>
        </w:rPr>
        <w:t xml:space="preserve"> Digital goods and services can be provided remotely, allowing businesses to engage with customers in a jurisdiction without a local office or dependent agent. For example, a software company can deliver its products online and provide customer support via chat or email from a different country.</w:t>
      </w:r>
    </w:p>
    <w:p w:rsidR="00000000" w:rsidDel="00000000" w:rsidP="00000000" w:rsidRDefault="00000000" w:rsidRPr="00000000" w14:paraId="000000F2">
      <w:pPr>
        <w:numPr>
          <w:ilvl w:val="0"/>
          <w:numId w:val="39"/>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Digital Platforms:</w:t>
      </w:r>
      <w:r w:rsidDel="00000000" w:rsidR="00000000" w:rsidRPr="00000000">
        <w:rPr>
          <w:rFonts w:ascii="Times New Roman" w:cs="Times New Roman" w:eastAsia="Times New Roman" w:hAnsi="Times New Roman"/>
          <w:sz w:val="24"/>
          <w:szCs w:val="24"/>
          <w:rtl w:val="0"/>
        </w:rPr>
        <w:t xml:space="preserve"> Platforms facilitating transactions between third parties can generate significant economic activity without traditional indicators of a PE, such as a physical office or workforce. A global digital marketplace may facilitate millions of transactions in a country without any physical presence there.</w:t>
      </w:r>
    </w:p>
    <w:p w:rsidR="00000000" w:rsidDel="00000000" w:rsidP="00000000" w:rsidRDefault="00000000" w:rsidRPr="00000000" w14:paraId="000000F3">
      <w:pPr>
        <w:pStyle w:val="Heading2"/>
        <w:keepNext w:val="1"/>
        <w:keepLines w:val="1"/>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160" w:line="276" w:lineRule="auto"/>
        <w:ind w:left="720" w:right="0" w:hanging="360"/>
        <w:jc w:val="both"/>
      </w:pPr>
      <w:bookmarkStart w:colFirst="0" w:colLast="0" w:name="_heading=h.gjffr4klajc3" w:id="23"/>
      <w:bookmarkEnd w:id="23"/>
      <w:r w:rsidDel="00000000" w:rsidR="00000000" w:rsidRPr="00000000">
        <w:rPr>
          <w:rtl w:val="0"/>
        </w:rPr>
        <w:t xml:space="preserve">BEPS Action 7: Preventing the Artificial Avoidance of PE Status</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challenges posed by the digital economy, BEPS Action 7 proposes measures to prevent the artificial avoidance of PE status. Key aspects include:</w:t>
      </w:r>
    </w:p>
    <w:p w:rsidR="00000000" w:rsidDel="00000000" w:rsidP="00000000" w:rsidRDefault="00000000" w:rsidRPr="00000000" w14:paraId="000000F5">
      <w:pPr>
        <w:numPr>
          <w:ilvl w:val="1"/>
          <w:numId w:val="29"/>
        </w:numPr>
        <w:spacing w:after="200" w:line="276" w:lineRule="auto"/>
        <w:ind w:left="810" w:hanging="360"/>
        <w:rPr>
          <w:b w:val="1"/>
        </w:rPr>
      </w:pPr>
      <w:r w:rsidDel="00000000" w:rsidR="00000000" w:rsidRPr="00000000">
        <w:rPr>
          <w:b w:val="1"/>
          <w:rtl w:val="0"/>
        </w:rPr>
        <w:t xml:space="preserve">Commissionaire Arrangements</w:t>
      </w:r>
    </w:p>
    <w:p w:rsidR="00000000" w:rsidDel="00000000" w:rsidP="00000000" w:rsidRDefault="00000000" w:rsidRPr="00000000" w14:paraId="000000F6">
      <w:pPr>
        <w:numPr>
          <w:ilvl w:val="0"/>
          <w:numId w:val="40"/>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Revised Definition:</w:t>
      </w:r>
      <w:r w:rsidDel="00000000" w:rsidR="00000000" w:rsidRPr="00000000">
        <w:rPr>
          <w:rFonts w:ascii="Times New Roman" w:cs="Times New Roman" w:eastAsia="Times New Roman" w:hAnsi="Times New Roman"/>
          <w:sz w:val="24"/>
          <w:szCs w:val="24"/>
          <w:rtl w:val="0"/>
        </w:rPr>
        <w:t xml:space="preserve"> Expanding the PE definition to include arrangements where a person habitually plays the principal role leading to the conclusion of contracts that are routinely concluded without material modification by the enterprise. This targets commissionaire arrangements used to avoid PE status. A commissionaire arrangement allows a company to sell products in a country through an agent who acts in its name but avoids establishing a PE by not formally concluding contracts.</w:t>
      </w:r>
    </w:p>
    <w:p w:rsidR="00000000" w:rsidDel="00000000" w:rsidP="00000000" w:rsidRDefault="00000000" w:rsidRPr="00000000" w14:paraId="000000F7">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200" w:before="0" w:line="276"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Preparatory and Auxiliary Activities</w:t>
      </w:r>
      <w:r w:rsidDel="00000000" w:rsidR="00000000" w:rsidRPr="00000000">
        <w:rPr>
          <w:rtl w:val="0"/>
        </w:rPr>
      </w:r>
    </w:p>
    <w:p w:rsidR="00000000" w:rsidDel="00000000" w:rsidP="00000000" w:rsidRDefault="00000000" w:rsidRPr="00000000" w14:paraId="000000F8">
      <w:pPr>
        <w:numPr>
          <w:ilvl w:val="0"/>
          <w:numId w:val="41"/>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Narrowing Exemptions:</w:t>
      </w:r>
      <w:r w:rsidDel="00000000" w:rsidR="00000000" w:rsidRPr="00000000">
        <w:rPr>
          <w:rFonts w:ascii="Times New Roman" w:cs="Times New Roman" w:eastAsia="Times New Roman" w:hAnsi="Times New Roman"/>
          <w:sz w:val="24"/>
          <w:szCs w:val="24"/>
          <w:rtl w:val="0"/>
        </w:rPr>
        <w:t xml:space="preserve"> Clarifying that activities considered preparatory or auxiliary must be ancillary to the enterprise's core business activities. If such activities represent a significant part of the business, they may constitute a PE. This ensures that businesses cannot avoid PE status by claiming that substantial activities are merely auxiliary.</w:t>
      </w:r>
    </w:p>
    <w:p w:rsidR="00000000" w:rsidDel="00000000" w:rsidP="00000000" w:rsidRDefault="00000000" w:rsidRPr="00000000" w14:paraId="000000F9">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200" w:before="0" w:line="276" w:lineRule="auto"/>
        <w:ind w:left="810" w:right="0" w:hanging="360"/>
        <w:jc w:val="both"/>
        <w:rPr>
          <w:b w:val="1"/>
        </w:rPr>
      </w:pPr>
      <w:r w:rsidDel="00000000" w:rsidR="00000000" w:rsidRPr="00000000">
        <w:rPr>
          <w:b w:val="1"/>
          <w:rtl w:val="0"/>
        </w:rPr>
        <w:t xml:space="preserve">Anti</w:t>
      </w:r>
      <w:r w:rsidDel="00000000" w:rsidR="00000000" w:rsidRPr="00000000">
        <w:rPr>
          <w:rFonts w:ascii="Times New Roman" w:cs="Times New Roman" w:eastAsia="Times New Roman" w:hAnsi="Times New Roman"/>
          <w:b w:val="1"/>
          <w:sz w:val="24"/>
          <w:szCs w:val="24"/>
          <w:rtl w:val="0"/>
        </w:rPr>
        <w:t xml:space="preserve">-Fragmentation Rule</w:t>
      </w:r>
      <w:r w:rsidDel="00000000" w:rsidR="00000000" w:rsidRPr="00000000">
        <w:rPr>
          <w:rtl w:val="0"/>
        </w:rPr>
      </w:r>
    </w:p>
    <w:p w:rsidR="00000000" w:rsidDel="00000000" w:rsidP="00000000" w:rsidRDefault="00000000" w:rsidRPr="00000000" w14:paraId="000000FA">
      <w:pPr>
        <w:numPr>
          <w:ilvl w:val="0"/>
          <w:numId w:val="32"/>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Combining Activities:</w:t>
      </w:r>
      <w:r w:rsidDel="00000000" w:rsidR="00000000" w:rsidRPr="00000000">
        <w:rPr>
          <w:rFonts w:ascii="Times New Roman" w:cs="Times New Roman" w:eastAsia="Times New Roman" w:hAnsi="Times New Roman"/>
          <w:sz w:val="24"/>
          <w:szCs w:val="24"/>
          <w:rtl w:val="0"/>
        </w:rPr>
        <w:t xml:space="preserve"> Introducing rules to prevent the fragmentation of business activities across multiple entities to avoid PE status. This ensures that all related activities are considered together when determining PE. For example, a company might divide its operations into several small entities, each performing a part of the business, none of which individually constitutes a PE, but collectively they do.</w:t>
      </w:r>
    </w:p>
    <w:p w:rsidR="00000000" w:rsidDel="00000000" w:rsidP="00000000" w:rsidRDefault="00000000" w:rsidRPr="00000000" w14:paraId="000000FB">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200" w:before="0" w:line="276" w:lineRule="auto"/>
        <w:ind w:left="810" w:right="0" w:hanging="360"/>
        <w:jc w:val="both"/>
        <w:rPr>
          <w:b w:val="1"/>
        </w:rPr>
      </w:pPr>
      <w:r w:rsidDel="00000000" w:rsidR="00000000" w:rsidRPr="00000000">
        <w:rPr>
          <w:b w:val="1"/>
          <w:rtl w:val="0"/>
        </w:rPr>
        <w:t xml:space="preserve">Significant Economic Presence</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part of the effort to redefine PE for the digital economy, the concept of significant economic presence has been proposed:</w:t>
      </w:r>
    </w:p>
    <w:p w:rsidR="00000000" w:rsidDel="00000000" w:rsidP="00000000" w:rsidRDefault="00000000" w:rsidRPr="00000000" w14:paraId="000000FD">
      <w:pPr>
        <w:numPr>
          <w:ilvl w:val="0"/>
          <w:numId w:val="33"/>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Revenue Thresholds:</w:t>
      </w:r>
      <w:r w:rsidDel="00000000" w:rsidR="00000000" w:rsidRPr="00000000">
        <w:rPr>
          <w:rFonts w:ascii="Times New Roman" w:cs="Times New Roman" w:eastAsia="Times New Roman" w:hAnsi="Times New Roman"/>
          <w:sz w:val="24"/>
          <w:szCs w:val="24"/>
          <w:rtl w:val="0"/>
        </w:rPr>
        <w:t xml:space="preserve"> Businesses generating substantial revenue in a jurisdiction from digital activities could establish a PE, even without physical presence. This ensures that digital businesses contribute to the tax base where their economic activities occur. The revenue threshold would be set at a level that captures significant economic activity without burdening smaller enterprises.</w:t>
      </w:r>
    </w:p>
    <w:p w:rsidR="00000000" w:rsidDel="00000000" w:rsidP="00000000" w:rsidRDefault="00000000" w:rsidRPr="00000000" w14:paraId="000000FE">
      <w:pPr>
        <w:numPr>
          <w:ilvl w:val="0"/>
          <w:numId w:val="33"/>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User Base and Digital Interactions:</w:t>
      </w:r>
      <w:r w:rsidDel="00000000" w:rsidR="00000000" w:rsidRPr="00000000">
        <w:rPr>
          <w:rFonts w:ascii="Times New Roman" w:cs="Times New Roman" w:eastAsia="Times New Roman" w:hAnsi="Times New Roman"/>
          <w:sz w:val="24"/>
          <w:szCs w:val="24"/>
          <w:rtl w:val="0"/>
        </w:rPr>
        <w:t xml:space="preserve"> A significant user base or high levels of user interaction within a jurisdiction could create a PE. This recognizes the value generated by user participation and data collection. For example, social media platforms or online marketplaces with a large user base in a country could be deemed to have a PE based on their digital presence.</w:t>
      </w:r>
    </w:p>
    <w:p w:rsidR="00000000" w:rsidDel="00000000" w:rsidP="00000000" w:rsidRDefault="00000000" w:rsidRPr="00000000" w14:paraId="000000FF">
      <w:pPr>
        <w:numPr>
          <w:ilvl w:val="0"/>
          <w:numId w:val="33"/>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Digital Services and Platforms:</w:t>
      </w:r>
      <w:r w:rsidDel="00000000" w:rsidR="00000000" w:rsidRPr="00000000">
        <w:rPr>
          <w:rFonts w:ascii="Times New Roman" w:cs="Times New Roman" w:eastAsia="Times New Roman" w:hAnsi="Times New Roman"/>
          <w:sz w:val="24"/>
          <w:szCs w:val="24"/>
          <w:rtl w:val="0"/>
        </w:rPr>
        <w:t xml:space="preserve"> Providing digital services or operating digital platforms that facilitate transactions in a jurisdiction could constitute a PE. This captures the economic activities of businesses that operate without traditional physical infrastructure. Digital advertising platforms, online marketplaces, and cloud service providers are examples of businesses that might be affected by this rule.</w:t>
      </w:r>
    </w:p>
    <w:p w:rsidR="00000000" w:rsidDel="00000000" w:rsidP="00000000" w:rsidRDefault="00000000" w:rsidRPr="00000000" w14:paraId="00000100">
      <w:pPr>
        <w:pStyle w:val="Heading2"/>
        <w:numPr>
          <w:ilvl w:val="0"/>
          <w:numId w:val="29"/>
        </w:numPr>
        <w:spacing w:after="200" w:lineRule="auto"/>
        <w:ind w:left="720" w:hanging="360"/>
      </w:pPr>
      <w:bookmarkStart w:colFirst="0" w:colLast="0" w:name="_heading=h.tq8e81pvpl2n" w:id="24"/>
      <w:bookmarkEnd w:id="24"/>
      <w:r w:rsidDel="00000000" w:rsidR="00000000" w:rsidRPr="00000000">
        <w:rPr>
          <w:rtl w:val="0"/>
        </w:rPr>
        <w:t xml:space="preserve">Implementation and Challenges</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Redefining PE to address the digital economy involves several implementation challenges:</w:t>
      </w:r>
    </w:p>
    <w:p w:rsidR="00000000" w:rsidDel="00000000" w:rsidP="00000000" w:rsidRDefault="00000000" w:rsidRPr="00000000" w14:paraId="00000102">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200" w:before="0" w:line="276"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Global Consensus</w:t>
      </w: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Achieving global consensus on the new PE definition is essential to ensure a coherent international tax framework. The OECD's Inclusive Framework facilitates multilateral negotiations, but differing national interests and economic priorities complicate the process. Some countries might prefer aggressive taxation of digital businesses to protect their tax base, while others may prioritize attracting digital investments and fostering innovation.</w:t>
      </w:r>
    </w:p>
    <w:p w:rsidR="00000000" w:rsidDel="00000000" w:rsidP="00000000" w:rsidRDefault="00000000" w:rsidRPr="00000000" w14:paraId="00000104">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200" w:before="0" w:line="276"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Administrative and Compliance Burden</w:t>
      </w: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a new PE definition requires tax authorities to develop new systems and processes to identify and monitor digital businesses. This includes tracking digital transactions, user interactions, and revenue generated in the jurisdiction. Businesses must invest in robust systems and processes to ensure accurate reporting and compliance. This can be particularly challenging for small and medium-sized enterprises that may lack the resources and expertise to navigate complex international tax rules.</w:t>
      </w:r>
    </w:p>
    <w:p w:rsidR="00000000" w:rsidDel="00000000" w:rsidP="00000000" w:rsidRDefault="00000000" w:rsidRPr="00000000" w14:paraId="00000106">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200" w:before="0" w:line="276" w:lineRule="auto"/>
        <w:ind w:left="810" w:right="0" w:hanging="360"/>
        <w:jc w:val="both"/>
        <w:rPr>
          <w:b w:val="1"/>
        </w:rPr>
      </w:pPr>
      <w:r w:rsidDel="00000000" w:rsidR="00000000" w:rsidRPr="00000000">
        <w:rPr>
          <w:b w:val="1"/>
          <w:rtl w:val="0"/>
        </w:rPr>
        <w:t xml:space="preserve">Avoiding</w:t>
      </w:r>
      <w:r w:rsidDel="00000000" w:rsidR="00000000" w:rsidRPr="00000000">
        <w:rPr>
          <w:rFonts w:ascii="Times New Roman" w:cs="Times New Roman" w:eastAsia="Times New Roman" w:hAnsi="Times New Roman"/>
          <w:b w:val="1"/>
          <w:sz w:val="24"/>
          <w:szCs w:val="24"/>
          <w:rtl w:val="0"/>
        </w:rPr>
        <w:t xml:space="preserve"> Double Taxation</w:t>
      </w: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Redefining PE increases the risk of double taxation if multiple jurisdictions claim taxing rights over the same income. Effective dispute resolution mechanisms and clear guidelines on profit allocation are critical to mitigate this risk. The OECD's work on dispute resolution and mutual agreement procedures is essential to address these challenges. Businesses must navigate complex tax treaties and dispute resolution mechanisms to mitigate the risk of double taxation and ensure fair treatment.</w:t>
      </w:r>
    </w:p>
    <w:p w:rsidR="00000000" w:rsidDel="00000000" w:rsidP="00000000" w:rsidRDefault="00000000" w:rsidRPr="00000000" w14:paraId="00000108">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200" w:before="0" w:line="276"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Impact on Businesses</w:t>
      </w: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businesses must reassess their tax strategies and compliance processes in light of the new PE definition. This includes evaluating their digital presence, user base, and revenue generation in various jurisdictions to determine potential tax obligations. Strategic decisions, such as market entry and pricing, must consider the tax implications of new nexus rules. Businesses must provide detailed documentation and justifications for their transfer pricing methods, ensuring transparency and compliance with the new rules.</w:t>
      </w:r>
    </w:p>
    <w:p w:rsidR="00000000" w:rsidDel="00000000" w:rsidP="00000000" w:rsidRDefault="00000000" w:rsidRPr="00000000" w14:paraId="0000010A">
      <w:pPr>
        <w:pStyle w:val="Heading2"/>
        <w:numPr>
          <w:ilvl w:val="0"/>
          <w:numId w:val="29"/>
        </w:numPr>
        <w:spacing w:after="200" w:lineRule="auto"/>
        <w:ind w:left="720" w:hanging="360"/>
      </w:pPr>
      <w:bookmarkStart w:colFirst="0" w:colLast="0" w:name="_heading=h.e3eba6mflpm" w:id="25"/>
      <w:bookmarkEnd w:id="25"/>
      <w:r w:rsidDel="00000000" w:rsidR="00000000" w:rsidRPr="00000000">
        <w:rPr>
          <w:rtl w:val="0"/>
        </w:rPr>
        <w:t xml:space="preserve">Impact on International Tax Framework</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redefinition of PE has significant implications for the international tax framework:</w:t>
      </w:r>
    </w:p>
    <w:p w:rsidR="00000000" w:rsidDel="00000000" w:rsidP="00000000" w:rsidRDefault="00000000" w:rsidRPr="00000000" w14:paraId="0000010C">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200" w:before="0" w:line="276"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Fair Taxation</w:t>
      </w: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redefined PE concept ensures that digital businesses pay their fair share of taxes in jurisdictions where they generate significant economic value. This aligns with the principle of taxing profits where economic activities and value creation occur. Fair taxation prevents tax base erosion and supports public services and infrastructure development.</w:t>
      </w:r>
    </w:p>
    <w:p w:rsidR="00000000" w:rsidDel="00000000" w:rsidP="00000000" w:rsidRDefault="00000000" w:rsidRPr="00000000" w14:paraId="0000010E">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200" w:before="0" w:line="276"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Level Playing Field</w:t>
      </w: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capturing the economic activities of digital businesses, the new PE definition helps level the playing field between traditional and digital businesses. This prevents tax base erosion and supports domestic industries. Ensuring that all businesses, regardless of their business model, are subject to the same tax rules promotes fair competition and prevents market distortions.</w:t>
      </w:r>
    </w:p>
    <w:p w:rsidR="00000000" w:rsidDel="00000000" w:rsidP="00000000" w:rsidRDefault="00000000" w:rsidRPr="00000000" w14:paraId="00000110">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200" w:before="0" w:line="276"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Enhanced Revenue Collection</w:t>
      </w: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Redefining PE enhances revenue collection for jurisdictions by taxing digital businesses that generate substantial economic activity within their borders. This supports public services and infrastructure development. Countries can better capture the tax revenue from digital transactions that previously escaped taxation under traditional PE rules.</w:t>
      </w:r>
    </w:p>
    <w:p w:rsidR="00000000" w:rsidDel="00000000" w:rsidP="00000000" w:rsidRDefault="00000000" w:rsidRPr="00000000" w14:paraId="00000112">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200" w:before="0" w:line="276"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Complexity and Compliance</w:t>
      </w: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PE definition adds complexity to the international tax system, requiring robust administrative mechanisms and increased compliance efforts from businesses. Policymakers must balance the need for fair taxation with the burden on businesses. Simplified registration and compliance procedures, such as those recommended by the OECD, aim to mitigate these challenges.</w:t>
      </w:r>
    </w:p>
    <w:p w:rsidR="00000000" w:rsidDel="00000000" w:rsidP="00000000" w:rsidRDefault="00000000" w:rsidRPr="00000000" w14:paraId="00000114">
      <w:pPr>
        <w:rPr>
          <w:rFonts w:ascii="Times New Roman" w:cs="Times New Roman" w:eastAsia="Times New Roman" w:hAnsi="Times New Roman"/>
          <w:sz w:val="24"/>
          <w:szCs w:val="24"/>
        </w:rPr>
        <w:sectPr>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115">
      <w:pPr>
        <w:pStyle w:val="Heading1"/>
        <w:spacing w:after="240" w:before="240" w:lineRule="auto"/>
        <w:jc w:val="left"/>
        <w:rPr>
          <w:sz w:val="24"/>
          <w:szCs w:val="24"/>
        </w:rPr>
      </w:pPr>
      <w:bookmarkStart w:colFirst="0" w:colLast="0" w:name="_heading=h.nhg8kswhko9d" w:id="26"/>
      <w:bookmarkEnd w:id="26"/>
      <w:r w:rsidDel="00000000" w:rsidR="00000000" w:rsidRPr="00000000">
        <w:rPr>
          <w:rtl w:val="0"/>
        </w:rPr>
        <w:t xml:space="preserve">R.5. MULTILATERAL CONVENTION TO IMPLEMENT TAX TREATY RELATED MEASURES TO PREVENT BASE EROSION AND PROFIT SHIFTING – ALL PROVISIONS</w:t>
      </w:r>
      <w:r w:rsidDel="00000000" w:rsidR="00000000" w:rsidRPr="00000000">
        <w:rPr>
          <w:rtl w:val="0"/>
        </w:rPr>
      </w:r>
    </w:p>
    <w:p w:rsidR="00000000" w:rsidDel="00000000" w:rsidP="00000000" w:rsidRDefault="00000000" w:rsidRPr="00000000" w14:paraId="000001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Multilateral Convention to Implement Tax Treaty Related Measures to Prevent Base Erosion and Profit Shifting (MLI)</w:t>
      </w:r>
      <w:r w:rsidDel="00000000" w:rsidR="00000000" w:rsidRPr="00000000">
        <w:rPr>
          <w:rFonts w:ascii="Times New Roman" w:cs="Times New Roman" w:eastAsia="Times New Roman" w:hAnsi="Times New Roman"/>
          <w:sz w:val="24"/>
          <w:szCs w:val="24"/>
          <w:rtl w:val="0"/>
        </w:rPr>
        <w:t xml:space="preserve"> is an international legal instrument developed by the OECD/G20 as part of the Base Erosion and Profit Shifting (BEPS) project. It was opened for signature on 31 December 2016 and aims to swiftly implement a range of tax treaty measures that address tax avoidance strategies exploiting gaps and mismatches in tax rules. Rather than renegotiating thousands of bilateral tax treaties one by one, the MLI allows jurisdictions to incorporate these BEPS-driven measures into their existing treaty networks in a synchronized and efficient manner.</w:t>
      </w:r>
    </w:p>
    <w:p w:rsidR="00000000" w:rsidDel="00000000" w:rsidP="00000000" w:rsidRDefault="00000000" w:rsidRPr="00000000" w14:paraId="000001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MLI Convention is divided into </w:t>
      </w:r>
      <w:r w:rsidDel="00000000" w:rsidR="00000000" w:rsidRPr="00000000">
        <w:rPr>
          <w:rFonts w:ascii="Times New Roman" w:cs="Times New Roman" w:eastAsia="Times New Roman" w:hAnsi="Times New Roman"/>
          <w:b w:val="1"/>
          <w:sz w:val="24"/>
          <w:szCs w:val="24"/>
          <w:rtl w:val="0"/>
        </w:rPr>
        <w:t xml:space="preserve">7 Parts</w:t>
      </w:r>
      <w:r w:rsidDel="00000000" w:rsidR="00000000" w:rsidRPr="00000000">
        <w:rPr>
          <w:rFonts w:ascii="Times New Roman" w:cs="Times New Roman" w:eastAsia="Times New Roman" w:hAnsi="Times New Roman"/>
          <w:sz w:val="24"/>
          <w:szCs w:val="24"/>
          <w:rtl w:val="0"/>
        </w:rPr>
        <w:t xml:space="preserve"> (Articles 1–39). Each Part addresses a different category of treaty-related measures.</w:t>
      </w:r>
    </w:p>
    <w:p w:rsidR="00000000" w:rsidDel="00000000" w:rsidP="00000000" w:rsidRDefault="00000000" w:rsidRPr="00000000" w14:paraId="00000118">
      <w:pPr>
        <w:pStyle w:val="Heading2"/>
        <w:numPr>
          <w:ilvl w:val="0"/>
          <w:numId w:val="5"/>
        </w:numPr>
        <w:ind w:left="630" w:hanging="360"/>
        <w:rPr/>
      </w:pPr>
      <w:bookmarkStart w:colFirst="0" w:colLast="0" w:name="_heading=h.e9cosiirisda" w:id="27"/>
      <w:bookmarkEnd w:id="27"/>
      <w:r w:rsidDel="00000000" w:rsidR="00000000" w:rsidRPr="00000000">
        <w:rPr>
          <w:rtl w:val="0"/>
        </w:rPr>
        <w:t xml:space="preserve">Part I: Scope and Interpretation of Terms (Articles 1–2)</w:t>
      </w:r>
    </w:p>
    <w:p w:rsidR="00000000" w:rsidDel="00000000" w:rsidP="00000000" w:rsidRDefault="00000000" w:rsidRPr="00000000" w14:paraId="00000119">
      <w:pPr>
        <w:numPr>
          <w:ilvl w:val="1"/>
          <w:numId w:val="5"/>
        </w:numPr>
        <w:spacing w:after="160" w:afterAutospacing="0"/>
        <w:ind w:left="81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1 – Scope of the Convention</w:t>
      </w:r>
    </w:p>
    <w:p w:rsidR="00000000" w:rsidDel="00000000" w:rsidP="00000000" w:rsidRDefault="00000000" w:rsidRPr="00000000" w14:paraId="0000011A">
      <w:pPr>
        <w:numPr>
          <w:ilvl w:val="0"/>
          <w:numId w:val="53"/>
        </w:numPr>
        <w:spacing w:after="0" w:afterAutospacing="0" w:before="16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which tax treaties are covered by the MLI (“Covered Tax Agreements” or CTAs).</w:t>
      </w:r>
    </w:p>
    <w:p w:rsidR="00000000" w:rsidDel="00000000" w:rsidP="00000000" w:rsidRDefault="00000000" w:rsidRPr="00000000" w14:paraId="0000011B">
      <w:pPr>
        <w:numPr>
          <w:ilvl w:val="0"/>
          <w:numId w:val="5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Stipulates that the MLI applies to any existing bilateral tax treaty identified as a “Covered Tax Agreement” by the jurisdictions that have ratified the Convention.</w:t>
      </w:r>
    </w:p>
    <w:p w:rsidR="00000000" w:rsidDel="00000000" w:rsidP="00000000" w:rsidRDefault="00000000" w:rsidRPr="00000000" w14:paraId="0000011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afterAutospacing="0" w:before="20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2 – Interpretation of Terms</w:t>
      </w:r>
    </w:p>
    <w:p w:rsidR="00000000" w:rsidDel="00000000" w:rsidP="00000000" w:rsidRDefault="00000000" w:rsidRPr="00000000" w14:paraId="0000011D">
      <w:pPr>
        <w:numPr>
          <w:ilvl w:val="0"/>
          <w:numId w:val="49"/>
        </w:numPr>
        <w:spacing w:after="0" w:afterAutospacing="0" w:before="16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definitions for key terms (e.g., “Contracting Jurisdictions,” “Contracting States,” “Covered Tax Agreement” “Party” “Signatory”) used throughout the MLI.</w:t>
      </w:r>
    </w:p>
    <w:p w:rsidR="00000000" w:rsidDel="00000000" w:rsidP="00000000" w:rsidRDefault="00000000" w:rsidRPr="00000000" w14:paraId="0000011E">
      <w:pPr>
        <w:numPr>
          <w:ilvl w:val="0"/>
          <w:numId w:val="4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Clarifies that terms not defined in the MLI or in the Covered Tax Agreement shall have the meaning that it has at the time under the law of that jurisdiction, unless the context requires otherwise.</w:t>
      </w:r>
    </w:p>
    <w:p w:rsidR="00000000" w:rsidDel="00000000" w:rsidP="00000000" w:rsidRDefault="00000000" w:rsidRPr="00000000" w14:paraId="0000011F">
      <w:pPr>
        <w:pStyle w:val="Heading2"/>
        <w:numPr>
          <w:ilvl w:val="0"/>
          <w:numId w:val="5"/>
        </w:numPr>
        <w:ind w:left="630" w:hanging="360"/>
        <w:rPr/>
      </w:pPr>
      <w:bookmarkStart w:colFirst="0" w:colLast="0" w:name="_heading=h.71323zwxejxz" w:id="28"/>
      <w:bookmarkEnd w:id="28"/>
      <w:r w:rsidDel="00000000" w:rsidR="00000000" w:rsidRPr="00000000">
        <w:rPr>
          <w:rtl w:val="0"/>
        </w:rPr>
        <w:t xml:space="preserve">Part II: Hybrid Mismatches (Articles 3–5)</w:t>
      </w:r>
    </w:p>
    <w:p w:rsidR="00000000" w:rsidDel="00000000" w:rsidP="00000000" w:rsidRDefault="00000000" w:rsidRPr="00000000" w14:paraId="000001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provisions address situations where differences in the tax treatment of entities or instruments across jurisdictions lead to </w:t>
      </w:r>
      <w:r w:rsidDel="00000000" w:rsidR="00000000" w:rsidRPr="00000000">
        <w:rPr>
          <w:rFonts w:ascii="Times New Roman" w:cs="Times New Roman" w:eastAsia="Times New Roman" w:hAnsi="Times New Roman"/>
          <w:b w:val="1"/>
          <w:sz w:val="24"/>
          <w:szCs w:val="24"/>
          <w:rtl w:val="0"/>
        </w:rPr>
        <w:t xml:space="preserve">double non-taxation</w:t>
      </w:r>
      <w:r w:rsidDel="00000000" w:rsidR="00000000" w:rsidRPr="00000000">
        <w:rPr>
          <w:rFonts w:ascii="Times New Roman" w:cs="Times New Roman" w:eastAsia="Times New Roman" w:hAnsi="Times New Roman"/>
          <w:sz w:val="24"/>
          <w:szCs w:val="24"/>
          <w:rtl w:val="0"/>
        </w:rPr>
        <w:t xml:space="preserve"> or other unintended outcomes.</w:t>
      </w:r>
    </w:p>
    <w:p w:rsidR="00000000" w:rsidDel="00000000" w:rsidP="00000000" w:rsidRDefault="00000000" w:rsidRPr="00000000" w14:paraId="0000012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afterAutospacing="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3 – Transparent Entities</w:t>
      </w:r>
    </w:p>
    <w:p w:rsidR="00000000" w:rsidDel="00000000" w:rsidP="00000000" w:rsidRDefault="00000000" w:rsidRPr="00000000" w14:paraId="00000122">
      <w:pPr>
        <w:numPr>
          <w:ilvl w:val="0"/>
          <w:numId w:val="45"/>
        </w:numPr>
        <w:spacing w:after="0" w:afterAutospacing="0" w:before="16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that income earned through certain entities (e.g., partnerships or other “transparent” entities) is not inappropriately exempt from tax in both jurisdictions.</w:t>
      </w:r>
    </w:p>
    <w:p w:rsidR="00000000" w:rsidDel="00000000" w:rsidP="00000000" w:rsidRDefault="00000000" w:rsidRPr="00000000" w14:paraId="00000123">
      <w:pPr>
        <w:numPr>
          <w:ilvl w:val="0"/>
          <w:numId w:val="4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rules on how to treat such entities (either as residents or “flow-through” entities) for tax treaty purposes.</w:t>
      </w:r>
    </w:p>
    <w:p w:rsidR="00000000" w:rsidDel="00000000" w:rsidP="00000000" w:rsidRDefault="00000000" w:rsidRPr="00000000" w14:paraId="0000012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afterAutospacing="0" w:before="20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4 – Dual Resident Entities</w:t>
      </w:r>
    </w:p>
    <w:p w:rsidR="00000000" w:rsidDel="00000000" w:rsidP="00000000" w:rsidRDefault="00000000" w:rsidRPr="00000000" w14:paraId="00000125">
      <w:pPr>
        <w:numPr>
          <w:ilvl w:val="0"/>
          <w:numId w:val="52"/>
        </w:numPr>
        <w:spacing w:after="0" w:afterAutospacing="0" w:before="16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Deals with entities that are considered tax residents of more than one jurisdiction.</w:t>
      </w:r>
    </w:p>
    <w:p w:rsidR="00000000" w:rsidDel="00000000" w:rsidP="00000000" w:rsidRDefault="00000000" w:rsidRPr="00000000" w14:paraId="00000126">
      <w:pPr>
        <w:numPr>
          <w:ilvl w:val="0"/>
          <w:numId w:val="5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Establishes tiebreaker rules—generally requiring mutual agreement between tax authorities—to determine a single residency for treaty purposes.</w:t>
      </w:r>
    </w:p>
    <w:p w:rsidR="00000000" w:rsidDel="00000000" w:rsidP="00000000" w:rsidRDefault="00000000" w:rsidRPr="00000000" w14:paraId="0000012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afterAutospacing="0" w:before="20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5 – Application of Methods for Elimination of Double Taxation</w:t>
      </w:r>
    </w:p>
    <w:p w:rsidR="00000000" w:rsidDel="00000000" w:rsidP="00000000" w:rsidRDefault="00000000" w:rsidRPr="00000000" w14:paraId="00000128">
      <w:pPr>
        <w:numPr>
          <w:ilvl w:val="0"/>
          <w:numId w:val="16"/>
        </w:numPr>
        <w:spacing w:after="0" w:afterAutospacing="0" w:before="16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 or clarifies how jurisdictions should grant relief from double taxation in light of BEPS recommendations.</w:t>
      </w:r>
    </w:p>
    <w:p w:rsidR="00000000" w:rsidDel="00000000" w:rsidP="00000000" w:rsidRDefault="00000000" w:rsidRPr="00000000" w14:paraId="00000129">
      <w:pPr>
        <w:numPr>
          <w:ilvl w:val="0"/>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contracting jurisdictions to implement methods (e.g., exemption, credit) in a way that prevents double non-taxation.</w:t>
      </w:r>
    </w:p>
    <w:p w:rsidR="00000000" w:rsidDel="00000000" w:rsidP="00000000" w:rsidRDefault="00000000" w:rsidRPr="00000000" w14:paraId="0000012A">
      <w:pPr>
        <w:pStyle w:val="Heading2"/>
        <w:numPr>
          <w:ilvl w:val="0"/>
          <w:numId w:val="5"/>
        </w:numPr>
        <w:ind w:left="630" w:hanging="360"/>
        <w:rPr/>
      </w:pPr>
      <w:bookmarkStart w:colFirst="0" w:colLast="0" w:name="_heading=h.xsw8vba7z9br" w:id="29"/>
      <w:bookmarkEnd w:id="29"/>
      <w:r w:rsidDel="00000000" w:rsidR="00000000" w:rsidRPr="00000000">
        <w:rPr>
          <w:rtl w:val="0"/>
        </w:rPr>
        <w:t xml:space="preserve">Part III: Treaty Abuse (Articles 6–11)</w:t>
      </w:r>
    </w:p>
    <w:p w:rsidR="00000000" w:rsidDel="00000000" w:rsidP="00000000" w:rsidRDefault="00000000" w:rsidRPr="00000000" w14:paraId="0000012B">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core objective of the MLI is to </w:t>
      </w:r>
      <w:r w:rsidDel="00000000" w:rsidR="00000000" w:rsidRPr="00000000">
        <w:rPr>
          <w:rFonts w:ascii="Times New Roman" w:cs="Times New Roman" w:eastAsia="Times New Roman" w:hAnsi="Times New Roman"/>
          <w:b w:val="1"/>
          <w:sz w:val="24"/>
          <w:szCs w:val="24"/>
          <w:rtl w:val="0"/>
        </w:rPr>
        <w:t xml:space="preserve">prevent treaty abuse</w:t>
      </w:r>
      <w:r w:rsidDel="00000000" w:rsidR="00000000" w:rsidRPr="00000000">
        <w:rPr>
          <w:rFonts w:ascii="Times New Roman" w:cs="Times New Roman" w:eastAsia="Times New Roman" w:hAnsi="Times New Roman"/>
          <w:sz w:val="24"/>
          <w:szCs w:val="24"/>
          <w:rtl w:val="0"/>
        </w:rPr>
        <w:t xml:space="preserve"> (particularly treaty shopping). Part III introduces minimum standards and optional provisions targeting such abuse.</w:t>
      </w:r>
    </w:p>
    <w:p w:rsidR="00000000" w:rsidDel="00000000" w:rsidP="00000000" w:rsidRDefault="00000000" w:rsidRPr="00000000" w14:paraId="0000012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afterAutospacing="0" w:before="20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6 – Purpose of a Covered Tax Agreement</w:t>
      </w:r>
    </w:p>
    <w:p w:rsidR="00000000" w:rsidDel="00000000" w:rsidP="00000000" w:rsidRDefault="00000000" w:rsidRPr="00000000" w14:paraId="0000012D">
      <w:pPr>
        <w:numPr>
          <w:ilvl w:val="0"/>
          <w:numId w:val="51"/>
        </w:numPr>
        <w:spacing w:after="0" w:afterAutospacing="0" w:before="16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Inserts a preamble language in each Covered Tax Agreement emphasizing that treaties aim to eliminate double taxation </w:t>
      </w:r>
      <w:r w:rsidDel="00000000" w:rsidR="00000000" w:rsidRPr="00000000">
        <w:rPr>
          <w:rFonts w:ascii="Times New Roman" w:cs="Times New Roman" w:eastAsia="Times New Roman" w:hAnsi="Times New Roman"/>
          <w:b w:val="1"/>
          <w:sz w:val="24"/>
          <w:szCs w:val="24"/>
          <w:rtl w:val="0"/>
        </w:rPr>
        <w:t xml:space="preserve">without</w:t>
      </w:r>
      <w:r w:rsidDel="00000000" w:rsidR="00000000" w:rsidRPr="00000000">
        <w:rPr>
          <w:rFonts w:ascii="Times New Roman" w:cs="Times New Roman" w:eastAsia="Times New Roman" w:hAnsi="Times New Roman"/>
          <w:sz w:val="24"/>
          <w:szCs w:val="24"/>
          <w:rtl w:val="0"/>
        </w:rPr>
        <w:t xml:space="preserve"> creating opportunities for non-taxation or reduced taxation through tax evasion or avoidance.</w:t>
      </w:r>
    </w:p>
    <w:p w:rsidR="00000000" w:rsidDel="00000000" w:rsidP="00000000" w:rsidRDefault="00000000" w:rsidRPr="00000000" w14:paraId="0000012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afterAutospacing="0" w:before="20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7 – Prevention of Treaty Abuse</w:t>
      </w:r>
      <w:r w:rsidDel="00000000" w:rsidR="00000000" w:rsidRPr="00000000">
        <w:rPr>
          <w:rFonts w:ascii="Times New Roman" w:cs="Times New Roman" w:eastAsia="Times New Roman" w:hAnsi="Times New Roman"/>
          <w:sz w:val="24"/>
          <w:szCs w:val="24"/>
          <w:rtl w:val="0"/>
        </w:rPr>
        <w:t xml:space="preserve"> (Principal Purpose Test or PPT)</w:t>
      </w:r>
    </w:p>
    <w:p w:rsidR="00000000" w:rsidDel="00000000" w:rsidP="00000000" w:rsidRDefault="00000000" w:rsidRPr="00000000" w14:paraId="0000012F">
      <w:pPr>
        <w:numPr>
          <w:ilvl w:val="0"/>
          <w:numId w:val="31"/>
        </w:numPr>
        <w:spacing w:after="0" w:afterAutospacing="0" w:before="16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Introduces a </w:t>
      </w:r>
      <w:r w:rsidDel="00000000" w:rsidR="00000000" w:rsidRPr="00000000">
        <w:rPr>
          <w:rFonts w:ascii="Times New Roman" w:cs="Times New Roman" w:eastAsia="Times New Roman" w:hAnsi="Times New Roman"/>
          <w:b w:val="1"/>
          <w:sz w:val="24"/>
          <w:szCs w:val="24"/>
          <w:rtl w:val="0"/>
        </w:rPr>
        <w:t xml:space="preserve">Principal Purpose Test (PPT)</w:t>
      </w:r>
      <w:r w:rsidDel="00000000" w:rsidR="00000000" w:rsidRPr="00000000">
        <w:rPr>
          <w:rFonts w:ascii="Times New Roman" w:cs="Times New Roman" w:eastAsia="Times New Roman" w:hAnsi="Times New Roman"/>
          <w:sz w:val="24"/>
          <w:szCs w:val="24"/>
          <w:rtl w:val="0"/>
        </w:rPr>
        <w:t xml:space="preserve">, denying treaty benefits where one of the principal purposes of an arrangement is to obtain a treaty benefit inconsistent with the object and purpose of the treaty.</w:t>
      </w:r>
    </w:p>
    <w:p w:rsidR="00000000" w:rsidDel="00000000" w:rsidP="00000000" w:rsidRDefault="00000000" w:rsidRPr="00000000" w14:paraId="00000130">
      <w:pPr>
        <w:numPr>
          <w:ilvl w:val="0"/>
          <w:numId w:val="3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Jurisdictions may also adopt a </w:t>
      </w:r>
      <w:r w:rsidDel="00000000" w:rsidR="00000000" w:rsidRPr="00000000">
        <w:rPr>
          <w:rFonts w:ascii="Times New Roman" w:cs="Times New Roman" w:eastAsia="Times New Roman" w:hAnsi="Times New Roman"/>
          <w:b w:val="1"/>
          <w:sz w:val="24"/>
          <w:szCs w:val="24"/>
          <w:rtl w:val="0"/>
        </w:rPr>
        <w:t xml:space="preserve">Limitation on Benefits (LOB)</w:t>
      </w:r>
      <w:r w:rsidDel="00000000" w:rsidR="00000000" w:rsidRPr="00000000">
        <w:rPr>
          <w:rFonts w:ascii="Times New Roman" w:cs="Times New Roman" w:eastAsia="Times New Roman" w:hAnsi="Times New Roman"/>
          <w:sz w:val="24"/>
          <w:szCs w:val="24"/>
          <w:rtl w:val="0"/>
        </w:rPr>
        <w:t xml:space="preserve"> provision, but the PPT is the core minimum standard unless an equivalent measure is agreed.</w:t>
      </w:r>
    </w:p>
    <w:p w:rsidR="00000000" w:rsidDel="00000000" w:rsidP="00000000" w:rsidRDefault="00000000" w:rsidRPr="00000000" w14:paraId="0000013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afterAutospacing="0" w:before="20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8 – Dividend Transfer Transactions</w:t>
      </w:r>
    </w:p>
    <w:p w:rsidR="00000000" w:rsidDel="00000000" w:rsidP="00000000" w:rsidRDefault="00000000" w:rsidRPr="00000000" w14:paraId="00000132">
      <w:pPr>
        <w:numPr>
          <w:ilvl w:val="0"/>
          <w:numId w:val="10"/>
        </w:numPr>
        <w:spacing w:after="0" w:afterAutospacing="0" w:before="16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Targets arrangements designed to pay dividends benefiting from reduced withholding tax rates under treaties by implementing a minimum holding period or other requirements.</w:t>
      </w:r>
    </w:p>
    <w:p w:rsidR="00000000" w:rsidDel="00000000" w:rsidP="00000000" w:rsidRDefault="00000000" w:rsidRPr="00000000" w14:paraId="0000013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afterAutospacing="0" w:before="20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9 – Capital Gains from Alienation of Shares or Interests of Entities Deriving Value from Immovable Property</w:t>
      </w:r>
    </w:p>
    <w:p w:rsidR="00000000" w:rsidDel="00000000" w:rsidP="00000000" w:rsidRDefault="00000000" w:rsidRPr="00000000" w14:paraId="00000134">
      <w:pPr>
        <w:numPr>
          <w:ilvl w:val="0"/>
          <w:numId w:val="21"/>
        </w:numPr>
        <w:spacing w:after="0" w:afterAutospacing="0" w:before="16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avoidance of capital gains tax on shares or other interests that derive their value primarily from immovable property (e.g., real estate).</w:t>
      </w:r>
    </w:p>
    <w:p w:rsidR="00000000" w:rsidDel="00000000" w:rsidP="00000000" w:rsidRDefault="00000000" w:rsidRPr="00000000" w14:paraId="00000135">
      <w:pPr>
        <w:numPr>
          <w:ilvl w:val="0"/>
          <w:numId w:val="2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that gains may be taxed in the jurisdiction where the immovable property is located, subject to specified conditions.</w:t>
      </w:r>
    </w:p>
    <w:p w:rsidR="00000000" w:rsidDel="00000000" w:rsidP="00000000" w:rsidRDefault="00000000" w:rsidRPr="00000000" w14:paraId="0000013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afterAutospacing="0" w:before="20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10 – Anti-abuse Rule for Permanent Establishments Situated in Third Jurisdictions</w:t>
      </w:r>
    </w:p>
    <w:p w:rsidR="00000000" w:rsidDel="00000000" w:rsidP="00000000" w:rsidRDefault="00000000" w:rsidRPr="00000000" w14:paraId="00000137">
      <w:pPr>
        <w:numPr>
          <w:ilvl w:val="0"/>
          <w:numId w:val="19"/>
        </w:numPr>
        <w:spacing w:after="0" w:afterAutospacing="0" w:before="16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Aims to prevent the use of </w:t>
      </w:r>
      <w:r w:rsidDel="00000000" w:rsidR="00000000" w:rsidRPr="00000000">
        <w:rPr>
          <w:rFonts w:ascii="Times New Roman" w:cs="Times New Roman" w:eastAsia="Times New Roman" w:hAnsi="Times New Roman"/>
          <w:b w:val="1"/>
          <w:sz w:val="24"/>
          <w:szCs w:val="24"/>
          <w:rtl w:val="0"/>
        </w:rPr>
        <w:t xml:space="preserve">offshore permanent establishments</w:t>
      </w:r>
      <w:r w:rsidDel="00000000" w:rsidR="00000000" w:rsidRPr="00000000">
        <w:rPr>
          <w:rFonts w:ascii="Times New Roman" w:cs="Times New Roman" w:eastAsia="Times New Roman" w:hAnsi="Times New Roman"/>
          <w:sz w:val="24"/>
          <w:szCs w:val="24"/>
          <w:rtl w:val="0"/>
        </w:rPr>
        <w:t xml:space="preserve"> (PEs) for treaty shopping.</w:t>
      </w:r>
    </w:p>
    <w:p w:rsidR="00000000" w:rsidDel="00000000" w:rsidP="00000000" w:rsidRDefault="00000000" w:rsidRPr="00000000" w14:paraId="00000138">
      <w:pPr>
        <w:numPr>
          <w:ilvl w:val="0"/>
          <w:numId w:val="1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residence jurisdiction to deny treaty benefits where a PE is situated in a third jurisdiction that provides a significantly lower tax rate.</w:t>
      </w:r>
    </w:p>
    <w:p w:rsidR="00000000" w:rsidDel="00000000" w:rsidP="00000000" w:rsidRDefault="00000000" w:rsidRPr="00000000" w14:paraId="0000013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afterAutospacing="0" w:before="20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11 – Application of Tax Agreements to Restrict a Party’s Right to Tax its Own Residents</w:t>
      </w:r>
    </w:p>
    <w:p w:rsidR="00000000" w:rsidDel="00000000" w:rsidP="00000000" w:rsidRDefault="00000000" w:rsidRPr="00000000" w14:paraId="0000013A">
      <w:pPr>
        <w:numPr>
          <w:ilvl w:val="0"/>
          <w:numId w:val="7"/>
        </w:numPr>
        <w:spacing w:after="0" w:afterAutospacing="0" w:before="16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Clarifies that treaties do not prevent a jurisdiction from taxing its own residents (unless explicitly stated otherwise in the CTA).</w:t>
      </w:r>
    </w:p>
    <w:p w:rsidR="00000000" w:rsidDel="00000000" w:rsidP="00000000" w:rsidRDefault="00000000" w:rsidRPr="00000000" w14:paraId="0000013B">
      <w:pPr>
        <w:pStyle w:val="Heading2"/>
        <w:numPr>
          <w:ilvl w:val="0"/>
          <w:numId w:val="5"/>
        </w:numPr>
        <w:ind w:left="630" w:hanging="360"/>
        <w:rPr/>
      </w:pPr>
      <w:bookmarkStart w:colFirst="0" w:colLast="0" w:name="_heading=h.j1bp30436i5k" w:id="30"/>
      <w:bookmarkEnd w:id="30"/>
      <w:r w:rsidDel="00000000" w:rsidR="00000000" w:rsidRPr="00000000">
        <w:rPr>
          <w:rtl w:val="0"/>
        </w:rPr>
        <w:t xml:space="preserve">Part IV: Avoidance of Permanent Establishment (PE) Status (Articles 12–15)</w:t>
      </w:r>
    </w:p>
    <w:p w:rsidR="00000000" w:rsidDel="00000000" w:rsidP="00000000" w:rsidRDefault="00000000" w:rsidRPr="00000000" w14:paraId="0000013C">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provisions address strategies to artificially avoid creating a PE in a source country (and thus avoid local taxation).</w:t>
      </w:r>
    </w:p>
    <w:p w:rsidR="00000000" w:rsidDel="00000000" w:rsidP="00000000" w:rsidRDefault="00000000" w:rsidRPr="00000000" w14:paraId="0000013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afterAutospacing="0" w:before="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12 – Artificial Avoidance of PE Status through Commissionnaire Arrangements and Similar Strategies</w:t>
      </w:r>
    </w:p>
    <w:p w:rsidR="00000000" w:rsidDel="00000000" w:rsidP="00000000" w:rsidRDefault="00000000" w:rsidRPr="00000000" w14:paraId="0000013E">
      <w:pPr>
        <w:numPr>
          <w:ilvl w:val="0"/>
          <w:numId w:val="48"/>
        </w:numPr>
        <w:spacing w:after="0" w:afterAutospacing="0" w:before="16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Widens the definition of a PE to include certain “commissionnaire” or agency arrangements where a dependent agent habitually concludes contracts in the name of an enterprise.</w:t>
      </w:r>
    </w:p>
    <w:p w:rsidR="00000000" w:rsidDel="00000000" w:rsidP="00000000" w:rsidRDefault="00000000" w:rsidRPr="00000000" w14:paraId="0000013F">
      <w:pPr>
        <w:numPr>
          <w:ilvl w:val="0"/>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multinational enterprises from avoiding PE status by relying on artificial contractual structures.</w:t>
      </w:r>
    </w:p>
    <w:p w:rsidR="00000000" w:rsidDel="00000000" w:rsidP="00000000" w:rsidRDefault="00000000" w:rsidRPr="00000000" w14:paraId="0000014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afterAutospacing="0" w:before="20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13 – Artificial Avoidance of PE Status through the Specific Activity Exemptions</w:t>
      </w:r>
    </w:p>
    <w:p w:rsidR="00000000" w:rsidDel="00000000" w:rsidP="00000000" w:rsidRDefault="00000000" w:rsidRPr="00000000" w14:paraId="00000141">
      <w:pPr>
        <w:numPr>
          <w:ilvl w:val="0"/>
          <w:numId w:val="20"/>
        </w:numPr>
        <w:spacing w:after="0" w:afterAutospacing="0" w:before="16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Revises exceptions (e.g., warehousing, delivery, or processing of goods) that traditionally do </w:t>
      </w:r>
      <w:r w:rsidDel="00000000" w:rsidR="00000000" w:rsidRPr="00000000">
        <w:rPr>
          <w:rFonts w:ascii="Times New Roman" w:cs="Times New Roman" w:eastAsia="Times New Roman" w:hAnsi="Times New Roman"/>
          <w:b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trigger a PE.</w:t>
      </w:r>
    </w:p>
    <w:p w:rsidR="00000000" w:rsidDel="00000000" w:rsidP="00000000" w:rsidRDefault="00000000" w:rsidRPr="00000000" w14:paraId="00000142">
      <w:pPr>
        <w:numPr>
          <w:ilvl w:val="0"/>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these exceptions only apply if the activities are truly preparatory or auxiliary in nature.</w:t>
      </w:r>
    </w:p>
    <w:p w:rsidR="00000000" w:rsidDel="00000000" w:rsidP="00000000" w:rsidRDefault="00000000" w:rsidRPr="00000000" w14:paraId="0000014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afterAutospacing="0" w:before="20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14 – Splitting-up of Contracts</w:t>
      </w:r>
    </w:p>
    <w:p w:rsidR="00000000" w:rsidDel="00000000" w:rsidP="00000000" w:rsidRDefault="00000000" w:rsidRPr="00000000" w14:paraId="00000144">
      <w:pPr>
        <w:numPr>
          <w:ilvl w:val="0"/>
          <w:numId w:val="4"/>
        </w:numPr>
        <w:spacing w:after="0" w:afterAutospacing="0" w:before="16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the practice of artificially dividing a single contract (e.g., construction project) among closely related enterprises to stay below PE time thresholds.</w:t>
      </w:r>
    </w:p>
    <w:p w:rsidR="00000000" w:rsidDel="00000000" w:rsidP="00000000" w:rsidRDefault="00000000" w:rsidRPr="00000000" w14:paraId="0000014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afterAutospacing="0" w:before="20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15 – Definition of a Person Closely Related to an Enterprise</w:t>
      </w:r>
    </w:p>
    <w:p w:rsidR="00000000" w:rsidDel="00000000" w:rsidP="00000000" w:rsidRDefault="00000000" w:rsidRPr="00000000" w14:paraId="00000146">
      <w:pPr>
        <w:numPr>
          <w:ilvl w:val="0"/>
          <w:numId w:val="50"/>
        </w:numPr>
        <w:spacing w:after="240" w:before="16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definition to determine whether a person or entity is “closely related” to an enterprise—relevant for applying Articles 12–14.</w:t>
      </w:r>
    </w:p>
    <w:p w:rsidR="00000000" w:rsidDel="00000000" w:rsidP="00000000" w:rsidRDefault="00000000" w:rsidRPr="00000000" w14:paraId="000001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business models shift toward digital sales and services, changes to PE definitions and limitations on preparatory or auxiliary activities become increasingly critical. Taxpayers that structured operations to avoid PE status—e.g., splitting contracts or using commissionnaire arrangements—may need to reevaluate compliance under these updated PE rules.</w:t>
      </w:r>
    </w:p>
    <w:p w:rsidR="00000000" w:rsidDel="00000000" w:rsidP="00000000" w:rsidRDefault="00000000" w:rsidRPr="00000000" w14:paraId="00000148">
      <w:pPr>
        <w:pStyle w:val="Heading2"/>
        <w:numPr>
          <w:ilvl w:val="0"/>
          <w:numId w:val="5"/>
        </w:numPr>
        <w:ind w:left="630" w:hanging="360"/>
        <w:rPr/>
      </w:pPr>
      <w:bookmarkStart w:colFirst="0" w:colLast="0" w:name="_heading=h.6j6gz57o475t" w:id="31"/>
      <w:bookmarkEnd w:id="31"/>
      <w:r w:rsidDel="00000000" w:rsidR="00000000" w:rsidRPr="00000000">
        <w:rPr>
          <w:rtl w:val="0"/>
        </w:rPr>
        <w:t xml:space="preserve">Part V: Improving Dispute Resolution (Articles 16–17)</w:t>
      </w:r>
    </w:p>
    <w:p w:rsidR="00000000" w:rsidDel="00000000" w:rsidP="00000000" w:rsidRDefault="00000000" w:rsidRPr="00000000" w14:paraId="000001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dispute resolution, particularly via the </w:t>
      </w:r>
      <w:r w:rsidDel="00000000" w:rsidR="00000000" w:rsidRPr="00000000">
        <w:rPr>
          <w:rFonts w:ascii="Times New Roman" w:cs="Times New Roman" w:eastAsia="Times New Roman" w:hAnsi="Times New Roman"/>
          <w:b w:val="1"/>
          <w:sz w:val="24"/>
          <w:szCs w:val="24"/>
          <w:rtl w:val="0"/>
        </w:rPr>
        <w:t xml:space="preserve">Mutual Agreement Procedure (MAP)</w:t>
      </w:r>
      <w:r w:rsidDel="00000000" w:rsidR="00000000" w:rsidRPr="00000000">
        <w:rPr>
          <w:rFonts w:ascii="Times New Roman" w:cs="Times New Roman" w:eastAsia="Times New Roman" w:hAnsi="Times New Roman"/>
          <w:sz w:val="24"/>
          <w:szCs w:val="24"/>
          <w:rtl w:val="0"/>
        </w:rPr>
        <w:t xml:space="preserve">, is a minimum standard of the BEPS project.</w:t>
      </w:r>
    </w:p>
    <w:p w:rsidR="00000000" w:rsidDel="00000000" w:rsidP="00000000" w:rsidRDefault="00000000" w:rsidRPr="00000000" w14:paraId="0000014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afterAutospacing="0" w:before="20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16 – Mutual Agreement Procedure</w:t>
      </w:r>
    </w:p>
    <w:p w:rsidR="00000000" w:rsidDel="00000000" w:rsidP="00000000" w:rsidRDefault="00000000" w:rsidRPr="00000000" w14:paraId="0000014B">
      <w:pPr>
        <w:numPr>
          <w:ilvl w:val="0"/>
          <w:numId w:val="11"/>
        </w:numPr>
        <w:spacing w:after="0" w:afterAutospacing="0" w:before="16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jurisdictions to ensure that taxpayers can present a case for MAP when they consider that taxation is not in accordance with the CTA.</w:t>
      </w:r>
    </w:p>
    <w:p w:rsidR="00000000" w:rsidDel="00000000" w:rsidP="00000000" w:rsidRDefault="00000000" w:rsidRPr="00000000" w14:paraId="0000014C">
      <w:pPr>
        <w:numPr>
          <w:ilvl w:val="0"/>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Stipulates the requirement for competent authorities to endeavor to resolve the case by mutual agreement.</w:t>
      </w:r>
    </w:p>
    <w:p w:rsidR="00000000" w:rsidDel="00000000" w:rsidP="00000000" w:rsidRDefault="00000000" w:rsidRPr="00000000" w14:paraId="0000014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afterAutospacing="0" w:before="20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17 – Corresponding Adjustments</w:t>
      </w:r>
    </w:p>
    <w:p w:rsidR="00000000" w:rsidDel="00000000" w:rsidP="00000000" w:rsidRDefault="00000000" w:rsidRPr="00000000" w14:paraId="0000014E">
      <w:pPr>
        <w:numPr>
          <w:ilvl w:val="0"/>
          <w:numId w:val="42"/>
        </w:numPr>
        <w:spacing w:after="240" w:before="16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framework for corresponding adjustments in transfer pricing cases (where one country adjusts the profits of a company, the other country may need to make an offsetting adjustment to avoid double taxation).</w:t>
      </w:r>
    </w:p>
    <w:p w:rsidR="00000000" w:rsidDel="00000000" w:rsidP="00000000" w:rsidRDefault="00000000" w:rsidRPr="00000000" w14:paraId="000001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jurisdictions have agreed to specific timelines for MAP resolution, reducing prolonged disputes. This can benefit taxpayers seeking faster certainty regarding cross-border tax issues.</w:t>
      </w:r>
    </w:p>
    <w:p w:rsidR="00000000" w:rsidDel="00000000" w:rsidP="00000000" w:rsidRDefault="00000000" w:rsidRPr="00000000" w14:paraId="00000150">
      <w:pPr>
        <w:pStyle w:val="Heading2"/>
        <w:numPr>
          <w:ilvl w:val="0"/>
          <w:numId w:val="5"/>
        </w:numPr>
        <w:ind w:left="630" w:hanging="360"/>
        <w:rPr/>
      </w:pPr>
      <w:bookmarkStart w:colFirst="0" w:colLast="0" w:name="_heading=h.4csmxjfzwlwk" w:id="32"/>
      <w:bookmarkEnd w:id="32"/>
      <w:r w:rsidDel="00000000" w:rsidR="00000000" w:rsidRPr="00000000">
        <w:rPr>
          <w:rtl w:val="0"/>
        </w:rPr>
        <w:t xml:space="preserve">Part VI: Arbitration (Articles 18–26)</w:t>
      </w:r>
    </w:p>
    <w:p w:rsidR="00000000" w:rsidDel="00000000" w:rsidP="00000000" w:rsidRDefault="00000000" w:rsidRPr="00000000" w14:paraId="000001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VI is </w:t>
      </w:r>
      <w:r w:rsidDel="00000000" w:rsidR="00000000" w:rsidRPr="00000000">
        <w:rPr>
          <w:rFonts w:ascii="Times New Roman" w:cs="Times New Roman" w:eastAsia="Times New Roman" w:hAnsi="Times New Roman"/>
          <w:b w:val="1"/>
          <w:sz w:val="24"/>
          <w:szCs w:val="24"/>
          <w:rtl w:val="0"/>
        </w:rPr>
        <w:t xml:space="preserve">optional</w:t>
      </w:r>
      <w:r w:rsidDel="00000000" w:rsidR="00000000" w:rsidRPr="00000000">
        <w:rPr>
          <w:rFonts w:ascii="Times New Roman" w:cs="Times New Roman" w:eastAsia="Times New Roman" w:hAnsi="Times New Roman"/>
          <w:sz w:val="24"/>
          <w:szCs w:val="24"/>
          <w:rtl w:val="0"/>
        </w:rPr>
        <w:t xml:space="preserve"> and addresses the adoption of mandatory binding arbitration to resolve disputes that remain unresolved after a certain period under the MAP.</w:t>
      </w:r>
    </w:p>
    <w:p w:rsidR="00000000" w:rsidDel="00000000" w:rsidP="00000000" w:rsidRDefault="00000000" w:rsidRPr="00000000" w14:paraId="0000015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afterAutospacing="0" w:before="20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18 – Choice to Apply Part VI</w:t>
      </w:r>
    </w:p>
    <w:p w:rsidR="00000000" w:rsidDel="00000000" w:rsidP="00000000" w:rsidRDefault="00000000" w:rsidRPr="00000000" w14:paraId="00000153">
      <w:pPr>
        <w:numPr>
          <w:ilvl w:val="0"/>
          <w:numId w:val="8"/>
        </w:numPr>
        <w:spacing w:after="0" w:afterAutospacing="0" w:before="16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Jurisdictions must opt in if they wish to adopt mandatory arbitration.</w:t>
      </w:r>
    </w:p>
    <w:p w:rsidR="00000000" w:rsidDel="00000000" w:rsidP="00000000" w:rsidRDefault="00000000" w:rsidRPr="00000000" w14:paraId="00000154">
      <w:pPr>
        <w:numPr>
          <w:ilvl w:val="0"/>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the procedure for choosing to apply the arbitration provisions.</w:t>
      </w:r>
    </w:p>
    <w:p w:rsidR="00000000" w:rsidDel="00000000" w:rsidP="00000000" w:rsidRDefault="00000000" w:rsidRPr="00000000" w14:paraId="0000015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afterAutospacing="0" w:before="20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19 – Mandatory Binding Arbitration</w:t>
      </w:r>
    </w:p>
    <w:p w:rsidR="00000000" w:rsidDel="00000000" w:rsidP="00000000" w:rsidRDefault="00000000" w:rsidRPr="00000000" w14:paraId="00000156">
      <w:pPr>
        <w:numPr>
          <w:ilvl w:val="0"/>
          <w:numId w:val="2"/>
        </w:numPr>
        <w:spacing w:after="0" w:afterAutospacing="0" w:before="16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Establishes that if competent authorities cannot reach an agreement under MAP within a specified timeframe, unresolved issues shall be submitted to arbitration.</w:t>
      </w:r>
    </w:p>
    <w:p w:rsidR="00000000" w:rsidDel="00000000" w:rsidP="00000000" w:rsidRDefault="00000000" w:rsidRPr="00000000" w14:paraId="0000015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afterAutospacing="0" w:before="20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20 – Appointment of Arbitrators</w:t>
      </w:r>
    </w:p>
    <w:p w:rsidR="00000000" w:rsidDel="00000000" w:rsidP="00000000" w:rsidRDefault="00000000" w:rsidRPr="00000000" w14:paraId="00000158">
      <w:pPr>
        <w:numPr>
          <w:ilvl w:val="0"/>
          <w:numId w:val="18"/>
        </w:numPr>
        <w:spacing w:after="0" w:afterAutospacing="0" w:before="16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the process for selecting arbitrators and sets qualifications (e.g., independence from tax authorities).</w:t>
      </w:r>
    </w:p>
    <w:p w:rsidR="00000000" w:rsidDel="00000000" w:rsidP="00000000" w:rsidRDefault="00000000" w:rsidRPr="00000000" w14:paraId="0000015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afterAutospacing="0" w:before="20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21 – Confidentiality of Arbitration Proceedings</w:t>
      </w:r>
    </w:p>
    <w:p w:rsidR="00000000" w:rsidDel="00000000" w:rsidP="00000000" w:rsidRDefault="00000000" w:rsidRPr="00000000" w14:paraId="0000015A">
      <w:pPr>
        <w:numPr>
          <w:ilvl w:val="0"/>
          <w:numId w:val="54"/>
        </w:numPr>
        <w:spacing w:after="0" w:afterAutospacing="0" w:before="16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that arbitration proceedings and related information remain confidential.</w:t>
      </w:r>
    </w:p>
    <w:p w:rsidR="00000000" w:rsidDel="00000000" w:rsidP="00000000" w:rsidRDefault="00000000" w:rsidRPr="00000000" w14:paraId="0000015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afterAutospacing="0" w:before="20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22 – Resolution of a Case under Arbitration</w:t>
      </w:r>
    </w:p>
    <w:p w:rsidR="00000000" w:rsidDel="00000000" w:rsidP="00000000" w:rsidRDefault="00000000" w:rsidRPr="00000000" w14:paraId="0000015C">
      <w:pPr>
        <w:numPr>
          <w:ilvl w:val="0"/>
          <w:numId w:val="27"/>
        </w:numPr>
        <w:spacing w:after="0" w:afterAutospacing="0" w:before="16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how the arbitration decision is delivered and how it becomes binding upon the parties.</w:t>
      </w:r>
    </w:p>
    <w:p w:rsidR="00000000" w:rsidDel="00000000" w:rsidP="00000000" w:rsidRDefault="00000000" w:rsidRPr="00000000" w14:paraId="0000015D">
      <w:pPr>
        <w:numPr>
          <w:ilvl w:val="0"/>
          <w:numId w:val="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Typically, the final decision of the arbitrators must be implemented unless the taxpayer rejects it.</w:t>
      </w:r>
    </w:p>
    <w:p w:rsidR="00000000" w:rsidDel="00000000" w:rsidP="00000000" w:rsidRDefault="00000000" w:rsidRPr="00000000" w14:paraId="0000015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afterAutospacing="0" w:before="200" w:line="259" w:lineRule="auto"/>
        <w:ind w:left="810" w:right="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Articles 23–26</w:t>
      </w:r>
    </w:p>
    <w:p w:rsidR="00000000" w:rsidDel="00000000" w:rsidP="00000000" w:rsidRDefault="00000000" w:rsidRPr="00000000" w14:paraId="0000015F">
      <w:pPr>
        <w:numPr>
          <w:ilvl w:val="0"/>
          <w:numId w:val="3"/>
        </w:numPr>
        <w:spacing w:after="0" w:afterAutospacing="0" w:before="16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various procedural aspects of arbitration, including compatibility with MAP, type of arbitration process, and other technical matters.</w:t>
      </w:r>
    </w:p>
    <w:p w:rsidR="00000000" w:rsidDel="00000000" w:rsidP="00000000" w:rsidRDefault="00000000" w:rsidRPr="00000000" w14:paraId="00000160">
      <w:pPr>
        <w:pStyle w:val="Heading2"/>
        <w:numPr>
          <w:ilvl w:val="0"/>
          <w:numId w:val="5"/>
        </w:numPr>
        <w:ind w:left="630" w:hanging="360"/>
        <w:rPr/>
      </w:pPr>
      <w:bookmarkStart w:colFirst="0" w:colLast="0" w:name="_heading=h.fqqt4tikewrv" w:id="33"/>
      <w:bookmarkEnd w:id="33"/>
      <w:r w:rsidDel="00000000" w:rsidR="00000000" w:rsidRPr="00000000">
        <w:rPr>
          <w:rtl w:val="0"/>
        </w:rPr>
        <w:t xml:space="preserve">Part VII: Final Provisions (Articles 27–39)</w:t>
      </w:r>
    </w:p>
    <w:p w:rsidR="00000000" w:rsidDel="00000000" w:rsidP="00000000" w:rsidRDefault="00000000" w:rsidRPr="00000000" w14:paraId="000001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articles lay out </w:t>
      </w:r>
      <w:r w:rsidDel="00000000" w:rsidR="00000000" w:rsidRPr="00000000">
        <w:rPr>
          <w:rFonts w:ascii="Times New Roman" w:cs="Times New Roman" w:eastAsia="Times New Roman" w:hAnsi="Times New Roman"/>
          <w:b w:val="1"/>
          <w:sz w:val="24"/>
          <w:szCs w:val="24"/>
          <w:rtl w:val="0"/>
        </w:rPr>
        <w:t xml:space="preserve">procedural and administrative</w:t>
      </w:r>
      <w:r w:rsidDel="00000000" w:rsidR="00000000" w:rsidRPr="00000000">
        <w:rPr>
          <w:rFonts w:ascii="Times New Roman" w:cs="Times New Roman" w:eastAsia="Times New Roman" w:hAnsi="Times New Roman"/>
          <w:sz w:val="24"/>
          <w:szCs w:val="24"/>
          <w:rtl w:val="0"/>
        </w:rPr>
        <w:t xml:space="preserve"> details governing how the MLI takes effect, how reservations and notifications are made, and how future changes might be implemented.</w:t>
      </w:r>
    </w:p>
    <w:p w:rsidR="00000000" w:rsidDel="00000000" w:rsidP="00000000" w:rsidRDefault="00000000" w:rsidRPr="00000000" w14:paraId="00000162">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27 – Signature and Ratification</w:t>
      </w:r>
      <w:r w:rsidDel="00000000" w:rsidR="00000000" w:rsidRPr="00000000">
        <w:rPr>
          <w:rFonts w:ascii="Times New Roman" w:cs="Times New Roman" w:eastAsia="Times New Roman" w:hAnsi="Times New Roman"/>
          <w:sz w:val="24"/>
          <w:szCs w:val="24"/>
          <w:rtl w:val="0"/>
        </w:rPr>
        <w:t xml:space="preserve">: Lays out requirements for states/jurisdictions to sign, accept, or approve the Convention.</w:t>
      </w:r>
    </w:p>
    <w:p w:rsidR="00000000" w:rsidDel="00000000" w:rsidP="00000000" w:rsidRDefault="00000000" w:rsidRPr="00000000" w14:paraId="0000016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28 – Subsequent Modifications to a Covered Tax Agreement</w:t>
      </w:r>
      <w:r w:rsidDel="00000000" w:rsidR="00000000" w:rsidRPr="00000000">
        <w:rPr>
          <w:rFonts w:ascii="Times New Roman" w:cs="Times New Roman" w:eastAsia="Times New Roman" w:hAnsi="Times New Roman"/>
          <w:sz w:val="24"/>
          <w:szCs w:val="24"/>
          <w:rtl w:val="0"/>
        </w:rPr>
        <w:t xml:space="preserve">: Clarifies how the MLI interacts with any subsequent protocol or amendment to a bilateral treaty.</w:t>
      </w:r>
    </w:p>
    <w:p w:rsidR="00000000" w:rsidDel="00000000" w:rsidP="00000000" w:rsidRDefault="00000000" w:rsidRPr="00000000" w14:paraId="0000016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29 – Reservations</w:t>
      </w:r>
      <w:r w:rsidDel="00000000" w:rsidR="00000000" w:rsidRPr="00000000">
        <w:rPr>
          <w:rFonts w:ascii="Times New Roman" w:cs="Times New Roman" w:eastAsia="Times New Roman" w:hAnsi="Times New Roman"/>
          <w:sz w:val="24"/>
          <w:szCs w:val="24"/>
          <w:rtl w:val="0"/>
        </w:rPr>
        <w:t xml:space="preserve">: Details how parties can make reservations to certain (non-minimum standard) provisions to tailor the application of the MLI.</w:t>
      </w:r>
    </w:p>
    <w:p w:rsidR="00000000" w:rsidDel="00000000" w:rsidP="00000000" w:rsidRDefault="00000000" w:rsidRPr="00000000" w14:paraId="0000016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30 – Notifications</w:t>
      </w:r>
      <w:r w:rsidDel="00000000" w:rsidR="00000000" w:rsidRPr="00000000">
        <w:rPr>
          <w:rFonts w:ascii="Times New Roman" w:cs="Times New Roman" w:eastAsia="Times New Roman" w:hAnsi="Times New Roman"/>
          <w:sz w:val="24"/>
          <w:szCs w:val="24"/>
          <w:rtl w:val="0"/>
        </w:rPr>
        <w:t xml:space="preserve">: Explains the procedure for jurisdictions to notify the Depositary of their positions regarding provisions, reservations, and choices.</w:t>
      </w:r>
    </w:p>
    <w:p w:rsidR="00000000" w:rsidDel="00000000" w:rsidP="00000000" w:rsidRDefault="00000000" w:rsidRPr="00000000" w14:paraId="0000016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31 – Subsequent Agreements</w:t>
      </w:r>
      <w:r w:rsidDel="00000000" w:rsidR="00000000" w:rsidRPr="00000000">
        <w:rPr>
          <w:rFonts w:ascii="Times New Roman" w:cs="Times New Roman" w:eastAsia="Times New Roman" w:hAnsi="Times New Roman"/>
          <w:sz w:val="24"/>
          <w:szCs w:val="24"/>
          <w:rtl w:val="0"/>
        </w:rPr>
        <w:t xml:space="preserve">: Addresses how parties may agree on interpretative positions after the MLI has taken effect.</w:t>
      </w:r>
    </w:p>
    <w:p w:rsidR="00000000" w:rsidDel="00000000" w:rsidP="00000000" w:rsidRDefault="00000000" w:rsidRPr="00000000" w14:paraId="0000016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32 – Review Clause</w:t>
      </w:r>
      <w:r w:rsidDel="00000000" w:rsidR="00000000" w:rsidRPr="00000000">
        <w:rPr>
          <w:rFonts w:ascii="Times New Roman" w:cs="Times New Roman" w:eastAsia="Times New Roman" w:hAnsi="Times New Roman"/>
          <w:sz w:val="24"/>
          <w:szCs w:val="24"/>
          <w:rtl w:val="0"/>
        </w:rPr>
        <w:t xml:space="preserve">: Mandates review of the MLI’s effectiveness.</w:t>
      </w:r>
    </w:p>
    <w:p w:rsidR="00000000" w:rsidDel="00000000" w:rsidP="00000000" w:rsidRDefault="00000000" w:rsidRPr="00000000" w14:paraId="0000016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33 – Interpretation and Implementation</w:t>
      </w:r>
      <w:r w:rsidDel="00000000" w:rsidR="00000000" w:rsidRPr="00000000">
        <w:rPr>
          <w:rFonts w:ascii="Times New Roman" w:cs="Times New Roman" w:eastAsia="Times New Roman" w:hAnsi="Times New Roman"/>
          <w:sz w:val="24"/>
          <w:szCs w:val="24"/>
          <w:rtl w:val="0"/>
        </w:rPr>
        <w:t xml:space="preserve">: Allows for consultation among parties about issues of interpretation or application.</w:t>
      </w:r>
    </w:p>
    <w:p w:rsidR="00000000" w:rsidDel="00000000" w:rsidP="00000000" w:rsidRDefault="00000000" w:rsidRPr="00000000" w14:paraId="0000016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34 – Amendments</w:t>
      </w:r>
      <w:r w:rsidDel="00000000" w:rsidR="00000000" w:rsidRPr="00000000">
        <w:rPr>
          <w:rFonts w:ascii="Times New Roman" w:cs="Times New Roman" w:eastAsia="Times New Roman" w:hAnsi="Times New Roman"/>
          <w:sz w:val="24"/>
          <w:szCs w:val="24"/>
          <w:rtl w:val="0"/>
        </w:rPr>
        <w:t xml:space="preserve">: Provides for possible future amendments to the MLI itself.</w:t>
      </w:r>
    </w:p>
    <w:p w:rsidR="00000000" w:rsidDel="00000000" w:rsidP="00000000" w:rsidRDefault="00000000" w:rsidRPr="00000000" w14:paraId="0000016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35 – Entry into Force</w:t>
      </w:r>
      <w:r w:rsidDel="00000000" w:rsidR="00000000" w:rsidRPr="00000000">
        <w:rPr>
          <w:rFonts w:ascii="Times New Roman" w:cs="Times New Roman" w:eastAsia="Times New Roman" w:hAnsi="Times New Roman"/>
          <w:sz w:val="24"/>
          <w:szCs w:val="24"/>
          <w:rtl w:val="0"/>
        </w:rPr>
        <w:t xml:space="preserve">: Specifies when the MLI enters into force for each signatory (once ratification requirements are met).</w:t>
      </w:r>
    </w:p>
    <w:p w:rsidR="00000000" w:rsidDel="00000000" w:rsidP="00000000" w:rsidRDefault="00000000" w:rsidRPr="00000000" w14:paraId="0000016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36 – Entry into Effect</w:t>
      </w:r>
      <w:r w:rsidDel="00000000" w:rsidR="00000000" w:rsidRPr="00000000">
        <w:rPr>
          <w:rFonts w:ascii="Times New Roman" w:cs="Times New Roman" w:eastAsia="Times New Roman" w:hAnsi="Times New Roman"/>
          <w:sz w:val="24"/>
          <w:szCs w:val="24"/>
          <w:rtl w:val="0"/>
        </w:rPr>
        <w:t xml:space="preserve">: Addresses when the MLI modifications actually take effect in relation to each Covered Tax Agreement (typically tied to taxable periods).</w:t>
      </w:r>
    </w:p>
    <w:p w:rsidR="00000000" w:rsidDel="00000000" w:rsidP="00000000" w:rsidRDefault="00000000" w:rsidRPr="00000000" w14:paraId="0000016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37 – Parties with No Covered Tax Agreements in Force</w:t>
      </w:r>
      <w:r w:rsidDel="00000000" w:rsidR="00000000" w:rsidRPr="00000000">
        <w:rPr>
          <w:rFonts w:ascii="Times New Roman" w:cs="Times New Roman" w:eastAsia="Times New Roman" w:hAnsi="Times New Roman"/>
          <w:sz w:val="24"/>
          <w:szCs w:val="24"/>
          <w:rtl w:val="0"/>
        </w:rPr>
        <w:t xml:space="preserve">: Addresses the situation when a jurisdiction does not have any active tax treaties.</w:t>
      </w:r>
    </w:p>
    <w:p w:rsidR="00000000" w:rsidDel="00000000" w:rsidP="00000000" w:rsidRDefault="00000000" w:rsidRPr="00000000" w14:paraId="0000016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38 – Coordinating Amendments</w:t>
      </w:r>
      <w:r w:rsidDel="00000000" w:rsidR="00000000" w:rsidRPr="00000000">
        <w:rPr>
          <w:rFonts w:ascii="Times New Roman" w:cs="Times New Roman" w:eastAsia="Times New Roman" w:hAnsi="Times New Roman"/>
          <w:sz w:val="24"/>
          <w:szCs w:val="24"/>
          <w:rtl w:val="0"/>
        </w:rPr>
        <w:t xml:space="preserve">: Technical coordination with other international instruments.</w:t>
      </w:r>
    </w:p>
    <w:p w:rsidR="00000000" w:rsidDel="00000000" w:rsidP="00000000" w:rsidRDefault="00000000" w:rsidRPr="00000000" w14:paraId="0000016E">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39 – Depositary</w:t>
      </w:r>
      <w:r w:rsidDel="00000000" w:rsidR="00000000" w:rsidRPr="00000000">
        <w:rPr>
          <w:rFonts w:ascii="Times New Roman" w:cs="Times New Roman" w:eastAsia="Times New Roman" w:hAnsi="Times New Roman"/>
          <w:sz w:val="24"/>
          <w:szCs w:val="24"/>
          <w:rtl w:val="0"/>
        </w:rPr>
        <w:t xml:space="preserve">: Identifies the Secretary-General of the OECD as the Depositary.</w:t>
      </w:r>
    </w:p>
    <w:p w:rsidR="00000000" w:rsidDel="00000000" w:rsidP="00000000" w:rsidRDefault="00000000" w:rsidRPr="00000000" w14:paraId="0000016F">
      <w:pPr>
        <w:spacing w:after="240" w:before="240" w:lineRule="auto"/>
        <w:ind w:left="0" w:firstLine="0"/>
        <w:rPr>
          <w:rFonts w:ascii="Times New Roman" w:cs="Times New Roman" w:eastAsia="Times New Roman" w:hAnsi="Times New Roman"/>
          <w:sz w:val="24"/>
          <w:szCs w:val="24"/>
        </w:rPr>
        <w:sectPr>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170">
      <w:pPr>
        <w:pStyle w:val="Heading1"/>
        <w:spacing w:after="240" w:before="240" w:lineRule="auto"/>
        <w:jc w:val="left"/>
        <w:rPr/>
      </w:pPr>
      <w:bookmarkStart w:colFirst="0" w:colLast="0" w:name="_heading=h.p11hap66dxvp" w:id="34"/>
      <w:bookmarkEnd w:id="34"/>
      <w:r w:rsidDel="00000000" w:rsidR="00000000" w:rsidRPr="00000000">
        <w:rPr>
          <w:rtl w:val="0"/>
        </w:rPr>
        <w:t xml:space="preserve">R.6. EXPLANATORY STATEMENT</w:t>
      </w:r>
    </w:p>
    <w:p w:rsidR="00000000" w:rsidDel="00000000" w:rsidP="00000000" w:rsidRDefault="00000000" w:rsidRPr="00000000" w14:paraId="00000171">
      <w:pPr>
        <w:keepNext w:val="0"/>
        <w:keepLines w:val="0"/>
        <w:spacing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Multilateral Convention to Implement Tax Treaty Related Measures to Prevent Base Erosion and Profit Shifting (MLI) represents a significant step toward updating and improving the international tax treaty framework. It incorporates measures from the OECD/G20 Base Erosion and Profit Shifting (BEPS) Project to combat tax avoidance practices effectively and efficiently across a global network of tax treaties.</w:t>
      </w:r>
    </w:p>
    <w:p w:rsidR="00000000" w:rsidDel="00000000" w:rsidP="00000000" w:rsidRDefault="00000000" w:rsidRPr="00000000" w14:paraId="00000172">
      <w:pPr>
        <w:pStyle w:val="Heading2"/>
        <w:numPr>
          <w:ilvl w:val="0"/>
          <w:numId w:val="9"/>
        </w:numPr>
        <w:ind w:left="630" w:hanging="360"/>
      </w:pPr>
      <w:bookmarkStart w:colFirst="0" w:colLast="0" w:name="_heading=h.d4qx3fmfzj5z" w:id="35"/>
      <w:bookmarkEnd w:id="35"/>
      <w:r w:rsidDel="00000000" w:rsidR="00000000" w:rsidRPr="00000000">
        <w:rPr>
          <w:rtl w:val="0"/>
        </w:rPr>
        <w:t xml:space="preserve">Purpose and Background</w:t>
      </w:r>
    </w:p>
    <w:p w:rsidR="00000000" w:rsidDel="00000000" w:rsidP="00000000" w:rsidRDefault="00000000" w:rsidRPr="00000000" w14:paraId="00000173">
      <w:pPr>
        <w:numPr>
          <w:ilvl w:val="1"/>
          <w:numId w:val="9"/>
        </w:numPr>
        <w:ind w:left="810" w:hanging="360"/>
        <w:rPr>
          <w:b w:val="1"/>
        </w:rPr>
      </w:pPr>
      <w:r w:rsidDel="00000000" w:rsidR="00000000" w:rsidRPr="00000000">
        <w:rPr>
          <w:b w:val="1"/>
          <w:rtl w:val="0"/>
        </w:rPr>
        <w:t xml:space="preserve">Objective of the MLI</w:t>
      </w:r>
    </w:p>
    <w:p w:rsidR="00000000" w:rsidDel="00000000" w:rsidP="00000000" w:rsidRDefault="00000000" w:rsidRPr="00000000" w14:paraId="0000017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Multilateral Convention to Implement Tax Treaty Related Measures to Prevent Base Erosion and Profit Shifting (MLI) addresses critical vulnerabilities in the international tax framework. These gaps have been exploited by businesses employing strategies to artificially shift profits to jurisdictions with low or no tax, even where there is little or no economic activity. Such practices, known as base erosion and profit shifting (BEPS), undermine the tax revenues of nations worldwide, creating an uneven playing field between multinational enterprises and domestic businesses.</w:t>
      </w:r>
    </w:p>
    <w:p w:rsidR="00000000" w:rsidDel="00000000" w:rsidP="00000000" w:rsidRDefault="00000000" w:rsidRPr="00000000" w14:paraId="0000017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MLI provides an innovative and efficient mechanism to amend multiple bilateral tax treaties simultaneously. Traditionally, altering the provisions of tax treaties required bilateral negotiations, which are both resource-intensive and time-consuming. The MLI circumvents this issue by allowing jurisdictions to apply BEPS measures to their existing tax treaties en masse, significantly accelerating the process and reducing administrative burdens.</w:t>
      </w:r>
    </w:p>
    <w:p w:rsidR="00000000" w:rsidDel="00000000" w:rsidP="00000000" w:rsidRDefault="00000000" w:rsidRPr="00000000" w14:paraId="0000017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b w:val="1"/>
        </w:rPr>
      </w:pPr>
      <w:r w:rsidDel="00000000" w:rsidR="00000000" w:rsidRPr="00000000">
        <w:rPr>
          <w:rFonts w:ascii="Times New Roman" w:cs="Times New Roman" w:eastAsia="Times New Roman" w:hAnsi="Times New Roman"/>
          <w:b w:val="1"/>
          <w:i w:val="0"/>
          <w:color w:val="000000"/>
          <w:rtl w:val="0"/>
        </w:rPr>
        <w:t xml:space="preserve">Origins and Development</w:t>
      </w:r>
    </w:p>
    <w:p w:rsidR="00000000" w:rsidDel="00000000" w:rsidP="00000000" w:rsidRDefault="00000000" w:rsidRPr="00000000" w14:paraId="0000017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MLI emerged as part of the broader Base Erosion and Profit Shifting (BEPS) Project initiated by the Organisation for Economic Co-operation and Development (OECD) and endorsed by the G20 in 2013. The BEPS Project was designed to identify and address practices that erode tax bases and shift profits away from jurisdictions where real economic activity occurs.</w:t>
      </w:r>
    </w:p>
    <w:p w:rsidR="00000000" w:rsidDel="00000000" w:rsidP="00000000" w:rsidRDefault="00000000" w:rsidRPr="00000000" w14:paraId="0000017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identified 15 critical areas, referred to as BEPS Actions, that needed global coordination to tackle BEPS comprehensively. Action 15 specifically called for the development of a multilateral instrument to swiftly implement tax treaty-related measures across a vast network of bilateral treaties. This recommendation culminated in the creation of the MLI, a groundbreaking instrument that allows jurisdictions to incorporate BEPS measures into their tax treaties without requiring individual treaty renegotiations.</w:t>
      </w:r>
    </w:p>
    <w:p w:rsidR="00000000" w:rsidDel="00000000" w:rsidP="00000000" w:rsidRDefault="00000000" w:rsidRPr="00000000" w14:paraId="0000017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MLI was developed through extensive consultation and collaboration among over 100 jurisdictions on an equal footing. This collective effort ensured that the MLI reflected the diverse tax policy priorities of participating countries while achieving the shared objective of combating BEPS.</w:t>
      </w:r>
    </w:p>
    <w:p w:rsidR="00000000" w:rsidDel="00000000" w:rsidP="00000000" w:rsidRDefault="00000000" w:rsidRPr="00000000" w14:paraId="0000017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b w:val="1"/>
        </w:rPr>
      </w:pPr>
      <w:r w:rsidDel="00000000" w:rsidR="00000000" w:rsidRPr="00000000">
        <w:rPr>
          <w:rFonts w:ascii="Times New Roman" w:cs="Times New Roman" w:eastAsia="Times New Roman" w:hAnsi="Times New Roman"/>
          <w:b w:val="1"/>
          <w:i w:val="0"/>
          <w:color w:val="000000"/>
          <w:rtl w:val="0"/>
        </w:rPr>
        <w:t xml:space="preserve">Challenges Addressed</w:t>
      </w:r>
    </w:p>
    <w:p w:rsidR="00000000" w:rsidDel="00000000" w:rsidP="00000000" w:rsidRDefault="00000000" w:rsidRPr="00000000" w14:paraId="0000017B">
      <w:pPr>
        <w:numPr>
          <w:ilvl w:val="0"/>
          <w:numId w:val="14"/>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global tax treaty network comprises over 3,000 bilateral agreements, many of which contain provisions that inadvertently facilitate BEPS. Addressing this issue through bilateral negotiations would have been an impractical and lengthy process, delaying the implementation of critical reforms.</w:t>
      </w:r>
    </w:p>
    <w:p w:rsidR="00000000" w:rsidDel="00000000" w:rsidP="00000000" w:rsidRDefault="00000000" w:rsidRPr="00000000" w14:paraId="0000017C">
      <w:pPr>
        <w:numPr>
          <w:ilvl w:val="0"/>
          <w:numId w:val="14"/>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MLI resolves this challenge by offering a coordinated and streamlined approach to amending treaties. By allowing jurisdictions to simultaneously apply agreed-upon BEPS measures to their Covered Tax Agreements (CTAs), the MLI ensures that tax treaties align with modern international tax principles. This approach reduces administrative burdens, expedites reforms, and promotes consistency across the global tax framework.</w:t>
      </w:r>
    </w:p>
    <w:p w:rsidR="00000000" w:rsidDel="00000000" w:rsidP="00000000" w:rsidRDefault="00000000" w:rsidRPr="00000000" w14:paraId="0000017D">
      <w:pPr>
        <w:numPr>
          <w:ilvl w:val="0"/>
          <w:numId w:val="14"/>
        </w:numPr>
        <w:spacing w:after="20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MLI also addresses the challenge of treaty abuse, such as treaty shopping, and ensures that profits are taxed where economic activities occur and value is created. By implementing standardized provisions, the MLI enhances the integrity and fairness of the international tax system.</w:t>
      </w:r>
    </w:p>
    <w:p w:rsidR="00000000" w:rsidDel="00000000" w:rsidP="00000000" w:rsidRDefault="00000000" w:rsidRPr="00000000" w14:paraId="0000017E">
      <w:pPr>
        <w:pStyle w:val="Heading2"/>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160" w:line="259" w:lineRule="auto"/>
        <w:ind w:left="630" w:right="0" w:hanging="360"/>
        <w:jc w:val="both"/>
      </w:pPr>
      <w:bookmarkStart w:colFirst="0" w:colLast="0" w:name="_heading=h.dsclczl9yvsv" w:id="36"/>
      <w:bookmarkEnd w:id="36"/>
      <w:r w:rsidDel="00000000" w:rsidR="00000000" w:rsidRPr="00000000">
        <w:rPr>
          <w:rFonts w:ascii="Times New Roman" w:cs="Times New Roman" w:eastAsia="Times New Roman" w:hAnsi="Times New Roman"/>
          <w:b w:val="1"/>
          <w:color w:val="000000"/>
          <w:sz w:val="26"/>
          <w:szCs w:val="26"/>
          <w:rtl w:val="0"/>
        </w:rPr>
        <w:t xml:space="preserve">Scope and Application</w:t>
      </w:r>
    </w:p>
    <w:p w:rsidR="00000000" w:rsidDel="00000000" w:rsidP="00000000" w:rsidRDefault="00000000" w:rsidRPr="00000000" w14:paraId="0000017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b w:val="1"/>
        </w:rPr>
      </w:pPr>
      <w:r w:rsidDel="00000000" w:rsidR="00000000" w:rsidRPr="00000000">
        <w:rPr>
          <w:rFonts w:ascii="Times New Roman" w:cs="Times New Roman" w:eastAsia="Times New Roman" w:hAnsi="Times New Roman"/>
          <w:b w:val="1"/>
          <w:sz w:val="24"/>
          <w:szCs w:val="24"/>
          <w:rtl w:val="0"/>
        </w:rPr>
        <w:t xml:space="preserve">Covered Tax Agreements (CTAs)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0">
      <w:pPr>
        <w:numPr>
          <w:ilvl w:val="0"/>
          <w:numId w:val="43"/>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MLI applies to CTAs, which are bilateral or multilateral tax treaties explicitly listed by jurisdictions participating in the MLI.</w:t>
      </w:r>
    </w:p>
    <w:p w:rsidR="00000000" w:rsidDel="00000000" w:rsidP="00000000" w:rsidRDefault="00000000" w:rsidRPr="00000000" w14:paraId="00000181">
      <w:pPr>
        <w:numPr>
          <w:ilvl w:val="0"/>
          <w:numId w:val="43"/>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Jurisdictions have the flexibility to include or exclude treaties from the scope of the MLI.</w:t>
      </w:r>
    </w:p>
    <w:p w:rsidR="00000000" w:rsidDel="00000000" w:rsidP="00000000" w:rsidRDefault="00000000" w:rsidRPr="00000000" w14:paraId="0000018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b w:val="1"/>
        </w:rPr>
      </w:pPr>
      <w:r w:rsidDel="00000000" w:rsidR="00000000" w:rsidRPr="00000000">
        <w:rPr>
          <w:b w:val="1"/>
          <w:rtl w:val="0"/>
        </w:rPr>
        <w:t xml:space="preserve">Implementation</w:t>
      </w:r>
      <w:r w:rsidDel="00000000" w:rsidR="00000000" w:rsidRPr="00000000">
        <w:rPr>
          <w:rFonts w:ascii="Times New Roman" w:cs="Times New Roman" w:eastAsia="Times New Roman" w:hAnsi="Times New Roman"/>
          <w:b w:val="1"/>
          <w:sz w:val="24"/>
          <w:szCs w:val="24"/>
          <w:rtl w:val="0"/>
        </w:rPr>
        <w:t xml:space="preserve"> Method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traditional treaty amendments that modify the text of a treaty, the MLI introduces provisions that operate alongside existing treaties. This design ensures that jurisdictions can implement BEPS measures without altering the original language of their treaties. Instead, the MLI modifies how specific treaty provisions are applied, ensuring alignment with modern tax principles.</w:t>
      </w:r>
    </w:p>
    <w:p w:rsidR="00000000" w:rsidDel="00000000" w:rsidP="00000000" w:rsidRDefault="00000000" w:rsidRPr="00000000" w14:paraId="000001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MLI introduces anti-abuse rules, provisions to address hybrid mismatches, and measures to prevent the artificial avoidance of permanent establishment status. These provisions are applied in conjunction with existing treaty rules, enhancing their effectiveness without requiring extensive renegotiations.</w:t>
      </w:r>
    </w:p>
    <w:p w:rsidR="00000000" w:rsidDel="00000000" w:rsidP="00000000" w:rsidRDefault="00000000" w:rsidRPr="00000000" w14:paraId="0000018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b w:val="1"/>
        </w:rPr>
      </w:pPr>
      <w:r w:rsidDel="00000000" w:rsidR="00000000" w:rsidRPr="00000000">
        <w:rPr>
          <w:b w:val="1"/>
          <w:rtl w:val="0"/>
        </w:rPr>
        <w:t xml:space="preserve">Global</w:t>
      </w:r>
      <w:r w:rsidDel="00000000" w:rsidR="00000000" w:rsidRPr="00000000">
        <w:rPr>
          <w:rFonts w:ascii="Times New Roman" w:cs="Times New Roman" w:eastAsia="Times New Roman" w:hAnsi="Times New Roman"/>
          <w:b w:val="1"/>
          <w:sz w:val="24"/>
          <w:szCs w:val="24"/>
          <w:rtl w:val="0"/>
        </w:rPr>
        <w:t xml:space="preserve"> Reach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MLI reflects the collective efforts of over 100 jurisdictions that participated in its development. These jurisdictions represent a diverse range of economies, including developed, developing, and emerging markets, ensuring that the MLI addresses the needs of the global community.</w:t>
      </w:r>
    </w:p>
    <w:p w:rsidR="00000000" w:rsidDel="00000000" w:rsidP="00000000" w:rsidRDefault="00000000" w:rsidRPr="00000000" w14:paraId="000001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widespread participation and adoption of the MLI highlight its significance as a consensus-driven instrument. It is expected to impact a substantial portion of the global tax treaty network, bringing over 1,800 treaties within its scope as of its initial implementation phase. This broad coverage ensures that the MLI has a transformative effect on the international tax landscape, fostering greater fairness and consistency in the taxation of cross-border activities.</w:t>
      </w:r>
    </w:p>
    <w:p w:rsidR="00000000" w:rsidDel="00000000" w:rsidP="00000000" w:rsidRDefault="00000000" w:rsidRPr="00000000" w14:paraId="000001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providing a scalable and flexible solution, the MLI serves as a model for future multilateral initiatives in international taxation. It demonstrates the potential for coordinated global action to address complex tax challenges in an interconnected world.</w:t>
      </w:r>
    </w:p>
    <w:p w:rsidR="00000000" w:rsidDel="00000000" w:rsidP="00000000" w:rsidRDefault="00000000" w:rsidRPr="00000000" w14:paraId="00000189">
      <w:pPr>
        <w:pStyle w:val="Heading2"/>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160" w:line="259" w:lineRule="auto"/>
        <w:ind w:left="630" w:right="0" w:hanging="360"/>
        <w:jc w:val="both"/>
      </w:pPr>
      <w:bookmarkStart w:colFirst="0" w:colLast="0" w:name="_heading=h.ntvap2c5bc6o" w:id="37"/>
      <w:bookmarkEnd w:id="37"/>
      <w:r w:rsidDel="00000000" w:rsidR="00000000" w:rsidRPr="00000000">
        <w:rPr>
          <w:rFonts w:ascii="Times New Roman" w:cs="Times New Roman" w:eastAsia="Times New Roman" w:hAnsi="Times New Roman"/>
          <w:b w:val="1"/>
          <w:color w:val="000000"/>
          <w:sz w:val="26"/>
          <w:szCs w:val="26"/>
          <w:rtl w:val="0"/>
        </w:rPr>
        <w:t xml:space="preserve">Key Articles of the MLI</w:t>
      </w:r>
    </w:p>
    <w:p w:rsidR="00000000" w:rsidDel="00000000" w:rsidP="00000000" w:rsidRDefault="00000000" w:rsidRPr="00000000" w14:paraId="000001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MLI contains several key articles designed to implement the tax treaty-related measures developed during the Base Erosion and Profit Shifting (BEPS) Project. These articles address specific challenges in the international tax framework and enhance the fairness and effectiveness of tax treaties.</w:t>
      </w:r>
    </w:p>
    <w:p w:rsidR="00000000" w:rsidDel="00000000" w:rsidP="00000000" w:rsidRDefault="00000000" w:rsidRPr="00000000" w14:paraId="0000018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b w:val="1"/>
        </w:rPr>
      </w:pPr>
      <w:r w:rsidDel="00000000" w:rsidR="00000000" w:rsidRPr="00000000">
        <w:rPr>
          <w:rFonts w:ascii="Times New Roman" w:cs="Times New Roman" w:eastAsia="Times New Roman" w:hAnsi="Times New Roman"/>
          <w:b w:val="1"/>
          <w:i w:val="0"/>
          <w:color w:val="000000"/>
          <w:rtl w:val="0"/>
        </w:rPr>
        <w:t xml:space="preserve">Hybrid Mismatches (Articles 3-5)</w:t>
      </w:r>
    </w:p>
    <w:p w:rsidR="00000000" w:rsidDel="00000000" w:rsidP="00000000" w:rsidRDefault="00000000" w:rsidRPr="00000000" w14:paraId="000001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mismatches arise when differences in the tax treatment of entities, instruments, or transactions between jurisdictions lead to double non-taxation or unintended tax benefits. The MLI tackles these issues through the following provisions:</w:t>
      </w:r>
    </w:p>
    <w:p w:rsidR="00000000" w:rsidDel="00000000" w:rsidP="00000000" w:rsidRDefault="00000000" w:rsidRPr="00000000" w14:paraId="0000018D">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160" w:before="0" w:line="259" w:lineRule="auto"/>
        <w:ind w:left="990" w:right="0" w:hanging="360"/>
        <w:jc w:val="both"/>
        <w:rPr>
          <w:b w:val="1"/>
          <w:i w:val="1"/>
        </w:rPr>
      </w:pPr>
      <w:r w:rsidDel="00000000" w:rsidR="00000000" w:rsidRPr="00000000">
        <w:rPr>
          <w:rFonts w:ascii="Times New Roman" w:cs="Times New Roman" w:eastAsia="Times New Roman" w:hAnsi="Times New Roman"/>
          <w:b w:val="1"/>
          <w:i w:val="1"/>
          <w:sz w:val="24"/>
          <w:szCs w:val="24"/>
          <w:rtl w:val="0"/>
        </w:rPr>
        <w:t xml:space="preserve">Transparent Entities (Article 3)</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8E">
      <w:pPr>
        <w:numPr>
          <w:ilvl w:val="0"/>
          <w:numId w:val="44"/>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Ensures that income derived through entities treated as fiscally transparent in one jurisdiction is taxed in the hands of the relevant taxpayer in the other jurisdiction.</w:t>
      </w:r>
    </w:p>
    <w:p w:rsidR="00000000" w:rsidDel="00000000" w:rsidP="00000000" w:rsidRDefault="00000000" w:rsidRPr="00000000" w14:paraId="0000018F">
      <w:pPr>
        <w:numPr>
          <w:ilvl w:val="0"/>
          <w:numId w:val="44"/>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Aligns the treatment of transparent entities across jurisdictions to prevent double non-taxation.</w:t>
      </w:r>
    </w:p>
    <w:p w:rsidR="00000000" w:rsidDel="00000000" w:rsidP="00000000" w:rsidRDefault="00000000" w:rsidRPr="00000000" w14:paraId="00000190">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160" w:before="200" w:line="259" w:lineRule="auto"/>
        <w:ind w:left="990" w:right="0" w:hanging="360"/>
        <w:jc w:val="both"/>
        <w:rPr>
          <w:b w:val="1"/>
          <w:i w:val="1"/>
        </w:rPr>
      </w:pPr>
      <w:r w:rsidDel="00000000" w:rsidR="00000000" w:rsidRPr="00000000">
        <w:rPr>
          <w:rFonts w:ascii="Times New Roman" w:cs="Times New Roman" w:eastAsia="Times New Roman" w:hAnsi="Times New Roman"/>
          <w:b w:val="1"/>
          <w:i w:val="1"/>
          <w:sz w:val="24"/>
          <w:szCs w:val="24"/>
          <w:rtl w:val="0"/>
        </w:rPr>
        <w:t xml:space="preserve">Dual Resident Entities (Article 4)</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91">
      <w:pPr>
        <w:numPr>
          <w:ilvl w:val="0"/>
          <w:numId w:val="47"/>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Establishes rules for determining the tax residency of entities considered residents of more than one jurisdiction.</w:t>
      </w:r>
    </w:p>
    <w:p w:rsidR="00000000" w:rsidDel="00000000" w:rsidP="00000000" w:rsidRDefault="00000000" w:rsidRPr="00000000" w14:paraId="00000192">
      <w:pPr>
        <w:numPr>
          <w:ilvl w:val="0"/>
          <w:numId w:val="47"/>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Promotes certainty by requiring competent authorities to agree on the residency status of such entities, considering factors like effective management and incorporation.</w:t>
      </w:r>
    </w:p>
    <w:p w:rsidR="00000000" w:rsidDel="00000000" w:rsidP="00000000" w:rsidRDefault="00000000" w:rsidRPr="00000000" w14:paraId="00000193">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160" w:before="200" w:line="259" w:lineRule="auto"/>
        <w:ind w:left="990" w:right="0" w:hanging="360"/>
        <w:jc w:val="both"/>
        <w:rPr>
          <w:b w:val="1"/>
          <w:i w:val="1"/>
        </w:rPr>
      </w:pPr>
      <w:r w:rsidDel="00000000" w:rsidR="00000000" w:rsidRPr="00000000">
        <w:rPr>
          <w:b w:val="1"/>
          <w:i w:val="1"/>
          <w:rtl w:val="0"/>
        </w:rPr>
        <w:t xml:space="preserve">Application</w:t>
      </w:r>
      <w:r w:rsidDel="00000000" w:rsidR="00000000" w:rsidRPr="00000000">
        <w:rPr>
          <w:rFonts w:ascii="Times New Roman" w:cs="Times New Roman" w:eastAsia="Times New Roman" w:hAnsi="Times New Roman"/>
          <w:b w:val="1"/>
          <w:i w:val="1"/>
          <w:sz w:val="24"/>
          <w:szCs w:val="24"/>
          <w:rtl w:val="0"/>
        </w:rPr>
        <w:t xml:space="preserve"> of Methods for the Elimination of Double Taxation (Article 5)</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94">
      <w:pPr>
        <w:numPr>
          <w:ilvl w:val="0"/>
          <w:numId w:val="46"/>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Modifies treaty provisions to address situations where income exempted in one jurisdiction is not taxed in the other, resulting in double non-taxation.</w:t>
      </w:r>
    </w:p>
    <w:p w:rsidR="00000000" w:rsidDel="00000000" w:rsidP="00000000" w:rsidRDefault="00000000" w:rsidRPr="00000000" w14:paraId="00000195">
      <w:pPr>
        <w:numPr>
          <w:ilvl w:val="0"/>
          <w:numId w:val="46"/>
        </w:numPr>
        <w:spacing w:after="20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Offers multiple options (credit, exemption, or hybrid methods) to eliminate double taxation while preventing abuse.</w:t>
      </w:r>
    </w:p>
    <w:p w:rsidR="00000000" w:rsidDel="00000000" w:rsidP="00000000" w:rsidRDefault="00000000" w:rsidRPr="00000000" w14:paraId="0000019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b w:val="1"/>
        </w:rPr>
      </w:pPr>
      <w:r w:rsidDel="00000000" w:rsidR="00000000" w:rsidRPr="00000000">
        <w:rPr>
          <w:rFonts w:ascii="Times New Roman" w:cs="Times New Roman" w:eastAsia="Times New Roman" w:hAnsi="Times New Roman"/>
          <w:b w:val="1"/>
          <w:i w:val="0"/>
          <w:color w:val="000000"/>
          <w:rtl w:val="0"/>
        </w:rPr>
        <w:t xml:space="preserve">Prevention of Treaty Abuse (Articles 6-7)</w:t>
      </w:r>
    </w:p>
    <w:p w:rsidR="00000000" w:rsidDel="00000000" w:rsidP="00000000" w:rsidRDefault="00000000" w:rsidRPr="00000000" w14:paraId="000001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MLI incorporates measures to combat treaty abuse, including treaty shopping, which undermines the integrity of tax treaties:</w:t>
      </w:r>
    </w:p>
    <w:p w:rsidR="00000000" w:rsidDel="00000000" w:rsidP="00000000" w:rsidRDefault="00000000" w:rsidRPr="00000000" w14:paraId="00000198">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160" w:before="200" w:line="259" w:lineRule="auto"/>
        <w:ind w:left="990" w:right="0" w:hanging="360"/>
        <w:jc w:val="both"/>
        <w:rPr>
          <w:b w:val="1"/>
          <w:i w:val="1"/>
        </w:rPr>
      </w:pPr>
      <w:r w:rsidDel="00000000" w:rsidR="00000000" w:rsidRPr="00000000">
        <w:rPr>
          <w:rFonts w:ascii="Times New Roman" w:cs="Times New Roman" w:eastAsia="Times New Roman" w:hAnsi="Times New Roman"/>
          <w:b w:val="1"/>
          <w:i w:val="1"/>
          <w:sz w:val="24"/>
          <w:szCs w:val="24"/>
          <w:rtl w:val="0"/>
        </w:rPr>
        <w:t xml:space="preserve">Purpose of a Covered Tax Agreement (Article 6)</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99">
      <w:pPr>
        <w:numPr>
          <w:ilvl w:val="0"/>
          <w:numId w:val="23"/>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Revises the preamble of tax treaties to explicitly state that their purpose is to eliminate double taxation without facilitating opportunities for tax evasion or avoidance.</w:t>
      </w:r>
    </w:p>
    <w:p w:rsidR="00000000" w:rsidDel="00000000" w:rsidP="00000000" w:rsidRDefault="00000000" w:rsidRPr="00000000" w14:paraId="0000019A">
      <w:pPr>
        <w:numPr>
          <w:ilvl w:val="0"/>
          <w:numId w:val="23"/>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clarification ensures that treaties are interpreted in line with their intended objectives.</w:t>
      </w:r>
    </w:p>
    <w:p w:rsidR="00000000" w:rsidDel="00000000" w:rsidP="00000000" w:rsidRDefault="00000000" w:rsidRPr="00000000" w14:paraId="0000019B">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160" w:before="200" w:line="259" w:lineRule="auto"/>
        <w:ind w:left="990" w:right="0" w:hanging="360"/>
        <w:jc w:val="both"/>
        <w:rPr>
          <w:b w:val="1"/>
          <w:i w:val="1"/>
        </w:rPr>
      </w:pPr>
      <w:r w:rsidDel="00000000" w:rsidR="00000000" w:rsidRPr="00000000">
        <w:rPr>
          <w:b w:val="1"/>
          <w:i w:val="1"/>
          <w:rtl w:val="0"/>
        </w:rPr>
        <w:t xml:space="preserve">Principal</w:t>
      </w:r>
      <w:r w:rsidDel="00000000" w:rsidR="00000000" w:rsidRPr="00000000">
        <w:rPr>
          <w:rFonts w:ascii="Times New Roman" w:cs="Times New Roman" w:eastAsia="Times New Roman" w:hAnsi="Times New Roman"/>
          <w:b w:val="1"/>
          <w:i w:val="1"/>
          <w:sz w:val="24"/>
          <w:szCs w:val="24"/>
          <w:rtl w:val="0"/>
        </w:rPr>
        <w:t xml:space="preserve"> Purpose Test (PPT) and Limitation on Benefits (LOB) (Article 7)</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9C">
      <w:pPr>
        <w:numPr>
          <w:ilvl w:val="0"/>
          <w:numId w:val="22"/>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Principal Purpose Test (PPT)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D">
      <w:pPr>
        <w:numPr>
          <w:ilvl w:val="1"/>
          <w:numId w:val="22"/>
        </w:numPr>
        <w:spacing w:after="200" w:before="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Denies treaty benefits if obtaining such benefits was one of the principal purposes of an arrangement or transaction, unless it aligns with the treaty’s object and purpose.</w:t>
      </w:r>
    </w:p>
    <w:p w:rsidR="00000000" w:rsidDel="00000000" w:rsidP="00000000" w:rsidRDefault="00000000" w:rsidRPr="00000000" w14:paraId="0000019E">
      <w:pPr>
        <w:numPr>
          <w:ilvl w:val="1"/>
          <w:numId w:val="22"/>
        </w:numPr>
        <w:spacing w:after="200" w:before="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Acts as a broad anti-abuse rule, providing flexibility to address various forms of treaty shopping.</w:t>
      </w:r>
    </w:p>
    <w:p w:rsidR="00000000" w:rsidDel="00000000" w:rsidP="00000000" w:rsidRDefault="00000000" w:rsidRPr="00000000" w14:paraId="0000019F">
      <w:pPr>
        <w:numPr>
          <w:ilvl w:val="0"/>
          <w:numId w:val="22"/>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Simplified Limitation on Benefits (LOB)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0">
      <w:pPr>
        <w:numPr>
          <w:ilvl w:val="1"/>
          <w:numId w:val="22"/>
        </w:numPr>
        <w:spacing w:after="200" w:before="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Limits treaty benefits to entities meeting specific conditions, such as residency and ownership requirements.</w:t>
      </w:r>
    </w:p>
    <w:p w:rsidR="00000000" w:rsidDel="00000000" w:rsidP="00000000" w:rsidRDefault="00000000" w:rsidRPr="00000000" w14:paraId="000001A1">
      <w:pPr>
        <w:numPr>
          <w:ilvl w:val="1"/>
          <w:numId w:val="22"/>
        </w:numPr>
        <w:spacing w:after="20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be adopted as a supplementary measure to the PPT for enhanced protection against abuse.</w:t>
      </w:r>
    </w:p>
    <w:p w:rsidR="00000000" w:rsidDel="00000000" w:rsidP="00000000" w:rsidRDefault="00000000" w:rsidRPr="00000000" w14:paraId="000001A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b w:val="1"/>
        </w:rPr>
      </w:pPr>
      <w:r w:rsidDel="00000000" w:rsidR="00000000" w:rsidRPr="00000000">
        <w:rPr>
          <w:b w:val="1"/>
          <w:i w:val="0"/>
          <w:color w:val="000000"/>
          <w:rtl w:val="0"/>
        </w:rPr>
        <w:t xml:space="preserve">Avoidance</w:t>
      </w:r>
      <w:r w:rsidDel="00000000" w:rsidR="00000000" w:rsidRPr="00000000">
        <w:rPr>
          <w:rFonts w:ascii="Times New Roman" w:cs="Times New Roman" w:eastAsia="Times New Roman" w:hAnsi="Times New Roman"/>
          <w:b w:val="1"/>
          <w:i w:val="0"/>
          <w:color w:val="000000"/>
          <w:rtl w:val="0"/>
        </w:rPr>
        <w:t xml:space="preserve"> of Permanent Establishment (PE) Status (Articles 12-15)</w:t>
      </w:r>
    </w:p>
    <w:p w:rsidR="00000000" w:rsidDel="00000000" w:rsidP="00000000" w:rsidRDefault="00000000" w:rsidRPr="00000000" w14:paraId="000001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MLI addresses strategies used to artificially avoid recognition of a Permanent Establishment (PE), a key factor in determining taxable presence:</w:t>
      </w:r>
    </w:p>
    <w:p w:rsidR="00000000" w:rsidDel="00000000" w:rsidP="00000000" w:rsidRDefault="00000000" w:rsidRPr="00000000" w14:paraId="000001A4">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160" w:before="200" w:line="259" w:lineRule="auto"/>
        <w:ind w:left="990" w:right="0" w:hanging="360"/>
        <w:jc w:val="both"/>
        <w:rPr>
          <w:b w:val="1"/>
          <w:i w:val="1"/>
        </w:rPr>
      </w:pPr>
      <w:r w:rsidDel="00000000" w:rsidR="00000000" w:rsidRPr="00000000">
        <w:rPr>
          <w:b w:val="1"/>
          <w:i w:val="1"/>
          <w:rtl w:val="0"/>
        </w:rPr>
        <w:t xml:space="preserve">Commissionaire</w:t>
      </w:r>
      <w:r w:rsidDel="00000000" w:rsidR="00000000" w:rsidRPr="00000000">
        <w:rPr>
          <w:rFonts w:ascii="Times New Roman" w:cs="Times New Roman" w:eastAsia="Times New Roman" w:hAnsi="Times New Roman"/>
          <w:b w:val="1"/>
          <w:i w:val="1"/>
          <w:sz w:val="24"/>
          <w:szCs w:val="24"/>
          <w:rtl w:val="0"/>
        </w:rPr>
        <w:t xml:space="preserve"> Arrangements and Similar Strategies (Article 12)</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A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that arrangements where intermediaries act on behalf of enterprises to conclude contracts are recognized as PEs, preventing artificial avoidance of taxable presence.</w:t>
      </w:r>
    </w:p>
    <w:p w:rsidR="00000000" w:rsidDel="00000000" w:rsidP="00000000" w:rsidRDefault="00000000" w:rsidRPr="00000000" w14:paraId="000001A6">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160" w:before="200" w:line="259" w:lineRule="auto"/>
        <w:ind w:left="990" w:right="0" w:hanging="360"/>
        <w:jc w:val="both"/>
        <w:rPr>
          <w:b w:val="1"/>
          <w:i w:val="1"/>
        </w:rPr>
      </w:pPr>
      <w:r w:rsidDel="00000000" w:rsidR="00000000" w:rsidRPr="00000000">
        <w:rPr>
          <w:b w:val="1"/>
          <w:i w:val="1"/>
          <w:rtl w:val="0"/>
        </w:rPr>
        <w:t xml:space="preserve">Specific</w:t>
      </w:r>
      <w:r w:rsidDel="00000000" w:rsidR="00000000" w:rsidRPr="00000000">
        <w:rPr>
          <w:rFonts w:ascii="Times New Roman" w:cs="Times New Roman" w:eastAsia="Times New Roman" w:hAnsi="Times New Roman"/>
          <w:b w:val="1"/>
          <w:i w:val="1"/>
          <w:sz w:val="24"/>
          <w:szCs w:val="24"/>
          <w:rtl w:val="0"/>
        </w:rPr>
        <w:t xml:space="preserve"> Activity Exemptions (Article 13)</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A7">
      <w:pPr>
        <w:numPr>
          <w:ilvl w:val="0"/>
          <w:numId w:val="24"/>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Revises existing exemptions for preparatory or auxiliary activities (e.g., storage, display, or delivery of goods) to ensure these cannot be misused to avoid PE status.</w:t>
      </w:r>
    </w:p>
    <w:p w:rsidR="00000000" w:rsidDel="00000000" w:rsidP="00000000" w:rsidRDefault="00000000" w:rsidRPr="00000000" w14:paraId="000001A8">
      <w:pPr>
        <w:numPr>
          <w:ilvl w:val="0"/>
          <w:numId w:val="24"/>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Introduces anti-fragmentation rules to prevent splitting of activities among related parties to fall under exemptions.</w:t>
      </w:r>
    </w:p>
    <w:p w:rsidR="00000000" w:rsidDel="00000000" w:rsidP="00000000" w:rsidRDefault="00000000" w:rsidRPr="00000000" w14:paraId="000001A9">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160" w:before="200" w:line="259" w:lineRule="auto"/>
        <w:ind w:left="990" w:right="0" w:hanging="360"/>
        <w:jc w:val="both"/>
        <w:rPr>
          <w:b w:val="1"/>
          <w:i w:val="1"/>
        </w:rPr>
      </w:pPr>
      <w:r w:rsidDel="00000000" w:rsidR="00000000" w:rsidRPr="00000000">
        <w:rPr>
          <w:b w:val="1"/>
          <w:i w:val="1"/>
          <w:rtl w:val="0"/>
        </w:rPr>
        <w:t xml:space="preserve">Splitting</w:t>
      </w:r>
      <w:r w:rsidDel="00000000" w:rsidR="00000000" w:rsidRPr="00000000">
        <w:rPr>
          <w:rFonts w:ascii="Times New Roman" w:cs="Times New Roman" w:eastAsia="Times New Roman" w:hAnsi="Times New Roman"/>
          <w:b w:val="1"/>
          <w:i w:val="1"/>
          <w:sz w:val="24"/>
          <w:szCs w:val="24"/>
          <w:rtl w:val="0"/>
        </w:rPr>
        <w:t xml:space="preserve"> of Contracts (Article 14)</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A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the artificial division of contracts to avoid meeting time thresholds for PEs, particularly in construction, installation, or service projects.</w:t>
      </w:r>
    </w:p>
    <w:p w:rsidR="00000000" w:rsidDel="00000000" w:rsidP="00000000" w:rsidRDefault="00000000" w:rsidRPr="00000000" w14:paraId="000001AB">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160" w:before="200" w:line="259" w:lineRule="auto"/>
        <w:ind w:left="990" w:right="0" w:hanging="360"/>
        <w:jc w:val="both"/>
        <w:rPr>
          <w:b w:val="1"/>
          <w:i w:val="1"/>
        </w:rPr>
      </w:pPr>
      <w:r w:rsidDel="00000000" w:rsidR="00000000" w:rsidRPr="00000000">
        <w:rPr>
          <w:b w:val="1"/>
          <w:i w:val="1"/>
          <w:rtl w:val="0"/>
        </w:rPr>
        <w:t xml:space="preserve">Definition</w:t>
      </w:r>
      <w:r w:rsidDel="00000000" w:rsidR="00000000" w:rsidRPr="00000000">
        <w:rPr>
          <w:rFonts w:ascii="Times New Roman" w:cs="Times New Roman" w:eastAsia="Times New Roman" w:hAnsi="Times New Roman"/>
          <w:b w:val="1"/>
          <w:i w:val="1"/>
          <w:sz w:val="24"/>
          <w:szCs w:val="24"/>
          <w:rtl w:val="0"/>
        </w:rPr>
        <w:t xml:space="preserve"> of "Closely Related Enterprises" (Article 15)</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A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Establishes criteria for determining when entities are "closely related," a critical factor in applying anti-fragmentation and other rules effectively.</w:t>
      </w:r>
    </w:p>
    <w:p w:rsidR="00000000" w:rsidDel="00000000" w:rsidP="00000000" w:rsidRDefault="00000000" w:rsidRPr="00000000" w14:paraId="000001A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b w:val="1"/>
        </w:rPr>
      </w:pPr>
      <w:r w:rsidDel="00000000" w:rsidR="00000000" w:rsidRPr="00000000">
        <w:rPr>
          <w:b w:val="1"/>
          <w:i w:val="0"/>
          <w:color w:val="000000"/>
          <w:rtl w:val="0"/>
        </w:rPr>
        <w:t xml:space="preserve">Elimination</w:t>
      </w:r>
      <w:r w:rsidDel="00000000" w:rsidR="00000000" w:rsidRPr="00000000">
        <w:rPr>
          <w:rFonts w:ascii="Times New Roman" w:cs="Times New Roman" w:eastAsia="Times New Roman" w:hAnsi="Times New Roman"/>
          <w:b w:val="1"/>
          <w:i w:val="0"/>
          <w:color w:val="000000"/>
          <w:rtl w:val="0"/>
        </w:rPr>
        <w:t xml:space="preserve"> of Double Taxation (Articles 5 and 9)</w:t>
      </w:r>
    </w:p>
    <w:p w:rsidR="00000000" w:rsidDel="00000000" w:rsidP="00000000" w:rsidRDefault="00000000" w:rsidRPr="00000000" w14:paraId="000001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MLI includes provisions to ensure that double taxation is effectively eliminated without creating opportunities for double non-taxation:</w:t>
      </w:r>
    </w:p>
    <w:p w:rsidR="00000000" w:rsidDel="00000000" w:rsidP="00000000" w:rsidRDefault="00000000" w:rsidRPr="00000000" w14:paraId="000001AF">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160" w:before="200" w:line="259" w:lineRule="auto"/>
        <w:ind w:left="990" w:right="0" w:hanging="360"/>
        <w:jc w:val="both"/>
        <w:rPr>
          <w:b w:val="1"/>
          <w:i w:val="1"/>
        </w:rPr>
      </w:pPr>
      <w:r w:rsidDel="00000000" w:rsidR="00000000" w:rsidRPr="00000000">
        <w:rPr>
          <w:b w:val="1"/>
          <w:i w:val="1"/>
          <w:rtl w:val="0"/>
        </w:rPr>
        <w:t xml:space="preserve">Dividend</w:t>
      </w:r>
      <w:r w:rsidDel="00000000" w:rsidR="00000000" w:rsidRPr="00000000">
        <w:rPr>
          <w:rFonts w:ascii="Times New Roman" w:cs="Times New Roman" w:eastAsia="Times New Roman" w:hAnsi="Times New Roman"/>
          <w:b w:val="1"/>
          <w:i w:val="1"/>
          <w:sz w:val="24"/>
          <w:szCs w:val="24"/>
          <w:rtl w:val="0"/>
        </w:rPr>
        <w:t xml:space="preserve"> Transfer Transactions (Article 5)</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B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treaty abuse in cases where reduced withholding tax rates on dividends are misused through artificially structured transactions.</w:t>
      </w:r>
    </w:p>
    <w:p w:rsidR="00000000" w:rsidDel="00000000" w:rsidP="00000000" w:rsidRDefault="00000000" w:rsidRPr="00000000" w14:paraId="000001B1">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160" w:before="200" w:line="259" w:lineRule="auto"/>
        <w:ind w:left="990" w:right="0" w:hanging="360"/>
        <w:jc w:val="both"/>
        <w:rPr>
          <w:b w:val="1"/>
          <w:i w:val="1"/>
        </w:rPr>
      </w:pPr>
      <w:r w:rsidDel="00000000" w:rsidR="00000000" w:rsidRPr="00000000">
        <w:rPr>
          <w:b w:val="1"/>
          <w:i w:val="1"/>
          <w:rtl w:val="0"/>
        </w:rPr>
        <w:t xml:space="preserve">Capital</w:t>
      </w:r>
      <w:r w:rsidDel="00000000" w:rsidR="00000000" w:rsidRPr="00000000">
        <w:rPr>
          <w:rFonts w:ascii="Times New Roman" w:cs="Times New Roman" w:eastAsia="Times New Roman" w:hAnsi="Times New Roman"/>
          <w:b w:val="1"/>
          <w:i w:val="1"/>
          <w:sz w:val="24"/>
          <w:szCs w:val="24"/>
          <w:rtl w:val="0"/>
        </w:rPr>
        <w:t xml:space="preserve"> Gains from Alienation of Shares or Interests in Immovable Property Entities (Article 9)</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B2">
      <w:pPr>
        <w:numPr>
          <w:ilvl w:val="0"/>
          <w:numId w:val="6"/>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Addresses situations where the value of shares or interests is derived principally from immovable property but is excluded from taxation due to treaty provisions.</w:t>
      </w:r>
    </w:p>
    <w:p w:rsidR="00000000" w:rsidDel="00000000" w:rsidP="00000000" w:rsidRDefault="00000000" w:rsidRPr="00000000" w14:paraId="000001B3">
      <w:pPr>
        <w:numPr>
          <w:ilvl w:val="0"/>
          <w:numId w:val="6"/>
        </w:numPr>
        <w:spacing w:after="20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Introduces a 365-day lookback period to determine whether immovable property forms the principal value of an entity.</w:t>
      </w:r>
    </w:p>
    <w:p w:rsidR="00000000" w:rsidDel="00000000" w:rsidP="00000000" w:rsidRDefault="00000000" w:rsidRPr="00000000" w14:paraId="000001B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b w:val="1"/>
        </w:rPr>
      </w:pPr>
      <w:r w:rsidDel="00000000" w:rsidR="00000000" w:rsidRPr="00000000">
        <w:rPr>
          <w:b w:val="1"/>
          <w:i w:val="0"/>
          <w:color w:val="000000"/>
          <w:rtl w:val="0"/>
        </w:rPr>
        <w:t xml:space="preserve">Arbitration</w:t>
      </w:r>
      <w:r w:rsidDel="00000000" w:rsidR="00000000" w:rsidRPr="00000000">
        <w:rPr>
          <w:rFonts w:ascii="Times New Roman" w:cs="Times New Roman" w:eastAsia="Times New Roman" w:hAnsi="Times New Roman"/>
          <w:b w:val="1"/>
          <w:i w:val="0"/>
          <w:color w:val="000000"/>
          <w:rtl w:val="0"/>
        </w:rPr>
        <w:t xml:space="preserve"> (Part VI)</w:t>
      </w:r>
    </w:p>
    <w:p w:rsidR="00000000" w:rsidDel="00000000" w:rsidP="00000000" w:rsidRDefault="00000000" w:rsidRPr="00000000" w14:paraId="000001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MLI strengthens the dispute resolution mechanism by offering an optional framework for binding arbitration:</w:t>
      </w:r>
    </w:p>
    <w:p w:rsidR="00000000" w:rsidDel="00000000" w:rsidP="00000000" w:rsidRDefault="00000000" w:rsidRPr="00000000" w14:paraId="000001B6">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160" w:before="200" w:line="259" w:lineRule="auto"/>
        <w:ind w:left="990" w:right="0" w:hanging="360"/>
        <w:jc w:val="both"/>
        <w:rPr>
          <w:b w:val="1"/>
          <w:i w:val="1"/>
        </w:rPr>
      </w:pPr>
      <w:r w:rsidDel="00000000" w:rsidR="00000000" w:rsidRPr="00000000">
        <w:rPr>
          <w:b w:val="1"/>
          <w:i w:val="1"/>
          <w:rtl w:val="0"/>
        </w:rPr>
        <w:t xml:space="preserve">Mandatory</w:t>
      </w:r>
      <w:r w:rsidDel="00000000" w:rsidR="00000000" w:rsidRPr="00000000">
        <w:rPr>
          <w:rFonts w:ascii="Times New Roman" w:cs="Times New Roman" w:eastAsia="Times New Roman" w:hAnsi="Times New Roman"/>
          <w:b w:val="1"/>
          <w:i w:val="1"/>
          <w:sz w:val="24"/>
          <w:szCs w:val="24"/>
          <w:rtl w:val="0"/>
        </w:rPr>
        <w:t xml:space="preserve"> Binding Arbitration (Articles 18-26)</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B7">
      <w:pPr>
        <w:numPr>
          <w:ilvl w:val="0"/>
          <w:numId w:val="30"/>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Provides a mechanism to resolve disputes under the Mutual Agreement Procedure (MAP) when competent authorities fail to reach an agreement within a specified timeframe.</w:t>
      </w:r>
    </w:p>
    <w:p w:rsidR="00000000" w:rsidDel="00000000" w:rsidP="00000000" w:rsidRDefault="00000000" w:rsidRPr="00000000" w14:paraId="000001B8">
      <w:pPr>
        <w:numPr>
          <w:ilvl w:val="0"/>
          <w:numId w:val="30"/>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Ensures timely resolution of disputes, reducing uncertainty for taxpayers and avoiding prolonged conflicts.</w:t>
      </w:r>
    </w:p>
    <w:p w:rsidR="00000000" w:rsidDel="00000000" w:rsidP="00000000" w:rsidRDefault="00000000" w:rsidRPr="00000000" w14:paraId="000001B9">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160" w:afterAutospacing="0" w:before="200" w:line="259" w:lineRule="auto"/>
        <w:ind w:left="990" w:right="0" w:hanging="360"/>
        <w:jc w:val="both"/>
        <w:rPr>
          <w:b w:val="1"/>
          <w:i w:val="1"/>
        </w:rPr>
      </w:pPr>
      <w:r w:rsidDel="00000000" w:rsidR="00000000" w:rsidRPr="00000000">
        <w:rPr>
          <w:b w:val="1"/>
          <w:i w:val="1"/>
          <w:rtl w:val="0"/>
        </w:rPr>
        <w:t xml:space="preserve">Jurisdictional</w:t>
      </w:r>
      <w:r w:rsidDel="00000000" w:rsidR="00000000" w:rsidRPr="00000000">
        <w:rPr>
          <w:rFonts w:ascii="Times New Roman" w:cs="Times New Roman" w:eastAsia="Times New Roman" w:hAnsi="Times New Roman"/>
          <w:b w:val="1"/>
          <w:i w:val="1"/>
          <w:sz w:val="24"/>
          <w:szCs w:val="24"/>
          <w:rtl w:val="0"/>
        </w:rPr>
        <w:t xml:space="preserve"> Flexibility</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BA">
      <w:pPr>
        <w:numPr>
          <w:ilvl w:val="0"/>
          <w:numId w:val="13"/>
        </w:numPr>
        <w:spacing w:after="0" w:afterAutospacing="0" w:before="16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Arbitration provisions apply only if both jurisdictions agree to include them in their CTAs.</w:t>
      </w:r>
    </w:p>
    <w:p w:rsidR="00000000" w:rsidDel="00000000" w:rsidP="00000000" w:rsidRDefault="00000000" w:rsidRPr="00000000" w14:paraId="000001BB">
      <w:pPr>
        <w:numPr>
          <w:ilvl w:val="0"/>
          <w:numId w:val="1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Jurisdictions can customize the scope and rules of arbitration to align with their preferences.</w:t>
      </w:r>
    </w:p>
    <w:p w:rsidR="00000000" w:rsidDel="00000000" w:rsidP="00000000" w:rsidRDefault="00000000" w:rsidRPr="00000000" w14:paraId="000001BC">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160" w:before="200" w:line="259" w:lineRule="auto"/>
        <w:ind w:left="990" w:right="0" w:hanging="360"/>
        <w:jc w:val="both"/>
        <w:rPr>
          <w:b w:val="1"/>
          <w:i w:val="1"/>
        </w:rPr>
      </w:pPr>
      <w:r w:rsidDel="00000000" w:rsidR="00000000" w:rsidRPr="00000000">
        <w:rPr>
          <w:b w:val="1"/>
          <w:i w:val="1"/>
          <w:rtl w:val="0"/>
        </w:rPr>
        <w:t xml:space="preserve">Enhanced</w:t>
      </w:r>
      <w:r w:rsidDel="00000000" w:rsidR="00000000" w:rsidRPr="00000000">
        <w:rPr>
          <w:rFonts w:ascii="Times New Roman" w:cs="Times New Roman" w:eastAsia="Times New Roman" w:hAnsi="Times New Roman"/>
          <w:b w:val="1"/>
          <w:i w:val="1"/>
          <w:sz w:val="24"/>
          <w:szCs w:val="24"/>
          <w:rtl w:val="0"/>
        </w:rPr>
        <w:t xml:space="preserve"> Taxpayer Certainty</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arbitration fosters greater confidence in the international tax system by ensuring disputes are resolved impartially and efficiently.</w:t>
      </w:r>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4127" w:right="0" w:firstLine="3793"/>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right"/>
      <w:pPr>
        <w:ind w:left="630" w:hanging="360"/>
      </w:pPr>
      <w:rPr>
        <w:u w:val="none"/>
      </w:rPr>
    </w:lvl>
    <w:lvl w:ilvl="1">
      <w:start w:val="1"/>
      <w:numFmt w:val="decimal"/>
      <w:lvlText w:val="%1.%2."/>
      <w:lvlJc w:val="right"/>
      <w:pPr>
        <w:ind w:left="810" w:hanging="360"/>
      </w:pPr>
      <w:rPr>
        <w:sz w:val="22"/>
        <w:szCs w:val="22"/>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right"/>
      <w:pPr>
        <w:ind w:left="630" w:hanging="360"/>
      </w:pPr>
      <w:rPr>
        <w:u w:val="none"/>
      </w:rPr>
    </w:lvl>
    <w:lvl w:ilvl="1">
      <w:start w:val="1"/>
      <w:numFmt w:val="decimal"/>
      <w:lvlText w:val="%1.%2."/>
      <w:lvlJc w:val="right"/>
      <w:pPr>
        <w:ind w:left="810" w:hanging="360"/>
      </w:pPr>
      <w:rPr>
        <w:sz w:val="22"/>
        <w:szCs w:val="22"/>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cs="Arial" w:eastAsia="Arial" w:hAnsi="Arial"/>
        <w:b w:val="1"/>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NG"/>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360"/>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spacing w:after="80" w:before="160" w:lineRule="auto"/>
      <w:ind w:left="450" w:hanging="435"/>
      <w:jc w:val="both"/>
    </w:pPr>
    <w:rPr>
      <w:rFonts w:ascii="Times New Roman" w:cs="Times New Roman" w:eastAsia="Times New Roman" w:hAnsi="Times New Roman"/>
      <w:b w:val="1"/>
      <w:sz w:val="27"/>
      <w:szCs w:val="27"/>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jc w:val="center"/>
    </w:pPr>
    <w:rPr>
      <w:rFonts w:ascii="Times New Roman" w:cs="Times New Roman" w:eastAsia="Times New Roman" w:hAnsi="Times New Roman"/>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78.00000000000006" w:lineRule="auto"/>
    </w:pPr>
    <w:rPr>
      <w:rFonts w:ascii="Times New Roman" w:cs="Times New Roman" w:eastAsia="Times New Roman" w:hAnsi="Times New Roman"/>
      <w:b w:val="1"/>
      <w:color w:val="000000"/>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autoRedefine w:val="1"/>
    <w:uiPriority w:val="9"/>
    <w:qFormat w:val="1"/>
    <w:rsid w:val="00C06FC3"/>
    <w:pPr>
      <w:keepNext w:val="1"/>
      <w:keepLines w:val="1"/>
      <w:spacing w:after="0" w:before="240" w:line="278" w:lineRule="auto"/>
      <w:outlineLvl w:val="0"/>
    </w:pPr>
    <w:rPr>
      <w:rFonts w:ascii="Times New Roman" w:hAnsi="Times New Roman" w:cstheme="majorBidi" w:eastAsiaTheme="majorEastAsia"/>
      <w:b w:val="1"/>
      <w:color w:val="000000" w:themeColor="text1"/>
      <w:sz w:val="28"/>
      <w:szCs w:val="32"/>
      <w:lang w:val="en-NG"/>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06FC3"/>
    <w:rPr>
      <w:rFonts w:ascii="Times New Roman" w:hAnsi="Times New Roman" w:cstheme="majorBidi" w:eastAsiaTheme="majorEastAsia"/>
      <w:b w:val="1"/>
      <w:color w:val="000000" w:themeColor="text1"/>
      <w:sz w:val="28"/>
      <w:szCs w:val="32"/>
      <w:lang w:val="en-NG"/>
    </w:rPr>
  </w:style>
  <w:style w:type="paragraph" w:styleId="Header">
    <w:name w:val="header"/>
    <w:basedOn w:val="Normal"/>
    <w:link w:val="HeaderChar"/>
    <w:uiPriority w:val="99"/>
    <w:unhideWhenUsed w:val="1"/>
    <w:rsid w:val="00A95C00"/>
    <w:pPr>
      <w:tabs>
        <w:tab w:val="center" w:pos="4513"/>
        <w:tab w:val="right" w:pos="9026"/>
      </w:tabs>
      <w:spacing w:after="0" w:line="240" w:lineRule="auto"/>
    </w:pPr>
  </w:style>
  <w:style w:type="character" w:styleId="HeaderChar" w:customStyle="1">
    <w:name w:val="Header Char"/>
    <w:basedOn w:val="DefaultParagraphFont"/>
    <w:link w:val="Header"/>
    <w:uiPriority w:val="99"/>
    <w:rsid w:val="00A95C00"/>
  </w:style>
  <w:style w:type="paragraph" w:styleId="Footer">
    <w:name w:val="footer"/>
    <w:basedOn w:val="Normal"/>
    <w:link w:val="FooterChar"/>
    <w:uiPriority w:val="99"/>
    <w:unhideWhenUsed w:val="1"/>
    <w:rsid w:val="00A95C00"/>
    <w:pPr>
      <w:tabs>
        <w:tab w:val="center" w:pos="4513"/>
        <w:tab w:val="right" w:pos="9026"/>
      </w:tabs>
      <w:spacing w:after="0" w:line="240" w:lineRule="auto"/>
    </w:pPr>
  </w:style>
  <w:style w:type="character" w:styleId="FooterChar" w:customStyle="1">
    <w:name w:val="Footer Char"/>
    <w:basedOn w:val="DefaultParagraphFont"/>
    <w:link w:val="Footer"/>
    <w:uiPriority w:val="99"/>
    <w:rsid w:val="00A95C00"/>
  </w:style>
  <w:style w:type="paragraph" w:styleId="TOCHeading">
    <w:name w:val="TOC Heading"/>
    <w:basedOn w:val="Heading1"/>
    <w:next w:val="Normal"/>
    <w:uiPriority w:val="39"/>
    <w:unhideWhenUsed w:val="1"/>
    <w:qFormat w:val="1"/>
    <w:rsid w:val="00A95C00"/>
    <w:pPr>
      <w:spacing w:line="259" w:lineRule="auto"/>
      <w:outlineLvl w:val="9"/>
    </w:pPr>
    <w:rPr>
      <w:rFonts w:asciiTheme="majorHAnsi" w:hAnsiTheme="majorHAnsi"/>
      <w:b w:val="0"/>
      <w:color w:val="2f5496" w:themeColor="accent1" w:themeShade="0000BF"/>
      <w:kern w:val="0"/>
      <w:sz w:val="32"/>
      <w:lang w:eastAsia="en-NG"/>
    </w:rPr>
  </w:style>
  <w:style w:type="paragraph" w:styleId="TOC1">
    <w:name w:val="toc 1"/>
    <w:basedOn w:val="Normal"/>
    <w:next w:val="Normal"/>
    <w:autoRedefine w:val="1"/>
    <w:uiPriority w:val="39"/>
    <w:unhideWhenUsed w:val="1"/>
    <w:rsid w:val="00A95C00"/>
    <w:pPr>
      <w:spacing w:after="100"/>
    </w:pPr>
  </w:style>
  <w:style w:type="character" w:styleId="Hyperlink">
    <w:name w:val="Hyperlink"/>
    <w:basedOn w:val="DefaultParagraphFont"/>
    <w:uiPriority w:val="99"/>
    <w:unhideWhenUsed w:val="1"/>
    <w:rsid w:val="00A95C00"/>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cHl/BxNvwnAQDWl2/0CQzmmE8g==">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2024-09-20T11:26:00Z</dcterms:created>
  <dc:creator>victory otamiri</dc:creator>
</cp:coreProperties>
</file>