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pPr>
      <w:bookmarkStart w:colFirst="0" w:colLast="0" w:name="_heading=h.n9d9qp99lzxq" w:id="0"/>
      <w:bookmarkEnd w:id="0"/>
      <w:r w:rsidDel="00000000" w:rsidR="00000000" w:rsidRPr="00000000">
        <w:rPr>
          <w:rtl w:val="0"/>
        </w:rPr>
        <w:t xml:space="preserve">U. WORK TOWARDS A DRAFT UN FRAMEWORK TAX CONVENTION AND PROTOCOLS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decades, tax-related challenges—including profit shifting, tax evasion, and harmful tax competition—have gained prominence on the global agenda. The limitations of existing multilateral arrangements (many of which function largely through the OECD or bilateral treaties) have prompted calls for a more inclusive, universal framework.</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countries in particular have emphasized the need for a global, intergovernmental process under the auspices of the United Nations. Their stance is that a UN-led framework could provide a more balanced forum for negotiations, ensuring that all countries have an equal voice in shaping international tax standards and practices.</w:t>
      </w:r>
    </w:p>
    <w:p w:rsidR="00000000" w:rsidDel="00000000" w:rsidP="00000000" w:rsidRDefault="00000000" w:rsidRPr="00000000" w14:paraId="00000004">
      <w:pPr>
        <w:pStyle w:val="Heading2"/>
        <w:numPr>
          <w:ilvl w:val="0"/>
          <w:numId w:val="11"/>
        </w:numPr>
      </w:pPr>
      <w:bookmarkStart w:colFirst="0" w:colLast="0" w:name="_heading=h.wpwyqa17bha5" w:id="1"/>
      <w:bookmarkEnd w:id="1"/>
      <w:r w:rsidDel="00000000" w:rsidR="00000000" w:rsidRPr="00000000">
        <w:rPr>
          <w:rtl w:val="0"/>
        </w:rPr>
        <w:t xml:space="preserve">Key Drivers from International Agreements and Panels</w:t>
      </w:r>
    </w:p>
    <w:p w:rsidR="00000000" w:rsidDel="00000000" w:rsidP="00000000" w:rsidRDefault="00000000" w:rsidRPr="00000000" w14:paraId="00000005">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Addis Ababa Action Agenda (2015)</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Addis Ababa Action Agenda (AAAA), adopted at the Third International Conference on Financing for Development in July 2015, serves as a foundational international framework for financing the Sustainable Development Goals (SDGs). Within this Agenda, there is explicit recognition that effective international tax cooperation is critical for:</w:t>
      </w:r>
    </w:p>
    <w:p w:rsidR="00000000" w:rsidDel="00000000" w:rsidP="00000000" w:rsidRDefault="00000000" w:rsidRPr="00000000" w14:paraId="000000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Domestic Resource Mobilization (DRM):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 revenues are a principal source of funding for social services and infrastructure. The AAAA underscores the importance of strengthened tax administration and fair tax practices to help countries—especially developing ones—generate sustainable domestic revenues.</w:t>
      </w:r>
    </w:p>
    <w:p w:rsidR="00000000" w:rsidDel="00000000" w:rsidP="00000000" w:rsidRDefault="00000000" w:rsidRPr="00000000" w14:paraId="000000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Addressing Illicit Financial Flows (IFFs):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document highlights the negative impact of illicit financial flows—such as tax evasion, profit shifting, and corruption—on the availability of resources needed for development. It calls for “redoubling efforts” to substantially reduce such flows by 2030.</w:t>
      </w:r>
    </w:p>
    <w:p w:rsidR="00000000" w:rsidDel="00000000" w:rsidP="00000000" w:rsidRDefault="00000000" w:rsidRPr="00000000" w14:paraId="000000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Institutional Coordination: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AAAA encourages deepening collaboration between existing bodies—like the United Nations, the World Bank, the International Monetary Fund, and the OECD—while also recognizing the need for more inclusive multilateral platforms. This includes the UN Committee of Experts on International Cooperation in Tax Matters, whose expertise can feed into stronger norms and standards.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Agenda’s call to bolster international tax cooperation has spurred discussions about creating a universal, intergovernmental framework under the auspices of the UN—one that would ensure that all Member States, including smaller and lower-income countries, have an equitable role in shaping global tax rules.</w:t>
      </w:r>
    </w:p>
    <w:p w:rsidR="00000000" w:rsidDel="00000000" w:rsidP="00000000" w:rsidRDefault="00000000" w:rsidRPr="00000000" w14:paraId="0000000B">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UN High-Level Panel on International Financial Accountability, Transparency and Integrity (FACTI Panel) (2021)</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FACTI Panel was convened to explore systemic issues related to financial integrity and to propose solutions to the challenges of tax abuse, corruption, and illicit flows of funds. In its 2021 report, the Panel found that:</w:t>
      </w:r>
    </w:p>
    <w:p w:rsidR="00000000" w:rsidDel="00000000" w:rsidP="00000000" w:rsidRDefault="00000000" w:rsidRPr="00000000" w14:paraId="000000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Abuse is Systemic: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Panel emphasized that existing mechanisms—often steered by a narrower group of higher-income countries—were insufficient to address complex tax evasion and avoidance structures.</w:t>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Need for a Coordinated Global Effort: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Panel recommended a “global pact for financial integrity,” calling for a more coherent and robust framework to govern international tax matters. This included strengthening transparency requirements, expanding access to beneficial ownership registers, and enacting stricter sanctions for non-compliance.</w:t>
      </w:r>
    </w:p>
    <w:p w:rsidR="00000000" w:rsidDel="00000000" w:rsidP="00000000" w:rsidRDefault="00000000" w:rsidRPr="00000000" w14:paraId="000000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Towards a UN Framework Convention: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the key suggestions was the creation of a legally binding instrument, potentially in the form of a UN Framework Tax Convention. Such a Convention would provide a universal structure for tackling global tax abuses and set in motion dedicated protocols on information exchange, dispute resolution, and capacity-building.</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FACTI Panel’s recommendations were widely discussed in international fora and have since become a rallying point for countries that view a UN-led tax convention as the next logical step in delivering equitable and inclusive tax rules.</w:t>
      </w:r>
    </w:p>
    <w:p w:rsidR="00000000" w:rsidDel="00000000" w:rsidP="00000000" w:rsidRDefault="00000000" w:rsidRPr="00000000" w14:paraId="00000011">
      <w:pPr>
        <w:pStyle w:val="Heading2"/>
        <w:numPr>
          <w:ilvl w:val="0"/>
          <w:numId w:val="11"/>
        </w:numPr>
      </w:pPr>
      <w:bookmarkStart w:colFirst="0" w:colLast="0" w:name="_heading=h.pdzcmdfsmpny" w:id="2"/>
      <w:bookmarkEnd w:id="2"/>
      <w:r w:rsidDel="00000000" w:rsidR="00000000" w:rsidRPr="00000000">
        <w:rPr>
          <w:rtl w:val="0"/>
        </w:rPr>
        <w:t xml:space="preserve">Goals and Scope of a Potential UN Framework Tax Convention</w:t>
      </w:r>
    </w:p>
    <w:p w:rsidR="00000000" w:rsidDel="00000000" w:rsidP="00000000" w:rsidRDefault="00000000" w:rsidRPr="00000000" w14:paraId="00000012">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Tax Cooperation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objective of the proposed UN Framework Tax Convention is to enhance cooperation among tax authorities worldwide. This would involve:</w:t>
      </w:r>
    </w:p>
    <w:p w:rsidR="00000000" w:rsidDel="00000000" w:rsidP="00000000" w:rsidRDefault="00000000" w:rsidRPr="00000000" w14:paraId="00000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Transparent Information Sharing: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Establishing systems for routine and automatic exchange of information on tax matters, ensuring tax authorities can more easily identify illicit activities.</w:t>
      </w:r>
    </w:p>
    <w:p w:rsidR="00000000" w:rsidDel="00000000" w:rsidP="00000000" w:rsidRDefault="00000000" w:rsidRPr="00000000" w14:paraId="00000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Coordinated Investigations and Enforcement: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Encouraging cross-border collaboration to investigate and prosecute tax crimes, reinforcing mutual legal assistance frameworks.</w:t>
      </w:r>
    </w:p>
    <w:p w:rsidR="00000000" w:rsidDel="00000000" w:rsidP="00000000" w:rsidRDefault="00000000" w:rsidRPr="00000000" w14:paraId="00000016">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Harmonized Standards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binding framework at the UN level could provide minimum standards or guidelines to:</w:t>
      </w:r>
    </w:p>
    <w:p w:rsidR="00000000" w:rsidDel="00000000" w:rsidP="00000000" w:rsidRDefault="00000000" w:rsidRPr="00000000" w14:paraId="000000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Combat Base Erosion and Profit Shifting (BEPS):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Drawing on existing initiatives (e.g., the OECD/G20 BEPS Project) but extending them to all UN Member States on equal footing.</w:t>
      </w:r>
    </w:p>
    <w:p w:rsidR="00000000" w:rsidDel="00000000" w:rsidP="00000000" w:rsidRDefault="00000000" w:rsidRPr="00000000" w14:paraId="000000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Fair Tax Competition Criteria: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Minimizing harmful tax practices (like preferential treatment or zero-tax regimes) and promoting responsible tax policies that do not undermine neighbors’ tax bases.</w:t>
      </w:r>
    </w:p>
    <w:p w:rsidR="00000000" w:rsidDel="00000000" w:rsidP="00000000" w:rsidRDefault="00000000" w:rsidRPr="00000000" w14:paraId="0000001A">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 for Developing Countries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some existing mechanisms that may disproportionately focus on the needs of higher-income countries, a UN Convention could integrate capacity-building measures such as:</w:t>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Targeted Technical Assistance: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help developing countries modernize tax administration and adopt digital solutions for efficient revenue collection.</w:t>
      </w:r>
    </w:p>
    <w:p w:rsidR="00000000" w:rsidDel="00000000" w:rsidP="00000000" w:rsidRDefault="00000000" w:rsidRPr="00000000" w14:paraId="000000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Financial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invest in technology and training for local revenue authorities, bridging gaps that fuel reliance on external help for tax audits and enforcement.</w:t>
      </w:r>
    </w:p>
    <w:p w:rsidR="00000000" w:rsidDel="00000000" w:rsidP="00000000" w:rsidRDefault="00000000" w:rsidRPr="00000000" w14:paraId="000000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Technology Transfer and Best Practices: Facilitating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open sharing of software tools, data analysis methods, and risk assessment frameworks used by advanced tax agencies.</w:t>
      </w:r>
    </w:p>
    <w:p w:rsidR="00000000" w:rsidDel="00000000" w:rsidP="00000000" w:rsidRDefault="00000000" w:rsidRPr="00000000" w14:paraId="0000001F">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Inclusive Decision-Making</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principle-based approach under the UN would aim for:</w:t>
      </w:r>
    </w:p>
    <w:p w:rsidR="00000000" w:rsidDel="00000000" w:rsidP="00000000" w:rsidRDefault="00000000" w:rsidRPr="00000000" w14:paraId="000000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Broad Participation: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UN Member States having a voice and vote, helping align tax norms more closely with the diverse realities of countries at different stages of economic development.</w:t>
      </w:r>
    </w:p>
    <w:p w:rsidR="00000000" w:rsidDel="00000000" w:rsidP="00000000" w:rsidRDefault="00000000" w:rsidRPr="00000000" w14:paraId="000000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Stakeholder Engagement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Civil society organizations, multinational corporations, and academia could play advisory roles, ensuring transparency and technical rigor.</w:t>
      </w:r>
    </w:p>
    <w:p w:rsidR="00000000" w:rsidDel="00000000" w:rsidP="00000000" w:rsidRDefault="00000000" w:rsidRPr="00000000" w14:paraId="00000023">
      <w:pPr>
        <w:pStyle w:val="Heading2"/>
        <w:numPr>
          <w:ilvl w:val="0"/>
          <w:numId w:val="11"/>
        </w:numPr>
      </w:pPr>
      <w:bookmarkStart w:colFirst="0" w:colLast="0" w:name="_heading=h.2ecugejl2ved" w:id="3"/>
      <w:bookmarkEnd w:id="3"/>
      <w:r w:rsidDel="00000000" w:rsidR="00000000" w:rsidRPr="00000000">
        <w:rPr>
          <w:rtl w:val="0"/>
        </w:rPr>
        <w:t xml:space="preserve">Protocols and Implementation Mechanisms</w:t>
      </w:r>
    </w:p>
    <w:p w:rsidR="00000000" w:rsidDel="00000000" w:rsidP="00000000" w:rsidRDefault="00000000" w:rsidRPr="00000000" w14:paraId="00000024">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Protocol on Exchange of Information</w:t>
      </w:r>
    </w:p>
    <w:p w:rsidR="00000000" w:rsidDel="00000000" w:rsidP="00000000" w:rsidRDefault="00000000" w:rsidRPr="00000000" w14:paraId="000000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Automatic Exchange of Information (AEOI):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 on existing frameworks (like the Common Reporting Standard) but expand their coverage to all UN Member States, ensuring consistency and inclusivity.</w:t>
      </w:r>
    </w:p>
    <w:p w:rsidR="00000000" w:rsidDel="00000000" w:rsidP="00000000" w:rsidRDefault="00000000" w:rsidRPr="00000000" w14:paraId="000000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Beneficial Ownership Transparency: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 corporate registries to identify and share information on the “real” owners behind companies, partnerships, and trusts.</w:t>
      </w:r>
    </w:p>
    <w:p w:rsidR="00000000" w:rsidDel="00000000" w:rsidP="00000000" w:rsidRDefault="00000000" w:rsidRPr="00000000" w14:paraId="00000027">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Protocol on Tax Dispute Resolution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Neutral and Efficient Mechanisms: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Arbitration or mediation processes that streamline cross-border tax disputes, reducing lengthy litigation and power imbalances.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Balanced Representation: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developing countries have access to the same expertise and procedural fairness as larger economies.</w:t>
      </w:r>
    </w:p>
    <w:p w:rsidR="00000000" w:rsidDel="00000000" w:rsidP="00000000" w:rsidRDefault="00000000" w:rsidRPr="00000000" w14:paraId="0000002A">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Protocol on Capacity-Building</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that many countries face institutional and resource constraints, this protocol might cover:</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Specialized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Workshops, scholarships, and in-country programs for tax officials.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Infrastructure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Funding for IT systems, digital registries, and secure data transfer protocols to improve compliance and enforcement.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Institutional Twinning or Partnerships: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Pairing advanced tax agencies with those needing support, fostering peer learning and longer-term collaboration.</w:t>
      </w:r>
    </w:p>
    <w:p w:rsidR="00000000" w:rsidDel="00000000" w:rsidP="00000000" w:rsidRDefault="00000000" w:rsidRPr="00000000" w14:paraId="0000002F">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Protocol on Environmental and Social Dimensions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Acknowledging that tax policy can influence broader sustainable development goals, proposals may include: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Carbon Tax Guidelines: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Encouraging countries to adopt carbon taxes or emissions trading schemes to meet climate targets, with revenue earmarked for green investments.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Gender-Responsive Taxation: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Recommending measures that reduce discriminatory tax structures or address gender disparities in the tax code.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Link to SDGs: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Aligning tax incentives with social objectives—such as health, education, or poverty reduction—to reinforce the 2030 Agenda for Sustainable Development.</w:t>
      </w:r>
    </w:p>
    <w:p w:rsidR="00000000" w:rsidDel="00000000" w:rsidP="00000000" w:rsidRDefault="00000000" w:rsidRPr="00000000" w14:paraId="00000034">
      <w:pPr>
        <w:pStyle w:val="Heading2"/>
        <w:numPr>
          <w:ilvl w:val="0"/>
          <w:numId w:val="11"/>
        </w:numPr>
      </w:pPr>
      <w:bookmarkStart w:colFirst="0" w:colLast="0" w:name="_heading=h.8ubtw8cwly" w:id="4"/>
      <w:bookmarkEnd w:id="4"/>
      <w:r w:rsidDel="00000000" w:rsidR="00000000" w:rsidRPr="00000000">
        <w:rPr>
          <w:rtl w:val="0"/>
        </w:rPr>
        <w:t xml:space="preserve">Negotiation and Drafting Process</w:t>
      </w:r>
    </w:p>
    <w:p w:rsidR="00000000" w:rsidDel="00000000" w:rsidP="00000000" w:rsidRDefault="00000000" w:rsidRPr="00000000" w14:paraId="00000035">
      <w:pPr>
        <w:numPr>
          <w:ilvl w:val="1"/>
          <w:numId w:val="11"/>
        </w:num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 Leadership</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ECOSOC’s Central Role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United Nations Economic and Social Council (ECOSOC) or a specialized Intergovernmental Negotiating Committee (INC) would take the lead in guiding the overall process. Through plenary sessions and working groups, they would formalize the negotiating roadmap, establish timelines for drafting, and identify key thematic areas for further study.</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Coordination with UN Committee of Experts on International Cooperation in Tax Matters: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Technical inputs from this Committee—comprising tax experts from diverse geographic and economic contexts—would feed into the drafting of convention articles and protocols. Their expertise ensures that provisions are grounded in both practical experience and emerging best practices.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of the UN Secretariat: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Secretariat would provide logistical support, coordinate documentation, and facilitate communication among Member States. It would also prepare initial concept papers or position papers to kickstart discussions on complex technical aspects.</w:t>
      </w:r>
    </w:p>
    <w:p w:rsidR="00000000" w:rsidDel="00000000" w:rsidP="00000000" w:rsidRDefault="00000000" w:rsidRPr="00000000" w14:paraId="00000039">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 Consultations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Civil Society Engagement: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Non-governmental organizations (NGOs), think tanks, and advocacy groups focused on tax justice, transparency, and development would be vital in highlighting the interests of marginalized communities and ensuring that the Convention addresses inequities in global tax rules.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and Professional Bodies: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Multinational corporations, trade associations, and professional networks (e.g., international tax advisers, accountants, and lawyers) would provide industry perspectives on compliance feasibility, administrative burdens, and potential cost implications of new regulations.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Academia and Research Institutions: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Universities and policy institutes can offer evidence-based research on tax policies, contributing data-driven insights that shape the drafting of robust, forward-looking articles and protocols.</w:t>
      </w:r>
    </w:p>
    <w:p w:rsidR="00000000" w:rsidDel="00000000" w:rsidP="00000000" w:rsidRDefault="00000000" w:rsidRPr="00000000" w14:paraId="0000003D">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Balancing Diverse Interests</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Reconciling Competing Tax Regimes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Countries maintain distinct tax structures and political priorities. Achieving broad consensus will necessitate a flexible framework that allows nations to tailor implementation while still upholding core principles of transparency and fairness.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Principle-Based Obligations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manage complexity, drafters may opt for principle-based commitments—e.g., “Member States shall ensure transparent exchange of information”—while leaving room for national legislation or sector-specific guidelines to adapt to unique domestic contexts.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Negotiations could proceed in rounds, starting with broad agreement on foundational principles (e.g., combatting illicit flows, promoting capacity-building) and gradually refining text on technical details like dispute resolution procedures and mandatory reporting thresholds.</w:t>
      </w:r>
    </w:p>
    <w:p w:rsidR="00000000" w:rsidDel="00000000" w:rsidP="00000000" w:rsidRDefault="00000000" w:rsidRPr="00000000" w14:paraId="00000041">
      <w:pPr>
        <w:pStyle w:val="Heading2"/>
        <w:numPr>
          <w:ilvl w:val="0"/>
          <w:numId w:val="11"/>
        </w:numPr>
      </w:pPr>
      <w:bookmarkStart w:colFirst="0" w:colLast="0" w:name="_heading=h.96j0zfbtf342" w:id="5"/>
      <w:bookmarkEnd w:id="5"/>
      <w:r w:rsidDel="00000000" w:rsidR="00000000" w:rsidRPr="00000000">
        <w:rPr>
          <w:rtl w:val="0"/>
        </w:rPr>
        <w:t xml:space="preserve">Challenges and Considerations</w:t>
      </w:r>
    </w:p>
    <w:p w:rsidR="00000000" w:rsidDel="00000000" w:rsidP="00000000" w:rsidRDefault="00000000" w:rsidRPr="00000000" w14:paraId="00000042">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Political Will</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Fiscal Sovereignty Concerns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Governments are often protective of their ability to set and collect taxes without external constraints. Building political momentum for a legally binding instrument requires demonstrating tangible benefits—for example, curbing cross-border tax abuse or generating additional revenue for national development priorities.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North-South Dynamics: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developing countries seek a more level playing field, some high-income countries may perceive new rules as constraints on their competitiveness or investment climate. Bridging these divides will be central to securing universal support.</w:t>
      </w:r>
    </w:p>
    <w:p w:rsidR="00000000" w:rsidDel="00000000" w:rsidP="00000000" w:rsidRDefault="00000000" w:rsidRPr="00000000" w14:paraId="00000045">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Institutional Overlap</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of the OECD: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OECD has historically led major tax initiatives (e.g., BEPS, Common Reporting Standard). A UN Framework Convention must clarify its relationship with existing OECD guidelines, potentially incorporating or expanding upon them to ensure coherence rather than competition.</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Regional Tax Initiatives: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regional entities (e.g., the African Tax Administration Forum, European Union directives) also shape tax cooperation. The UN Convention should acknowledge and integrate these initiatives to avoid duplicating efforts or creating conflicting standards.</w:t>
      </w:r>
    </w:p>
    <w:p w:rsidR="00000000" w:rsidDel="00000000" w:rsidP="00000000" w:rsidRDefault="00000000" w:rsidRPr="00000000" w14:paraId="00000048">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and Enforcement</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Monitoring Compliance: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Effective mechanisms—such as peer review, reporting requirements, and independent oversight bodies—are needed to verify whether countries are adhering to agreed principles.</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Sanctions or Incentives?: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contentious issue will be whether the Convention includes punitive measures for non-compliance. Alternatives might include positive incentives, such as additional development assistance for capacity-building, or reputational benefits for compliant countries.</w:t>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Constraints: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developing countries struggle with underfunded tax administrations. Ensuring that implementation does not become an unfunded mandate is critical; otherwise, the Convention risks reinforcing existing inequities.</w:t>
      </w:r>
    </w:p>
    <w:p w:rsidR="00000000" w:rsidDel="00000000" w:rsidP="00000000" w:rsidRDefault="00000000" w:rsidRPr="00000000" w14:paraId="0000004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Dynamic Nature of Taxation</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Digitalization and E-Commerce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Rapidly evolving digital markets create new types of revenue streams, which can be difficult to track and tax across borders. The Convention must remain adaptable and potentially incorporate flexible protocols that address digital services taxes (DSTs) or data-driven businesses.</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Emerging Business Models and Cryptocurrencies: Novel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financial instruments and payment methods (e.g., crypto assets) pose challenges for traditional tax frameworks. A forward-looking Convention would require periodic updates or supplementary protocols to stay relevant.</w:t>
      </w:r>
    </w:p>
    <w:p w:rsidR="00000000" w:rsidDel="00000000" w:rsidP="00000000" w:rsidRDefault="00000000" w:rsidRPr="00000000" w14:paraId="0000004F">
      <w:pPr>
        <w:pStyle w:val="Heading2"/>
        <w:numPr>
          <w:ilvl w:val="0"/>
          <w:numId w:val="11"/>
        </w:numPr>
      </w:pPr>
      <w:bookmarkStart w:colFirst="0" w:colLast="0" w:name="_heading=h.8c22py9cvou3" w:id="6"/>
      <w:bookmarkEnd w:id="6"/>
      <w:r w:rsidDel="00000000" w:rsidR="00000000" w:rsidRPr="00000000">
        <w:rPr>
          <w:rtl w:val="0"/>
        </w:rPr>
        <w:t xml:space="preserve">Future Outlook</w:t>
      </w:r>
    </w:p>
    <w:p w:rsidR="00000000" w:rsidDel="00000000" w:rsidP="00000000" w:rsidRDefault="00000000" w:rsidRPr="00000000" w14:paraId="00000050">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Milestones</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Circulation of Early Drafts: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Once the Intergovernmental Negotiating Committee has synthesized inputs from Member States, experts, and stakeholders, an initial draft of the Convention and its Protocols may be circulated for feedback. This iterative review process could span several sessions over multiple years.</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High-Level Meetings and Summits: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Heads of State and Ministers of Finance might convene special summits or side events at the UN General Assembly to gauge political support, finalize key provisions, and align on timelines for adoption.</w:t>
      </w:r>
    </w:p>
    <w:p w:rsidR="00000000" w:rsidDel="00000000" w:rsidP="00000000" w:rsidRDefault="00000000" w:rsidRPr="00000000" w14:paraId="00000053">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Sustained Engagement</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Working Groups: Post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-adoption, specialized working groups could remain active to further detail technical guidelines, operationalize capacity-building mechanisms, and oversee the transition to new reporting or dispute resolution frameworks.</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Pilot Programs and Case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countries may choose to pilot certain protocols—such as enhanced exchange of tax information—demonstrating best practices and identifying challenges before full-scale implementation.</w:t>
      </w:r>
    </w:p>
    <w:p w:rsidR="00000000" w:rsidDel="00000000" w:rsidP="00000000" w:rsidRDefault="00000000" w:rsidRPr="00000000" w14:paraId="00000056">
      <w:pPr>
        <w:numPr>
          <w:ilvl w:val="1"/>
          <w:numId w:val="11"/>
        </w:num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Long-Term Impact</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Shift in Global Tax Governance: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successfully adopted, a UN Framework Tax Convention would represent a major shift, consolidating global tax norms under an inclusive umbrella that treats all Member States equally.</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Supporting Sustainable Development Goals: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addressing illicit financial flows and bolstering domestic resource mobilization, the Convention could help nations invest more heavily in healthcare, education, and infrastructure—key drivers of sustainable development.</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of International 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Ongoing amendments and new protocols would likely be needed to keep pace with technological advancements, new business models, and emerging development priorities—ensuring that international tax cooperation remains robust and relevant well into the future.</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decimal"/>
      <w:lvlText w:val="%1.%2."/>
      <w:lvlJc w:val="left"/>
      <w:pPr>
        <w:ind w:left="450" w:hanging="43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66114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66114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66114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66114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66114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66114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6114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6114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6114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6114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66114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6114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6114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6114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6114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6114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6114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6114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611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6114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6114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6114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6114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6114D"/>
    <w:rPr>
      <w:i w:val="1"/>
      <w:iCs w:val="1"/>
      <w:color w:val="404040" w:themeColor="text1" w:themeTint="0000BF"/>
    </w:rPr>
  </w:style>
  <w:style w:type="paragraph" w:styleId="ListParagraph">
    <w:name w:val="List Paragraph"/>
    <w:basedOn w:val="Normal"/>
    <w:uiPriority w:val="34"/>
    <w:qFormat w:val="1"/>
    <w:rsid w:val="0066114D"/>
    <w:pPr>
      <w:ind w:left="720"/>
      <w:contextualSpacing w:val="1"/>
    </w:pPr>
  </w:style>
  <w:style w:type="character" w:styleId="IntenseEmphasis">
    <w:name w:val="Intense Emphasis"/>
    <w:basedOn w:val="DefaultParagraphFont"/>
    <w:uiPriority w:val="21"/>
    <w:qFormat w:val="1"/>
    <w:rsid w:val="0066114D"/>
    <w:rPr>
      <w:i w:val="1"/>
      <w:iCs w:val="1"/>
      <w:color w:val="2f5496" w:themeColor="accent1" w:themeShade="0000BF"/>
    </w:rPr>
  </w:style>
  <w:style w:type="paragraph" w:styleId="IntenseQuote">
    <w:name w:val="Intense Quote"/>
    <w:basedOn w:val="Normal"/>
    <w:next w:val="Normal"/>
    <w:link w:val="IntenseQuoteChar"/>
    <w:uiPriority w:val="30"/>
    <w:qFormat w:val="1"/>
    <w:rsid w:val="0066114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6114D"/>
    <w:rPr>
      <w:i w:val="1"/>
      <w:iCs w:val="1"/>
      <w:color w:val="2f5496" w:themeColor="accent1" w:themeShade="0000BF"/>
    </w:rPr>
  </w:style>
  <w:style w:type="character" w:styleId="IntenseReference">
    <w:name w:val="Intense Reference"/>
    <w:basedOn w:val="DefaultParagraphFont"/>
    <w:uiPriority w:val="32"/>
    <w:qFormat w:val="1"/>
    <w:rsid w:val="0066114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SvOKBr9ctqNHZ1oSXmZSavcKxA==">CgMxLjAyDmgubjlkOXFwOTlsenhxMg5oLndwd3lxYTE3YmhhNTIOaC5wZHpjbWRmc21wbnkyDmguMmVjdWdlamwydmVkMgxoLjh1YnR3OGN3bHkyDmguOTZqMHpmYnRmMzQyMg5oLjhjMjJweTljdm91MzgAciExR21NUkdQZUJzNFVwUk9KY2h2b1ZjQUhVSmtWRW9oRHo=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2025-01-17T15:30:00Z</dcterms:created>
  <dc:creator>Doris Chikweru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87b5cf24-41a4-491e-bcc9-b50831f2a6af</vt:lpwstr>
  </property>
</Properties>
</file>