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smallCaps w:val="0"/>
          <w:strike w:val="0"/>
          <w:color w:val="0f4761"/>
          <w:sz w:val="32"/>
          <w:szCs w:val="32"/>
          <w:u w:val="none"/>
          <w:shd w:fill="auto" w:val="clear"/>
          <w:vertAlign w:val="baseline"/>
        </w:rPr>
      </w:pPr>
      <w:r w:rsidDel="00000000" w:rsidR="00000000" w:rsidRPr="00000000">
        <w:rPr>
          <w:i w:val="0"/>
          <w:smallCaps w:val="0"/>
          <w:strike w:val="0"/>
          <w:color w:val="0f4761"/>
          <w:sz w:val="32"/>
          <w:szCs w:val="32"/>
          <w:u w:val="none"/>
          <w:shd w:fill="auto" w:val="clear"/>
          <w:vertAlign w:val="baseline"/>
          <w:rtl w:val="0"/>
        </w:rPr>
        <w:t xml:space="preserve">Contents</w:t>
      </w:r>
    </w:p>
    <w:sdt>
      <w:sdtPr>
        <w:id w:val="-1636412328"/>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jc w:val="left"/>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b w:val="1"/>
                <w:i w:val="0"/>
                <w:smallCaps w:val="0"/>
                <w:strike w:val="0"/>
                <w:color w:val="000000"/>
                <w:sz w:val="22"/>
                <w:szCs w:val="22"/>
                <w:u w:val="none"/>
                <w:shd w:fill="auto" w:val="clear"/>
                <w:vertAlign w:val="baseline"/>
                <w:rtl w:val="0"/>
              </w:rPr>
              <w:t xml:space="preserve">A. Pillar One</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30j0zll">
            <w:r w:rsidDel="00000000" w:rsidR="00000000" w:rsidRPr="00000000">
              <w:rPr>
                <w:i w:val="0"/>
                <w:smallCaps w:val="0"/>
                <w:strike w:val="0"/>
                <w:color w:val="000000"/>
                <w:sz w:val="22"/>
                <w:szCs w:val="22"/>
                <w:u w:val="none"/>
                <w:shd w:fill="auto" w:val="clear"/>
                <w:vertAlign w:val="baseline"/>
                <w:rtl w:val="0"/>
              </w:rPr>
              <w:t xml:space="preserve">1. Multilateral Convention to Implement Amount A of Pillar One</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1fob9te">
            <w:r w:rsidDel="00000000" w:rsidR="00000000" w:rsidRPr="00000000">
              <w:rPr>
                <w:i w:val="0"/>
                <w:smallCaps w:val="0"/>
                <w:strike w:val="0"/>
                <w:color w:val="000000"/>
                <w:sz w:val="22"/>
                <w:szCs w:val="22"/>
                <w:u w:val="none"/>
                <w:shd w:fill="auto" w:val="clear"/>
                <w:vertAlign w:val="baseline"/>
                <w:rtl w:val="0"/>
              </w:rPr>
              <w:t xml:space="preserve">2. Amount A</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3znysh7">
            <w:r w:rsidDel="00000000" w:rsidR="00000000" w:rsidRPr="00000000">
              <w:rPr>
                <w:i w:val="0"/>
                <w:smallCaps w:val="0"/>
                <w:strike w:val="0"/>
                <w:color w:val="000000"/>
                <w:sz w:val="22"/>
                <w:szCs w:val="22"/>
                <w:u w:val="none"/>
                <w:shd w:fill="auto" w:val="clear"/>
                <w:vertAlign w:val="baseline"/>
                <w:rtl w:val="0"/>
              </w:rPr>
              <w:t xml:space="preserve">3. Pillar One - Amount B</w:t>
              <w:tab/>
              <w:t xml:space="preserve">7</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2et92p0">
            <w:r w:rsidDel="00000000" w:rsidR="00000000" w:rsidRPr="00000000">
              <w:rPr>
                <w:i w:val="0"/>
                <w:smallCaps w:val="0"/>
                <w:strike w:val="0"/>
                <w:color w:val="000000"/>
                <w:sz w:val="22"/>
                <w:szCs w:val="22"/>
                <w:u w:val="none"/>
                <w:shd w:fill="auto" w:val="clear"/>
                <w:vertAlign w:val="baseline"/>
                <w:rtl w:val="0"/>
              </w:rPr>
              <w:t xml:space="preserve">4. Interaction Between Amount A and Amount B</w:t>
              <w:tab/>
              <w:t xml:space="preserve">9</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jc w:val="left"/>
            <w:rPr>
              <w:b w:val="1"/>
              <w:i w:val="0"/>
              <w:smallCaps w:val="0"/>
              <w:strike w:val="0"/>
              <w:color w:val="000000"/>
              <w:sz w:val="22"/>
              <w:szCs w:val="22"/>
              <w:u w:val="none"/>
              <w:shd w:fill="auto" w:val="clear"/>
              <w:vertAlign w:val="baseline"/>
            </w:rPr>
          </w:pPr>
          <w:hyperlink w:anchor="_heading=h.gg9gdqva6hdo">
            <w:r w:rsidDel="00000000" w:rsidR="00000000" w:rsidRPr="00000000">
              <w:rPr>
                <w:b w:val="1"/>
                <w:i w:val="0"/>
                <w:smallCaps w:val="0"/>
                <w:strike w:val="0"/>
                <w:color w:val="000000"/>
                <w:sz w:val="22"/>
                <w:szCs w:val="22"/>
                <w:u w:val="none"/>
                <w:shd w:fill="auto" w:val="clear"/>
                <w:vertAlign w:val="baseline"/>
                <w:rtl w:val="0"/>
              </w:rPr>
              <w:t xml:space="preserve">B. Pillar 2</w:t>
              <w:tab/>
              <w:t xml:space="preserve">12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2yxg48n5nrmi">
            <w:r w:rsidDel="00000000" w:rsidR="00000000" w:rsidRPr="00000000">
              <w:rPr>
                <w:i w:val="0"/>
                <w:smallCaps w:val="0"/>
                <w:strike w:val="0"/>
                <w:color w:val="000000"/>
                <w:sz w:val="22"/>
                <w:szCs w:val="22"/>
                <w:u w:val="none"/>
                <w:shd w:fill="auto" w:val="clear"/>
                <w:vertAlign w:val="baseline"/>
                <w:rtl w:val="0"/>
              </w:rPr>
              <w:t xml:space="preserve">1. Introduction</w:t>
              <w:tab/>
              <w:t xml:space="preserve">12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zelfemu0sjvf">
            <w:r w:rsidDel="00000000" w:rsidR="00000000" w:rsidRPr="00000000">
              <w:rPr>
                <w:i w:val="0"/>
                <w:smallCaps w:val="0"/>
                <w:strike w:val="0"/>
                <w:color w:val="000000"/>
                <w:sz w:val="22"/>
                <w:szCs w:val="22"/>
                <w:u w:val="none"/>
                <w:shd w:fill="auto" w:val="clear"/>
                <w:vertAlign w:val="baseline"/>
                <w:rtl w:val="0"/>
              </w:rPr>
              <w:t xml:space="preserve">2. Income Inclusion Rule (IIR)</w:t>
              <w:tab/>
              <w:t xml:space="preserve">12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dc4kcdox3ohu">
            <w:r w:rsidDel="00000000" w:rsidR="00000000" w:rsidRPr="00000000">
              <w:rPr>
                <w:i w:val="0"/>
                <w:smallCaps w:val="0"/>
                <w:strike w:val="0"/>
                <w:color w:val="000000"/>
                <w:sz w:val="22"/>
                <w:szCs w:val="22"/>
                <w:u w:val="none"/>
                <w:shd w:fill="auto" w:val="clear"/>
                <w:vertAlign w:val="baseline"/>
                <w:rtl w:val="0"/>
              </w:rPr>
              <w:t xml:space="preserve">3. Under-Taxed Profit Rule (UTPR)</w:t>
              <w:tab/>
              <w:t xml:space="preserve">14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pps9azge3wui">
            <w:r w:rsidDel="00000000" w:rsidR="00000000" w:rsidRPr="00000000">
              <w:rPr>
                <w:i w:val="0"/>
                <w:smallCaps w:val="0"/>
                <w:strike w:val="0"/>
                <w:color w:val="000000"/>
                <w:sz w:val="22"/>
                <w:szCs w:val="22"/>
                <w:u w:val="none"/>
                <w:shd w:fill="auto" w:val="clear"/>
                <w:vertAlign w:val="baseline"/>
                <w:rtl w:val="0"/>
              </w:rPr>
              <w:t xml:space="preserve">4. Subject to Tax Rule (STTR)</w:t>
              <w:tab/>
              <w:t xml:space="preserve">15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j20lzdvug8lv">
            <w:r w:rsidDel="00000000" w:rsidR="00000000" w:rsidRPr="00000000">
              <w:rPr>
                <w:i w:val="0"/>
                <w:smallCaps w:val="0"/>
                <w:strike w:val="0"/>
                <w:color w:val="000000"/>
                <w:sz w:val="22"/>
                <w:szCs w:val="22"/>
                <w:u w:val="none"/>
                <w:shd w:fill="auto" w:val="clear"/>
                <w:vertAlign w:val="baseline"/>
                <w:rtl w:val="0"/>
              </w:rPr>
              <w:t xml:space="preserve">5. Multilateral Convention for Pillar Two</w:t>
              <w:tab/>
              <w:t xml:space="preserve">16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ym17w3b8kc4o">
            <w:r w:rsidDel="00000000" w:rsidR="00000000" w:rsidRPr="00000000">
              <w:rPr>
                <w:i w:val="0"/>
                <w:smallCaps w:val="0"/>
                <w:strike w:val="0"/>
                <w:color w:val="000000"/>
                <w:sz w:val="22"/>
                <w:szCs w:val="22"/>
                <w:u w:val="none"/>
                <w:shd w:fill="auto" w:val="clear"/>
                <w:vertAlign w:val="baseline"/>
                <w:rtl w:val="0"/>
              </w:rPr>
              <w:t xml:space="preserve">6. Administrative and Transition Provisions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pStyle w:val="Title"/>
        <w:jc w:val="center"/>
        <w:rPr>
          <w:sz w:val="32"/>
          <w:szCs w:val="32"/>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Title"/>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3">
      <w:pPr>
        <w:pStyle w:val="Title"/>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BEPS 2.0</w:t>
      </w:r>
    </w:p>
    <w:p w:rsidR="00000000" w:rsidDel="00000000" w:rsidP="00000000" w:rsidRDefault="00000000" w:rsidRPr="00000000" w14:paraId="00000024">
      <w:pPr>
        <w:pStyle w:val="Heading1"/>
        <w:numPr>
          <w:ilvl w:val="0"/>
          <w:numId w:val="3"/>
        </w:numPr>
        <w:ind w:left="450" w:hanging="360"/>
        <w:rPr>
          <w:rFonts w:ascii="Times New Roman" w:cs="Times New Roman" w:eastAsia="Times New Roman" w:hAnsi="Times New Roman"/>
          <w:b w:val="1"/>
          <w:color w:val="000000"/>
          <w:sz w:val="28"/>
          <w:szCs w:val="28"/>
          <w:u w:val="none"/>
        </w:rPr>
      </w:pPr>
      <w:bookmarkStart w:colFirst="0" w:colLast="0" w:name="_heading=h.gjdgxs" w:id="0"/>
      <w:bookmarkEnd w:id="0"/>
      <w:r w:rsidDel="00000000" w:rsidR="00000000" w:rsidRPr="00000000">
        <w:rPr>
          <w:rFonts w:ascii="Times New Roman" w:cs="Times New Roman" w:eastAsia="Times New Roman" w:hAnsi="Times New Roman"/>
          <w:b w:val="1"/>
          <w:color w:val="000000"/>
          <w:sz w:val="28"/>
          <w:szCs w:val="28"/>
          <w:rtl w:val="0"/>
        </w:rPr>
        <w:t xml:space="preserve">Pillar One</w:t>
      </w:r>
    </w:p>
    <w:p w:rsidR="00000000" w:rsidDel="00000000" w:rsidP="00000000" w:rsidRDefault="00000000" w:rsidRPr="00000000" w14:paraId="00000025">
      <w:pPr>
        <w:pStyle w:val="Heading2"/>
        <w:numPr>
          <w:ilvl w:val="0"/>
          <w:numId w:val="12"/>
        </w:numPr>
        <w:ind w:left="360" w:hanging="360"/>
        <w:jc w:val="both"/>
        <w:rPr>
          <w:rFonts w:ascii="Times New Roman" w:cs="Times New Roman" w:eastAsia="Times New Roman" w:hAnsi="Times New Roman"/>
          <w:b w:val="1"/>
          <w:color w:val="000000"/>
          <w:sz w:val="27"/>
          <w:szCs w:val="27"/>
        </w:rPr>
      </w:pPr>
      <w:bookmarkStart w:colFirst="0" w:colLast="0" w:name="_heading=h.30j0zll" w:id="1"/>
      <w:bookmarkEnd w:id="1"/>
      <w:r w:rsidDel="00000000" w:rsidR="00000000" w:rsidRPr="00000000">
        <w:rPr>
          <w:rFonts w:ascii="Times New Roman" w:cs="Times New Roman" w:eastAsia="Times New Roman" w:hAnsi="Times New Roman"/>
          <w:b w:val="1"/>
          <w:color w:val="000000"/>
          <w:sz w:val="27"/>
          <w:szCs w:val="27"/>
          <w:rtl w:val="0"/>
        </w:rPr>
        <w:t xml:space="preserve">Multilateral Convention to Implement Amount A of Pillar One</w:t>
      </w:r>
    </w:p>
    <w:p w:rsidR="00000000" w:rsidDel="00000000" w:rsidP="00000000" w:rsidRDefault="00000000" w:rsidRPr="00000000" w14:paraId="0000002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the Multilateral Convention?</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Multilateral Convention to Implement Amount A of Pillar One (MLC) represents a groundbreaking effort by the OECD/G20 Inclusive Framework to address the tax challenges of the digital economy. It forms part of the Two-Pillar Solution, first introduced in October 2021, aiming to modernize global tax systems in response to the rise of digitalization and globalization.</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Convention focuses on reallocating taxing rights over a portion of residual profits from large multinational enterprises (MNEs) to market jurisdictions where goods and services are consumed, irrespective of physical presence. It establishes a standardized framework for the global allocation of profits and taxing rights, creating greater fairness and preventing profit shifting.</w:t>
      </w:r>
    </w:p>
    <w:p w:rsidR="00000000" w:rsidDel="00000000" w:rsidP="00000000" w:rsidRDefault="00000000" w:rsidRPr="00000000" w14:paraId="0000002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240" w:line="259" w:lineRule="auto"/>
        <w:ind w:left="357"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Features of the Convention</w:t>
      </w:r>
    </w:p>
    <w:p w:rsidR="00000000" w:rsidDel="00000000" w:rsidP="00000000" w:rsidRDefault="00000000" w:rsidRPr="00000000" w14:paraId="0000002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Scope and Thresholds</w:t>
      </w:r>
    </w:p>
    <w:p w:rsidR="00000000" w:rsidDel="00000000" w:rsidP="00000000" w:rsidRDefault="00000000" w:rsidRPr="00000000" w14:paraId="000000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Covered Groups: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Convention applies to MNEs with global revenues exceeding EUR 20 billion and a pre-tax profit margin greater than 10%. A reduced threshold of EUR 10 billion may apply after a review process.</w:t>
      </w:r>
    </w:p>
    <w:p w:rsidR="00000000" w:rsidDel="00000000" w:rsidP="00000000" w:rsidRDefault="00000000" w:rsidRPr="00000000" w14:paraId="000000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Exclusions: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Certain industries, such as extractives and regulated financial services, are excluded due to their unique characteristics.</w:t>
      </w:r>
    </w:p>
    <w:p w:rsidR="00000000" w:rsidDel="00000000" w:rsidP="00000000" w:rsidRDefault="00000000" w:rsidRPr="00000000" w14:paraId="0000002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Amount A Allocation</w:t>
      </w:r>
    </w:p>
    <w:p w:rsidR="00000000" w:rsidDel="00000000" w:rsidP="00000000" w:rsidRDefault="00000000" w:rsidRPr="00000000" w14:paraId="000000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Profit Allocation: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share of residual profits above 10% of revenue is allocated to market jurisdictions based on sales. This ensures that MNEs contribute to the economies where their customers are located.</w:t>
      </w:r>
    </w:p>
    <w:p w:rsidR="00000000" w:rsidDel="00000000" w:rsidP="00000000" w:rsidRDefault="00000000" w:rsidRPr="00000000" w14:paraId="000000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Nexus 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simplified nexus rule allows market jurisdictions to tax MNEs if they generate at least EUR 1 million in revenue (EUR 250,000 for smaller economies with GDP below EUR 40 billion).</w:t>
      </w:r>
    </w:p>
    <w:p w:rsidR="00000000" w:rsidDel="00000000" w:rsidP="00000000" w:rsidRDefault="00000000" w:rsidRPr="00000000" w14:paraId="0000003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Elimination of Double Taxation</w:t>
      </w:r>
    </w:p>
    <w:p w:rsidR="00000000" w:rsidDel="00000000" w:rsidP="00000000" w:rsidRDefault="00000000" w:rsidRPr="00000000" w14:paraId="000000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Double taxation is avoided by allocating taxing rights among jurisdictions using relief mechanisms, such as tax credits or exemptions, provided to identified "relief entities."</w:t>
      </w:r>
    </w:p>
    <w:p w:rsidR="00000000" w:rsidDel="00000000" w:rsidP="00000000" w:rsidRDefault="00000000" w:rsidRPr="00000000" w14:paraId="0000003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Tax Certainty Framework</w:t>
      </w:r>
    </w:p>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MNEs can access binding certainty on Amount A obligations through advance certainty reviews, comprehensive reviews, and dispute resolution mechanisms, such as determination panels.</w:t>
      </w:r>
    </w:p>
    <w:p w:rsidR="00000000" w:rsidDel="00000000" w:rsidP="00000000" w:rsidRDefault="00000000" w:rsidRPr="00000000" w14:paraId="0000003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Administration and Compliance</w:t>
      </w:r>
    </w:p>
    <w:p w:rsidR="00000000" w:rsidDel="00000000" w:rsidP="00000000" w:rsidRDefault="00000000" w:rsidRPr="00000000" w14:paraId="000000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MNEs must file an Amount A Tax Return and Common Documentation Package.</w:t>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streamlined compliance process minimizes the administrative burden for MNEs while ensuring accuracy and consistency.</w:t>
      </w:r>
    </w:p>
    <w:p w:rsidR="00000000" w:rsidDel="00000000" w:rsidP="00000000" w:rsidRDefault="00000000" w:rsidRPr="00000000" w14:paraId="0000003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Removal of Digital Services Taxes (DSTs):</w:t>
      </w:r>
    </w:p>
    <w:p w:rsidR="00000000" w:rsidDel="00000000" w:rsidP="00000000" w:rsidRDefault="00000000" w:rsidRPr="00000000" w14:paraId="000000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Jurisdictions must withdraw existing DSTs and similar measures and commit to refraining from adopting new ones that overlap with Amount A, fostering uniformity.</w:t>
      </w:r>
    </w:p>
    <w:p w:rsidR="00000000" w:rsidDel="00000000" w:rsidP="00000000" w:rsidRDefault="00000000" w:rsidRPr="00000000" w14:paraId="00000039">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Coordination with Existing Tax Treaties:</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Convention overrides certain provisions in bilateral tax treaties to ensure the consistent application of Amount A.</w:t>
      </w:r>
    </w:p>
    <w:p w:rsidR="00000000" w:rsidDel="00000000" w:rsidP="00000000" w:rsidRDefault="00000000" w:rsidRPr="00000000" w14:paraId="0000003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80" w:line="259" w:lineRule="auto"/>
        <w:ind w:left="357"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Importance of the Multilateral Convention</w:t>
      </w:r>
    </w:p>
    <w:p w:rsidR="00000000" w:rsidDel="00000000" w:rsidP="00000000" w:rsidRDefault="00000000" w:rsidRPr="00000000" w14:paraId="0000003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Addressing Tax Challenges of Digitalization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MLC addresses the issue of tax mismatches caused by the digital economy, where profits are often taxed in low-tax jurisdictions rather than the markets where revenues are generated.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Enhancing Fairness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reallocating taxing rights to market jurisdictions, the Convention ensures that countries, including developing economies, receive their fair share of taxes from MNEs operating in their territories.</w:t>
      </w:r>
    </w:p>
    <w:p w:rsidR="00000000" w:rsidDel="00000000" w:rsidP="00000000" w:rsidRDefault="00000000" w:rsidRPr="00000000" w14:paraId="0000004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Promoting Certainty and Stability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tax certainty framework reduces the risk of disputes and litigation, providing MNEs with predictable tax outcomes and enhancing cooperation between jurisdictions.</w:t>
      </w:r>
    </w:p>
    <w:p w:rsidR="00000000" w:rsidDel="00000000" w:rsidP="00000000" w:rsidRDefault="00000000" w:rsidRPr="00000000" w14:paraId="0000004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Eliminating DSTs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removal of DSTs prevents fragmentation and retaliatory trade measures, fostering a unified approach to taxing the digital economy.</w:t>
      </w:r>
    </w:p>
    <w:p w:rsidR="00000000" w:rsidDel="00000000" w:rsidP="00000000" w:rsidRDefault="00000000" w:rsidRPr="00000000" w14:paraId="0000004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Boosting Multilateral Cooperation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Convention exemplifies international collaboration, with over 138 members of the Inclusive Framework contributing to its development.</w:t>
      </w:r>
    </w:p>
    <w:p w:rsidR="00000000" w:rsidDel="00000000" w:rsidP="00000000" w:rsidRDefault="00000000" w:rsidRPr="00000000" w14:paraId="0000004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80" w:line="259" w:lineRule="auto"/>
        <w:ind w:left="357"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Challenges in Implementation</w:t>
      </w:r>
    </w:p>
    <w:p w:rsidR="00000000" w:rsidDel="00000000" w:rsidP="00000000" w:rsidRDefault="00000000" w:rsidRPr="00000000" w14:paraId="0000004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Global Consensus and Ratification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Securing the agreement and ratification of all jurisdictions, especially those with diverging interests or concerns about national sovereignty, remains a challenge.</w:t>
      </w:r>
    </w:p>
    <w:p w:rsidR="00000000" w:rsidDel="00000000" w:rsidP="00000000" w:rsidRDefault="00000000" w:rsidRPr="00000000" w14:paraId="00000049">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Complexity of Rules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technical intricacies of the allocation formula, nexus thresholds, and relief mechanisms may lead to compliance difficulties and administrative burdens for both taxpayers and tax authorities.</w:t>
      </w:r>
    </w:p>
    <w:p w:rsidR="00000000" w:rsidDel="00000000" w:rsidP="00000000" w:rsidRDefault="00000000" w:rsidRPr="00000000" w14:paraId="0000004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Conflict with Domestic Laws and Treaties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Harmonizing the MLC provisions with domestic tax laws and existing tax treaties may require significant legal and regulatory adjustments.</w:t>
      </w:r>
    </w:p>
    <w:p w:rsidR="00000000" w:rsidDel="00000000" w:rsidP="00000000" w:rsidRDefault="00000000" w:rsidRPr="00000000" w14:paraId="0000004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Developing Economies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the MLC includes provisions to benefit smaller jurisdictions, ensuring that developing countries have the capacity to implement and enforce the rules equitably remains an issue.</w:t>
      </w:r>
    </w:p>
    <w:p w:rsidR="00000000" w:rsidDel="00000000" w:rsidP="00000000" w:rsidRDefault="00000000" w:rsidRPr="00000000" w14:paraId="0000004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Digital Services Taxes (DSTs)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Ensuring that jurisdictions comply with the removal of DSTs and preventing new unilateral measures will require continuous monitoring and enforcement.</w:t>
      </w:r>
    </w:p>
    <w:p w:rsidR="00000000" w:rsidDel="00000000" w:rsidP="00000000" w:rsidRDefault="00000000" w:rsidRPr="00000000" w14:paraId="0000005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Dispute Resolution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the tax certainty framework is comprehensive, managing disagreements over the interpretation and application of rules could still lead to conflicts.</w:t>
      </w:r>
    </w:p>
    <w:p w:rsidR="00000000" w:rsidDel="00000000" w:rsidP="00000000" w:rsidRDefault="00000000" w:rsidRPr="00000000" w14:paraId="0000005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80" w:line="259" w:lineRule="auto"/>
        <w:ind w:left="357"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Future Outlook</w:t>
      </w:r>
    </w:p>
    <w:p w:rsidR="00000000" w:rsidDel="00000000" w:rsidP="00000000" w:rsidRDefault="00000000" w:rsidRPr="00000000" w14:paraId="0000005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Expansion of Coverage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planned review to lower the revenue threshold to EUR 10 billion could extend the scope of Amount A, bringing more MNEs into the framework and increasing its impact.</w:t>
      </w:r>
    </w:p>
    <w:p w:rsidR="00000000" w:rsidDel="00000000" w:rsidP="00000000" w:rsidRDefault="00000000" w:rsidRPr="00000000" w14:paraId="0000005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Capacity Building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Strengthening the administrative and enforcement capabilities of tax authorities, especially in developing countries, will be crucial for effective implementation.</w:t>
      </w:r>
    </w:p>
    <w:p w:rsidR="00000000" w:rsidDel="00000000" w:rsidP="00000000" w:rsidRDefault="00000000" w:rsidRPr="00000000" w14:paraId="0000005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Broader Tax Reforms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MLC complements Pillar Two, which introduces a global minimum tax, creating a more comprehensive solution to international tax challenges.</w:t>
      </w:r>
    </w:p>
    <w:p w:rsidR="00000000" w:rsidDel="00000000" w:rsidP="00000000" w:rsidRDefault="00000000" w:rsidRPr="00000000" w14:paraId="0000005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Monitoring and Adaptation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Inclusive Framework will need to monitor the implementation of the Convention, address emerging issues, and refine the rules to ensure they remain fit for purpose in a rapidly changing global economy.</w:t>
      </w:r>
    </w:p>
    <w:p w:rsidR="00000000" w:rsidDel="00000000" w:rsidP="00000000" w:rsidRDefault="00000000" w:rsidRPr="00000000" w14:paraId="0000005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Impact on Business Models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MNEs may need to adapt their operational and financial structures to align with the new rules, potentially reshaping global business practices.</w:t>
      </w:r>
      <w:r w:rsidDel="00000000" w:rsidR="00000000" w:rsidRPr="00000000">
        <w:rPr>
          <w:rtl w:val="0"/>
        </w:rPr>
      </w:r>
    </w:p>
    <w:p w:rsidR="00000000" w:rsidDel="00000000" w:rsidP="00000000" w:rsidRDefault="00000000" w:rsidRPr="00000000" w14:paraId="0000005E">
      <w:pPr>
        <w:pStyle w:val="Heading2"/>
        <w:numPr>
          <w:ilvl w:val="0"/>
          <w:numId w:val="12"/>
        </w:numPr>
        <w:ind w:left="360" w:hanging="360"/>
        <w:jc w:val="both"/>
        <w:rPr>
          <w:rFonts w:ascii="Times New Roman" w:cs="Times New Roman" w:eastAsia="Times New Roman" w:hAnsi="Times New Roman"/>
          <w:b w:val="1"/>
          <w:color w:val="000000"/>
          <w:sz w:val="27"/>
          <w:szCs w:val="27"/>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7"/>
          <w:szCs w:val="27"/>
          <w:rtl w:val="0"/>
        </w:rPr>
        <w:t xml:space="preserve">Amount A</w:t>
      </w:r>
    </w:p>
    <w:p w:rsidR="00000000" w:rsidDel="00000000" w:rsidP="00000000" w:rsidRDefault="00000000" w:rsidRPr="00000000" w14:paraId="0000005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Five Steps for Applying Amount A under Pillar One</w:t>
      </w:r>
    </w:p>
    <w:p w:rsidR="00000000" w:rsidDel="00000000" w:rsidP="00000000" w:rsidRDefault="00000000" w:rsidRPr="00000000" w14:paraId="0000006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Step 1: Scope Determination</w:t>
      </w:r>
    </w:p>
    <w:p w:rsidR="00000000" w:rsidDel="00000000" w:rsidP="00000000" w:rsidRDefault="00000000" w:rsidRPr="00000000" w14:paraId="0000006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Group Revenue and Profitability Test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test identifies MNEs subject to Amount A by focusing on the largest and most profitable groups globally:</w:t>
      </w:r>
      <w:r w:rsidDel="00000000" w:rsidR="00000000" w:rsidRPr="00000000">
        <w:rPr>
          <w:rtl w:val="0"/>
        </w:rPr>
      </w:r>
    </w:p>
    <w:p w:rsidR="00000000" w:rsidDel="00000000" w:rsidP="00000000" w:rsidRDefault="00000000" w:rsidRPr="00000000" w14:paraId="00000063">
      <w:pPr>
        <w:numPr>
          <w:ilvl w:val="0"/>
          <w:numId w:val="1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Revenue Test</w:t>
      </w:r>
      <w:r w:rsidDel="00000000" w:rsidR="00000000" w:rsidRPr="00000000">
        <w:rPr>
          <w:rFonts w:ascii="Times New Roman" w:cs="Times New Roman" w:eastAsia="Times New Roman" w:hAnsi="Times New Roman"/>
          <w:sz w:val="24"/>
          <w:szCs w:val="24"/>
          <w:rtl w:val="0"/>
        </w:rPr>
        <w:t xml:space="preserve">: Adjusted group revenues must exceed </w:t>
      </w:r>
      <w:r w:rsidDel="00000000" w:rsidR="00000000" w:rsidRPr="00000000">
        <w:rPr>
          <w:rFonts w:ascii="Times New Roman" w:cs="Times New Roman" w:eastAsia="Times New Roman" w:hAnsi="Times New Roman"/>
          <w:b w:val="1"/>
          <w:sz w:val="24"/>
          <w:szCs w:val="24"/>
          <w:rtl w:val="0"/>
        </w:rPr>
        <w:t xml:space="preserve">EUR 20 billion</w:t>
      </w:r>
      <w:r w:rsidDel="00000000" w:rsidR="00000000" w:rsidRPr="00000000">
        <w:rPr>
          <w:rFonts w:ascii="Times New Roman" w:cs="Times New Roman" w:eastAsia="Times New Roman" w:hAnsi="Times New Roman"/>
          <w:sz w:val="24"/>
          <w:szCs w:val="24"/>
          <w:rtl w:val="0"/>
        </w:rPr>
        <w:t xml:space="preserve">, calculated from the MNE’s consolidated financial statements. Adjustments exclude VAT and similar taxes, ensuring comparability.</w:t>
      </w:r>
    </w:p>
    <w:p w:rsidR="00000000" w:rsidDel="00000000" w:rsidP="00000000" w:rsidRDefault="00000000" w:rsidRPr="00000000" w14:paraId="00000064">
      <w:pPr>
        <w:numPr>
          <w:ilvl w:val="0"/>
          <w:numId w:val="1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Profitability Test</w:t>
      </w:r>
      <w:r w:rsidDel="00000000" w:rsidR="00000000" w:rsidRPr="00000000">
        <w:rPr>
          <w:rFonts w:ascii="Times New Roman" w:cs="Times New Roman" w:eastAsia="Times New Roman" w:hAnsi="Times New Roman"/>
          <w:sz w:val="24"/>
          <w:szCs w:val="24"/>
          <w:rtl w:val="0"/>
        </w:rPr>
        <w:t xml:space="preserve">: The pre-tax profit margin must exceed </w:t>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calculated as the ratio of the group’s profit to its adjusted revenues. A weighted average mechanism accounts for fluctuations across periods​.</w:t>
      </w:r>
    </w:p>
    <w:p w:rsidR="00000000" w:rsidDel="00000000" w:rsidP="00000000" w:rsidRDefault="00000000" w:rsidRPr="00000000" w14:paraId="00000065">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MNE does not meet these thresholds at the group level, disclosed segments within its consolidated accounts may independently qualify.</w:t>
      </w:r>
    </w:p>
    <w:p w:rsidR="00000000" w:rsidDel="00000000" w:rsidP="00000000" w:rsidRDefault="00000000" w:rsidRPr="00000000" w14:paraId="00000066">
      <w:pPr>
        <w:numPr>
          <w:ilvl w:val="0"/>
          <w:numId w:val="1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technology group, "TechGlobal," with EUR 30 billion in annual revenues and a 15% pre-tax profit margin, meets the threshold. Conversely, a low-margin conglomerate with revenues of EUR 40 billion but a 5% margin falls outside scope unless individual segments qualify.</w:t>
      </w:r>
    </w:p>
    <w:p w:rsidR="00000000" w:rsidDel="00000000" w:rsidP="00000000" w:rsidRDefault="00000000" w:rsidRPr="00000000" w14:paraId="0000006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Limited Exclusions and Adjustments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Certain sectors and activities are excluded or adjusted: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Exclusions:</w:t>
      </w:r>
    </w:p>
    <w:p w:rsidR="00000000" w:rsidDel="00000000" w:rsidP="00000000" w:rsidRDefault="00000000" w:rsidRPr="00000000" w14:paraId="0000006A">
      <w:pPr>
        <w:numPr>
          <w:ilvl w:val="1"/>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Regulated Financial Services</w:t>
      </w:r>
      <w:r w:rsidDel="00000000" w:rsidR="00000000" w:rsidRPr="00000000">
        <w:rPr>
          <w:rFonts w:ascii="Times New Roman" w:cs="Times New Roman" w:eastAsia="Times New Roman" w:hAnsi="Times New Roman"/>
          <w:sz w:val="24"/>
          <w:szCs w:val="24"/>
          <w:rtl w:val="0"/>
        </w:rPr>
        <w:t xml:space="preserve">: Includes banks, insurers, and asset managers due to their unique regulatory environments.</w:t>
      </w:r>
    </w:p>
    <w:p w:rsidR="00000000" w:rsidDel="00000000" w:rsidP="00000000" w:rsidRDefault="00000000" w:rsidRPr="00000000" w14:paraId="0000006B">
      <w:pPr>
        <w:numPr>
          <w:ilvl w:val="1"/>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Extractives</w:t>
      </w:r>
      <w:r w:rsidDel="00000000" w:rsidR="00000000" w:rsidRPr="00000000">
        <w:rPr>
          <w:rFonts w:ascii="Times New Roman" w:cs="Times New Roman" w:eastAsia="Times New Roman" w:hAnsi="Times New Roman"/>
          <w:sz w:val="24"/>
          <w:szCs w:val="24"/>
          <w:rtl w:val="0"/>
        </w:rPr>
        <w:t xml:space="preserve">: Profits from the extraction or sale of natural resources are excluded, aligning with pre-existing sector-specific rules​.</w:t>
      </w:r>
    </w:p>
    <w:p w:rsidR="00000000" w:rsidDel="00000000" w:rsidP="00000000" w:rsidRDefault="00000000" w:rsidRPr="00000000" w14:paraId="000000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Adjustments:</w:t>
      </w:r>
    </w:p>
    <w:p w:rsidR="00000000" w:rsidDel="00000000" w:rsidP="00000000" w:rsidRDefault="00000000" w:rsidRPr="00000000" w14:paraId="0000006D">
      <w:pPr>
        <w:numPr>
          <w:ilvl w:val="1"/>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Autonomous Domestic Businesses (ADB)</w:t>
      </w:r>
      <w:r w:rsidDel="00000000" w:rsidR="00000000" w:rsidRPr="00000000">
        <w:rPr>
          <w:rFonts w:ascii="Times New Roman" w:cs="Times New Roman" w:eastAsia="Times New Roman" w:hAnsi="Times New Roman"/>
          <w:sz w:val="24"/>
          <w:szCs w:val="24"/>
          <w:rtl w:val="0"/>
        </w:rPr>
        <w:t xml:space="preserve">: Revenues are adjusted where activities are autonomously conducted within a jurisdiction.</w:t>
      </w:r>
    </w:p>
    <w:p w:rsidR="00000000" w:rsidDel="00000000" w:rsidP="00000000" w:rsidRDefault="00000000" w:rsidRPr="00000000" w14:paraId="0000006E">
      <w:pPr>
        <w:numPr>
          <w:ilvl w:val="1"/>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Defence Activities</w:t>
      </w:r>
      <w:r w:rsidDel="00000000" w:rsidR="00000000" w:rsidRPr="00000000">
        <w:rPr>
          <w:rFonts w:ascii="Times New Roman" w:cs="Times New Roman" w:eastAsia="Times New Roman" w:hAnsi="Times New Roman"/>
          <w:sz w:val="24"/>
          <w:szCs w:val="24"/>
          <w:rtl w:val="0"/>
        </w:rPr>
        <w:t xml:space="preserve">: Supplies for defence purposes are adjusted out of scope.</w:t>
      </w:r>
    </w:p>
    <w:p w:rsidR="00000000" w:rsidDel="00000000" w:rsidP="00000000" w:rsidRDefault="00000000" w:rsidRPr="00000000" w14:paraId="0000006F">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"EnergyExtract," an oil company generating EUR 25 billion from extraction activities, is excluded. Meanwhile, its EUR 5 billion downstream sales of refined products may still qualify.</w:t>
      </w:r>
    </w:p>
    <w:p w:rsidR="00000000" w:rsidDel="00000000" w:rsidP="00000000" w:rsidRDefault="00000000" w:rsidRPr="00000000" w14:paraId="0000007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Step 2: Identification of Eligible Market Jurisdictions</w:t>
      </w:r>
    </w:p>
    <w:p w:rsidR="00000000" w:rsidDel="00000000" w:rsidP="00000000" w:rsidRDefault="00000000" w:rsidRPr="00000000" w14:paraId="0000007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Categorize Group Revenues and Identify Applicable Source Rule</w:t>
      </w:r>
    </w:p>
    <w:p w:rsidR="00000000" w:rsidDel="00000000" w:rsidP="00000000" w:rsidRDefault="00000000" w:rsidRPr="00000000" w14:paraId="00000072">
      <w:pPr>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Revenues are categorized based on the nature of transactions:</w:t>
      </w:r>
    </w:p>
    <w:p w:rsidR="00000000" w:rsidDel="00000000" w:rsidP="00000000" w:rsidRDefault="00000000" w:rsidRPr="00000000" w14:paraId="00000073">
      <w:pPr>
        <w:numPr>
          <w:ilvl w:val="0"/>
          <w:numId w:val="1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Finished Goods</w:t>
      </w:r>
      <w:r w:rsidDel="00000000" w:rsidR="00000000" w:rsidRPr="00000000">
        <w:rPr>
          <w:rFonts w:ascii="Times New Roman" w:cs="Times New Roman" w:eastAsia="Times New Roman" w:hAnsi="Times New Roman"/>
          <w:sz w:val="24"/>
          <w:szCs w:val="24"/>
          <w:rtl w:val="0"/>
        </w:rPr>
        <w:t xml:space="preserve">: Sourced to the customer delivery location.</w:t>
      </w:r>
    </w:p>
    <w:p w:rsidR="00000000" w:rsidDel="00000000" w:rsidP="00000000" w:rsidRDefault="00000000" w:rsidRPr="00000000" w14:paraId="00000074">
      <w:pPr>
        <w:numPr>
          <w:ilvl w:val="0"/>
          <w:numId w:val="1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Digital Services</w:t>
      </w:r>
      <w:r w:rsidDel="00000000" w:rsidR="00000000" w:rsidRPr="00000000">
        <w:rPr>
          <w:rFonts w:ascii="Times New Roman" w:cs="Times New Roman" w:eastAsia="Times New Roman" w:hAnsi="Times New Roman"/>
          <w:sz w:val="24"/>
          <w:szCs w:val="24"/>
          <w:rtl w:val="0"/>
        </w:rPr>
        <w:t xml:space="preserve">: Sourced based on user location, e.g., IP addresses.</w:t>
      </w:r>
    </w:p>
    <w:p w:rsidR="00000000" w:rsidDel="00000000" w:rsidP="00000000" w:rsidRDefault="00000000" w:rsidRPr="00000000" w14:paraId="00000075">
      <w:pPr>
        <w:numPr>
          <w:ilvl w:val="0"/>
          <w:numId w:val="1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Intangibles</w:t>
      </w:r>
      <w:r w:rsidDel="00000000" w:rsidR="00000000" w:rsidRPr="00000000">
        <w:rPr>
          <w:rFonts w:ascii="Times New Roman" w:cs="Times New Roman" w:eastAsia="Times New Roman" w:hAnsi="Times New Roman"/>
          <w:sz w:val="24"/>
          <w:szCs w:val="24"/>
          <w:rtl w:val="0"/>
        </w:rPr>
        <w:t xml:space="preserve">: Allocated to jurisdictions where the intangible is used.</w:t>
      </w:r>
    </w:p>
    <w:p w:rsidR="00000000" w:rsidDel="00000000" w:rsidP="00000000" w:rsidRDefault="00000000" w:rsidRPr="00000000" w14:paraId="00000076">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"DigitalBiz," a streaming platform, allocates subscription revenues to jurisdictions where subscribers reside and advertising revenue to where ads are viewed.</w:t>
      </w:r>
    </w:p>
    <w:p w:rsidR="00000000" w:rsidDel="00000000" w:rsidP="00000000" w:rsidRDefault="00000000" w:rsidRPr="00000000" w14:paraId="0000007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Apply the Source Rule Using a ‘Reliable Method’</w:t>
      </w:r>
    </w:p>
    <w:p w:rsidR="00000000" w:rsidDel="00000000" w:rsidP="00000000" w:rsidRDefault="00000000" w:rsidRPr="00000000" w14:paraId="00000078">
      <w:pPr>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MNEs must apply reliable methods based on available data, such as:</w:t>
      </w:r>
    </w:p>
    <w:p w:rsidR="00000000" w:rsidDel="00000000" w:rsidP="00000000" w:rsidRDefault="00000000" w:rsidRPr="00000000" w14:paraId="00000079">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billing addresses,</w:t>
      </w:r>
    </w:p>
    <w:p w:rsidR="00000000" w:rsidDel="00000000" w:rsidP="00000000" w:rsidRDefault="00000000" w:rsidRPr="00000000" w14:paraId="0000007A">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locations,</w:t>
      </w:r>
    </w:p>
    <w:p w:rsidR="00000000" w:rsidDel="00000000" w:rsidP="00000000" w:rsidRDefault="00000000" w:rsidRPr="00000000" w14:paraId="0000007B">
      <w:pPr>
        <w:numPr>
          <w:ilvl w:val="0"/>
          <w:numId w:val="1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geolocation data.</w:t>
      </w:r>
    </w:p>
    <w:p w:rsidR="00000000" w:rsidDel="00000000" w:rsidP="00000000" w:rsidRDefault="00000000" w:rsidRPr="00000000" w14:paraId="0000007C">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reliable indicators are unavailable, allocation keys (e.g., GDP) act as backstops​.</w:t>
      </w:r>
    </w:p>
    <w:p w:rsidR="00000000" w:rsidDel="00000000" w:rsidP="00000000" w:rsidRDefault="00000000" w:rsidRPr="00000000" w14:paraId="0000007D">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"RetailWorld," an e-commerce platform, uses delivery addresses to allocate 80% of revenues. For the remaining 20%, it applies GDP-based regional keys.</w:t>
      </w:r>
    </w:p>
    <w:p w:rsidR="00000000" w:rsidDel="00000000" w:rsidP="00000000" w:rsidRDefault="00000000" w:rsidRPr="00000000" w14:paraId="0000007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Determine Nexus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nexus threshold determines eligible jurisdictions:</w:t>
      </w:r>
      <w:r w:rsidDel="00000000" w:rsidR="00000000" w:rsidRPr="00000000">
        <w:rPr>
          <w:rtl w:val="0"/>
        </w:rPr>
      </w:r>
    </w:p>
    <w:p w:rsidR="00000000" w:rsidDel="00000000" w:rsidP="00000000" w:rsidRDefault="00000000" w:rsidRPr="00000000" w14:paraId="00000080">
      <w:pPr>
        <w:numPr>
          <w:ilvl w:val="0"/>
          <w:numId w:val="20"/>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EUR 1 million</w:t>
      </w:r>
      <w:r w:rsidDel="00000000" w:rsidR="00000000" w:rsidRPr="00000000">
        <w:rPr>
          <w:rFonts w:ascii="Times New Roman" w:cs="Times New Roman" w:eastAsia="Times New Roman" w:hAnsi="Times New Roman"/>
          <w:sz w:val="24"/>
          <w:szCs w:val="24"/>
          <w:rtl w:val="0"/>
        </w:rPr>
        <w:t xml:space="preserve"> for most jurisdictions.</w:t>
      </w:r>
    </w:p>
    <w:p w:rsidR="00000000" w:rsidDel="00000000" w:rsidP="00000000" w:rsidRDefault="00000000" w:rsidRPr="00000000" w14:paraId="00000081">
      <w:pPr>
        <w:numPr>
          <w:ilvl w:val="0"/>
          <w:numId w:val="20"/>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EUR 250,000</w:t>
      </w:r>
      <w:r w:rsidDel="00000000" w:rsidR="00000000" w:rsidRPr="00000000">
        <w:rPr>
          <w:rFonts w:ascii="Times New Roman" w:cs="Times New Roman" w:eastAsia="Times New Roman" w:hAnsi="Times New Roman"/>
          <w:sz w:val="24"/>
          <w:szCs w:val="24"/>
          <w:rtl w:val="0"/>
        </w:rPr>
        <w:t xml:space="preserve"> for jurisdictions with GDP below EUR 40 billion.</w:t>
      </w:r>
    </w:p>
    <w:p w:rsidR="00000000" w:rsidDel="00000000" w:rsidP="00000000" w:rsidRDefault="00000000" w:rsidRPr="00000000" w14:paraId="00000082">
      <w:pP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"EduTech" generates EUR 300,000 in revenues from a developing economy (GDP EUR 30 billion). The reduced threshold enables taxation under Amount A.</w:t>
      </w:r>
    </w:p>
    <w:p w:rsidR="00000000" w:rsidDel="00000000" w:rsidP="00000000" w:rsidRDefault="00000000" w:rsidRPr="00000000" w14:paraId="0000008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Step 3: Calculation and Allocation of Profit</w:t>
      </w:r>
    </w:p>
    <w:p w:rsidR="00000000" w:rsidDel="00000000" w:rsidP="00000000" w:rsidRDefault="00000000" w:rsidRPr="00000000" w14:paraId="0000008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Determine the Relevant Group Profit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starting point is the profit in the group’s consolidated financial statements, with adjustments for:</w:t>
      </w:r>
      <w:r w:rsidDel="00000000" w:rsidR="00000000" w:rsidRPr="00000000">
        <w:rPr>
          <w:rtl w:val="0"/>
        </w:rPr>
      </w:r>
    </w:p>
    <w:p w:rsidR="00000000" w:rsidDel="00000000" w:rsidP="00000000" w:rsidRDefault="00000000" w:rsidRPr="00000000" w14:paraId="00000086">
      <w:pPr>
        <w:numPr>
          <w:ilvl w:val="0"/>
          <w:numId w:val="4"/>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expenses,</w:t>
      </w:r>
    </w:p>
    <w:p w:rsidR="00000000" w:rsidDel="00000000" w:rsidP="00000000" w:rsidRDefault="00000000" w:rsidRPr="00000000" w14:paraId="00000087">
      <w:pPr>
        <w:numPr>
          <w:ilvl w:val="0"/>
          <w:numId w:val="4"/>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 gains or losses,</w:t>
      </w:r>
    </w:p>
    <w:p w:rsidR="00000000" w:rsidDel="00000000" w:rsidP="00000000" w:rsidRDefault="00000000" w:rsidRPr="00000000" w14:paraId="00000088">
      <w:pPr>
        <w:numPr>
          <w:ilvl w:val="0"/>
          <w:numId w:val="4"/>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disallowed expenses​.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 losses, including those from business reorganizations, are factored in to ensure fairness.</w:t>
      </w:r>
    </w:p>
    <w:p w:rsidR="00000000" w:rsidDel="00000000" w:rsidP="00000000" w:rsidRDefault="00000000" w:rsidRPr="00000000" w14:paraId="000000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Allocate a Portion of Excess Profit</w:t>
      </w:r>
    </w:p>
    <w:p w:rsidR="00000000" w:rsidDel="00000000" w:rsidP="00000000" w:rsidRDefault="00000000" w:rsidRPr="00000000" w14:paraId="0000008B">
      <w:pPr>
        <w:numPr>
          <w:ilvl w:val="0"/>
          <w:numId w:val="5"/>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 profit is defined as the amount exceeding 10% of revenues.</w:t>
      </w:r>
    </w:p>
    <w:p w:rsidR="00000000" w:rsidDel="00000000" w:rsidP="00000000" w:rsidRDefault="00000000" w:rsidRPr="00000000" w14:paraId="0000008C">
      <w:pPr>
        <w:numPr>
          <w:ilvl w:val="0"/>
          <w:numId w:val="5"/>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of this residual profit is reallocated to eligible market jurisdictions based on sourced revenues.</w:t>
      </w:r>
    </w:p>
    <w:p w:rsidR="00000000" w:rsidDel="00000000" w:rsidP="00000000" w:rsidRDefault="00000000" w:rsidRPr="00000000" w14:paraId="0000008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group with EUR 50 billion in revenue and EUR 10 billion in profit exceeds the 10% threshold by EUR 5 billion. Of this, EUR 1.25 billion (25%) is reallocated.</w:t>
      </w:r>
    </w:p>
    <w:p w:rsidR="00000000" w:rsidDel="00000000" w:rsidP="00000000" w:rsidRDefault="00000000" w:rsidRPr="00000000" w14:paraId="0000008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Adjust for Double Counting</w:t>
      </w:r>
    </w:p>
    <w:p w:rsidR="00000000" w:rsidDel="00000000" w:rsidP="00000000" w:rsidRDefault="00000000" w:rsidRPr="00000000" w14:paraId="0000008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Marketing and Distribution Profits Safe Harbour (MDSH)</w:t>
      </w:r>
      <w:r w:rsidDel="00000000" w:rsidR="00000000" w:rsidRPr="00000000">
        <w:rPr>
          <w:rFonts w:ascii="Times New Roman" w:cs="Times New Roman" w:eastAsia="Times New Roman" w:hAnsi="Times New Roman"/>
          <w:sz w:val="24"/>
          <w:szCs w:val="24"/>
          <w:rtl w:val="0"/>
        </w:rPr>
        <w:t xml:space="preserve"> ensures no jurisdiction taxes the same profit twice. Adjustments account for:</w:t>
      </w:r>
    </w:p>
    <w:p w:rsidR="00000000" w:rsidDel="00000000" w:rsidP="00000000" w:rsidRDefault="00000000" w:rsidRPr="00000000" w14:paraId="00000090">
      <w:pPr>
        <w:numPr>
          <w:ilvl w:val="0"/>
          <w:numId w:val="6"/>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Withholding taxes,</w:t>
      </w:r>
    </w:p>
    <w:p w:rsidR="00000000" w:rsidDel="00000000" w:rsidP="00000000" w:rsidRDefault="00000000" w:rsidRPr="00000000" w14:paraId="00000091">
      <w:pPr>
        <w:numPr>
          <w:ilvl w:val="0"/>
          <w:numId w:val="6"/>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Jurisdictional profitability metrics​.</w:t>
      </w:r>
    </w:p>
    <w:p w:rsidR="00000000" w:rsidDel="00000000" w:rsidP="00000000" w:rsidRDefault="00000000" w:rsidRPr="00000000" w14:paraId="0000009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Step 4: Eliminate Double Taxation</w:t>
      </w:r>
    </w:p>
    <w:p w:rsidR="00000000" w:rsidDel="00000000" w:rsidP="00000000" w:rsidRDefault="00000000" w:rsidRPr="00000000" w14:paraId="0000009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Determine the Return on Depreciation and Payroll (RODP)</w:t>
      </w:r>
    </w:p>
    <w:p w:rsidR="00000000" w:rsidDel="00000000" w:rsidP="00000000" w:rsidRDefault="00000000" w:rsidRPr="00000000" w14:paraId="0000009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Jurisdictional profit is calculated by pooling profits from entities in the jurisdiction and applying book-to-tax adjustments. This includes:</w:t>
      </w:r>
    </w:p>
    <w:p w:rsidR="00000000" w:rsidDel="00000000" w:rsidP="00000000" w:rsidRDefault="00000000" w:rsidRPr="00000000" w14:paraId="00000095">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carry-forwards,</w:t>
      </w:r>
    </w:p>
    <w:p w:rsidR="00000000" w:rsidDel="00000000" w:rsidP="00000000" w:rsidRDefault="00000000" w:rsidRPr="00000000" w14:paraId="00000096">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Adjustments for transfer pricing or taxable presence​.</w:t>
      </w:r>
    </w:p>
    <w:p w:rsidR="00000000" w:rsidDel="00000000" w:rsidP="00000000" w:rsidRDefault="00000000" w:rsidRPr="00000000" w14:paraId="0000009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Allocate Relief Obligations to Jurisdictions</w:t>
      </w:r>
    </w:p>
    <w:p w:rsidR="00000000" w:rsidDel="00000000" w:rsidP="00000000" w:rsidRDefault="00000000" w:rsidRPr="00000000" w14:paraId="0000009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is allocated using a tiered system:</w:t>
      </w:r>
    </w:p>
    <w:p w:rsidR="00000000" w:rsidDel="00000000" w:rsidP="00000000" w:rsidRDefault="00000000" w:rsidRPr="00000000" w14:paraId="00000099">
      <w:pPr>
        <w:numPr>
          <w:ilvl w:val="0"/>
          <w:numId w:val="10"/>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Tier 1</w:t>
      </w:r>
      <w:r w:rsidDel="00000000" w:rsidR="00000000" w:rsidRPr="00000000">
        <w:rPr>
          <w:rFonts w:ascii="Times New Roman" w:cs="Times New Roman" w:eastAsia="Times New Roman" w:hAnsi="Times New Roman"/>
          <w:sz w:val="24"/>
          <w:szCs w:val="24"/>
          <w:rtl w:val="0"/>
        </w:rPr>
        <w:t xml:space="preserve">: Jurisdictions with the highest RODP absorb relief obligations until parity with Tier 2 jurisdictions.</w:t>
      </w:r>
    </w:p>
    <w:p w:rsidR="00000000" w:rsidDel="00000000" w:rsidP="00000000" w:rsidRDefault="00000000" w:rsidRPr="00000000" w14:paraId="0000009A">
      <w:pPr>
        <w:numPr>
          <w:ilvl w:val="0"/>
          <w:numId w:val="10"/>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cascades to lower tiers until all obligations are fulfilled.</w:t>
      </w:r>
    </w:p>
    <w:p w:rsidR="00000000" w:rsidDel="00000000" w:rsidP="00000000" w:rsidRDefault="00000000" w:rsidRPr="00000000" w14:paraId="0000009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Tier 1 jurisdiction with EUR 200 million in excess profit absorbs obligations before Tier 2 jurisdictions contribute.</w:t>
      </w:r>
    </w:p>
    <w:p w:rsidR="00000000" w:rsidDel="00000000" w:rsidP="00000000" w:rsidRDefault="00000000" w:rsidRPr="00000000" w14:paraId="0000009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Identify Relief Entities</w:t>
      </w:r>
    </w:p>
    <w:p w:rsidR="00000000" w:rsidDel="00000000" w:rsidP="00000000" w:rsidRDefault="00000000" w:rsidRPr="00000000" w14:paraId="0000009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entitled to relief are identified based on jurisdictional metrics, such as taxable profits.</w:t>
      </w:r>
    </w:p>
    <w:p w:rsidR="00000000" w:rsidDel="00000000" w:rsidP="00000000" w:rsidRDefault="00000000" w:rsidRPr="00000000" w14:paraId="0000009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MNE with multiple entities in a jurisdiction selects the most profitable for relief application.</w:t>
      </w:r>
    </w:p>
    <w:p w:rsidR="00000000" w:rsidDel="00000000" w:rsidP="00000000" w:rsidRDefault="00000000" w:rsidRPr="00000000" w14:paraId="0000009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Step 5: Filing, Payment, and Relief</w:t>
      </w:r>
    </w:p>
    <w:p w:rsidR="00000000" w:rsidDel="00000000" w:rsidP="00000000" w:rsidRDefault="00000000" w:rsidRPr="00000000" w14:paraId="000000A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Streamlined Filing Obligations</w:t>
      </w:r>
    </w:p>
    <w:p w:rsidR="00000000" w:rsidDel="00000000" w:rsidP="00000000" w:rsidRDefault="00000000" w:rsidRPr="00000000" w14:paraId="000000A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MNEs submit a single Amount A tax return to the lead tax administration. This covers:</w:t>
      </w:r>
    </w:p>
    <w:p w:rsidR="00000000" w:rsidDel="00000000" w:rsidP="00000000" w:rsidRDefault="00000000" w:rsidRPr="00000000" w14:paraId="000000A2">
      <w:pPr>
        <w:numPr>
          <w:ilvl w:val="0"/>
          <w:numId w:val="16"/>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Amount A liabilities,</w:t>
      </w:r>
    </w:p>
    <w:p w:rsidR="00000000" w:rsidDel="00000000" w:rsidP="00000000" w:rsidRDefault="00000000" w:rsidRPr="00000000" w14:paraId="000000A3">
      <w:pPr>
        <w:numPr>
          <w:ilvl w:val="0"/>
          <w:numId w:val="16"/>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entitlements for double taxation​.</w:t>
      </w:r>
    </w:p>
    <w:p w:rsidR="00000000" w:rsidDel="00000000" w:rsidP="00000000" w:rsidRDefault="00000000" w:rsidRPr="00000000" w14:paraId="000000A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Streamlined Payment of Tax</w:t>
      </w:r>
    </w:p>
    <w:p w:rsidR="00000000" w:rsidDel="00000000" w:rsidP="00000000" w:rsidRDefault="00000000" w:rsidRPr="00000000" w14:paraId="000000A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 are made by a </w:t>
      </w:r>
      <w:r w:rsidDel="00000000" w:rsidR="00000000" w:rsidRPr="00000000">
        <w:rPr>
          <w:rFonts w:ascii="Times New Roman" w:cs="Times New Roman" w:eastAsia="Times New Roman" w:hAnsi="Times New Roman"/>
          <w:b w:val="1"/>
          <w:sz w:val="24"/>
          <w:szCs w:val="24"/>
          <w:rtl w:val="0"/>
        </w:rPr>
        <w:t xml:space="preserve">Designated Payment Entity (DPE)</w:t>
      </w:r>
      <w:r w:rsidDel="00000000" w:rsidR="00000000" w:rsidRPr="00000000">
        <w:rPr>
          <w:rFonts w:ascii="Times New Roman" w:cs="Times New Roman" w:eastAsia="Times New Roman" w:hAnsi="Times New Roman"/>
          <w:sz w:val="24"/>
          <w:szCs w:val="24"/>
          <w:rtl w:val="0"/>
        </w:rPr>
        <w:t xml:space="preserve"> directly to eligible jurisdictions. Compensation payments from other entities ensure the DPE meets its obligations​.</w:t>
      </w:r>
    </w:p>
    <w:p w:rsidR="00000000" w:rsidDel="00000000" w:rsidP="00000000" w:rsidRDefault="00000000" w:rsidRPr="00000000" w14:paraId="000000A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Double Tax Relief Process</w:t>
      </w:r>
    </w:p>
    <w:p w:rsidR="00000000" w:rsidDel="00000000" w:rsidP="00000000" w:rsidRDefault="00000000" w:rsidRPr="00000000" w14:paraId="000000A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is provided via one of four methods:</w:t>
      </w:r>
    </w:p>
    <w:p w:rsidR="00000000" w:rsidDel="00000000" w:rsidP="00000000" w:rsidRDefault="00000000" w:rsidRPr="00000000" w14:paraId="000000A8">
      <w:pPr>
        <w:numPr>
          <w:ilvl w:val="0"/>
          <w:numId w:val="26"/>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Direct Payment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numPr>
          <w:ilvl w:val="0"/>
          <w:numId w:val="26"/>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Refundable Tax Credit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numPr>
          <w:ilvl w:val="0"/>
          <w:numId w:val="26"/>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Non-refundable Tax Credit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numPr>
          <w:ilvl w:val="0"/>
          <w:numId w:val="26"/>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Profit Deduction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must be granted within 90 days or offset against subsequent tax installments.</w:t>
      </w:r>
    </w:p>
    <w:p w:rsidR="00000000" w:rsidDel="00000000" w:rsidP="00000000" w:rsidRDefault="00000000" w:rsidRPr="00000000" w14:paraId="000000AD">
      <w:pPr>
        <w:pStyle w:val="Heading2"/>
        <w:numPr>
          <w:ilvl w:val="0"/>
          <w:numId w:val="12"/>
        </w:numPr>
        <w:spacing w:before="320" w:lineRule="auto"/>
        <w:ind w:left="357" w:hanging="357"/>
        <w:jc w:val="both"/>
        <w:rPr>
          <w:rFonts w:ascii="Times New Roman" w:cs="Times New Roman" w:eastAsia="Times New Roman" w:hAnsi="Times New Roman"/>
          <w:b w:val="1"/>
          <w:color w:val="000000"/>
          <w:sz w:val="27"/>
          <w:szCs w:val="27"/>
        </w:rPr>
      </w:pPr>
      <w:bookmarkStart w:colFirst="0" w:colLast="0" w:name="_heading=h.3znysh7" w:id="3"/>
      <w:bookmarkEnd w:id="3"/>
      <w:r w:rsidDel="00000000" w:rsidR="00000000" w:rsidRPr="00000000">
        <w:rPr>
          <w:rFonts w:ascii="Times New Roman" w:cs="Times New Roman" w:eastAsia="Times New Roman" w:hAnsi="Times New Roman"/>
          <w:b w:val="1"/>
          <w:color w:val="000000"/>
          <w:sz w:val="27"/>
          <w:szCs w:val="27"/>
          <w:rtl w:val="0"/>
        </w:rPr>
        <w:t xml:space="preserve">Pillar One - Amount B</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B provides a complementary framework to simplify the application of the arm’s length principle for in-country baseline marketing and distribution activities. Amount B focuses on providing streamlined transfer pricing guidance for MNEs engaged in such activities, addressing frequent transfer pricing disputes while prioritizing the needs of low-capacity jurisdictions. </w:t>
      </w:r>
    </w:p>
    <w:p w:rsidR="00000000" w:rsidDel="00000000" w:rsidP="00000000" w:rsidRDefault="00000000" w:rsidRPr="00000000" w14:paraId="000000A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Overview of Pillar One – Amount B</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Amount B is designed to address the frequent challenges tax administrations face when pricing routine distribution activities. Transfer pricing disputes involving distribution often arise from issues such as method selection, benchmarking comparability, and adjustments. For many low-capacity jurisdictions, these disputes consume significant resources, with such cases representing 30%–70% of their transfer pricing disputes​​.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Amount B seeks to:</w:t>
      </w:r>
      <w:r w:rsidDel="00000000" w:rsidR="00000000" w:rsidRPr="00000000">
        <w:rPr>
          <w:rtl w:val="0"/>
        </w:rPr>
      </w:r>
    </w:p>
    <w:p w:rsidR="00000000" w:rsidDel="00000000" w:rsidP="00000000" w:rsidRDefault="00000000" w:rsidRPr="00000000" w14:paraId="000000B2">
      <w:pPr>
        <w:numPr>
          <w:ilvl w:val="0"/>
          <w:numId w:val="2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Simplify compliance processes for taxpayers.</w:t>
      </w:r>
    </w:p>
    <w:p w:rsidR="00000000" w:rsidDel="00000000" w:rsidP="00000000" w:rsidRDefault="00000000" w:rsidRPr="00000000" w14:paraId="000000B3">
      <w:pPr>
        <w:numPr>
          <w:ilvl w:val="0"/>
          <w:numId w:val="2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tax certainty by providing a standardized pricing framework.</w:t>
      </w:r>
    </w:p>
    <w:p w:rsidR="00000000" w:rsidDel="00000000" w:rsidP="00000000" w:rsidRDefault="00000000" w:rsidRPr="00000000" w14:paraId="000000B4">
      <w:pPr>
        <w:numPr>
          <w:ilvl w:val="0"/>
          <w:numId w:val="2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disparities in local market comparable.</w:t>
      </w:r>
    </w:p>
    <w:p w:rsidR="00000000" w:rsidDel="00000000" w:rsidP="00000000" w:rsidRDefault="00000000" w:rsidRPr="00000000" w14:paraId="000000B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 of Amount B</w:t>
      </w:r>
    </w:p>
    <w:p w:rsidR="00000000" w:rsidDel="00000000" w:rsidP="00000000" w:rsidRDefault="00000000" w:rsidRPr="00000000" w14:paraId="000000B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Transactions In-Scope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focus of Amount B is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baseline marketing and distribution activities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including:</w:t>
      </w:r>
      <w:r w:rsidDel="00000000" w:rsidR="00000000" w:rsidRPr="00000000">
        <w:rPr>
          <w:rtl w:val="0"/>
        </w:rPr>
      </w:r>
    </w:p>
    <w:p w:rsidR="00000000" w:rsidDel="00000000" w:rsidP="00000000" w:rsidRDefault="00000000" w:rsidRPr="00000000" w14:paraId="000000B8">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Wholesale distribution</w:t>
      </w:r>
      <w:r w:rsidDel="00000000" w:rsidR="00000000" w:rsidRPr="00000000">
        <w:rPr>
          <w:rFonts w:ascii="Times New Roman" w:cs="Times New Roman" w:eastAsia="Times New Roman" w:hAnsi="Times New Roman"/>
          <w:sz w:val="24"/>
          <w:szCs w:val="24"/>
          <w:rtl w:val="0"/>
        </w:rPr>
        <w:t xml:space="preserve">: Involves the sale of goods to businesses rather than end consumers.</w:t>
      </w:r>
    </w:p>
    <w:p w:rsidR="00000000" w:rsidDel="00000000" w:rsidP="00000000" w:rsidRDefault="00000000" w:rsidRPr="00000000" w14:paraId="000000B9">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Sales agents and commissionaires</w:t>
      </w:r>
      <w:r w:rsidDel="00000000" w:rsidR="00000000" w:rsidRPr="00000000">
        <w:rPr>
          <w:rFonts w:ascii="Times New Roman" w:cs="Times New Roman" w:eastAsia="Times New Roman" w:hAnsi="Times New Roman"/>
          <w:sz w:val="24"/>
          <w:szCs w:val="24"/>
          <w:rtl w:val="0"/>
        </w:rPr>
        <w:t xml:space="preserve">: Entities that facilitate sales on behalf of an MNE without assuming significant risks​.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Exclusions:</w:t>
      </w:r>
    </w:p>
    <w:p w:rsidR="00000000" w:rsidDel="00000000" w:rsidP="00000000" w:rsidRDefault="00000000" w:rsidRPr="00000000" w14:paraId="000000BB">
      <w:pPr>
        <w:numPr>
          <w:ilvl w:val="0"/>
          <w:numId w:val="9"/>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of commodities.</w:t>
      </w:r>
    </w:p>
    <w:p w:rsidR="00000000" w:rsidDel="00000000" w:rsidP="00000000" w:rsidRDefault="00000000" w:rsidRPr="00000000" w14:paraId="000000BC">
      <w:pPr>
        <w:numPr>
          <w:ilvl w:val="0"/>
          <w:numId w:val="9"/>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of digital goods.</w:t>
      </w:r>
    </w:p>
    <w:p w:rsidR="00000000" w:rsidDel="00000000" w:rsidP="00000000" w:rsidRDefault="00000000" w:rsidRPr="00000000" w14:paraId="000000BD">
      <w:pPr>
        <w:numPr>
          <w:ilvl w:val="0"/>
          <w:numId w:val="9"/>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unrelated to baseline activities.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Example: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distributor of household consumables in a jurisdiction acts solely as a wholesale distributor and qualifies for Amount B. Conversely, a distributor engaged in manufacturing or significant R&amp;D activities falls outside its scope due to the presence of unique and valuable intangibles​.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8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Qualitative and Quantitative Scoping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ensure appropriate targeting, Amount B combines qualitative and quantitative metrics:</w:t>
      </w:r>
      <w:r w:rsidDel="00000000" w:rsidR="00000000" w:rsidRPr="00000000">
        <w:rPr>
          <w:rtl w:val="0"/>
        </w:rPr>
      </w:r>
    </w:p>
    <w:p w:rsidR="00000000" w:rsidDel="00000000" w:rsidP="00000000" w:rsidRDefault="00000000" w:rsidRPr="00000000" w14:paraId="000000C2">
      <w:pPr>
        <w:numPr>
          <w:ilvl w:val="0"/>
          <w:numId w:val="2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Qualitative filters</w:t>
      </w:r>
      <w:r w:rsidDel="00000000" w:rsidR="00000000" w:rsidRPr="00000000">
        <w:rPr>
          <w:rFonts w:ascii="Times New Roman" w:cs="Times New Roman" w:eastAsia="Times New Roman" w:hAnsi="Times New Roman"/>
          <w:sz w:val="24"/>
          <w:szCs w:val="24"/>
          <w:rtl w:val="0"/>
        </w:rPr>
        <w:t xml:space="preserve">: Assess the absence of unique intangibles and limited risk assumptions.</w:t>
      </w:r>
    </w:p>
    <w:p w:rsidR="00000000" w:rsidDel="00000000" w:rsidP="00000000" w:rsidRDefault="00000000" w:rsidRPr="00000000" w14:paraId="000000C3">
      <w:pPr>
        <w:numPr>
          <w:ilvl w:val="0"/>
          <w:numId w:val="2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Quantitative filters</w:t>
      </w:r>
      <w:r w:rsidDel="00000000" w:rsidR="00000000" w:rsidRPr="00000000">
        <w:rPr>
          <w:rFonts w:ascii="Times New Roman" w:cs="Times New Roman" w:eastAsia="Times New Roman" w:hAnsi="Times New Roman"/>
          <w:sz w:val="24"/>
          <w:szCs w:val="24"/>
          <w:rtl w:val="0"/>
        </w:rPr>
        <w:t xml:space="preserve">: Include operating expense ratios and asset intensity thresholds to eliminate non-baseline distributors.</w:t>
      </w:r>
    </w:p>
    <w:p w:rsidR="00000000" w:rsidDel="00000000" w:rsidP="00000000" w:rsidRDefault="00000000" w:rsidRPr="00000000" w14:paraId="000000C4">
      <w:pPr>
        <w:ind w:firstLine="720"/>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Example</w:t>
      </w:r>
      <w:r w:rsidDel="00000000" w:rsidR="00000000" w:rsidRPr="00000000">
        <w:rPr>
          <w:rFonts w:ascii="Times New Roman" w:cs="Times New Roman" w:eastAsia="Times New Roman" w:hAnsi="Times New Roman"/>
          <w:i w:val="1"/>
          <w:sz w:val="24"/>
          <w:szCs w:val="24"/>
          <w:u w:val="single"/>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distributor with an operating expense ratio of 25% and no significant unique intangibles qualifies. However, a distributor incurring high operating expenses due to R&amp;D activities is excluded​​.</w:t>
      </w:r>
    </w:p>
    <w:p w:rsidR="00000000" w:rsidDel="00000000" w:rsidP="00000000" w:rsidRDefault="00000000" w:rsidRPr="00000000" w14:paraId="000000C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80" w:line="259" w:lineRule="auto"/>
        <w:ind w:left="357"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Pricing Framework</w:t>
      </w:r>
    </w:p>
    <w:p w:rsidR="00000000" w:rsidDel="00000000" w:rsidP="00000000" w:rsidRDefault="00000000" w:rsidRPr="00000000" w14:paraId="000000C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The Pricing Matrix</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cornerstone of Amount B is its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pricing matrix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provides predefined arm’s length returns based on:</w:t>
      </w:r>
      <w:r w:rsidDel="00000000" w:rsidR="00000000" w:rsidRPr="00000000">
        <w:rPr>
          <w:rtl w:val="0"/>
        </w:rPr>
      </w:r>
    </w:p>
    <w:p w:rsidR="00000000" w:rsidDel="00000000" w:rsidP="00000000" w:rsidRDefault="00000000" w:rsidRPr="00000000" w14:paraId="000000C9">
      <w:pPr>
        <w:numPr>
          <w:ilvl w:val="0"/>
          <w:numId w:val="1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Industry grouping</w:t>
      </w:r>
      <w:r w:rsidDel="00000000" w:rsidR="00000000" w:rsidRPr="00000000">
        <w:rPr>
          <w:rFonts w:ascii="Times New Roman" w:cs="Times New Roman" w:eastAsia="Times New Roman" w:hAnsi="Times New Roman"/>
          <w:sz w:val="24"/>
          <w:szCs w:val="24"/>
          <w:rtl w:val="0"/>
        </w:rPr>
        <w:t xml:space="preserve">: Categorizing distributors by sectors such as perishable goods or industrial machinery.</w:t>
      </w:r>
    </w:p>
    <w:p w:rsidR="00000000" w:rsidDel="00000000" w:rsidP="00000000" w:rsidRDefault="00000000" w:rsidRPr="00000000" w14:paraId="000000CA">
      <w:pPr>
        <w:numPr>
          <w:ilvl w:val="0"/>
          <w:numId w:val="1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Operating asset intensity (OAS)</w:t>
      </w:r>
      <w:r w:rsidDel="00000000" w:rsidR="00000000" w:rsidRPr="00000000">
        <w:rPr>
          <w:rFonts w:ascii="Times New Roman" w:cs="Times New Roman" w:eastAsia="Times New Roman" w:hAnsi="Times New Roman"/>
          <w:sz w:val="24"/>
          <w:szCs w:val="24"/>
          <w:rtl w:val="0"/>
        </w:rPr>
        <w:t xml:space="preserve">: The ratio of net operating assets to revenue.</w:t>
      </w:r>
    </w:p>
    <w:p w:rsidR="00000000" w:rsidDel="00000000" w:rsidP="00000000" w:rsidRDefault="00000000" w:rsidRPr="00000000" w14:paraId="000000CB">
      <w:pPr>
        <w:numPr>
          <w:ilvl w:val="0"/>
          <w:numId w:val="1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Operating expense intensity (OES)</w:t>
      </w:r>
      <w:r w:rsidDel="00000000" w:rsidR="00000000" w:rsidRPr="00000000">
        <w:rPr>
          <w:rFonts w:ascii="Times New Roman" w:cs="Times New Roman" w:eastAsia="Times New Roman" w:hAnsi="Times New Roman"/>
          <w:sz w:val="24"/>
          <w:szCs w:val="24"/>
          <w:rtl w:val="0"/>
        </w:rPr>
        <w:t xml:space="preserve">: The ratio of operating expenses to revenue.</w:t>
      </w:r>
    </w:p>
    <w:p w:rsidR="00000000" w:rsidDel="00000000" w:rsidP="00000000" w:rsidRDefault="00000000" w:rsidRPr="00000000" w14:paraId="000000CC">
      <w:pPr>
        <w:ind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Example</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distributor of pharmaceutical goods with moderate operating asset and expense intensity falls into a predefined cell in the matrix, determining an arm’s length return on sales of 3%–4%​.</w:t>
      </w:r>
    </w:p>
    <w:p w:rsidR="00000000" w:rsidDel="00000000" w:rsidP="00000000" w:rsidRDefault="00000000" w:rsidRPr="00000000" w14:paraId="000000C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Operating Expense Cross-Check</w:t>
      </w:r>
    </w:p>
    <w:p w:rsidR="00000000" w:rsidDel="00000000" w:rsidP="00000000" w:rsidRDefault="00000000" w:rsidRPr="00000000" w14:paraId="000000C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corroborative mechanism ensures outcomes remain within reasonable bounds. If results deviate from the expected operating expense cap-and-collar range, adjustments are applied.</w:t>
      </w:r>
    </w:p>
    <w:p w:rsidR="00000000" w:rsidDel="00000000" w:rsidP="00000000" w:rsidRDefault="00000000" w:rsidRPr="00000000" w14:paraId="000000D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distributor’s return on sales exceeds the upper limit due to exceptionally high operating expenses. An adjustment aligns the outcome with the range defined in the pricing framework​.</w:t>
      </w:r>
    </w:p>
    <w:p w:rsidR="00000000" w:rsidDel="00000000" w:rsidP="00000000" w:rsidRDefault="00000000" w:rsidRPr="00000000" w14:paraId="000000D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Addressing Data Gaps</w:t>
      </w:r>
    </w:p>
    <w:p w:rsidR="00000000" w:rsidDel="00000000" w:rsidP="00000000" w:rsidRDefault="00000000" w:rsidRPr="00000000" w14:paraId="000000D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account for geographic differences and data limitations, Amount B includes provisions for jurisdictions with insufficient comparables. Adjustments are made using factors such as sovereign credit ratings and risk adjustments​.</w:t>
      </w:r>
    </w:p>
    <w:p w:rsidR="00000000" w:rsidDel="00000000" w:rsidP="00000000" w:rsidRDefault="00000000" w:rsidRPr="00000000" w14:paraId="000000D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Tax Certainty and Administrative Simplicity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Amount B addresses transfer pricing disputes by offering streamlined processes:</w:t>
      </w:r>
      <w:r w:rsidDel="00000000" w:rsidR="00000000" w:rsidRPr="00000000">
        <w:rPr>
          <w:rtl w:val="0"/>
        </w:rPr>
      </w:r>
    </w:p>
    <w:p w:rsidR="00000000" w:rsidDel="00000000" w:rsidP="00000000" w:rsidRDefault="00000000" w:rsidRPr="00000000" w14:paraId="000000D6">
      <w:pPr>
        <w:numPr>
          <w:ilvl w:val="0"/>
          <w:numId w:val="29"/>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Standardized Documentation</w:t>
      </w:r>
      <w:r w:rsidDel="00000000" w:rsidR="00000000" w:rsidRPr="00000000">
        <w:rPr>
          <w:rFonts w:ascii="Times New Roman" w:cs="Times New Roman" w:eastAsia="Times New Roman" w:hAnsi="Times New Roman"/>
          <w:sz w:val="24"/>
          <w:szCs w:val="24"/>
          <w:rtl w:val="0"/>
        </w:rPr>
        <w:t xml:space="preserve">: Simplifies taxpayer obligations while enhancing tax authority oversight.</w:t>
      </w:r>
    </w:p>
    <w:p w:rsidR="00000000" w:rsidDel="00000000" w:rsidP="00000000" w:rsidRDefault="00000000" w:rsidRPr="00000000" w14:paraId="000000D7">
      <w:pPr>
        <w:numPr>
          <w:ilvl w:val="0"/>
          <w:numId w:val="29"/>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Dispute Resolution</w:t>
      </w:r>
      <w:r w:rsidDel="00000000" w:rsidR="00000000" w:rsidRPr="00000000">
        <w:rPr>
          <w:rFonts w:ascii="Times New Roman" w:cs="Times New Roman" w:eastAsia="Times New Roman" w:hAnsi="Times New Roman"/>
          <w:sz w:val="24"/>
          <w:szCs w:val="24"/>
          <w:rtl w:val="0"/>
        </w:rPr>
        <w:t xml:space="preserve">: Promotes consistency in pricing outcomes, reducing the need for lengthy audits and disputes​.</w:t>
      </w:r>
    </w:p>
    <w:p w:rsidR="00000000" w:rsidDel="00000000" w:rsidP="00000000" w:rsidRDefault="00000000" w:rsidRPr="00000000" w14:paraId="000000D8">
      <w:pPr>
        <w:ind w:left="360" w:firstLine="360"/>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Example</w:t>
      </w:r>
      <w:r w:rsidDel="00000000" w:rsidR="00000000" w:rsidRPr="00000000">
        <w:rPr>
          <w:rtl w:val="0"/>
        </w:rPr>
      </w:r>
    </w:p>
    <w:p w:rsidR="00000000" w:rsidDel="00000000" w:rsidP="00000000" w:rsidRDefault="00000000" w:rsidRPr="00000000" w14:paraId="000000D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MNE operating in a low-capacity jurisdiction adopts the pricing matrix for its qualifying transactions, minimizing disputes by relying on predefined benchmarks.</w:t>
      </w:r>
    </w:p>
    <w:p w:rsidR="00000000" w:rsidDel="00000000" w:rsidP="00000000" w:rsidRDefault="00000000" w:rsidRPr="00000000" w14:paraId="000000DA">
      <w:pPr>
        <w:pStyle w:val="Heading2"/>
        <w:numPr>
          <w:ilvl w:val="0"/>
          <w:numId w:val="12"/>
        </w:numPr>
        <w:ind w:left="360" w:hanging="360"/>
        <w:jc w:val="both"/>
        <w:rPr>
          <w:rFonts w:ascii="Times New Roman" w:cs="Times New Roman" w:eastAsia="Times New Roman" w:hAnsi="Times New Roman"/>
          <w:b w:val="1"/>
          <w:color w:val="000000"/>
          <w:sz w:val="27"/>
          <w:szCs w:val="27"/>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7"/>
          <w:szCs w:val="27"/>
          <w:rtl w:val="0"/>
        </w:rPr>
        <w:t xml:space="preserve">Interaction Between Amount A and Amount B</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A and Amount B in Pillar One interact by addressing different aspects of the profit allocation process for multinational enterprises (MNEs). This interaction ensures that routine profits and residual profits are dealt with systematically, avoiding overlaps, inconsistencies, and disputes. </w:t>
      </w:r>
    </w:p>
    <w:p w:rsidR="00000000" w:rsidDel="00000000" w:rsidP="00000000" w:rsidRDefault="00000000" w:rsidRPr="00000000" w14:paraId="000000D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Sequential Allocation: Routine Profits First, Residual Profits Later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Amount B determines the routine profits for baseline marketing and distribution activities before Amount A reallocates residual profits to market jurisdictions.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An MNE manufactures and distributes consumer electronics globally.</w:t>
      </w:r>
    </w:p>
    <w:p w:rsidR="00000000" w:rsidDel="00000000" w:rsidP="00000000" w:rsidRDefault="00000000" w:rsidRPr="00000000" w14:paraId="000000DF">
      <w:pPr>
        <w:numPr>
          <w:ilvl w:val="0"/>
          <w:numId w:val="30"/>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Baseline Activity</w:t>
      </w:r>
      <w:r w:rsidDel="00000000" w:rsidR="00000000" w:rsidRPr="00000000">
        <w:rPr>
          <w:rFonts w:ascii="Times New Roman" w:cs="Times New Roman" w:eastAsia="Times New Roman" w:hAnsi="Times New Roman"/>
          <w:sz w:val="24"/>
          <w:szCs w:val="24"/>
          <w:rtl w:val="0"/>
        </w:rPr>
        <w:t xml:space="preserve">: In Country X, a local subsidiary acts as a distributor, buying products from the parent company and selling them to third-party retailers. Under Amount B, this subsidiary is allocated routine profits based on a standardized return on sales (e.g., 3.5%), ensuring that its distribution activities are compensated at arm’s length.</w:t>
      </w:r>
    </w:p>
    <w:p w:rsidR="00000000" w:rsidDel="00000000" w:rsidP="00000000" w:rsidRDefault="00000000" w:rsidRPr="00000000" w14:paraId="000000E0">
      <w:pPr>
        <w:numPr>
          <w:ilvl w:val="0"/>
          <w:numId w:val="30"/>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Residual Profits</w:t>
      </w:r>
      <w:r w:rsidDel="00000000" w:rsidR="00000000" w:rsidRPr="00000000">
        <w:rPr>
          <w:rFonts w:ascii="Times New Roman" w:cs="Times New Roman" w:eastAsia="Times New Roman" w:hAnsi="Times New Roman"/>
          <w:sz w:val="24"/>
          <w:szCs w:val="24"/>
          <w:rtl w:val="0"/>
        </w:rPr>
        <w:t xml:space="preserve">: The MNE generates significant global profits due to its unique technology and brand value. Under Amount A, a portion of these residual profits is reallocated to Country Y (a key market jurisdiction), reflecting the value created there.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first assigning routine profits to the Country X distributor through Amount B, the residual profit allocation under Amount A focuses only on profits beyond those already compensated, avoiding double taxation or disputes.</w:t>
      </w:r>
    </w:p>
    <w:p w:rsidR="00000000" w:rsidDel="00000000" w:rsidP="00000000" w:rsidRDefault="00000000" w:rsidRPr="00000000" w14:paraId="000000E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80" w:line="259" w:lineRule="auto"/>
        <w:ind w:left="357"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Reducing Disputes Over Profit Allocation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35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Amount B simplifies the process of allocating routine profits, reducing disputes over whether certain activities involve routine or residual profits, thereby streamlining the implementation of Amount A.</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 global pharmaceutical company operates in multiple countries, with local entities handling marketing and distribution:</w:t>
      </w:r>
    </w:p>
    <w:p w:rsidR="00000000" w:rsidDel="00000000" w:rsidP="00000000" w:rsidRDefault="00000000" w:rsidRPr="00000000" w14:paraId="000000E5">
      <w:pPr>
        <w:numPr>
          <w:ilvl w:val="0"/>
          <w:numId w:val="3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A applies Amount B to allocate a fixed 2.5% return on sales to the distributor for its routine marketing activities.</w:t>
      </w:r>
    </w:p>
    <w:p w:rsidR="00000000" w:rsidDel="00000000" w:rsidP="00000000" w:rsidRDefault="00000000" w:rsidRPr="00000000" w14:paraId="000000E6">
      <w:pPr>
        <w:numPr>
          <w:ilvl w:val="0"/>
          <w:numId w:val="31"/>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parent company retains the residual profits from patented drugs.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Country B, a market jurisdiction, applies Amount A to reallocate residual profits, the routine profits allocated to Country A are not subject to challenge. This clarity reduces the potential for double taxation, as each component addresses a distinct profit category.</w:t>
      </w:r>
    </w:p>
    <w:p w:rsidR="00000000" w:rsidDel="00000000" w:rsidP="00000000" w:rsidRDefault="00000000" w:rsidRPr="00000000" w14:paraId="000000E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240" w:line="259" w:lineRule="auto"/>
        <w:ind w:left="357"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Alignment of Transfer Pricing and Residual Reallocation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Interaction: The pricing matrix under Amount B ensures routine transactions are priced consistently, providing a clear basis for determining residual profits under Amount A.</w:t>
      </w:r>
    </w:p>
    <w:p w:rsidR="00000000" w:rsidDel="00000000" w:rsidP="00000000" w:rsidRDefault="00000000" w:rsidRPr="00000000" w14:paraId="000000E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An MNE distributes luxury fashion products.</w:t>
      </w:r>
    </w:p>
    <w:p w:rsidR="00000000" w:rsidDel="00000000" w:rsidP="00000000" w:rsidRDefault="00000000" w:rsidRPr="00000000" w14:paraId="000000EB">
      <w:pPr>
        <w:numPr>
          <w:ilvl w:val="0"/>
          <w:numId w:val="32"/>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Country P, the local entity is responsible for wholesale distribution and marketing. Using the pricing matrix under Amount B, the tax administration calculates a 4% return on sales for the distributor based on its operating expense intensity and industry grouping.</w:t>
      </w:r>
    </w:p>
    <w:p w:rsidR="00000000" w:rsidDel="00000000" w:rsidP="00000000" w:rsidRDefault="00000000" w:rsidRPr="00000000" w14:paraId="000000EC">
      <w:pPr>
        <w:numPr>
          <w:ilvl w:val="0"/>
          <w:numId w:val="32"/>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this routine profit is allocated, the remaining profits attributable to brand value and digital marketing are reallocated under Amount A to market jurisdictions like Country Q, where significant customer interaction occurs.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clearly segmenting profits, the interaction between Amount A and Amount B ensures that both routine and residual profits are allocated fairly and transparently.</w:t>
      </w:r>
    </w:p>
    <w:p w:rsidR="00000000" w:rsidDel="00000000" w:rsidP="00000000" w:rsidRDefault="00000000" w:rsidRPr="00000000" w14:paraId="000000E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240" w:line="259" w:lineRule="auto"/>
        <w:ind w:left="357"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Preventing Profit Shifting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Interaction: Amount B prevents profit shifting in baseline activities by standardizing returns, ensuring that only residual profits are reallocated under Amount A.</w:t>
      </w:r>
    </w:p>
    <w:p w:rsidR="00000000" w:rsidDel="00000000" w:rsidP="00000000" w:rsidRDefault="00000000" w:rsidRPr="00000000" w14:paraId="000000F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An MNE operates a global e-commerce platform:</w:t>
      </w:r>
    </w:p>
    <w:p w:rsidR="00000000" w:rsidDel="00000000" w:rsidP="00000000" w:rsidRDefault="00000000" w:rsidRPr="00000000" w14:paraId="000000F1">
      <w:pPr>
        <w:numPr>
          <w:ilvl w:val="0"/>
          <w:numId w:val="33"/>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Country M, a local subsidiary handles logistics and customer service. Under Amount B, the subsidiary earns a fixed 2% return on sales for its routine activities, preventing the parent company from artificially allocating higher profits to this entity to reduce global tax liability.</w:t>
      </w:r>
    </w:p>
    <w:p w:rsidR="00000000" w:rsidDel="00000000" w:rsidP="00000000" w:rsidRDefault="00000000" w:rsidRPr="00000000" w14:paraId="000000F2">
      <w:pPr>
        <w:numPr>
          <w:ilvl w:val="0"/>
          <w:numId w:val="33"/>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profits from the e-commerce platform’s intellectual property and digital services are then reallocated under Amount A to major markets like Country 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ensures that routine functions are not used as vehicles for profit shifting, preserving Amount A’s focus on redistributing residual profits.</w:t>
      </w:r>
    </w:p>
    <w:p w:rsidR="00000000" w:rsidDel="00000000" w:rsidP="00000000" w:rsidRDefault="00000000" w:rsidRPr="00000000" w14:paraId="000000F4">
      <w:pPr>
        <w:jc w:val="both"/>
        <w:rPr>
          <w:rFonts w:ascii="Times New Roman" w:cs="Times New Roman" w:eastAsia="Times New Roman" w:hAnsi="Times New Roman"/>
          <w:sz w:val="24"/>
          <w:szCs w:val="24"/>
        </w:rPr>
        <w:sectPr>
          <w:headerReference r:id="rId7"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F5">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360" w:line="259" w:lineRule="auto"/>
        <w:ind w:left="450" w:right="0" w:hanging="360"/>
        <w:jc w:val="both"/>
      </w:pPr>
      <w:bookmarkStart w:colFirst="0" w:colLast="0" w:name="_heading=h.gg9gdqva6hdo" w:id="5"/>
      <w:bookmarkEnd w:id="5"/>
      <w:r w:rsidDel="00000000" w:rsidR="00000000" w:rsidRPr="00000000">
        <w:rPr>
          <w:rtl w:val="0"/>
        </w:rPr>
        <w:t xml:space="preserve">Pillar 2</w:t>
      </w:r>
    </w:p>
    <w:p w:rsidR="00000000" w:rsidDel="00000000" w:rsidP="00000000" w:rsidRDefault="00000000" w:rsidRPr="00000000" w14:paraId="000000F6">
      <w:pPr>
        <w:pStyle w:val="Heading2"/>
        <w:keepNext w:val="0"/>
        <w:keepLines w:val="0"/>
        <w:numPr>
          <w:ilvl w:val="0"/>
          <w:numId w:val="2"/>
        </w:numPr>
        <w:spacing w:before="0" w:beforeAutospacing="0" w:lineRule="auto"/>
        <w:ind w:left="630" w:hanging="360"/>
        <w:rPr>
          <w:u w:val="none"/>
        </w:rPr>
      </w:pPr>
      <w:bookmarkStart w:colFirst="0" w:colLast="0" w:name="_heading=h.2yxg48n5nrmi" w:id="6"/>
      <w:bookmarkEnd w:id="6"/>
      <w:r w:rsidDel="00000000" w:rsidR="00000000" w:rsidRPr="00000000">
        <w:rPr>
          <w:rtl w:val="0"/>
        </w:rPr>
        <w:t xml:space="preserve">Introduction</w:t>
      </w:r>
    </w:p>
    <w:p w:rsidR="00000000" w:rsidDel="00000000" w:rsidP="00000000" w:rsidRDefault="00000000" w:rsidRPr="00000000" w14:paraId="000000F7">
      <w:pPr>
        <w:keepNext w:val="0"/>
        <w:keepLines w:val="0"/>
        <w:spacing w:before="240" w:lineRule="auto"/>
        <w:rPr>
          <w:b w:val="1"/>
        </w:rPr>
      </w:pPr>
      <w:r w:rsidDel="00000000" w:rsidR="00000000" w:rsidRPr="00000000">
        <w:rPr>
          <w:b w:val="1"/>
          <w:rtl w:val="0"/>
        </w:rPr>
        <w:t xml:space="preserve">1.1 Overview of Pillar Two</w:t>
      </w:r>
    </w:p>
    <w:p w:rsidR="00000000" w:rsidDel="00000000" w:rsidP="00000000" w:rsidRDefault="00000000" w:rsidRPr="00000000" w14:paraId="000000F8">
      <w:pPr>
        <w:spacing w:after="240" w:before="240" w:lineRule="auto"/>
        <w:rPr/>
      </w:pPr>
      <w:r w:rsidDel="00000000" w:rsidR="00000000" w:rsidRPr="00000000">
        <w:rPr>
          <w:rtl w:val="0"/>
        </w:rPr>
        <w:t xml:space="preserve">Pillar Two is a cornerstone of the OECD/G20 Inclusive Framework's Two-Pillar Solution, designed to address the tax challenges arising from the digitalization of the economy. Endorsed by 137 jurisdictions and the G20 in 2021, Pillar Two introduces the Global Anti-Base Erosion (GloBE) Rules to ensure large multinational enterprises (MNEs) pay a minimum level of tax on the income earned in each jurisdiction where they operate​​.</w:t>
      </w:r>
    </w:p>
    <w:p w:rsidR="00000000" w:rsidDel="00000000" w:rsidP="00000000" w:rsidRDefault="00000000" w:rsidRPr="00000000" w14:paraId="000000F9">
      <w:pPr>
        <w:spacing w:after="240" w:before="240" w:lineRule="auto"/>
        <w:rPr/>
      </w:pPr>
      <w:r w:rsidDel="00000000" w:rsidR="00000000" w:rsidRPr="00000000">
        <w:rPr>
          <w:rtl w:val="0"/>
        </w:rPr>
        <w:t xml:space="preserve">The primary goal of Pillar Two is to reduce opportunities for profit shifting and tax base erosion by establishing a global minimum corporate tax rate of 15%. This framework seeks to foster a level playing field among jurisdictions, enhance tax fairness, and reduce competition based on low or no taxation. It also incentivizes jurisdictions to adopt compliant domestic minimum taxes, preserving their taxing rights while ensuring that income is taxed somewhere​.</w:t>
      </w:r>
    </w:p>
    <w:p w:rsidR="00000000" w:rsidDel="00000000" w:rsidP="00000000" w:rsidRDefault="00000000" w:rsidRPr="00000000" w14:paraId="000000FA">
      <w:pPr>
        <w:spacing w:after="240" w:before="240" w:lineRule="auto"/>
        <w:rPr/>
      </w:pPr>
      <w:r w:rsidDel="00000000" w:rsidR="00000000" w:rsidRPr="00000000">
        <w:rPr>
          <w:rtl w:val="0"/>
        </w:rPr>
        <w:t xml:space="preserve">The Pillar Two framework consists of several key components, including the Income Inclusion Rule (IIR), the Under-Taxed Profit Rule (UTPR), and the Subject to Tax Rule (STTR). Together, these mechanisms create a coordinated system to apply top-up taxes when the effective tax rate (ETR) on an MNE's profits falls below the minimum threshold in any jurisdiction. Additionally, the Multilateral Convention facilitates implementation by addressing treaty-related barriers and ensuring seamless global application​​.</w:t>
      </w:r>
    </w:p>
    <w:p w:rsidR="00000000" w:rsidDel="00000000" w:rsidP="00000000" w:rsidRDefault="00000000" w:rsidRPr="00000000" w14:paraId="000000FB">
      <w:pPr>
        <w:keepNext w:val="0"/>
        <w:keepLines w:val="0"/>
        <w:spacing w:before="240" w:lineRule="auto"/>
        <w:rPr>
          <w:b w:val="1"/>
        </w:rPr>
      </w:pPr>
      <w:r w:rsidDel="00000000" w:rsidR="00000000" w:rsidRPr="00000000">
        <w:rPr>
          <w:b w:val="1"/>
          <w:rtl w:val="0"/>
        </w:rPr>
        <w:t xml:space="preserve">1.2 Scope of Application</w:t>
      </w:r>
    </w:p>
    <w:p w:rsidR="00000000" w:rsidDel="00000000" w:rsidP="00000000" w:rsidRDefault="00000000" w:rsidRPr="00000000" w14:paraId="000000FC">
      <w:pPr>
        <w:spacing w:after="240" w:before="240" w:lineRule="auto"/>
        <w:rPr/>
      </w:pPr>
      <w:r w:rsidDel="00000000" w:rsidR="00000000" w:rsidRPr="00000000">
        <w:rPr>
          <w:rtl w:val="0"/>
        </w:rPr>
        <w:t xml:space="preserve">Pillar Two applies to MNE groups with consolidated annual revenues exceeding EUR 750 million, as reflected in their financial statements for at least two of the four preceding fiscal years. This revenue threshold aligns with the Country-by-Country Reporting requirements under Action 13 of the OECD’s Base Erosion and Profit Shifting (BEPS) project, ensuring that the rules target only the largest MNEs with the capacity to exploit tax arbitrage opportunities​​.</w:t>
      </w:r>
    </w:p>
    <w:p w:rsidR="00000000" w:rsidDel="00000000" w:rsidP="00000000" w:rsidRDefault="00000000" w:rsidRPr="00000000" w14:paraId="000000FD">
      <w:pPr>
        <w:spacing w:after="240" w:before="240" w:lineRule="auto"/>
        <w:rPr/>
      </w:pPr>
      <w:r w:rsidDel="00000000" w:rsidR="00000000" w:rsidRPr="00000000">
        <w:rPr>
          <w:rtl w:val="0"/>
        </w:rPr>
        <w:t xml:space="preserve">Certain entities are excluded from the scope of Pillar Two, reflecting widely recognized policy considerations. These exclusions encompass government entities, international organizations, non-profit organizations, pension funds, investment funds, and real estate investment vehicles. These exclusions ensure that entities operating in sectors or under conditions that inherently prevent tax base erosion are not subject to the GloBE rules​​.</w:t>
      </w:r>
    </w:p>
    <w:p w:rsidR="00000000" w:rsidDel="00000000" w:rsidP="00000000" w:rsidRDefault="00000000" w:rsidRPr="00000000" w14:paraId="000000FE">
      <w:pPr>
        <w:spacing w:after="240" w:before="240" w:lineRule="auto"/>
        <w:rPr/>
      </w:pPr>
      <w:r w:rsidDel="00000000" w:rsidR="00000000" w:rsidRPr="00000000">
        <w:rPr>
          <w:rtl w:val="0"/>
        </w:rPr>
        <w:t xml:space="preserve">By combining a targeted scope with tailored exclusions, Pillar Two seeks to strike a balance between comprehensive coverage and administrative feasibility. It prioritizes ensuring that large MNEs contribute a fair share of taxes while minimizing compliance burdens for smaller businesses and exempt entities. This calibrated approach enhances global tax cooperation while maintaining respect for domestic tax sovereignty​.</w:t>
      </w:r>
    </w:p>
    <w:p w:rsidR="00000000" w:rsidDel="00000000" w:rsidP="00000000" w:rsidRDefault="00000000" w:rsidRPr="00000000" w14:paraId="000000FF">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78.00000000000006" w:lineRule="auto"/>
        <w:ind w:left="630" w:right="0" w:hanging="360"/>
        <w:jc w:val="both"/>
      </w:pPr>
      <w:bookmarkStart w:colFirst="0" w:colLast="0" w:name="_heading=h.zelfemu0sjvf" w:id="7"/>
      <w:bookmarkEnd w:id="7"/>
      <w:r w:rsidDel="00000000" w:rsidR="00000000" w:rsidRPr="00000000">
        <w:rPr>
          <w:rtl w:val="0"/>
        </w:rPr>
        <w:t xml:space="preserve">Income Inclusion Rule (IIR)</w:t>
      </w:r>
    </w:p>
    <w:p w:rsidR="00000000" w:rsidDel="00000000" w:rsidP="00000000" w:rsidRDefault="00000000" w:rsidRPr="00000000" w14:paraId="00000100">
      <w:pPr>
        <w:keepNext w:val="0"/>
        <w:keepLines w:val="0"/>
        <w:spacing w:before="240" w:lineRule="auto"/>
        <w:rPr>
          <w:b w:val="1"/>
        </w:rPr>
      </w:pPr>
      <w:r w:rsidDel="00000000" w:rsidR="00000000" w:rsidRPr="00000000">
        <w:rPr>
          <w:b w:val="1"/>
          <w:rtl w:val="0"/>
        </w:rPr>
        <w:t xml:space="preserve">2.1 Definition and Objective</w:t>
      </w:r>
    </w:p>
    <w:p w:rsidR="00000000" w:rsidDel="00000000" w:rsidP="00000000" w:rsidRDefault="00000000" w:rsidRPr="00000000" w14:paraId="00000101">
      <w:pPr>
        <w:spacing w:after="240" w:before="240" w:lineRule="auto"/>
        <w:rPr/>
      </w:pPr>
      <w:r w:rsidDel="00000000" w:rsidR="00000000" w:rsidRPr="00000000">
        <w:rPr>
          <w:rtl w:val="0"/>
        </w:rPr>
        <w:t xml:space="preserve">The Income Inclusion Rule (IIR) is the cornerstone of the GloBE rules under Pillar Two, functioning as the primary mechanism for imposing a top-up tax to ensure that income earned by multinational enterprises (MNEs) is taxed at a minimum rate of 15%. It requires the ultimate parent entity (UPE) of an MNE group to include in its taxable income any low-taxed income earned by the group’s constituent entities. By doing so, the IIR closes gaps in global tax systems that allow for the accumulation of profits in jurisdictions with little or no corporate tax​​.</w:t>
      </w:r>
    </w:p>
    <w:p w:rsidR="00000000" w:rsidDel="00000000" w:rsidP="00000000" w:rsidRDefault="00000000" w:rsidRPr="00000000" w14:paraId="00000102">
      <w:pPr>
        <w:spacing w:after="240" w:before="240" w:lineRule="auto"/>
        <w:rPr/>
      </w:pPr>
      <w:r w:rsidDel="00000000" w:rsidR="00000000" w:rsidRPr="00000000">
        <w:rPr>
          <w:rtl w:val="0"/>
        </w:rPr>
        <w:t xml:space="preserve">The primary objective of the IIR is to reduce profit-shifting opportunities and encourage tax compliance by ensuring that MNEs pay a baseline level of tax in all jurisdictions where they operate. This rule promotes a coordinated global response to the challenges posed by base erosion and profit shifting (BEPS), minimizing tax arbitrage and fostering a fairer international tax system​.</w:t>
      </w:r>
    </w:p>
    <w:p w:rsidR="00000000" w:rsidDel="00000000" w:rsidP="00000000" w:rsidRDefault="00000000" w:rsidRPr="00000000" w14:paraId="00000103">
      <w:pPr>
        <w:keepNext w:val="0"/>
        <w:keepLines w:val="0"/>
        <w:spacing w:before="240" w:lineRule="auto"/>
        <w:rPr>
          <w:b w:val="1"/>
        </w:rPr>
      </w:pPr>
      <w:r w:rsidDel="00000000" w:rsidR="00000000" w:rsidRPr="00000000">
        <w:rPr>
          <w:b w:val="1"/>
          <w:rtl w:val="0"/>
        </w:rPr>
        <w:t xml:space="preserve">2.2 Mechanics of the IIR</w:t>
      </w:r>
    </w:p>
    <w:p w:rsidR="00000000" w:rsidDel="00000000" w:rsidP="00000000" w:rsidRDefault="00000000" w:rsidRPr="00000000" w14:paraId="00000104">
      <w:pPr>
        <w:spacing w:after="240" w:before="240" w:lineRule="auto"/>
        <w:rPr/>
      </w:pPr>
      <w:r w:rsidDel="00000000" w:rsidR="00000000" w:rsidRPr="00000000">
        <w:rPr>
          <w:rtl w:val="0"/>
        </w:rPr>
        <w:t xml:space="preserve">The implementation of the IIR involves several coordinated steps:</w:t>
      </w:r>
    </w:p>
    <w:p w:rsidR="00000000" w:rsidDel="00000000" w:rsidP="00000000" w:rsidRDefault="00000000" w:rsidRPr="00000000" w14:paraId="00000105">
      <w:pPr>
        <w:numPr>
          <w:ilvl w:val="0"/>
          <w:numId w:val="37"/>
        </w:numPr>
        <w:spacing w:after="200" w:before="240" w:lineRule="auto"/>
        <w:ind w:left="720" w:hanging="360"/>
        <w:rPr>
          <w:u w:val="none"/>
        </w:rPr>
      </w:pPr>
      <w:r w:rsidDel="00000000" w:rsidR="00000000" w:rsidRPr="00000000">
        <w:rPr>
          <w:b w:val="1"/>
          <w:rtl w:val="0"/>
        </w:rPr>
        <w:t xml:space="preserve">Calculation of Effective Tax Rate (ETR):</w:t>
      </w:r>
      <w:r w:rsidDel="00000000" w:rsidR="00000000" w:rsidRPr="00000000">
        <w:rPr>
          <w:rtl w:val="0"/>
        </w:rPr>
        <w:t xml:space="preserve"> The ETR for each jurisdiction is calculated by dividing the covered taxes paid by the MNE's constituent entities in a jurisdiction by their GloBE income. The GloBE income is derived from financial accounting net income, adjusted to exclude certain items like dividends, equity gains, and policy-disallowed expenses. If the ETR in a jurisdiction falls below 15%, a top-up tax is required to bridge the gap​​.</w:t>
      </w:r>
    </w:p>
    <w:p w:rsidR="00000000" w:rsidDel="00000000" w:rsidP="00000000" w:rsidRDefault="00000000" w:rsidRPr="00000000" w14:paraId="00000106">
      <w:pPr>
        <w:numPr>
          <w:ilvl w:val="0"/>
          <w:numId w:val="37"/>
        </w:numPr>
        <w:spacing w:after="200" w:before="240" w:lineRule="auto"/>
        <w:ind w:left="720" w:hanging="360"/>
        <w:rPr>
          <w:u w:val="none"/>
        </w:rPr>
      </w:pPr>
      <w:r w:rsidDel="00000000" w:rsidR="00000000" w:rsidRPr="00000000">
        <w:rPr>
          <w:b w:val="1"/>
          <w:rtl w:val="0"/>
        </w:rPr>
        <w:t xml:space="preserve">Imposition of Top-Up Tax:</w:t>
      </w:r>
      <w:r w:rsidDel="00000000" w:rsidR="00000000" w:rsidRPr="00000000">
        <w:rPr>
          <w:rtl w:val="0"/>
        </w:rPr>
        <w:t xml:space="preserve"> The responsibility for the top-up tax falls on the UPE of the MNE group. The UPE includes its share of the low-taxed income from its constituent entities and pays the top-up tax in its jurisdiction of residence. The IIR operates hierarchically, starting at the UPE level and cascading down the ownership chain until the tax is fully accounted for​​.</w:t>
      </w:r>
    </w:p>
    <w:p w:rsidR="00000000" w:rsidDel="00000000" w:rsidP="00000000" w:rsidRDefault="00000000" w:rsidRPr="00000000" w14:paraId="00000107">
      <w:pPr>
        <w:spacing w:after="240" w:before="240" w:lineRule="auto"/>
        <w:rPr/>
      </w:pPr>
      <w:r w:rsidDel="00000000" w:rsidR="00000000" w:rsidRPr="00000000">
        <w:rPr>
          <w:rtl w:val="0"/>
        </w:rPr>
        <w:t xml:space="preserve">This systematic approach ensures that the low-taxed income of an MNE group is brought into the tax net, even if it is not directly taxed in the jurisdiction where it arises.</w:t>
      </w:r>
    </w:p>
    <w:p w:rsidR="00000000" w:rsidDel="00000000" w:rsidP="00000000" w:rsidRDefault="00000000" w:rsidRPr="00000000" w14:paraId="00000108">
      <w:pPr>
        <w:keepNext w:val="0"/>
        <w:keepLines w:val="0"/>
        <w:spacing w:before="240" w:lineRule="auto"/>
        <w:rPr>
          <w:b w:val="1"/>
        </w:rPr>
      </w:pPr>
      <w:r w:rsidDel="00000000" w:rsidR="00000000" w:rsidRPr="00000000">
        <w:rPr>
          <w:b w:val="1"/>
          <w:rtl w:val="0"/>
        </w:rPr>
        <w:t xml:space="preserve">2.3 Allocations and Adjustments</w:t>
      </w:r>
    </w:p>
    <w:p w:rsidR="00000000" w:rsidDel="00000000" w:rsidP="00000000" w:rsidRDefault="00000000" w:rsidRPr="00000000" w14:paraId="00000109">
      <w:pPr>
        <w:spacing w:after="240" w:before="240" w:lineRule="auto"/>
        <w:rPr/>
      </w:pPr>
      <w:r w:rsidDel="00000000" w:rsidR="00000000" w:rsidRPr="00000000">
        <w:rPr>
          <w:rtl w:val="0"/>
        </w:rPr>
        <w:t xml:space="preserve">To enhance the effectiveness of the IIR and address complex ownership structures, certain allocations and adjustments are incorporated into its framework:</w:t>
      </w:r>
    </w:p>
    <w:p w:rsidR="00000000" w:rsidDel="00000000" w:rsidP="00000000" w:rsidRDefault="00000000" w:rsidRPr="00000000" w14:paraId="0000010A">
      <w:pPr>
        <w:numPr>
          <w:ilvl w:val="0"/>
          <w:numId w:val="34"/>
        </w:numPr>
        <w:spacing w:after="200" w:before="240" w:lineRule="auto"/>
        <w:ind w:left="720" w:hanging="360"/>
        <w:rPr>
          <w:u w:val="none"/>
        </w:rPr>
      </w:pPr>
      <w:r w:rsidDel="00000000" w:rsidR="00000000" w:rsidRPr="00000000">
        <w:rPr>
          <w:b w:val="1"/>
          <w:rtl w:val="0"/>
        </w:rPr>
        <w:t xml:space="preserve">Inclusion of Minority-Held Entities:</w:t>
      </w:r>
      <w:r w:rsidDel="00000000" w:rsidR="00000000" w:rsidRPr="00000000">
        <w:rPr>
          <w:rtl w:val="0"/>
        </w:rPr>
        <w:t xml:space="preserve"> The IIR accounts for income earned by entities that are not wholly owned by the MNE group. This includes partially-owned entities in which the UPE or intermediate parent entities have significant ownership. Such entities are subject to the IIR, ensuring that low-taxed income does not escape taxation due to minority ownership structures​​.</w:t>
      </w:r>
    </w:p>
    <w:p w:rsidR="00000000" w:rsidDel="00000000" w:rsidP="00000000" w:rsidRDefault="00000000" w:rsidRPr="00000000" w14:paraId="0000010B">
      <w:pPr>
        <w:numPr>
          <w:ilvl w:val="0"/>
          <w:numId w:val="34"/>
        </w:numPr>
        <w:spacing w:after="200" w:before="240" w:lineRule="auto"/>
        <w:ind w:left="720" w:hanging="360"/>
        <w:rPr>
          <w:u w:val="none"/>
        </w:rPr>
      </w:pPr>
      <w:r w:rsidDel="00000000" w:rsidR="00000000" w:rsidRPr="00000000">
        <w:rPr>
          <w:b w:val="1"/>
          <w:rtl w:val="0"/>
        </w:rPr>
        <w:t xml:space="preserve">Deferred Tax and Loss Carry-Forwards:</w:t>
      </w:r>
      <w:r w:rsidDel="00000000" w:rsidR="00000000" w:rsidRPr="00000000">
        <w:rPr>
          <w:rtl w:val="0"/>
        </w:rPr>
        <w:t xml:space="preserve"> The IIR incorporates adjustments to address temporary differences between financial accounting and tax results. Deferred tax liabilities are recognized but capped at the minimum tax rate to prevent excessive tax sheltering. Additionally, deferred tax accounting rules enable the carry-forward of tax attributes such as losses, ensuring that income is not subject to multiple layers of taxation due to timing differences​​.</w:t>
      </w:r>
    </w:p>
    <w:p w:rsidR="00000000" w:rsidDel="00000000" w:rsidP="00000000" w:rsidRDefault="00000000" w:rsidRPr="00000000" w14:paraId="0000010C">
      <w:pPr>
        <w:spacing w:after="240" w:before="240" w:lineRule="auto"/>
        <w:rPr/>
      </w:pPr>
      <w:r w:rsidDel="00000000" w:rsidR="00000000" w:rsidRPr="00000000">
        <w:rPr>
          <w:rtl w:val="0"/>
        </w:rPr>
        <w:t xml:space="preserve">These mechanisms ensure that the IIR is comprehensive and equitable, capturing low-taxed income while providing appropriate relief for timing differences and ownership structures. Together, they enable the IIR to serve as a robust and coordinated response to BEPS.</w:t>
      </w:r>
    </w:p>
    <w:p w:rsidR="00000000" w:rsidDel="00000000" w:rsidP="00000000" w:rsidRDefault="00000000" w:rsidRPr="00000000" w14:paraId="0000010D">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78.00000000000006" w:lineRule="auto"/>
        <w:ind w:left="630" w:right="0" w:hanging="360"/>
        <w:jc w:val="both"/>
      </w:pPr>
      <w:bookmarkStart w:colFirst="0" w:colLast="0" w:name="_heading=h.dc4kcdox3ohu" w:id="8"/>
      <w:bookmarkEnd w:id="8"/>
      <w:r w:rsidDel="00000000" w:rsidR="00000000" w:rsidRPr="00000000">
        <w:rPr>
          <w:rtl w:val="0"/>
        </w:rPr>
        <w:t xml:space="preserve">Under-Taxed Profit Rule (UTPR)</w:t>
      </w:r>
    </w:p>
    <w:p w:rsidR="00000000" w:rsidDel="00000000" w:rsidP="00000000" w:rsidRDefault="00000000" w:rsidRPr="00000000" w14:paraId="0000010E">
      <w:pPr>
        <w:keepNext w:val="0"/>
        <w:keepLines w:val="0"/>
        <w:spacing w:before="240" w:lineRule="auto"/>
        <w:rPr>
          <w:b w:val="1"/>
        </w:rPr>
      </w:pPr>
      <w:r w:rsidDel="00000000" w:rsidR="00000000" w:rsidRPr="00000000">
        <w:rPr>
          <w:b w:val="1"/>
          <w:rtl w:val="0"/>
        </w:rPr>
        <w:t xml:space="preserve">3.1 Purpose and Backstop Role</w:t>
      </w:r>
    </w:p>
    <w:p w:rsidR="00000000" w:rsidDel="00000000" w:rsidP="00000000" w:rsidRDefault="00000000" w:rsidRPr="00000000" w14:paraId="0000010F">
      <w:pPr>
        <w:spacing w:after="240" w:before="240" w:lineRule="auto"/>
        <w:rPr/>
      </w:pPr>
      <w:r w:rsidDel="00000000" w:rsidR="00000000" w:rsidRPr="00000000">
        <w:rPr>
          <w:rtl w:val="0"/>
        </w:rPr>
        <w:t xml:space="preserve">The Under-Taxed Profit Rule (UTPR) operates as a backstop to the Income Inclusion Rule (IIR), ensuring that low-taxed income does not escape taxation when it is not fully captured under the IIR. This can occur in scenarios where the ultimate parent entity (UPE) is not subject to the IIR, either due to its jurisdiction not adopting the GloBE rules or because the income falls outside the scope of the IIR. The UTPR steps in to allocate the top-up tax liability to other jurisdictions where the MNE group operates, thereby maintaining the integrity of the GloBE rules​​.</w:t>
      </w:r>
    </w:p>
    <w:p w:rsidR="00000000" w:rsidDel="00000000" w:rsidP="00000000" w:rsidRDefault="00000000" w:rsidRPr="00000000" w14:paraId="00000110">
      <w:pPr>
        <w:spacing w:after="240" w:before="240" w:lineRule="auto"/>
        <w:rPr/>
      </w:pPr>
      <w:r w:rsidDel="00000000" w:rsidR="00000000" w:rsidRPr="00000000">
        <w:rPr>
          <w:rtl w:val="0"/>
        </w:rPr>
        <w:t xml:space="preserve">The primary purpose of the UTPR is to prevent tax avoidance by ensuring that the agreed global minimum tax rate of 15% applies universally to all low-taxed income, irrespective of where it arises or is held within an MNE group. By acting as a safety net, the UTPR ensures that no jurisdiction gains a competitive advantage through a lack of tax enforcement​​.</w:t>
      </w:r>
    </w:p>
    <w:p w:rsidR="00000000" w:rsidDel="00000000" w:rsidP="00000000" w:rsidRDefault="00000000" w:rsidRPr="00000000" w14:paraId="00000111">
      <w:pPr>
        <w:keepNext w:val="0"/>
        <w:keepLines w:val="0"/>
        <w:spacing w:before="240" w:lineRule="auto"/>
        <w:rPr>
          <w:b w:val="1"/>
        </w:rPr>
      </w:pPr>
      <w:r w:rsidDel="00000000" w:rsidR="00000000" w:rsidRPr="00000000">
        <w:rPr>
          <w:b w:val="1"/>
          <w:rtl w:val="0"/>
        </w:rPr>
        <w:t xml:space="preserve">3.2 Mechanics of UTPR</w:t>
      </w:r>
    </w:p>
    <w:p w:rsidR="00000000" w:rsidDel="00000000" w:rsidP="00000000" w:rsidRDefault="00000000" w:rsidRPr="00000000" w14:paraId="00000112">
      <w:pPr>
        <w:spacing w:after="240" w:before="240" w:lineRule="auto"/>
        <w:rPr/>
      </w:pPr>
      <w:r w:rsidDel="00000000" w:rsidR="00000000" w:rsidRPr="00000000">
        <w:rPr>
          <w:rtl w:val="0"/>
        </w:rPr>
        <w:t xml:space="preserve">The UTPR imposes adjustments at the jurisdictional level to allocate any residual top-up tax liability left after the application of the IIR. The mechanics include:</w:t>
      </w:r>
    </w:p>
    <w:p w:rsidR="00000000" w:rsidDel="00000000" w:rsidP="00000000" w:rsidRDefault="00000000" w:rsidRPr="00000000" w14:paraId="00000113">
      <w:pPr>
        <w:numPr>
          <w:ilvl w:val="0"/>
          <w:numId w:val="38"/>
        </w:numPr>
        <w:spacing w:after="200" w:before="240" w:lineRule="auto"/>
        <w:ind w:left="720" w:hanging="360"/>
        <w:rPr>
          <w:u w:val="none"/>
        </w:rPr>
      </w:pPr>
      <w:r w:rsidDel="00000000" w:rsidR="00000000" w:rsidRPr="00000000">
        <w:rPr>
          <w:b w:val="1"/>
          <w:rtl w:val="0"/>
        </w:rPr>
        <w:t xml:space="preserve">Adjustment Mechanism:</w:t>
      </w:r>
      <w:r w:rsidDel="00000000" w:rsidR="00000000" w:rsidRPr="00000000">
        <w:rPr>
          <w:rtl w:val="0"/>
        </w:rPr>
        <w:t xml:space="preserve"> The UTPR operates by denying deductions for certain expenses (or applying equivalent adjustments under local tax rules) in jurisdictions where the MNE operates. These adjustments are designed to increase the taxable income in those jurisdictions, effectively capturing the unpaid top-up tax. The adjustment is proportional to the residual low-taxed income that remains unaccounted for under the IIR​​.</w:t>
      </w:r>
    </w:p>
    <w:p w:rsidR="00000000" w:rsidDel="00000000" w:rsidP="00000000" w:rsidRDefault="00000000" w:rsidRPr="00000000" w14:paraId="00000114">
      <w:pPr>
        <w:numPr>
          <w:ilvl w:val="0"/>
          <w:numId w:val="38"/>
        </w:numPr>
        <w:spacing w:after="200" w:before="240" w:lineRule="auto"/>
        <w:ind w:left="720" w:hanging="360"/>
        <w:rPr>
          <w:u w:val="none"/>
        </w:rPr>
      </w:pPr>
      <w:r w:rsidDel="00000000" w:rsidR="00000000" w:rsidRPr="00000000">
        <w:rPr>
          <w:b w:val="1"/>
          <w:rtl w:val="0"/>
        </w:rPr>
        <w:t xml:space="preserve">Allocation Formula:</w:t>
      </w:r>
      <w:r w:rsidDel="00000000" w:rsidR="00000000" w:rsidRPr="00000000">
        <w:rPr>
          <w:rtl w:val="0"/>
        </w:rPr>
        <w:t xml:space="preserve"> The allocation of the residual top-up tax under the UTPR is determined using a two-factor formula based on the relative share of tangible assets and employees in the relevant jurisdictions. This ensures that the burden of the top-up tax is distributed equitably among jurisdictions that contribute significantly to the MNE’s operational footprint​​.</w:t>
      </w:r>
    </w:p>
    <w:p w:rsidR="00000000" w:rsidDel="00000000" w:rsidP="00000000" w:rsidRDefault="00000000" w:rsidRPr="00000000" w14:paraId="00000115">
      <w:pPr>
        <w:spacing w:after="240" w:before="240" w:lineRule="auto"/>
        <w:rPr/>
      </w:pPr>
      <w:r w:rsidDel="00000000" w:rsidR="00000000" w:rsidRPr="00000000">
        <w:rPr>
          <w:rtl w:val="0"/>
        </w:rPr>
        <w:t xml:space="preserve">These mechanisms ensure that the UTPR is both targeted and administrable, capturing residual low-taxed income without creating undue complexity or compliance burdens.</w:t>
      </w:r>
    </w:p>
    <w:p w:rsidR="00000000" w:rsidDel="00000000" w:rsidP="00000000" w:rsidRDefault="00000000" w:rsidRPr="00000000" w14:paraId="00000116">
      <w:pPr>
        <w:keepNext w:val="0"/>
        <w:keepLines w:val="0"/>
        <w:spacing w:before="240" w:lineRule="auto"/>
        <w:rPr>
          <w:b w:val="1"/>
        </w:rPr>
      </w:pPr>
      <w:r w:rsidDel="00000000" w:rsidR="00000000" w:rsidRPr="00000000">
        <w:rPr>
          <w:b w:val="1"/>
          <w:rtl w:val="0"/>
        </w:rPr>
        <w:t xml:space="preserve">3.3 Coordination with IIR</w:t>
      </w:r>
    </w:p>
    <w:p w:rsidR="00000000" w:rsidDel="00000000" w:rsidP="00000000" w:rsidRDefault="00000000" w:rsidRPr="00000000" w14:paraId="00000117">
      <w:pPr>
        <w:spacing w:after="240" w:before="240" w:lineRule="auto"/>
        <w:rPr/>
      </w:pPr>
      <w:r w:rsidDel="00000000" w:rsidR="00000000" w:rsidRPr="00000000">
        <w:rPr>
          <w:rtl w:val="0"/>
        </w:rPr>
        <w:t xml:space="preserve">The UTPR complements the IIR by addressing gaps that may arise when the IIR cannot fully capture low-taxed income. It serves as a residual rule, applying only after the IIR has been implemented and residual top-up tax remains. This coordinated approach minimizes double taxation risks and ensures a seamless application of the GloBE rules across jurisdictions​​.</w:t>
      </w:r>
    </w:p>
    <w:p w:rsidR="00000000" w:rsidDel="00000000" w:rsidP="00000000" w:rsidRDefault="00000000" w:rsidRPr="00000000" w14:paraId="00000118">
      <w:pPr>
        <w:spacing w:after="240" w:before="240" w:lineRule="auto"/>
        <w:rPr/>
      </w:pPr>
      <w:r w:rsidDel="00000000" w:rsidR="00000000" w:rsidRPr="00000000">
        <w:rPr>
          <w:rtl w:val="0"/>
        </w:rPr>
        <w:t xml:space="preserve">From an administrative perspective, the UTPR introduces additional complexities, as it requires jurisdictions to implement mechanisms for identifying low-taxed income and applying adjustments. Standardized reporting requirements under the GloBE rules, such as the use of Country-by-Country (CbC) reports, play a crucial role in facilitating the effective application of the UTPR. These measures ensure that the UTPR operates as an effective safeguard while maintaining consistency with the broader objectives of Pillar Two​​.</w:t>
      </w:r>
    </w:p>
    <w:p w:rsidR="00000000" w:rsidDel="00000000" w:rsidP="00000000" w:rsidRDefault="00000000" w:rsidRPr="00000000" w14:paraId="00000119">
      <w:pPr>
        <w:spacing w:after="240" w:before="240" w:lineRule="auto"/>
        <w:rPr/>
      </w:pPr>
      <w:r w:rsidDel="00000000" w:rsidR="00000000" w:rsidRPr="00000000">
        <w:rPr>
          <w:rtl w:val="0"/>
        </w:rPr>
        <w:t xml:space="preserve">By serving as a coordinated backstop, the UTPR reinforces the effectiveness of the GloBE rules, ensuring comprehensive enforcement of the global minimum tax and addressing any remaining vulnerabilities in the international tax system.</w:t>
      </w:r>
    </w:p>
    <w:p w:rsidR="00000000" w:rsidDel="00000000" w:rsidP="00000000" w:rsidRDefault="00000000" w:rsidRPr="00000000" w14:paraId="0000011A">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78.00000000000006" w:lineRule="auto"/>
        <w:ind w:left="630" w:right="0" w:hanging="360"/>
        <w:jc w:val="both"/>
      </w:pPr>
      <w:bookmarkStart w:colFirst="0" w:colLast="0" w:name="_heading=h.pps9azge3wui" w:id="9"/>
      <w:bookmarkEnd w:id="9"/>
      <w:r w:rsidDel="00000000" w:rsidR="00000000" w:rsidRPr="00000000">
        <w:rPr>
          <w:rtl w:val="0"/>
        </w:rPr>
        <w:t xml:space="preserve">Subject to Tax Rule (STTR)</w:t>
      </w:r>
    </w:p>
    <w:p w:rsidR="00000000" w:rsidDel="00000000" w:rsidP="00000000" w:rsidRDefault="00000000" w:rsidRPr="00000000" w14:paraId="0000011B">
      <w:pPr>
        <w:keepNext w:val="0"/>
        <w:keepLines w:val="0"/>
        <w:spacing w:before="240" w:lineRule="auto"/>
        <w:rPr>
          <w:b w:val="1"/>
        </w:rPr>
      </w:pPr>
      <w:r w:rsidDel="00000000" w:rsidR="00000000" w:rsidRPr="00000000">
        <w:rPr>
          <w:b w:val="1"/>
          <w:rtl w:val="0"/>
        </w:rPr>
        <w:t xml:space="preserve">4.1 Definition and Objective</w:t>
      </w:r>
    </w:p>
    <w:p w:rsidR="00000000" w:rsidDel="00000000" w:rsidP="00000000" w:rsidRDefault="00000000" w:rsidRPr="00000000" w14:paraId="0000011C">
      <w:pPr>
        <w:spacing w:after="240" w:before="240" w:lineRule="auto"/>
        <w:rPr/>
      </w:pPr>
      <w:r w:rsidDel="00000000" w:rsidR="00000000" w:rsidRPr="00000000">
        <w:rPr>
          <w:rtl w:val="0"/>
        </w:rPr>
        <w:t xml:space="preserve">The Subject to Tax Rule (STTR) is a complementary measure within the Pillar Two framework that focuses on taxing outbound payments from higher-tax jurisdictions to low-tax jurisdictions. Unlike the Income Inclusion Rule (IIR) and the Under-Taxed Profit Rule (UTPR), which operate at the level of the MNE group, the STTR directly addresses base erosion risks posed by cross-border payments, such as interest, royalties, and other specified payments​​.</w:t>
      </w:r>
    </w:p>
    <w:p w:rsidR="00000000" w:rsidDel="00000000" w:rsidP="00000000" w:rsidRDefault="00000000" w:rsidRPr="00000000" w14:paraId="0000011D">
      <w:pPr>
        <w:spacing w:after="240" w:before="240" w:lineRule="auto"/>
        <w:rPr/>
      </w:pPr>
      <w:r w:rsidDel="00000000" w:rsidR="00000000" w:rsidRPr="00000000">
        <w:rPr>
          <w:rtl w:val="0"/>
        </w:rPr>
        <w:t xml:space="preserve">The STTR applies a minimum tax rate of 9%, targeting instances where payments are made to jurisdictions with nominal tax rates below this threshold. Its primary objective is to ensure that income streams benefiting from reduced tax rates in low-tax jurisdictions are subject to a baseline level of taxation. This rule helps prevent the artificial shifting of profits through payments to low-tax jurisdictions and ensures a fair allocation of taxing rights between source and recipient jurisdictions​​.</w:t>
      </w:r>
    </w:p>
    <w:p w:rsidR="00000000" w:rsidDel="00000000" w:rsidP="00000000" w:rsidRDefault="00000000" w:rsidRPr="00000000" w14:paraId="0000011E">
      <w:pPr>
        <w:spacing w:after="240" w:before="240" w:lineRule="auto"/>
        <w:rPr/>
      </w:pPr>
      <w:r w:rsidDel="00000000" w:rsidR="00000000" w:rsidRPr="00000000">
        <w:rPr>
          <w:rtl w:val="0"/>
        </w:rPr>
        <w:t xml:space="preserve">By focusing on outbound payments, the STTR addresses situations where the other GloBE rules may not apply, particularly in cases involving double non-taxation of specific payments. It reinforces the global minimum tax framework by reducing the incentive for jurisdictions to offer preferential tax regimes​.</w:t>
      </w:r>
    </w:p>
    <w:p w:rsidR="00000000" w:rsidDel="00000000" w:rsidP="00000000" w:rsidRDefault="00000000" w:rsidRPr="00000000" w14:paraId="0000011F">
      <w:pPr>
        <w:keepNext w:val="0"/>
        <w:keepLines w:val="0"/>
        <w:spacing w:before="240" w:lineRule="auto"/>
        <w:rPr>
          <w:b w:val="1"/>
        </w:rPr>
      </w:pPr>
      <w:r w:rsidDel="00000000" w:rsidR="00000000" w:rsidRPr="00000000">
        <w:rPr>
          <w:b w:val="1"/>
          <w:rtl w:val="0"/>
        </w:rPr>
        <w:t xml:space="preserve">4.2 Application of the STTR</w:t>
      </w:r>
    </w:p>
    <w:p w:rsidR="00000000" w:rsidDel="00000000" w:rsidP="00000000" w:rsidRDefault="00000000" w:rsidRPr="00000000" w14:paraId="00000120">
      <w:pPr>
        <w:spacing w:after="240" w:before="240" w:lineRule="auto"/>
        <w:rPr/>
      </w:pPr>
      <w:r w:rsidDel="00000000" w:rsidR="00000000" w:rsidRPr="00000000">
        <w:rPr>
          <w:rtl w:val="0"/>
        </w:rPr>
        <w:t xml:space="preserve">The STTR is applied through bilateral tax treaties and specifically targets certain categories of payments that are most susceptible to tax base erosion. These payments include:</w:t>
      </w:r>
    </w:p>
    <w:p w:rsidR="00000000" w:rsidDel="00000000" w:rsidP="00000000" w:rsidRDefault="00000000" w:rsidRPr="00000000" w14:paraId="00000121">
      <w:pPr>
        <w:numPr>
          <w:ilvl w:val="0"/>
          <w:numId w:val="36"/>
        </w:numPr>
        <w:spacing w:after="200" w:before="240" w:lineRule="auto"/>
        <w:ind w:left="720" w:hanging="360"/>
      </w:pPr>
      <w:r w:rsidDel="00000000" w:rsidR="00000000" w:rsidRPr="00000000">
        <w:rPr>
          <w:b w:val="1"/>
          <w:rtl w:val="0"/>
        </w:rPr>
        <w:t xml:space="preserve">Interest and Royalties:</w:t>
      </w:r>
      <w:r w:rsidDel="00000000" w:rsidR="00000000" w:rsidRPr="00000000">
        <w:rPr>
          <w:rtl w:val="0"/>
        </w:rPr>
        <w:t xml:space="preserve"> The STTR imposes a minimum tax on payments such as interest and royalties, which are often transferred to jurisdictions with preferential tax rates. These payments are critical components of aggressive tax planning strategies​​.</w:t>
      </w:r>
    </w:p>
    <w:p w:rsidR="00000000" w:rsidDel="00000000" w:rsidP="00000000" w:rsidRDefault="00000000" w:rsidRPr="00000000" w14:paraId="00000122">
      <w:pPr>
        <w:numPr>
          <w:ilvl w:val="0"/>
          <w:numId w:val="36"/>
        </w:numPr>
        <w:spacing w:after="200" w:before="240" w:lineRule="auto"/>
        <w:ind w:left="720" w:hanging="360"/>
      </w:pPr>
      <w:r w:rsidDel="00000000" w:rsidR="00000000" w:rsidRPr="00000000">
        <w:rPr>
          <w:b w:val="1"/>
          <w:rtl w:val="0"/>
        </w:rPr>
        <w:t xml:space="preserve">Other Specified Payments:</w:t>
      </w:r>
      <w:r w:rsidDel="00000000" w:rsidR="00000000" w:rsidRPr="00000000">
        <w:rPr>
          <w:rtl w:val="0"/>
        </w:rPr>
        <w:t xml:space="preserve"> Depending on treaty provisions, the STTR may also apply to other payments, such as fees for services, commissions, and insurance premiums, which have a high risk of being channeled to low-tax jurisdictions​​.</w:t>
      </w:r>
    </w:p>
    <w:p w:rsidR="00000000" w:rsidDel="00000000" w:rsidP="00000000" w:rsidRDefault="00000000" w:rsidRPr="00000000" w14:paraId="00000123">
      <w:pPr>
        <w:spacing w:after="240" w:before="240" w:lineRule="auto"/>
        <w:rPr/>
      </w:pPr>
      <w:r w:rsidDel="00000000" w:rsidR="00000000" w:rsidRPr="00000000">
        <w:rPr>
          <w:rtl w:val="0"/>
        </w:rPr>
        <w:t xml:space="preserve">To facilitate its application, the STTR is embedded within bilateral tax treaties as an additional taxing right for the source jurisdiction. When the STTR applies, the source jurisdiction is allowed to impose additional withholding taxes to bring the effective tax rate on the payment up to the 9% minimum threshold. This ensures that income flows are adequately taxed, even when the recipient jurisdiction levies little or no tax​​.</w:t>
      </w:r>
    </w:p>
    <w:p w:rsidR="00000000" w:rsidDel="00000000" w:rsidP="00000000" w:rsidRDefault="00000000" w:rsidRPr="00000000" w14:paraId="00000124">
      <w:pPr>
        <w:spacing w:after="240" w:before="240" w:lineRule="auto"/>
        <w:rPr/>
      </w:pPr>
      <w:r w:rsidDel="00000000" w:rsidR="00000000" w:rsidRPr="00000000">
        <w:rPr>
          <w:rtl w:val="0"/>
        </w:rPr>
        <w:t xml:space="preserve">Bilateral treaties play a crucial role in the implementation of the STTR, requiring amendments or new agreements to accommodate the rule. The OECD’s Multilateral Instrument (MLI) is expected to streamline this process by allowing jurisdictions to adopt the STTR into existing treaties efficiently, ensuring broad and consistent application of the rule​.</w:t>
      </w:r>
    </w:p>
    <w:p w:rsidR="00000000" w:rsidDel="00000000" w:rsidP="00000000" w:rsidRDefault="00000000" w:rsidRPr="00000000" w14:paraId="00000125">
      <w:pPr>
        <w:spacing w:after="240" w:before="240" w:lineRule="auto"/>
        <w:rPr/>
      </w:pPr>
      <w:r w:rsidDel="00000000" w:rsidR="00000000" w:rsidRPr="00000000">
        <w:rPr>
          <w:rtl w:val="0"/>
        </w:rPr>
        <w:t xml:space="preserve">By addressing specific cross-border payments and working through bilateral treaties, the STTR complements the broader GloBE rules, targeting base erosion risks that may otherwise remain outside the scope of the IIR and UTPR. This targeted approach strengthens the overall effectiveness of the Pillar Two framework.</w:t>
      </w:r>
    </w:p>
    <w:p w:rsidR="00000000" w:rsidDel="00000000" w:rsidP="00000000" w:rsidRDefault="00000000" w:rsidRPr="00000000" w14:paraId="00000126">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78.00000000000006" w:lineRule="auto"/>
        <w:ind w:left="630" w:right="0" w:hanging="360"/>
        <w:jc w:val="both"/>
      </w:pPr>
      <w:bookmarkStart w:colFirst="0" w:colLast="0" w:name="_heading=h.j20lzdvug8lv" w:id="10"/>
      <w:bookmarkEnd w:id="10"/>
      <w:r w:rsidDel="00000000" w:rsidR="00000000" w:rsidRPr="00000000">
        <w:rPr>
          <w:rtl w:val="0"/>
        </w:rPr>
        <w:t xml:space="preserve">Multilateral Convention for Pillar Two</w:t>
      </w:r>
    </w:p>
    <w:p w:rsidR="00000000" w:rsidDel="00000000" w:rsidP="00000000" w:rsidRDefault="00000000" w:rsidRPr="00000000" w14:paraId="00000127">
      <w:pPr>
        <w:keepNext w:val="0"/>
        <w:keepLines w:val="0"/>
        <w:spacing w:before="240" w:lineRule="auto"/>
        <w:rPr>
          <w:b w:val="1"/>
        </w:rPr>
      </w:pPr>
      <w:r w:rsidDel="00000000" w:rsidR="00000000" w:rsidRPr="00000000">
        <w:rPr>
          <w:b w:val="1"/>
          <w:rtl w:val="0"/>
        </w:rPr>
        <w:t xml:space="preserve">5.1 Purpose of the Convention</w:t>
      </w:r>
    </w:p>
    <w:p w:rsidR="00000000" w:rsidDel="00000000" w:rsidP="00000000" w:rsidRDefault="00000000" w:rsidRPr="00000000" w14:paraId="00000128">
      <w:pPr>
        <w:spacing w:after="240" w:before="240" w:lineRule="auto"/>
        <w:rPr/>
      </w:pPr>
      <w:r w:rsidDel="00000000" w:rsidR="00000000" w:rsidRPr="00000000">
        <w:rPr>
          <w:rtl w:val="0"/>
        </w:rPr>
        <w:t xml:space="preserve">The Multilateral Convention (MLC) for Pillar Two serves as a critical tool to facilitate the coordinated implementation of the Subject to Tax Rule (STTR) and ensure consistency in its application across jurisdictions. The MLC provides a streamlined mechanism for incorporating the STTR into existing bilateral tax treaties, reducing the need for jurisdictions to renegotiate individual treaties​​.</w:t>
      </w:r>
    </w:p>
    <w:p w:rsidR="00000000" w:rsidDel="00000000" w:rsidP="00000000" w:rsidRDefault="00000000" w:rsidRPr="00000000" w14:paraId="00000129">
      <w:pPr>
        <w:spacing w:after="240" w:before="240" w:lineRule="auto"/>
        <w:rPr/>
      </w:pPr>
      <w:r w:rsidDel="00000000" w:rsidR="00000000" w:rsidRPr="00000000">
        <w:rPr>
          <w:rtl w:val="0"/>
        </w:rPr>
        <w:t xml:space="preserve">One of the primary purposes of the MLC is to address treaty mismatches that can arise when different jurisdictions adopt varying interpretations of treaty provisions. Such mismatches can lead to double non-taxation or unintended tax benefits, undermining the effectiveness of the Pillar Two framework. By standardizing the application of the STTR, the MLC enhances legal certainty and minimizes compliance burdens for multinational enterprises (MNEs)​.</w:t>
      </w:r>
    </w:p>
    <w:p w:rsidR="00000000" w:rsidDel="00000000" w:rsidP="00000000" w:rsidRDefault="00000000" w:rsidRPr="00000000" w14:paraId="0000012A">
      <w:pPr>
        <w:spacing w:after="240" w:before="240" w:lineRule="auto"/>
        <w:rPr/>
      </w:pPr>
      <w:r w:rsidDel="00000000" w:rsidR="00000000" w:rsidRPr="00000000">
        <w:rPr>
          <w:rtl w:val="0"/>
        </w:rPr>
        <w:t xml:space="preserve">Moreover, the MLC reinforces global cooperation by ensuring that Inclusive Framework jurisdictions are aligned in their commitment to implementing the STTR. This coordinated approach not only strengthens the integrity of the STTR but also contributes to the broader goals of tax fairness and base erosion prevention​​.</w:t>
      </w:r>
    </w:p>
    <w:p w:rsidR="00000000" w:rsidDel="00000000" w:rsidP="00000000" w:rsidRDefault="00000000" w:rsidRPr="00000000" w14:paraId="0000012B">
      <w:pPr>
        <w:keepNext w:val="0"/>
        <w:keepLines w:val="0"/>
        <w:spacing w:before="240" w:lineRule="auto"/>
        <w:rPr>
          <w:b w:val="1"/>
        </w:rPr>
      </w:pPr>
      <w:r w:rsidDel="00000000" w:rsidR="00000000" w:rsidRPr="00000000">
        <w:rPr>
          <w:b w:val="1"/>
          <w:rtl w:val="0"/>
        </w:rPr>
        <w:t xml:space="preserve">5.2 Design and Scope</w:t>
      </w:r>
    </w:p>
    <w:p w:rsidR="00000000" w:rsidDel="00000000" w:rsidP="00000000" w:rsidRDefault="00000000" w:rsidRPr="00000000" w14:paraId="0000012C">
      <w:pPr>
        <w:spacing w:after="240" w:before="240" w:lineRule="auto"/>
        <w:rPr/>
      </w:pPr>
      <w:r w:rsidDel="00000000" w:rsidR="00000000" w:rsidRPr="00000000">
        <w:rPr>
          <w:rtl w:val="0"/>
        </w:rPr>
        <w:t xml:space="preserve">The design of the MLC is tailored to integrate the STTR into existing bilateral tax treaties efficiently. It enables jurisdictions to adopt the STTR without engaging in extensive renegotiations, thereby accelerating the implementation process. The MLC operates as a legal instrument that modifies relevant provisions in bilateral treaties, ensuring the consistent application of the STTR across participating jurisdictions​.</w:t>
      </w:r>
    </w:p>
    <w:p w:rsidR="00000000" w:rsidDel="00000000" w:rsidP="00000000" w:rsidRDefault="00000000" w:rsidRPr="00000000" w14:paraId="0000012D">
      <w:pPr>
        <w:spacing w:after="240" w:before="240" w:lineRule="auto"/>
        <w:rPr/>
      </w:pPr>
      <w:r w:rsidDel="00000000" w:rsidR="00000000" w:rsidRPr="00000000">
        <w:rPr>
          <w:rtl w:val="0"/>
        </w:rPr>
        <w:t xml:space="preserve">The scope of the MLC extends to all bilateral tax treaties involving Inclusive Framework jurisdictions. It ensures that the STTR applies to cross-border payments such as interest, royalties, and service fees, which are most susceptible to base erosion risks. By establishing a minimum tax rate of 9% on these payments, the MLC ensures that source jurisdictions retain their right to impose a baseline level of taxation on outbound income flows​​.</w:t>
      </w:r>
    </w:p>
    <w:p w:rsidR="00000000" w:rsidDel="00000000" w:rsidP="00000000" w:rsidRDefault="00000000" w:rsidRPr="00000000" w14:paraId="0000012E">
      <w:pPr>
        <w:spacing w:after="240" w:before="240" w:lineRule="auto"/>
        <w:rPr/>
      </w:pPr>
      <w:r w:rsidDel="00000000" w:rsidR="00000000" w:rsidRPr="00000000">
        <w:rPr>
          <w:rtl w:val="0"/>
        </w:rPr>
        <w:t xml:space="preserve">Inclusive Framework jurisdictions commit to adopting the MLC as part of their broader implementation of the GloBE rules. This commitment underscores the collective resolve to address tax challenges arising from the digitalization of the economy and to promote a fair and sustainable global tax environment. The MLC also includes provisions for dispute resolution and administrative cooperation to ensure its smooth operation and to address any issues arising during its implementation​.</w:t>
      </w:r>
    </w:p>
    <w:p w:rsidR="00000000" w:rsidDel="00000000" w:rsidP="00000000" w:rsidRDefault="00000000" w:rsidRPr="00000000" w14:paraId="0000012F">
      <w:pPr>
        <w:spacing w:after="240" w:before="240" w:lineRule="auto"/>
        <w:rPr/>
      </w:pPr>
      <w:r w:rsidDel="00000000" w:rsidR="00000000" w:rsidRPr="00000000">
        <w:rPr>
          <w:rtl w:val="0"/>
        </w:rPr>
        <w:t xml:space="preserve">By incorporating the STTR into the global tax framework through a multilateral approach, the MLC strengthens the Pillar Two architecture, ensuring that its objectives are met in a consistent and coordinated manner across jurisdictions.</w:t>
      </w:r>
    </w:p>
    <w:p w:rsidR="00000000" w:rsidDel="00000000" w:rsidP="00000000" w:rsidRDefault="00000000" w:rsidRPr="00000000" w14:paraId="00000130">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78.00000000000006" w:lineRule="auto"/>
        <w:ind w:left="630" w:right="0" w:hanging="360"/>
        <w:jc w:val="both"/>
      </w:pPr>
      <w:bookmarkStart w:colFirst="0" w:colLast="0" w:name="_heading=h.ym17w3b8kc4o" w:id="11"/>
      <w:bookmarkEnd w:id="11"/>
      <w:r w:rsidDel="00000000" w:rsidR="00000000" w:rsidRPr="00000000">
        <w:rPr>
          <w:rtl w:val="0"/>
        </w:rPr>
        <w:t xml:space="preserve">Administrative and Transition Provisions</w:t>
      </w:r>
    </w:p>
    <w:p w:rsidR="00000000" w:rsidDel="00000000" w:rsidP="00000000" w:rsidRDefault="00000000" w:rsidRPr="00000000" w14:paraId="00000131">
      <w:pPr>
        <w:keepNext w:val="0"/>
        <w:keepLines w:val="0"/>
        <w:spacing w:before="240" w:lineRule="auto"/>
        <w:rPr>
          <w:b w:val="1"/>
        </w:rPr>
      </w:pPr>
      <w:r w:rsidDel="00000000" w:rsidR="00000000" w:rsidRPr="00000000">
        <w:rPr>
          <w:b w:val="1"/>
          <w:rtl w:val="0"/>
        </w:rPr>
        <w:t xml:space="preserve">6.1 Safe Harbours and Simplified Compliance</w:t>
      </w:r>
    </w:p>
    <w:p w:rsidR="00000000" w:rsidDel="00000000" w:rsidP="00000000" w:rsidRDefault="00000000" w:rsidRPr="00000000" w14:paraId="00000132">
      <w:pPr>
        <w:spacing w:after="240" w:before="240" w:lineRule="auto"/>
        <w:rPr/>
      </w:pPr>
      <w:r w:rsidDel="00000000" w:rsidR="00000000" w:rsidRPr="00000000">
        <w:rPr>
          <w:rtl w:val="0"/>
        </w:rPr>
        <w:t xml:space="preserve">The Pillar Two framework introduces administrative measures, including safe harbours, to reduce compliance burdens for multinational enterprises (MNEs) and enhance the ease of implementation for jurisdictions. These safe harbours are designed to simplify the application of the Global Anti-Base Erosion (GloBE) Rules while ensuring that the objectives of the rules are not compromised​​.</w:t>
      </w:r>
    </w:p>
    <w:p w:rsidR="00000000" w:rsidDel="00000000" w:rsidP="00000000" w:rsidRDefault="00000000" w:rsidRPr="00000000" w14:paraId="00000133">
      <w:pPr>
        <w:numPr>
          <w:ilvl w:val="0"/>
          <w:numId w:val="1"/>
        </w:numPr>
        <w:spacing w:after="200" w:before="240" w:lineRule="auto"/>
        <w:ind w:left="720" w:hanging="360"/>
      </w:pPr>
      <w:r w:rsidDel="00000000" w:rsidR="00000000" w:rsidRPr="00000000">
        <w:rPr>
          <w:b w:val="1"/>
          <w:rtl w:val="0"/>
        </w:rPr>
        <w:t xml:space="preserve">Safe Harbours for Administrative Ease:</w:t>
      </w:r>
      <w:r w:rsidDel="00000000" w:rsidR="00000000" w:rsidRPr="00000000">
        <w:rPr>
          <w:rtl w:val="0"/>
        </w:rPr>
        <w:t xml:space="preserve"> Safe harbours allow MNEs to avoid full compliance with detailed GloBE calculations when certain conditions are met, such as when operations in a jurisdiction are almost certainly taxed at or above the minimum rate of 15%. By introducing thresholds or streamlined approaches, safe harbours reduce administrative costs and facilitate efficient compliance for both taxpayers and tax administrations​.</w:t>
      </w:r>
    </w:p>
    <w:p w:rsidR="00000000" w:rsidDel="00000000" w:rsidP="00000000" w:rsidRDefault="00000000" w:rsidRPr="00000000" w14:paraId="00000134">
      <w:pPr>
        <w:numPr>
          <w:ilvl w:val="0"/>
          <w:numId w:val="1"/>
        </w:numPr>
        <w:spacing w:after="200" w:before="240" w:lineRule="auto"/>
        <w:ind w:left="720" w:hanging="360"/>
      </w:pPr>
      <w:r w:rsidDel="00000000" w:rsidR="00000000" w:rsidRPr="00000000">
        <w:rPr>
          <w:b w:val="1"/>
          <w:rtl w:val="0"/>
        </w:rPr>
        <w:t xml:space="preserve">Transitional Safe Harbours:</w:t>
      </w:r>
      <w:r w:rsidDel="00000000" w:rsidR="00000000" w:rsidRPr="00000000">
        <w:rPr>
          <w:rtl w:val="0"/>
        </w:rPr>
        <w:t xml:space="preserve"> Transitional safe harbours provide a temporary relief mechanism during the initial phase of Pillar Two implementation. These safe harbours rely on existing data, such as Country-by-Country (CbC) reports, to approximate effective tax rates (ETRs) and determine whether a top-up tax liability arises. The use of CbC reports as a transitional measure ensures that MNEs can comply with Pillar Two requirements without incurring significant compliance costs during the early stages​.</w:t>
      </w:r>
    </w:p>
    <w:p w:rsidR="00000000" w:rsidDel="00000000" w:rsidP="00000000" w:rsidRDefault="00000000" w:rsidRPr="00000000" w14:paraId="00000135">
      <w:pPr>
        <w:spacing w:after="240" w:before="240" w:lineRule="auto"/>
        <w:rPr/>
      </w:pPr>
      <w:r w:rsidDel="00000000" w:rsidR="00000000" w:rsidRPr="00000000">
        <w:rPr>
          <w:rtl w:val="0"/>
        </w:rPr>
        <w:t xml:space="preserve">These measures aim to strike a balance between robust enforcement of the GloBE Rules and manageable compliance obligations, particularly for MNEs with complex global structures.</w:t>
      </w:r>
    </w:p>
    <w:p w:rsidR="00000000" w:rsidDel="00000000" w:rsidP="00000000" w:rsidRDefault="00000000" w:rsidRPr="00000000" w14:paraId="00000136">
      <w:pPr>
        <w:keepNext w:val="0"/>
        <w:keepLines w:val="0"/>
        <w:spacing w:before="240" w:lineRule="auto"/>
        <w:rPr>
          <w:b w:val="1"/>
        </w:rPr>
      </w:pPr>
      <w:r w:rsidDel="00000000" w:rsidR="00000000" w:rsidRPr="00000000">
        <w:rPr>
          <w:b w:val="1"/>
          <w:rtl w:val="0"/>
        </w:rPr>
        <w:t xml:space="preserve">6.2 Transition Rules for MNEs</w:t>
      </w:r>
    </w:p>
    <w:p w:rsidR="00000000" w:rsidDel="00000000" w:rsidP="00000000" w:rsidRDefault="00000000" w:rsidRPr="00000000" w14:paraId="00000137">
      <w:pPr>
        <w:spacing w:after="240" w:before="240" w:lineRule="auto"/>
        <w:rPr/>
      </w:pPr>
      <w:r w:rsidDel="00000000" w:rsidR="00000000" w:rsidRPr="00000000">
        <w:rPr>
          <w:rtl w:val="0"/>
        </w:rPr>
        <w:t xml:space="preserve">To ensure a smooth transition to the new global minimum tax framework, the Pillar Two rules incorporate specific provisions addressing pre-existing tax attributes and phased implementation measures:</w:t>
      </w:r>
    </w:p>
    <w:p w:rsidR="00000000" w:rsidDel="00000000" w:rsidP="00000000" w:rsidRDefault="00000000" w:rsidRPr="00000000" w14:paraId="00000138">
      <w:pPr>
        <w:numPr>
          <w:ilvl w:val="0"/>
          <w:numId w:val="35"/>
        </w:numPr>
        <w:spacing w:after="200" w:before="240" w:lineRule="auto"/>
        <w:ind w:left="720" w:hanging="360"/>
      </w:pPr>
      <w:r w:rsidDel="00000000" w:rsidR="00000000" w:rsidRPr="00000000">
        <w:rPr>
          <w:b w:val="1"/>
          <w:rtl w:val="0"/>
        </w:rPr>
        <w:t xml:space="preserve">Treatment of Pre-Existing Tax Losses:</w:t>
      </w:r>
      <w:r w:rsidDel="00000000" w:rsidR="00000000" w:rsidRPr="00000000">
        <w:rPr>
          <w:rtl w:val="0"/>
        </w:rPr>
        <w:t xml:space="preserve"> Transition rules account for tax losses and deferred tax liabilities that exist prior to the adoption of Pillar Two. These losses are carried forward under deferred tax accounting principles, allowing MNEs to offset future taxable income and ensuring that the implementation of the GloBE Rules does not unfairly penalize businesses with accumulated losses​.</w:t>
      </w:r>
    </w:p>
    <w:p w:rsidR="00000000" w:rsidDel="00000000" w:rsidP="00000000" w:rsidRDefault="00000000" w:rsidRPr="00000000" w14:paraId="00000139">
      <w:pPr>
        <w:numPr>
          <w:ilvl w:val="0"/>
          <w:numId w:val="35"/>
        </w:numPr>
        <w:spacing w:after="200" w:before="240" w:lineRule="auto"/>
        <w:ind w:left="720" w:hanging="360"/>
      </w:pPr>
      <w:r w:rsidDel="00000000" w:rsidR="00000000" w:rsidRPr="00000000">
        <w:rPr>
          <w:b w:val="1"/>
          <w:rtl w:val="0"/>
        </w:rPr>
        <w:t xml:space="preserve">Gradual Reduction of Substance-Based Income Carve-Outs:</w:t>
      </w:r>
      <w:r w:rsidDel="00000000" w:rsidR="00000000" w:rsidRPr="00000000">
        <w:rPr>
          <w:rtl w:val="0"/>
        </w:rPr>
        <w:t xml:space="preserve"> The rules provide a phased approach to reducing substance-based income carve-outs, which exclude a portion of income associated with tangible assets and payroll from the scope of the top-up tax. Over a ten-year period, the percentage of carve-outs is gradually reduced, enabling MNEs to adjust their operations and tax planning strategies without facing abrupt changes​.</w:t>
      </w:r>
    </w:p>
    <w:p w:rsidR="00000000" w:rsidDel="00000000" w:rsidP="00000000" w:rsidRDefault="00000000" w:rsidRPr="00000000" w14:paraId="0000013A">
      <w:pPr>
        <w:spacing w:after="240" w:before="240" w:lineRule="auto"/>
        <w:rPr/>
      </w:pPr>
      <w:r w:rsidDel="00000000" w:rsidR="00000000" w:rsidRPr="00000000">
        <w:rPr>
          <w:rtl w:val="0"/>
        </w:rPr>
        <w:t xml:space="preserve">These transition measures are designed to mitigate compliance challenges and provide MNEs with sufficient time to adapt to the new requirements. By incorporating both safe harbours and transition rules, Pillar Two aims to achieve a fair and practical implementation, ensuring the framework is both effective and administratively feasible for jurisdictions and taxpayers alike.</w:t>
      </w:r>
    </w:p>
    <w:p w:rsidR="00000000" w:rsidDel="00000000" w:rsidP="00000000" w:rsidRDefault="00000000" w:rsidRPr="00000000" w14:paraId="0000013B">
      <w:pPr>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b w:val="1"/>
        <w:i w:val="1"/>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Aptos" w:cs="Aptos" w:eastAsia="Aptos" w:hAnsi="Aptos"/>
        <w:sz w:val="20"/>
        <w:szCs w:val="20"/>
      </w:rPr>
    </w:lvl>
    <w:lvl w:ilvl="1">
      <w:start w:val="1"/>
      <w:numFmt w:val="upperRoman"/>
      <w:lvlText w:val="%2."/>
      <w:lvlJc w:val="left"/>
      <w:pPr>
        <w:ind w:left="2520" w:hanging="720"/>
      </w:pPr>
      <w:rPr>
        <w:b w:val="1"/>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Aptos" w:cs="Aptos" w:eastAsia="Aptos" w:hAnsi="Apto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7">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
    <w:lvl w:ilvl="0">
      <w:start w:val="1"/>
      <w:numFmt w:val="bullet"/>
      <w:lvlText w:val="-"/>
      <w:lvlJc w:val="left"/>
      <w:pPr>
        <w:ind w:left="1440" w:hanging="360"/>
      </w:pPr>
      <w:rPr>
        <w:rFonts w:ascii="Aptos" w:cs="Aptos" w:eastAsia="Aptos" w:hAnsi="Aptos"/>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19">
    <w:lvl w:ilvl="0">
      <w:start w:val="1"/>
      <w:numFmt w:val="bullet"/>
      <w:lvlText w:val="-"/>
      <w:lvlJc w:val="left"/>
      <w:pPr>
        <w:ind w:left="1440" w:hanging="360"/>
      </w:pPr>
      <w:rPr>
        <w:rFonts w:ascii="Aptos" w:cs="Aptos" w:eastAsia="Aptos" w:hAnsi="Apto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1440" w:hanging="360"/>
      </w:pPr>
      <w:rPr>
        <w:rFonts w:ascii="Aptos" w:cs="Aptos" w:eastAsia="Aptos" w:hAnsi="Apto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1080" w:hanging="360"/>
      </w:pPr>
      <w:rPr>
        <w:rFonts w:ascii="Noto Sans Symbols" w:cs="Noto Sans Symbols" w:eastAsia="Noto Sans Symbols" w:hAnsi="Noto Sans Symbols"/>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28">
    <w:lvl w:ilvl="0">
      <w:start w:val="1"/>
      <w:numFmt w:val="bullet"/>
      <w:lvlText w:val="●"/>
      <w:lvlJc w:val="left"/>
      <w:pPr>
        <w:ind w:left="1080" w:hanging="360"/>
      </w:pPr>
      <w:rPr>
        <w:rFonts w:ascii="Noto Sans Symbols" w:cs="Noto Sans Symbols" w:eastAsia="Noto Sans Symbols" w:hAnsi="Noto Sans Symbols"/>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29">
    <w:lvl w:ilvl="0">
      <w:start w:val="1"/>
      <w:numFmt w:val="bullet"/>
      <w:lvlText w:val="●"/>
      <w:lvlJc w:val="left"/>
      <w:pPr>
        <w:ind w:left="1080" w:hanging="360"/>
      </w:pPr>
      <w:rPr>
        <w:rFonts w:ascii="Noto Sans Symbols" w:cs="Noto Sans Symbols" w:eastAsia="Noto Sans Symbols" w:hAnsi="Noto Sans Symbols"/>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30">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0" w:before="240" w:line="278.00000000000006" w:lineRule="auto"/>
      <w:ind w:firstLine="15"/>
      <w:jc w:val="both"/>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sz w:val="32"/>
      <w:szCs w:val="32"/>
    </w:rPr>
  </w:style>
  <w:style w:type="paragraph" w:styleId="Normal" w:default="1">
    <w:name w:val="Normal"/>
    <w:qFormat w:val="1"/>
  </w:style>
  <w:style w:type="paragraph" w:styleId="Heading1">
    <w:name w:val="heading 1"/>
    <w:basedOn w:val="Normal"/>
    <w:next w:val="Normal"/>
    <w:link w:val="Heading1Char"/>
    <w:uiPriority w:val="9"/>
    <w:qFormat w:val="1"/>
    <w:rsid w:val="00B9746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B9746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B9746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9746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9746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9746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9746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9746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9746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9746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B9746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9746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9746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9746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9746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9746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9746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9746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9746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9746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9746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9746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9746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9746B"/>
    <w:rPr>
      <w:i w:val="1"/>
      <w:iCs w:val="1"/>
      <w:color w:val="404040" w:themeColor="text1" w:themeTint="0000BF"/>
    </w:rPr>
  </w:style>
  <w:style w:type="paragraph" w:styleId="ListParagraph">
    <w:name w:val="List Paragraph"/>
    <w:basedOn w:val="Normal"/>
    <w:uiPriority w:val="34"/>
    <w:qFormat w:val="1"/>
    <w:rsid w:val="00B9746B"/>
    <w:pPr>
      <w:ind w:left="720"/>
      <w:contextualSpacing w:val="1"/>
    </w:pPr>
  </w:style>
  <w:style w:type="character" w:styleId="IntenseEmphasis">
    <w:name w:val="Intense Emphasis"/>
    <w:basedOn w:val="DefaultParagraphFont"/>
    <w:uiPriority w:val="21"/>
    <w:qFormat w:val="1"/>
    <w:rsid w:val="00B9746B"/>
    <w:rPr>
      <w:i w:val="1"/>
      <w:iCs w:val="1"/>
      <w:color w:val="0f4761" w:themeColor="accent1" w:themeShade="0000BF"/>
    </w:rPr>
  </w:style>
  <w:style w:type="paragraph" w:styleId="IntenseQuote">
    <w:name w:val="Intense Quote"/>
    <w:basedOn w:val="Normal"/>
    <w:next w:val="Normal"/>
    <w:link w:val="IntenseQuoteChar"/>
    <w:uiPriority w:val="30"/>
    <w:qFormat w:val="1"/>
    <w:rsid w:val="00B9746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9746B"/>
    <w:rPr>
      <w:i w:val="1"/>
      <w:iCs w:val="1"/>
      <w:color w:val="0f4761" w:themeColor="accent1" w:themeShade="0000BF"/>
    </w:rPr>
  </w:style>
  <w:style w:type="character" w:styleId="IntenseReference">
    <w:name w:val="Intense Reference"/>
    <w:basedOn w:val="DefaultParagraphFont"/>
    <w:uiPriority w:val="32"/>
    <w:qFormat w:val="1"/>
    <w:rsid w:val="00B9746B"/>
    <w:rPr>
      <w:b w:val="1"/>
      <w:bCs w:val="1"/>
      <w:smallCaps w:val="1"/>
      <w:color w:val="0f4761" w:themeColor="accent1" w:themeShade="0000BF"/>
      <w:spacing w:val="5"/>
    </w:rPr>
  </w:style>
  <w:style w:type="paragraph" w:styleId="TOCHeading">
    <w:name w:val="TOC Heading"/>
    <w:basedOn w:val="Heading1"/>
    <w:next w:val="Normal"/>
    <w:uiPriority w:val="39"/>
    <w:unhideWhenUsed w:val="1"/>
    <w:qFormat w:val="1"/>
    <w:rsid w:val="00D77057"/>
    <w:pPr>
      <w:spacing w:after="0" w:before="240"/>
      <w:outlineLvl w:val="9"/>
    </w:pPr>
    <w:rPr>
      <w:kern w:val="0"/>
      <w:sz w:val="32"/>
      <w:szCs w:val="32"/>
      <w:lang w:eastAsia="en-GB"/>
    </w:rPr>
  </w:style>
  <w:style w:type="paragraph" w:styleId="TOC1">
    <w:name w:val="toc 1"/>
    <w:basedOn w:val="Normal"/>
    <w:next w:val="Normal"/>
    <w:autoRedefine w:val="1"/>
    <w:uiPriority w:val="39"/>
    <w:unhideWhenUsed w:val="1"/>
    <w:rsid w:val="00D77057"/>
    <w:pPr>
      <w:spacing w:after="100"/>
    </w:pPr>
  </w:style>
  <w:style w:type="paragraph" w:styleId="TOC2">
    <w:name w:val="toc 2"/>
    <w:basedOn w:val="Normal"/>
    <w:next w:val="Normal"/>
    <w:autoRedefine w:val="1"/>
    <w:uiPriority w:val="39"/>
    <w:unhideWhenUsed w:val="1"/>
    <w:rsid w:val="00D77057"/>
    <w:pPr>
      <w:spacing w:after="100"/>
      <w:ind w:left="220"/>
    </w:pPr>
  </w:style>
  <w:style w:type="character" w:styleId="Hyperlink">
    <w:name w:val="Hyperlink"/>
    <w:basedOn w:val="DefaultParagraphFont"/>
    <w:uiPriority w:val="99"/>
    <w:unhideWhenUsed w:val="1"/>
    <w:rsid w:val="00D77057"/>
    <w:rPr>
      <w:color w:val="467886" w:themeColor="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akBqRv2BkWoavToLUHWQHh7Q2g==">CgMxLjAyCGguZ2pkZ3hzMgloLjMwajB6bGwyCWguMWZvYjl0ZTIJaC4zem55c2g3MgloLjJldDkycDAyDmguZ2c5Z2RxdmE2aGRvMg5oLjJ5eGc0OG41bnJtaTIOaC56ZWxmZW11MHNqdmYyDmguZGM0a2Nkb3gzb2h1Mg5oLnBwczlhemdlM3d1aTIOaC5qMjBsemR2dWc4bHYyDmgueW0xN3czYjhrYzRvOAByITFjMy1mTENBUi1xOFhackc0RmtMUGZINXZXNGRMc2RN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2025-01-23T23:13:00Z</dcterms:created>
  <dc:creator>Munachiso Ogu-Jude</dc:creator>
</cp:coreProperties>
</file>