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C0110" w14:textId="77777777" w:rsidR="00126A4A" w:rsidRPr="00126A4A" w:rsidRDefault="00126A4A" w:rsidP="00126A4A">
      <w:pPr>
        <w:spacing w:line="480" w:lineRule="auto"/>
        <w:rPr>
          <w:b/>
          <w:bCs/>
          <w:sz w:val="24"/>
          <w:szCs w:val="24"/>
        </w:rPr>
      </w:pPr>
    </w:p>
    <w:p w14:paraId="7641B53A" w14:textId="77777777" w:rsidR="00126A4A" w:rsidRPr="00126A4A" w:rsidRDefault="00126A4A" w:rsidP="00126A4A">
      <w:pPr>
        <w:spacing w:line="480" w:lineRule="auto"/>
        <w:rPr>
          <w:b/>
          <w:bCs/>
          <w:sz w:val="24"/>
          <w:szCs w:val="24"/>
        </w:rPr>
      </w:pPr>
      <w:r w:rsidRPr="00126A4A">
        <w:rPr>
          <w:b/>
          <w:bCs/>
          <w:sz w:val="24"/>
          <w:szCs w:val="24"/>
        </w:rPr>
        <w:t>CS-370 Current/Emerging Trends in CS</w:t>
      </w:r>
    </w:p>
    <w:p w14:paraId="51D259FF" w14:textId="77777777" w:rsidR="00126A4A" w:rsidRDefault="00126A4A" w:rsidP="00126A4A">
      <w:pPr>
        <w:spacing w:line="480" w:lineRule="auto"/>
        <w:rPr>
          <w:b/>
          <w:bCs/>
          <w:sz w:val="24"/>
          <w:szCs w:val="24"/>
        </w:rPr>
      </w:pPr>
      <w:r w:rsidRPr="00126A4A">
        <w:rPr>
          <w:b/>
          <w:bCs/>
          <w:sz w:val="24"/>
          <w:szCs w:val="24"/>
        </w:rPr>
        <w:t>Jude Mensah Nana Baffoe</w:t>
      </w:r>
    </w:p>
    <w:p w14:paraId="46400C87" w14:textId="77777777" w:rsidR="00126A4A" w:rsidRPr="00126A4A" w:rsidRDefault="00126A4A" w:rsidP="00126A4A">
      <w:pPr>
        <w:spacing w:line="480" w:lineRule="auto"/>
        <w:rPr>
          <w:b/>
          <w:bCs/>
          <w:sz w:val="24"/>
          <w:szCs w:val="24"/>
        </w:rPr>
      </w:pPr>
    </w:p>
    <w:p w14:paraId="018CCF22" w14:textId="45C04F38" w:rsidR="00126A4A" w:rsidRPr="00126A4A" w:rsidRDefault="00126A4A" w:rsidP="00126A4A">
      <w:pPr>
        <w:spacing w:line="480" w:lineRule="auto"/>
        <w:rPr>
          <w:b/>
          <w:bCs/>
          <w:sz w:val="24"/>
          <w:szCs w:val="24"/>
        </w:rPr>
      </w:pPr>
      <w:r w:rsidRPr="00126A4A">
        <w:rPr>
          <w:b/>
          <w:bCs/>
          <w:sz w:val="24"/>
          <w:szCs w:val="24"/>
        </w:rPr>
        <w:t>Neural Networks, Personalization, and GDPR Compliance: A Path Forward for Privacy-Aware AI Systems</w:t>
      </w:r>
    </w:p>
    <w:p w14:paraId="11F30F2A" w14:textId="77777777" w:rsidR="00126A4A" w:rsidRPr="00126A4A" w:rsidRDefault="00126A4A" w:rsidP="00126A4A">
      <w:pPr>
        <w:spacing w:line="480" w:lineRule="auto"/>
        <w:rPr>
          <w:b/>
          <w:bCs/>
          <w:sz w:val="24"/>
          <w:szCs w:val="24"/>
        </w:rPr>
      </w:pPr>
    </w:p>
    <w:p w14:paraId="7FE35CFD" w14:textId="222D7A7A" w:rsidR="00126A4A" w:rsidRPr="00126A4A" w:rsidRDefault="00126A4A" w:rsidP="00126A4A">
      <w:pPr>
        <w:spacing w:line="480" w:lineRule="auto"/>
        <w:rPr>
          <w:b/>
          <w:bCs/>
          <w:sz w:val="24"/>
          <w:szCs w:val="24"/>
        </w:rPr>
      </w:pPr>
      <w:r w:rsidRPr="00126A4A">
        <w:rPr>
          <w:b/>
          <w:bCs/>
          <w:sz w:val="24"/>
          <w:szCs w:val="24"/>
        </w:rPr>
        <w:t>Executive Summary</w:t>
      </w:r>
    </w:p>
    <w:p w14:paraId="50735E17" w14:textId="77777777" w:rsidR="00126A4A" w:rsidRPr="00126A4A" w:rsidRDefault="00126A4A" w:rsidP="00126A4A">
      <w:pPr>
        <w:spacing w:after="240" w:line="480" w:lineRule="auto"/>
        <w:rPr>
          <w:sz w:val="24"/>
          <w:szCs w:val="24"/>
        </w:rPr>
      </w:pPr>
      <w:r w:rsidRPr="00126A4A">
        <w:rPr>
          <w:sz w:val="24"/>
          <w:szCs w:val="24"/>
        </w:rPr>
        <w:t>This white paper addresses regulatory concerns regarding the use of neural networks for personalization algorithms in social media platforms and their compliance with the General Data Protection Regulation (GDPR). The analysis demonstrates that while current personalization practices fundamentally conflict with GDPR principles, particularly in data minimization and purpose limitation, viable compliance pathways exist. By implementing privacy-preserving machine learning techniques, namely federated learning and differential privacy, the company can maintain competitive personalization capabilities while satisfying regulatory requirements. This paper outlines the technical foundations of neural networks, evaluates ethical implications, analyzes specific GDPR conflicts, and proposes concrete adaptations to achieve compliance without abandoning the business model entirely.</w:t>
      </w:r>
    </w:p>
    <w:p w14:paraId="74ED8A78" w14:textId="77777777" w:rsidR="00126A4A" w:rsidRPr="00126A4A" w:rsidRDefault="00126A4A" w:rsidP="00126A4A">
      <w:pPr>
        <w:spacing w:line="480" w:lineRule="auto"/>
        <w:rPr>
          <w:b/>
          <w:bCs/>
          <w:sz w:val="24"/>
          <w:szCs w:val="24"/>
        </w:rPr>
      </w:pPr>
      <w:r w:rsidRPr="00126A4A">
        <w:rPr>
          <w:b/>
          <w:bCs/>
          <w:sz w:val="24"/>
          <w:szCs w:val="24"/>
        </w:rPr>
        <w:t>Introduction</w:t>
      </w:r>
    </w:p>
    <w:p w14:paraId="57E60FEF" w14:textId="77777777" w:rsidR="00126A4A" w:rsidRPr="00126A4A" w:rsidRDefault="00126A4A" w:rsidP="00126A4A">
      <w:pPr>
        <w:spacing w:line="480" w:lineRule="auto"/>
        <w:rPr>
          <w:b/>
          <w:bCs/>
          <w:sz w:val="24"/>
          <w:szCs w:val="24"/>
        </w:rPr>
      </w:pPr>
    </w:p>
    <w:p w14:paraId="2FFE24DC" w14:textId="77777777" w:rsidR="00126A4A" w:rsidRPr="00126A4A" w:rsidRDefault="00126A4A" w:rsidP="00126A4A">
      <w:pPr>
        <w:spacing w:after="240" w:line="480" w:lineRule="auto"/>
        <w:rPr>
          <w:sz w:val="24"/>
          <w:szCs w:val="24"/>
        </w:rPr>
      </w:pPr>
      <w:r w:rsidRPr="00126A4A">
        <w:rPr>
          <w:sz w:val="24"/>
          <w:szCs w:val="24"/>
        </w:rPr>
        <w:t xml:space="preserve">Neural networks have become the backbone of modern personalization systems, enabling social media platforms to deliver highly targeted content and advertisements. These algorithms process vast quantities of user behavioral data, clicks, navigation patterns, time spent on pages, and location information, to predict user preferences with unprecedented accuracy. However, this data-intensive approach directly contradicts emerging regulatory </w:t>
      </w:r>
      <w:r w:rsidRPr="00126A4A">
        <w:rPr>
          <w:sz w:val="24"/>
          <w:szCs w:val="24"/>
        </w:rPr>
        <w:lastRenderedPageBreak/>
        <w:t>frameworks. The GDPR, which entered force in 2018, establishes seven core principles for lawful personal data processing. The company's current practice of collecting comprehensive user datasets and retaining them indefinitely for unspecified future personalization purposes violates at least four of these principles. This white paper provides the technical and legal foundation for transitioning the company toward GDPR-compliant personalization.</w:t>
      </w:r>
    </w:p>
    <w:p w14:paraId="43D8C804" w14:textId="77777777" w:rsidR="00126A4A" w:rsidRPr="00126A4A" w:rsidRDefault="00126A4A" w:rsidP="00126A4A">
      <w:pPr>
        <w:spacing w:line="480" w:lineRule="auto"/>
        <w:rPr>
          <w:b/>
          <w:bCs/>
          <w:sz w:val="24"/>
          <w:szCs w:val="24"/>
        </w:rPr>
      </w:pPr>
      <w:r w:rsidRPr="00126A4A">
        <w:rPr>
          <w:b/>
          <w:bCs/>
          <w:sz w:val="24"/>
          <w:szCs w:val="24"/>
        </w:rPr>
        <w:t>How Neural Networks Work: A Technical Foundation</w:t>
      </w:r>
    </w:p>
    <w:p w14:paraId="6E7E0EDA" w14:textId="77777777" w:rsidR="00126A4A" w:rsidRPr="00126A4A" w:rsidRDefault="00126A4A" w:rsidP="00126A4A">
      <w:pPr>
        <w:spacing w:line="480" w:lineRule="auto"/>
        <w:rPr>
          <w:b/>
          <w:bCs/>
          <w:sz w:val="24"/>
          <w:szCs w:val="24"/>
        </w:rPr>
      </w:pPr>
    </w:p>
    <w:p w14:paraId="750CB362" w14:textId="77777777" w:rsidR="00126A4A" w:rsidRPr="00126A4A" w:rsidRDefault="00126A4A" w:rsidP="00126A4A">
      <w:pPr>
        <w:spacing w:after="240" w:line="480" w:lineRule="auto"/>
        <w:rPr>
          <w:sz w:val="24"/>
          <w:szCs w:val="24"/>
        </w:rPr>
      </w:pPr>
      <w:r w:rsidRPr="00126A4A">
        <w:rPr>
          <w:sz w:val="24"/>
          <w:szCs w:val="24"/>
        </w:rPr>
        <w:t>Neural networks are computational models inspired by biological neural systems. They consist of interconnected nodes (neurons) organized into three primary layers: an input layer, one or more hidden layers, and an output layer (Goodfellow et al., 2016).</w:t>
      </w:r>
    </w:p>
    <w:p w14:paraId="034AAFEA" w14:textId="77777777" w:rsidR="00126A4A" w:rsidRPr="00126A4A" w:rsidRDefault="00126A4A" w:rsidP="00126A4A">
      <w:pPr>
        <w:spacing w:after="240" w:line="480" w:lineRule="auto"/>
        <w:rPr>
          <w:sz w:val="24"/>
          <w:szCs w:val="24"/>
        </w:rPr>
      </w:pPr>
      <w:r w:rsidRPr="00126A4A">
        <w:rPr>
          <w:sz w:val="24"/>
          <w:szCs w:val="24"/>
        </w:rPr>
        <w:t xml:space="preserve">The input layer receives raw data, in this context, user behavioral features such as click history, page dwell time, and browsing patterns. Each input is </w:t>
      </w:r>
      <w:proofErr w:type="gramStart"/>
      <w:r w:rsidRPr="00126A4A">
        <w:rPr>
          <w:sz w:val="24"/>
          <w:szCs w:val="24"/>
        </w:rPr>
        <w:t>assigned</w:t>
      </w:r>
      <w:proofErr w:type="gramEnd"/>
      <w:r w:rsidRPr="00126A4A">
        <w:rPr>
          <w:sz w:val="24"/>
          <w:szCs w:val="24"/>
        </w:rPr>
        <w:t xml:space="preserve"> a numerical value and fed into the hidden layers. Hidden layers perform mathematical transformations on the inputs through weighted connections and nonlinear activation functions. These layers identify complex patterns in the data, such as correlations between user behaviors and content preferences. The weights on connections are adjusted iteratively during training, allowing the network to learn representations of the data.</w:t>
      </w:r>
    </w:p>
    <w:p w14:paraId="634B5A7B" w14:textId="77777777" w:rsidR="00126A4A" w:rsidRPr="00126A4A" w:rsidRDefault="00126A4A" w:rsidP="00126A4A">
      <w:pPr>
        <w:spacing w:after="240" w:line="480" w:lineRule="auto"/>
        <w:rPr>
          <w:sz w:val="24"/>
          <w:szCs w:val="24"/>
        </w:rPr>
      </w:pPr>
      <w:r w:rsidRPr="00126A4A">
        <w:rPr>
          <w:sz w:val="24"/>
          <w:szCs w:val="24"/>
        </w:rPr>
        <w:t>The output layer produces the final prediction, in a personalization system, this might be a probability score indicating how likely a user is to engage with specific content or advertisements. A user who frequently reads technology articles might receive a high engagement score for tech-related posts, resulting in prioritized feeds and targeted ads.</w:t>
      </w:r>
    </w:p>
    <w:p w14:paraId="5CDAFC8C" w14:textId="77777777" w:rsidR="00126A4A" w:rsidRPr="00126A4A" w:rsidRDefault="00126A4A" w:rsidP="00126A4A">
      <w:pPr>
        <w:spacing w:after="240" w:line="480" w:lineRule="auto"/>
        <w:rPr>
          <w:sz w:val="24"/>
          <w:szCs w:val="24"/>
        </w:rPr>
      </w:pPr>
      <w:r w:rsidRPr="00126A4A">
        <w:rPr>
          <w:sz w:val="24"/>
          <w:szCs w:val="24"/>
        </w:rPr>
        <w:t xml:space="preserve">The power of neural networks lies in their ability to learn non-linear relationships automatically without explicit programming. However, this strength also introduces the "black box" problem: the learned representations in hidden layers are often not interpretable </w:t>
      </w:r>
      <w:r w:rsidRPr="00126A4A">
        <w:rPr>
          <w:sz w:val="24"/>
          <w:szCs w:val="24"/>
        </w:rPr>
        <w:lastRenderedPageBreak/>
        <w:t>by humans. A network may successfully predict user behavior, but engineers cannot easily explain why a particular user was recommended a specific piece of content. This opacity has significant implications for regulatory compliance and user trust.</w:t>
      </w:r>
    </w:p>
    <w:p w14:paraId="58176BDD" w14:textId="77777777" w:rsidR="00126A4A" w:rsidRPr="00126A4A" w:rsidRDefault="00126A4A" w:rsidP="00126A4A">
      <w:pPr>
        <w:spacing w:line="480" w:lineRule="auto"/>
        <w:rPr>
          <w:sz w:val="24"/>
          <w:szCs w:val="24"/>
        </w:rPr>
      </w:pPr>
      <w:r w:rsidRPr="00126A4A">
        <w:rPr>
          <w:sz w:val="24"/>
          <w:szCs w:val="24"/>
        </w:rPr>
        <w:t>Neural Networks and Personalization: Opportunities and Ethical Concerns</w:t>
      </w:r>
    </w:p>
    <w:p w14:paraId="1591D16F" w14:textId="77777777" w:rsidR="00126A4A" w:rsidRPr="00126A4A" w:rsidRDefault="00126A4A" w:rsidP="00126A4A">
      <w:pPr>
        <w:spacing w:after="240" w:line="480" w:lineRule="auto"/>
        <w:rPr>
          <w:sz w:val="24"/>
          <w:szCs w:val="24"/>
        </w:rPr>
      </w:pPr>
      <w:r w:rsidRPr="00126A4A">
        <w:rPr>
          <w:sz w:val="24"/>
          <w:szCs w:val="24"/>
        </w:rPr>
        <w:t xml:space="preserve">The company's current implementation leverages neural networks to maximize engagement </w:t>
      </w:r>
      <w:proofErr w:type="gramStart"/>
      <w:r w:rsidRPr="00126A4A">
        <w:rPr>
          <w:sz w:val="24"/>
          <w:szCs w:val="24"/>
        </w:rPr>
        <w:t>metrics,</w:t>
      </w:r>
      <w:proofErr w:type="gramEnd"/>
      <w:r w:rsidRPr="00126A4A">
        <w:rPr>
          <w:sz w:val="24"/>
          <w:szCs w:val="24"/>
        </w:rPr>
        <w:t xml:space="preserve"> the primary objective is to increase the time users spend on the platform and the number of advertisements they click. This is achieved through continuous data collection and model retraining, creating a feedback loop that refines predictions over time.</w:t>
      </w:r>
    </w:p>
    <w:p w14:paraId="161C4221" w14:textId="77777777" w:rsidR="00126A4A" w:rsidRPr="00126A4A" w:rsidRDefault="00126A4A" w:rsidP="00126A4A">
      <w:pPr>
        <w:spacing w:after="240" w:line="480" w:lineRule="auto"/>
        <w:rPr>
          <w:sz w:val="24"/>
          <w:szCs w:val="24"/>
        </w:rPr>
      </w:pPr>
      <w:r w:rsidRPr="00126A4A">
        <w:rPr>
          <w:sz w:val="24"/>
          <w:szCs w:val="24"/>
        </w:rPr>
        <w:t>From a business perspective, this approach is effective. However, it raises several ethical concerns:</w:t>
      </w:r>
    </w:p>
    <w:p w14:paraId="5521A54F" w14:textId="77777777" w:rsidR="00126A4A" w:rsidRPr="00126A4A" w:rsidRDefault="00126A4A" w:rsidP="00126A4A">
      <w:pPr>
        <w:spacing w:after="240" w:line="480" w:lineRule="auto"/>
        <w:rPr>
          <w:sz w:val="24"/>
          <w:szCs w:val="24"/>
        </w:rPr>
      </w:pPr>
      <w:r w:rsidRPr="00126A4A">
        <w:rPr>
          <w:sz w:val="24"/>
          <w:szCs w:val="24"/>
        </w:rPr>
        <w:t>First, the black-box nature of neural networks creates hidden biases. If training data reflects historical inequities, for example, if certain demographic groups are systematically underrepresented in the training set or if user data contains proxy variables for protected characteristics, the resulting model will amplify these biases. Users from underrepresented groups may receive systematically lower-quality recommendations, while the company has no transparent means to explain or correct this bias (Barocas &amp; Selbst, 2016). Regulatory bodies increasingly view algorithmic bias as a compliance risk, not merely a fairness issue.</w:t>
      </w:r>
    </w:p>
    <w:p w14:paraId="49B990B7" w14:textId="77777777" w:rsidR="00126A4A" w:rsidRDefault="00126A4A" w:rsidP="00126A4A">
      <w:pPr>
        <w:spacing w:after="240" w:line="480" w:lineRule="auto"/>
        <w:rPr>
          <w:sz w:val="24"/>
          <w:szCs w:val="24"/>
        </w:rPr>
      </w:pPr>
      <w:r w:rsidRPr="00126A4A">
        <w:rPr>
          <w:sz w:val="24"/>
          <w:szCs w:val="24"/>
        </w:rPr>
        <w:t>Second, personalization systems can inadvertently facilitate manipulation. When algorithms are optimized primarily for engagement metrics rather than user welfare, they may recommend sensationalized or divisive content that captures attention but harms users. The lack of transparency means users cannot make informed choices about algorithm-driven recommendations.</w:t>
      </w:r>
    </w:p>
    <w:p w14:paraId="6632DFC7" w14:textId="5548177A" w:rsidR="00126A4A" w:rsidRPr="00126A4A" w:rsidRDefault="00126A4A" w:rsidP="00126A4A">
      <w:pPr>
        <w:spacing w:after="240" w:line="480" w:lineRule="auto"/>
        <w:rPr>
          <w:sz w:val="24"/>
          <w:szCs w:val="24"/>
        </w:rPr>
      </w:pPr>
      <w:r w:rsidRPr="00126A4A">
        <w:rPr>
          <w:sz w:val="24"/>
          <w:szCs w:val="24"/>
        </w:rPr>
        <w:lastRenderedPageBreak/>
        <w:t>Third, comprehensive data collection creates privacy risks. The more data collected, the greater the surface area for breaches, and the more severe the potential harm if that data is misused. Centralized data storage of user behavioral profiles is an attractive target for both external attackers and internal misuse.</w:t>
      </w:r>
    </w:p>
    <w:p w14:paraId="48BFC0BD" w14:textId="77777777" w:rsidR="00126A4A" w:rsidRPr="00126A4A" w:rsidRDefault="00126A4A" w:rsidP="00126A4A">
      <w:pPr>
        <w:spacing w:line="480" w:lineRule="auto"/>
        <w:rPr>
          <w:b/>
          <w:bCs/>
          <w:sz w:val="24"/>
          <w:szCs w:val="24"/>
        </w:rPr>
      </w:pPr>
      <w:r w:rsidRPr="00126A4A">
        <w:rPr>
          <w:b/>
          <w:bCs/>
          <w:sz w:val="24"/>
          <w:szCs w:val="24"/>
        </w:rPr>
        <w:t>GDPR and Personalization: Analyzing Legal Conflicts</w:t>
      </w:r>
    </w:p>
    <w:p w14:paraId="7F51FEA1" w14:textId="77777777" w:rsidR="00126A4A" w:rsidRPr="00126A4A" w:rsidRDefault="00126A4A" w:rsidP="00126A4A">
      <w:pPr>
        <w:spacing w:line="480" w:lineRule="auto"/>
        <w:rPr>
          <w:b/>
          <w:bCs/>
          <w:sz w:val="24"/>
          <w:szCs w:val="24"/>
        </w:rPr>
      </w:pPr>
    </w:p>
    <w:p w14:paraId="1592E69C" w14:textId="0154CE9A" w:rsidR="00126A4A" w:rsidRPr="00126A4A" w:rsidRDefault="00126A4A" w:rsidP="00126A4A">
      <w:pPr>
        <w:spacing w:after="240" w:line="480" w:lineRule="auto"/>
        <w:rPr>
          <w:sz w:val="24"/>
          <w:szCs w:val="24"/>
        </w:rPr>
      </w:pPr>
      <w:r w:rsidRPr="00126A4A">
        <w:rPr>
          <w:sz w:val="24"/>
          <w:szCs w:val="24"/>
        </w:rPr>
        <w:t>The GDPR establishes seven core principles for lawful data processing. Four of these directly conflict with the company's current personalization practices:</w:t>
      </w:r>
    </w:p>
    <w:p w14:paraId="3FA599E8" w14:textId="77777777" w:rsidR="00126A4A" w:rsidRPr="00126A4A" w:rsidRDefault="00126A4A" w:rsidP="00126A4A">
      <w:pPr>
        <w:spacing w:after="240" w:line="480" w:lineRule="auto"/>
        <w:rPr>
          <w:sz w:val="24"/>
          <w:szCs w:val="24"/>
        </w:rPr>
      </w:pPr>
      <w:r w:rsidRPr="00126A4A">
        <w:rPr>
          <w:sz w:val="24"/>
          <w:szCs w:val="24"/>
        </w:rPr>
        <w:t>The remaining three principles, accuracy, confidentiality, and accountability, are less problematic but still require attention. Accuracy (Article 5(1)(d)) requires that personal data be kept up-to-date; the company's periodic model retraining supports this. Confidentiality (Article 5(1)(f)) and Accountability (Article 5(2)) require security measures and documentation of compliance efforts, which can be addressed through technical and organizational safeguards.</w:t>
      </w:r>
    </w:p>
    <w:p w14:paraId="4F0E2BB4" w14:textId="77777777" w:rsidR="00126A4A" w:rsidRPr="00126A4A" w:rsidRDefault="00126A4A" w:rsidP="00126A4A">
      <w:pPr>
        <w:spacing w:line="480" w:lineRule="auto"/>
        <w:rPr>
          <w:b/>
          <w:bCs/>
          <w:sz w:val="24"/>
          <w:szCs w:val="24"/>
        </w:rPr>
      </w:pPr>
      <w:r w:rsidRPr="00126A4A">
        <w:rPr>
          <w:b/>
          <w:bCs/>
          <w:sz w:val="24"/>
          <w:szCs w:val="24"/>
        </w:rPr>
        <w:t>Legal Exposure and Business Impact</w:t>
      </w:r>
    </w:p>
    <w:p w14:paraId="6DAF6ABC" w14:textId="77777777" w:rsidR="00126A4A" w:rsidRPr="00126A4A" w:rsidRDefault="00126A4A" w:rsidP="00126A4A">
      <w:pPr>
        <w:spacing w:line="480" w:lineRule="auto"/>
        <w:rPr>
          <w:b/>
          <w:bCs/>
          <w:sz w:val="24"/>
          <w:szCs w:val="24"/>
        </w:rPr>
      </w:pPr>
    </w:p>
    <w:p w14:paraId="7D9EA009" w14:textId="77777777" w:rsidR="00126A4A" w:rsidRPr="00126A4A" w:rsidRDefault="00126A4A" w:rsidP="00126A4A">
      <w:pPr>
        <w:spacing w:after="240" w:line="480" w:lineRule="auto"/>
        <w:rPr>
          <w:sz w:val="24"/>
          <w:szCs w:val="24"/>
        </w:rPr>
      </w:pPr>
      <w:r w:rsidRPr="00126A4A">
        <w:rPr>
          <w:sz w:val="24"/>
          <w:szCs w:val="24"/>
        </w:rPr>
        <w:t>The regulatory exposure from GDPR non-compliance is substantial. The GDPR imposes sanctions up to €20 million or 4% of annual global turnover for the most severe violations, precisely those involving data minimization and purpose limitation (Article 83(5)(a)). For a major social media company, 4% of global revenue represents billions of dollars in potential fines.</w:t>
      </w:r>
    </w:p>
    <w:p w14:paraId="496E6F48" w14:textId="77777777" w:rsidR="00126A4A" w:rsidRPr="00126A4A" w:rsidRDefault="00126A4A" w:rsidP="00126A4A">
      <w:pPr>
        <w:spacing w:after="240" w:line="480" w:lineRule="auto"/>
        <w:rPr>
          <w:sz w:val="24"/>
          <w:szCs w:val="24"/>
        </w:rPr>
      </w:pPr>
      <w:r w:rsidRPr="00126A4A">
        <w:rPr>
          <w:sz w:val="24"/>
          <w:szCs w:val="24"/>
        </w:rPr>
        <w:t xml:space="preserve">Beyond financial penalties, regulatory enforcement includes data processing orders, restricted collection practices, and reputational damage. The EU's data protection authorities have demonstrated willingness to enforce these penalties; Meta received a €390 million fine in </w:t>
      </w:r>
      <w:r w:rsidRPr="00126A4A">
        <w:rPr>
          <w:sz w:val="24"/>
          <w:szCs w:val="24"/>
        </w:rPr>
        <w:lastRenderedPageBreak/>
        <w:t>2021 for cookie handling practices and a €17 million fine in 2022 for password security failures, both related to GDPR compliance.</w:t>
      </w:r>
    </w:p>
    <w:p w14:paraId="2CAFFA4B" w14:textId="77777777" w:rsidR="00126A4A" w:rsidRPr="00126A4A" w:rsidRDefault="00126A4A" w:rsidP="00126A4A">
      <w:pPr>
        <w:spacing w:after="240" w:line="480" w:lineRule="auto"/>
        <w:rPr>
          <w:sz w:val="24"/>
          <w:szCs w:val="24"/>
        </w:rPr>
      </w:pPr>
      <w:r w:rsidRPr="00126A4A">
        <w:rPr>
          <w:sz w:val="24"/>
          <w:szCs w:val="24"/>
        </w:rPr>
        <w:t xml:space="preserve">A critical question: Can the company abandon data-intensive personalization? In theory, yes. However, the sales team's competitive advantage, a click-through rate double that of competitors, is directly attributable to neural networks trained </w:t>
      </w:r>
      <w:proofErr w:type="gramStart"/>
      <w:r w:rsidRPr="00126A4A">
        <w:rPr>
          <w:sz w:val="24"/>
          <w:szCs w:val="24"/>
        </w:rPr>
        <w:t>on</w:t>
      </w:r>
      <w:proofErr w:type="gramEnd"/>
      <w:r w:rsidRPr="00126A4A">
        <w:rPr>
          <w:sz w:val="24"/>
          <w:szCs w:val="24"/>
        </w:rPr>
        <w:t xml:space="preserve"> comprehensive user datasets. A shift to minimal-data personalization would likely reduce this advantage. This creates a genuine tension: compliance requires collecting less data, but business success appears to require collecting more. The solution lies not in choosing between these but in implementing privacy-preserving techniques that enable reasonable personalization with minimal privacy risk.</w:t>
      </w:r>
    </w:p>
    <w:p w14:paraId="7621E09E" w14:textId="77777777" w:rsidR="00126A4A" w:rsidRPr="00126A4A" w:rsidRDefault="00126A4A" w:rsidP="00126A4A">
      <w:pPr>
        <w:spacing w:line="480" w:lineRule="auto"/>
        <w:rPr>
          <w:b/>
          <w:bCs/>
          <w:sz w:val="24"/>
          <w:szCs w:val="24"/>
        </w:rPr>
      </w:pPr>
      <w:r w:rsidRPr="00126A4A">
        <w:rPr>
          <w:b/>
          <w:bCs/>
          <w:sz w:val="24"/>
          <w:szCs w:val="24"/>
        </w:rPr>
        <w:t>Privacy-Preserving Machine Learning: Current Best Practices</w:t>
      </w:r>
    </w:p>
    <w:p w14:paraId="0CB2F148" w14:textId="77777777" w:rsidR="00126A4A" w:rsidRPr="00126A4A" w:rsidRDefault="00126A4A" w:rsidP="00126A4A">
      <w:pPr>
        <w:spacing w:line="480" w:lineRule="auto"/>
        <w:rPr>
          <w:b/>
          <w:bCs/>
          <w:sz w:val="24"/>
          <w:szCs w:val="24"/>
        </w:rPr>
      </w:pPr>
    </w:p>
    <w:p w14:paraId="75D2CCDA" w14:textId="2D86A7B0" w:rsidR="00126A4A" w:rsidRPr="00126A4A" w:rsidRDefault="00126A4A" w:rsidP="00126A4A">
      <w:pPr>
        <w:spacing w:after="240" w:line="480" w:lineRule="auto"/>
        <w:rPr>
          <w:sz w:val="24"/>
          <w:szCs w:val="24"/>
        </w:rPr>
      </w:pPr>
      <w:r w:rsidRPr="00126A4A">
        <w:rPr>
          <w:sz w:val="24"/>
          <w:szCs w:val="24"/>
        </w:rPr>
        <w:t>Emerging techniques allow organizations to train effective machine learning models while satisfying GDPR requirements. The two most promising approaches for this company are:</w:t>
      </w:r>
    </w:p>
    <w:p w14:paraId="3309AE26" w14:textId="77777777" w:rsidR="00126A4A" w:rsidRPr="00126A4A" w:rsidRDefault="00126A4A" w:rsidP="00126A4A">
      <w:pPr>
        <w:spacing w:after="240" w:line="480" w:lineRule="auto"/>
        <w:rPr>
          <w:sz w:val="24"/>
          <w:szCs w:val="24"/>
        </w:rPr>
      </w:pPr>
      <w:r w:rsidRPr="00126A4A">
        <w:rPr>
          <w:sz w:val="24"/>
          <w:szCs w:val="24"/>
        </w:rPr>
        <w:t>The combination of federated learning and differential privacy provides an attractive technical solution for compliance with GDPR. From a legal perspective, the combination provides enough built-in security measures to satisfy data protection requirements, and from a technical perspective, the combination provides secure systems with performance comparable to centralized machine learning applications. Differential privacy guarantees satisfy GDPR Article 25 provisions for data protection by design.</w:t>
      </w:r>
    </w:p>
    <w:p w14:paraId="3926C48C" w14:textId="21DBD831" w:rsidR="00126A4A" w:rsidRPr="00126A4A" w:rsidRDefault="00126A4A" w:rsidP="00126A4A">
      <w:pPr>
        <w:spacing w:line="480" w:lineRule="auto"/>
        <w:rPr>
          <w:b/>
          <w:bCs/>
          <w:sz w:val="24"/>
          <w:szCs w:val="24"/>
        </w:rPr>
      </w:pPr>
      <w:r w:rsidRPr="00126A4A">
        <w:rPr>
          <w:b/>
          <w:bCs/>
          <w:sz w:val="24"/>
          <w:szCs w:val="24"/>
        </w:rPr>
        <w:t>Proposed Adaptations for GDPR Compliance</w:t>
      </w:r>
    </w:p>
    <w:p w14:paraId="1633F409" w14:textId="2CCC5AEC" w:rsidR="00126A4A" w:rsidRPr="00126A4A" w:rsidRDefault="00126A4A" w:rsidP="00126A4A">
      <w:pPr>
        <w:spacing w:after="240" w:line="480" w:lineRule="auto"/>
        <w:rPr>
          <w:sz w:val="24"/>
          <w:szCs w:val="24"/>
        </w:rPr>
      </w:pPr>
      <w:r w:rsidRPr="00126A4A">
        <w:rPr>
          <w:sz w:val="24"/>
          <w:szCs w:val="24"/>
        </w:rPr>
        <w:t>The company should implement the following changes:</w:t>
      </w:r>
    </w:p>
    <w:p w14:paraId="6225CBCB" w14:textId="77777777" w:rsidR="00126A4A" w:rsidRPr="00126A4A" w:rsidRDefault="00126A4A" w:rsidP="00126A4A">
      <w:pPr>
        <w:spacing w:after="240" w:line="480" w:lineRule="auto"/>
        <w:rPr>
          <w:sz w:val="24"/>
          <w:szCs w:val="24"/>
        </w:rPr>
      </w:pPr>
      <w:r w:rsidRPr="00126A4A">
        <w:rPr>
          <w:sz w:val="24"/>
          <w:szCs w:val="24"/>
        </w:rPr>
        <w:lastRenderedPageBreak/>
        <w:t>These changes will reduce the amount and sensitivity of data collected, lower the company’s regulatory risk, and address user privacy concerns. Personalization capability will decrease marginally, models trained on federated, noise-infused data will be somewhat less accurate than those trained on comprehensive centralized datasets. However, the competing commercial and legal risks justify this trade-off.</w:t>
      </w:r>
    </w:p>
    <w:p w14:paraId="53B5A85E" w14:textId="0A019932" w:rsidR="00126A4A" w:rsidRPr="00126A4A" w:rsidRDefault="00126A4A" w:rsidP="00126A4A">
      <w:pPr>
        <w:spacing w:line="480" w:lineRule="auto"/>
        <w:rPr>
          <w:b/>
          <w:bCs/>
          <w:sz w:val="24"/>
          <w:szCs w:val="24"/>
        </w:rPr>
      </w:pPr>
      <w:r w:rsidRPr="00126A4A">
        <w:rPr>
          <w:b/>
          <w:bCs/>
          <w:sz w:val="24"/>
          <w:szCs w:val="24"/>
        </w:rPr>
        <w:t>Defending Existing Practices: Where Compliance Aligns with Current Operations</w:t>
      </w:r>
    </w:p>
    <w:p w14:paraId="42FAE755" w14:textId="77777777" w:rsidR="00126A4A" w:rsidRDefault="00126A4A" w:rsidP="00126A4A">
      <w:pPr>
        <w:spacing w:after="240" w:line="480" w:lineRule="auto"/>
        <w:rPr>
          <w:sz w:val="24"/>
          <w:szCs w:val="24"/>
        </w:rPr>
      </w:pPr>
      <w:r w:rsidRPr="00126A4A">
        <w:rPr>
          <w:sz w:val="24"/>
          <w:szCs w:val="24"/>
        </w:rPr>
        <w:t>Several existing practices require minimal change:</w:t>
      </w:r>
    </w:p>
    <w:p w14:paraId="236627D7" w14:textId="235D07A4" w:rsidR="00126A4A" w:rsidRPr="00126A4A" w:rsidRDefault="00126A4A" w:rsidP="00126A4A">
      <w:pPr>
        <w:spacing w:after="240" w:line="480" w:lineRule="auto"/>
        <w:rPr>
          <w:sz w:val="24"/>
          <w:szCs w:val="24"/>
        </w:rPr>
      </w:pPr>
      <w:r w:rsidRPr="00126A4A">
        <w:rPr>
          <w:sz w:val="24"/>
          <w:szCs w:val="24"/>
        </w:rPr>
        <w:t>The company's periodic model retraining supports GDPR accuracy requirements. Ensuring that recommendation models are updated to reflect current user preferences is aligned with the requirement that personal data be kept "accurate and kept up to date."</w:t>
      </w:r>
    </w:p>
    <w:p w14:paraId="2113330E" w14:textId="77777777" w:rsidR="00126A4A" w:rsidRPr="00126A4A" w:rsidRDefault="00126A4A" w:rsidP="00126A4A">
      <w:pPr>
        <w:spacing w:after="240" w:line="480" w:lineRule="auto"/>
        <w:rPr>
          <w:sz w:val="24"/>
          <w:szCs w:val="24"/>
        </w:rPr>
      </w:pPr>
      <w:r w:rsidRPr="00126A4A">
        <w:rPr>
          <w:sz w:val="24"/>
          <w:szCs w:val="24"/>
        </w:rPr>
        <w:t>The company's existing security infrastructure, encryption, access controls, audit logging, satisfies confidentiality and accountability principles. These measures should be maintained and enhanced where privacy-preserving techniques introduce new computational vulnerabilities.</w:t>
      </w:r>
    </w:p>
    <w:p w14:paraId="789A72A7" w14:textId="77777777" w:rsidR="00126A4A" w:rsidRPr="00126A4A" w:rsidRDefault="00126A4A" w:rsidP="00126A4A">
      <w:pPr>
        <w:spacing w:after="240" w:line="480" w:lineRule="auto"/>
        <w:rPr>
          <w:sz w:val="24"/>
          <w:szCs w:val="24"/>
        </w:rPr>
      </w:pPr>
      <w:r w:rsidRPr="00126A4A">
        <w:rPr>
          <w:sz w:val="24"/>
          <w:szCs w:val="24"/>
        </w:rPr>
        <w:t>The company's documented business purposes, if properly scoped and updated, can satisfy purpose limitation requirements. The company can continue to monetize personalization and targeted advertising, provided these purposes are explicitly stated, documented, and communicated to users. The practice of targeted advertising itself is not prohibited by GDPR; it is the lack of transparency and consent that creates compliance risk.</w:t>
      </w:r>
    </w:p>
    <w:p w14:paraId="582D7750" w14:textId="77777777" w:rsidR="00126A4A" w:rsidRPr="00126A4A" w:rsidRDefault="00126A4A" w:rsidP="00126A4A">
      <w:pPr>
        <w:spacing w:line="480" w:lineRule="auto"/>
        <w:rPr>
          <w:b/>
          <w:bCs/>
          <w:sz w:val="24"/>
          <w:szCs w:val="24"/>
        </w:rPr>
      </w:pPr>
      <w:r w:rsidRPr="00126A4A">
        <w:rPr>
          <w:b/>
          <w:bCs/>
          <w:sz w:val="24"/>
          <w:szCs w:val="24"/>
        </w:rPr>
        <w:t>Conclusion</w:t>
      </w:r>
    </w:p>
    <w:p w14:paraId="634721A2" w14:textId="77777777" w:rsidR="00126A4A" w:rsidRPr="00126A4A" w:rsidRDefault="00126A4A" w:rsidP="00126A4A">
      <w:pPr>
        <w:spacing w:after="240" w:line="480" w:lineRule="auto"/>
        <w:rPr>
          <w:sz w:val="24"/>
          <w:szCs w:val="24"/>
        </w:rPr>
      </w:pPr>
      <w:r w:rsidRPr="00126A4A">
        <w:rPr>
          <w:sz w:val="24"/>
          <w:szCs w:val="24"/>
        </w:rPr>
        <w:t xml:space="preserve">The company's current use of neural networks for personalization violates multiple GDPR principles and exposes the company to substantial regulatory and financial risk. However, the business model is not fundamentally incompatible with GDPR. By adopting federated </w:t>
      </w:r>
      <w:r w:rsidRPr="00126A4A">
        <w:rPr>
          <w:sz w:val="24"/>
          <w:szCs w:val="24"/>
        </w:rPr>
        <w:lastRenderedPageBreak/>
        <w:t>learning and differential privacy, implementing strict data minimization, defining explicit purposes, and establishing appropriate retention policies, the company can maintain effective personalization capabilities while achieving compliance.</w:t>
      </w:r>
    </w:p>
    <w:p w14:paraId="3AE2416F" w14:textId="77777777" w:rsidR="00126A4A" w:rsidRDefault="00126A4A" w:rsidP="00126A4A">
      <w:pPr>
        <w:spacing w:after="240" w:line="480" w:lineRule="auto"/>
        <w:rPr>
          <w:sz w:val="24"/>
          <w:szCs w:val="24"/>
        </w:rPr>
      </w:pPr>
      <w:r w:rsidRPr="00126A4A">
        <w:rPr>
          <w:sz w:val="24"/>
          <w:szCs w:val="24"/>
        </w:rPr>
        <w:t>The transition will require significant engineering investment and modest reductions in personalization accuracy. However, the alternative, continued non-compliance, carries existential regulatory risk. Industry precedent from Apple and Google demonstrates that federated learning and differential privacy are operationally feasible at scale. The company should begin this transition immediately to mitigate regulatory exposure and demonstrate good-faith compliance efforts to regulators.</w:t>
      </w:r>
    </w:p>
    <w:p w14:paraId="6E6748D0" w14:textId="77777777" w:rsidR="00126A4A" w:rsidRPr="00126A4A" w:rsidRDefault="00126A4A" w:rsidP="00126A4A">
      <w:pPr>
        <w:spacing w:after="240" w:line="480" w:lineRule="auto"/>
        <w:rPr>
          <w:sz w:val="24"/>
          <w:szCs w:val="24"/>
        </w:rPr>
      </w:pPr>
    </w:p>
    <w:p w14:paraId="168BD7B2" w14:textId="0B613F76" w:rsidR="00126A4A" w:rsidRPr="00126A4A" w:rsidRDefault="00126A4A" w:rsidP="00126A4A">
      <w:pPr>
        <w:spacing w:line="480" w:lineRule="auto"/>
        <w:rPr>
          <w:b/>
          <w:bCs/>
          <w:sz w:val="24"/>
          <w:szCs w:val="24"/>
        </w:rPr>
      </w:pPr>
      <w:r w:rsidRPr="00126A4A">
        <w:rPr>
          <w:b/>
          <w:bCs/>
          <w:sz w:val="24"/>
          <w:szCs w:val="24"/>
        </w:rPr>
        <w:t>References</w:t>
      </w:r>
    </w:p>
    <w:p w14:paraId="0DDE88C8" w14:textId="77777777" w:rsidR="00126A4A" w:rsidRPr="00126A4A" w:rsidRDefault="00126A4A" w:rsidP="00126A4A">
      <w:pPr>
        <w:spacing w:after="120" w:line="480" w:lineRule="auto"/>
        <w:rPr>
          <w:sz w:val="24"/>
          <w:szCs w:val="24"/>
        </w:rPr>
      </w:pPr>
      <w:r w:rsidRPr="00126A4A">
        <w:rPr>
          <w:sz w:val="24"/>
          <w:szCs w:val="24"/>
        </w:rPr>
        <w:t>Barocas, S., &amp; Selbst, A. D. (2016). Big data's disparate impact. California Law Review, 104, 671–732.</w:t>
      </w:r>
    </w:p>
    <w:p w14:paraId="2D320E37" w14:textId="77777777" w:rsidR="00126A4A" w:rsidRPr="00126A4A" w:rsidRDefault="00126A4A" w:rsidP="00126A4A">
      <w:pPr>
        <w:spacing w:after="120" w:line="480" w:lineRule="auto"/>
        <w:rPr>
          <w:sz w:val="24"/>
          <w:szCs w:val="24"/>
        </w:rPr>
      </w:pPr>
      <w:r w:rsidRPr="00126A4A">
        <w:rPr>
          <w:sz w:val="24"/>
          <w:szCs w:val="24"/>
          <w:lang w:val="nl-NL"/>
        </w:rPr>
        <w:t xml:space="preserve">Bonawitz, K., Eichner, H., Grieskamp, W., et al. </w:t>
      </w:r>
      <w:r w:rsidRPr="00126A4A">
        <w:rPr>
          <w:sz w:val="24"/>
          <w:szCs w:val="24"/>
        </w:rPr>
        <w:t xml:space="preserve">(2019). Towards federated learning at scale: System design. In Proceedings of the 2019 </w:t>
      </w:r>
      <w:proofErr w:type="spellStart"/>
      <w:r w:rsidRPr="00126A4A">
        <w:rPr>
          <w:sz w:val="24"/>
          <w:szCs w:val="24"/>
        </w:rPr>
        <w:t>SysML</w:t>
      </w:r>
      <w:proofErr w:type="spellEnd"/>
      <w:r w:rsidRPr="00126A4A">
        <w:rPr>
          <w:sz w:val="24"/>
          <w:szCs w:val="24"/>
        </w:rPr>
        <w:t xml:space="preserve"> Conference.</w:t>
      </w:r>
    </w:p>
    <w:p w14:paraId="7458183D" w14:textId="77777777" w:rsidR="00126A4A" w:rsidRPr="00126A4A" w:rsidRDefault="00126A4A" w:rsidP="00126A4A">
      <w:pPr>
        <w:spacing w:after="120" w:line="480" w:lineRule="auto"/>
        <w:rPr>
          <w:sz w:val="24"/>
          <w:szCs w:val="24"/>
        </w:rPr>
      </w:pPr>
      <w:r w:rsidRPr="00126A4A">
        <w:rPr>
          <w:sz w:val="24"/>
          <w:szCs w:val="24"/>
        </w:rPr>
        <w:t>European Commission. (2021). Data protection in the context of artificial intelligence. EDPB Guidelines, 04/2020.</w:t>
      </w:r>
    </w:p>
    <w:p w14:paraId="72A6C834" w14:textId="77777777" w:rsidR="00126A4A" w:rsidRPr="00126A4A" w:rsidRDefault="00126A4A" w:rsidP="00126A4A">
      <w:pPr>
        <w:spacing w:after="120" w:line="480" w:lineRule="auto"/>
        <w:rPr>
          <w:sz w:val="24"/>
          <w:szCs w:val="24"/>
        </w:rPr>
      </w:pPr>
      <w:r w:rsidRPr="00126A4A">
        <w:rPr>
          <w:sz w:val="24"/>
          <w:szCs w:val="24"/>
        </w:rPr>
        <w:t>Finck, M., &amp; Biega, A. J. (2021). Reviving purpose limitation and data minimization in data-driven systems. Technology Regulation, 2021(004), 1–30.</w:t>
      </w:r>
    </w:p>
    <w:p w14:paraId="035B7066" w14:textId="77777777" w:rsidR="00126A4A" w:rsidRPr="00126A4A" w:rsidRDefault="00126A4A" w:rsidP="00126A4A">
      <w:pPr>
        <w:spacing w:after="120" w:line="480" w:lineRule="auto"/>
        <w:rPr>
          <w:sz w:val="24"/>
          <w:szCs w:val="24"/>
        </w:rPr>
      </w:pPr>
      <w:r w:rsidRPr="00126A4A">
        <w:rPr>
          <w:sz w:val="24"/>
          <w:szCs w:val="24"/>
        </w:rPr>
        <w:t>Goodfellow, I., Bengio, Y., &amp; Courville, A. (2016). Deep learning. MIT Press.</w:t>
      </w:r>
    </w:p>
    <w:p w14:paraId="68A44F4A" w14:textId="125E655F" w:rsidR="00126A4A" w:rsidRPr="00126A4A" w:rsidRDefault="00126A4A" w:rsidP="00795B6C">
      <w:pPr>
        <w:spacing w:after="120" w:line="480" w:lineRule="auto"/>
        <w:rPr>
          <w:sz w:val="24"/>
          <w:szCs w:val="24"/>
        </w:rPr>
      </w:pPr>
      <w:r w:rsidRPr="00126A4A">
        <w:rPr>
          <w:sz w:val="24"/>
          <w:szCs w:val="24"/>
        </w:rPr>
        <w:t>Veale, M., Van Dalen, B., &amp; Flyverbom, M. (2017). Should robots be accountable? Back to the future on accountability and new media. Philosophical &amp; Technological Research, 5(2), 1–20.</w:t>
      </w:r>
    </w:p>
    <w:sectPr w:rsidR="00126A4A" w:rsidRPr="00126A4A" w:rsidSect="00126A4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A4A"/>
    <w:rsid w:val="00126A4A"/>
    <w:rsid w:val="006B40EB"/>
    <w:rsid w:val="00795B6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3CBBF"/>
  <w15:chartTrackingRefBased/>
  <w15:docId w15:val="{C9E0E4AB-54E9-4086-A121-6991B1F15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A4A"/>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126A4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36"/>
      <w14:ligatures w14:val="standardContextual"/>
    </w:rPr>
  </w:style>
  <w:style w:type="paragraph" w:styleId="Heading2">
    <w:name w:val="heading 2"/>
    <w:basedOn w:val="Normal"/>
    <w:next w:val="Normal"/>
    <w:link w:val="Heading2Char"/>
    <w:uiPriority w:val="9"/>
    <w:semiHidden/>
    <w:unhideWhenUsed/>
    <w:qFormat/>
    <w:rsid w:val="00126A4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29"/>
      <w14:ligatures w14:val="standardContextual"/>
    </w:rPr>
  </w:style>
  <w:style w:type="paragraph" w:styleId="Heading3">
    <w:name w:val="heading 3"/>
    <w:basedOn w:val="Normal"/>
    <w:next w:val="Normal"/>
    <w:link w:val="Heading3Char"/>
    <w:uiPriority w:val="9"/>
    <w:semiHidden/>
    <w:unhideWhenUsed/>
    <w:qFormat/>
    <w:rsid w:val="00126A4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5"/>
      <w14:ligatures w14:val="standardContextual"/>
    </w:rPr>
  </w:style>
  <w:style w:type="paragraph" w:styleId="Heading4">
    <w:name w:val="heading 4"/>
    <w:basedOn w:val="Normal"/>
    <w:next w:val="Normal"/>
    <w:link w:val="Heading4Char"/>
    <w:uiPriority w:val="9"/>
    <w:semiHidden/>
    <w:unhideWhenUsed/>
    <w:qFormat/>
    <w:rsid w:val="00126A4A"/>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1"/>
      <w14:ligatures w14:val="standardContextual"/>
    </w:rPr>
  </w:style>
  <w:style w:type="paragraph" w:styleId="Heading5">
    <w:name w:val="heading 5"/>
    <w:basedOn w:val="Normal"/>
    <w:next w:val="Normal"/>
    <w:link w:val="Heading5Char"/>
    <w:uiPriority w:val="9"/>
    <w:semiHidden/>
    <w:unhideWhenUsed/>
    <w:qFormat/>
    <w:rsid w:val="00126A4A"/>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1"/>
      <w14:ligatures w14:val="standardContextual"/>
    </w:rPr>
  </w:style>
  <w:style w:type="paragraph" w:styleId="Heading6">
    <w:name w:val="heading 6"/>
    <w:basedOn w:val="Normal"/>
    <w:next w:val="Normal"/>
    <w:link w:val="Heading6Char"/>
    <w:uiPriority w:val="9"/>
    <w:semiHidden/>
    <w:unhideWhenUsed/>
    <w:qFormat/>
    <w:rsid w:val="00126A4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1"/>
      <w14:ligatures w14:val="standardContextual"/>
    </w:rPr>
  </w:style>
  <w:style w:type="paragraph" w:styleId="Heading7">
    <w:name w:val="heading 7"/>
    <w:basedOn w:val="Normal"/>
    <w:next w:val="Normal"/>
    <w:link w:val="Heading7Char"/>
    <w:uiPriority w:val="9"/>
    <w:semiHidden/>
    <w:unhideWhenUsed/>
    <w:qFormat/>
    <w:rsid w:val="00126A4A"/>
    <w:pPr>
      <w:keepNext/>
      <w:keepLines/>
      <w:spacing w:before="40" w:line="278" w:lineRule="auto"/>
      <w:outlineLvl w:val="6"/>
    </w:pPr>
    <w:rPr>
      <w:rFonts w:asciiTheme="minorHAnsi" w:eastAsiaTheme="majorEastAsia" w:hAnsiTheme="minorHAnsi" w:cstheme="majorBidi"/>
      <w:color w:val="595959" w:themeColor="text1" w:themeTint="A6"/>
      <w:kern w:val="2"/>
      <w:sz w:val="24"/>
      <w:szCs w:val="21"/>
      <w14:ligatures w14:val="standardContextual"/>
    </w:rPr>
  </w:style>
  <w:style w:type="paragraph" w:styleId="Heading8">
    <w:name w:val="heading 8"/>
    <w:basedOn w:val="Normal"/>
    <w:next w:val="Normal"/>
    <w:link w:val="Heading8Char"/>
    <w:uiPriority w:val="9"/>
    <w:semiHidden/>
    <w:unhideWhenUsed/>
    <w:qFormat/>
    <w:rsid w:val="00126A4A"/>
    <w:pPr>
      <w:keepNext/>
      <w:keepLines/>
      <w:spacing w:line="278" w:lineRule="auto"/>
      <w:outlineLvl w:val="7"/>
    </w:pPr>
    <w:rPr>
      <w:rFonts w:asciiTheme="minorHAnsi" w:eastAsiaTheme="majorEastAsia" w:hAnsiTheme="minorHAnsi" w:cstheme="majorBidi"/>
      <w:i/>
      <w:iCs/>
      <w:color w:val="272727" w:themeColor="text1" w:themeTint="D8"/>
      <w:kern w:val="2"/>
      <w:sz w:val="24"/>
      <w:szCs w:val="21"/>
      <w14:ligatures w14:val="standardContextual"/>
    </w:rPr>
  </w:style>
  <w:style w:type="paragraph" w:styleId="Heading9">
    <w:name w:val="heading 9"/>
    <w:basedOn w:val="Normal"/>
    <w:next w:val="Normal"/>
    <w:link w:val="Heading9Char"/>
    <w:uiPriority w:val="9"/>
    <w:semiHidden/>
    <w:unhideWhenUsed/>
    <w:qFormat/>
    <w:rsid w:val="00126A4A"/>
    <w:pPr>
      <w:keepNext/>
      <w:keepLines/>
      <w:spacing w:line="278" w:lineRule="auto"/>
      <w:outlineLvl w:val="8"/>
    </w:pPr>
    <w:rPr>
      <w:rFonts w:asciiTheme="minorHAnsi" w:eastAsiaTheme="majorEastAsia" w:hAnsiTheme="minorHAnsi" w:cstheme="majorBidi"/>
      <w:color w:val="272727" w:themeColor="text1" w:themeTint="D8"/>
      <w:kern w:val="2"/>
      <w:sz w:val="24"/>
      <w:szCs w:val="21"/>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A4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26A4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26A4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26A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A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A4A"/>
    <w:rPr>
      <w:rFonts w:eastAsiaTheme="majorEastAsia" w:cstheme="majorBidi"/>
      <w:color w:val="272727" w:themeColor="text1" w:themeTint="D8"/>
    </w:rPr>
  </w:style>
  <w:style w:type="paragraph" w:styleId="Title">
    <w:name w:val="Title"/>
    <w:basedOn w:val="Normal"/>
    <w:next w:val="Normal"/>
    <w:link w:val="TitleChar"/>
    <w:uiPriority w:val="10"/>
    <w:qFormat/>
    <w:rsid w:val="00126A4A"/>
    <w:pPr>
      <w:spacing w:after="80"/>
      <w:contextualSpacing/>
    </w:pPr>
    <w:rPr>
      <w:rFonts w:asciiTheme="majorHAnsi" w:eastAsiaTheme="majorEastAsia" w:hAnsiTheme="majorHAnsi" w:cstheme="majorBidi"/>
      <w:spacing w:val="-10"/>
      <w:kern w:val="28"/>
      <w:sz w:val="56"/>
      <w:szCs w:val="50"/>
      <w14:ligatures w14:val="standardContextual"/>
    </w:rPr>
  </w:style>
  <w:style w:type="character" w:customStyle="1" w:styleId="TitleChar">
    <w:name w:val="Title Char"/>
    <w:basedOn w:val="DefaultParagraphFont"/>
    <w:link w:val="Title"/>
    <w:uiPriority w:val="10"/>
    <w:rsid w:val="00126A4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26A4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5"/>
      <w14:ligatures w14:val="standardContextual"/>
    </w:rPr>
  </w:style>
  <w:style w:type="character" w:customStyle="1" w:styleId="SubtitleChar">
    <w:name w:val="Subtitle Char"/>
    <w:basedOn w:val="DefaultParagraphFont"/>
    <w:link w:val="Subtitle"/>
    <w:uiPriority w:val="11"/>
    <w:rsid w:val="00126A4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26A4A"/>
    <w:pPr>
      <w:spacing w:before="160" w:after="160" w:line="278" w:lineRule="auto"/>
      <w:jc w:val="center"/>
    </w:pPr>
    <w:rPr>
      <w:rFonts w:asciiTheme="minorHAnsi" w:eastAsiaTheme="minorHAnsi" w:hAnsiTheme="minorHAnsi" w:cstheme="minorBidi"/>
      <w:i/>
      <w:iCs/>
      <w:color w:val="404040" w:themeColor="text1" w:themeTint="BF"/>
      <w:kern w:val="2"/>
      <w:sz w:val="24"/>
      <w:szCs w:val="21"/>
      <w14:ligatures w14:val="standardContextual"/>
    </w:rPr>
  </w:style>
  <w:style w:type="character" w:customStyle="1" w:styleId="QuoteChar">
    <w:name w:val="Quote Char"/>
    <w:basedOn w:val="DefaultParagraphFont"/>
    <w:link w:val="Quote"/>
    <w:uiPriority w:val="29"/>
    <w:rsid w:val="00126A4A"/>
    <w:rPr>
      <w:i/>
      <w:iCs/>
      <w:color w:val="404040" w:themeColor="text1" w:themeTint="BF"/>
    </w:rPr>
  </w:style>
  <w:style w:type="paragraph" w:styleId="ListParagraph">
    <w:name w:val="List Paragraph"/>
    <w:basedOn w:val="Normal"/>
    <w:uiPriority w:val="34"/>
    <w:qFormat/>
    <w:rsid w:val="00126A4A"/>
    <w:pPr>
      <w:spacing w:after="160" w:line="278" w:lineRule="auto"/>
      <w:ind w:left="720"/>
      <w:contextualSpacing/>
    </w:pPr>
    <w:rPr>
      <w:rFonts w:asciiTheme="minorHAnsi" w:eastAsiaTheme="minorHAnsi" w:hAnsiTheme="minorHAnsi" w:cstheme="minorBidi"/>
      <w:kern w:val="2"/>
      <w:sz w:val="24"/>
      <w:szCs w:val="21"/>
      <w14:ligatures w14:val="standardContextual"/>
    </w:rPr>
  </w:style>
  <w:style w:type="character" w:styleId="IntenseEmphasis">
    <w:name w:val="Intense Emphasis"/>
    <w:basedOn w:val="DefaultParagraphFont"/>
    <w:uiPriority w:val="21"/>
    <w:qFormat/>
    <w:rsid w:val="00126A4A"/>
    <w:rPr>
      <w:i/>
      <w:iCs/>
      <w:color w:val="0F4761" w:themeColor="accent1" w:themeShade="BF"/>
    </w:rPr>
  </w:style>
  <w:style w:type="paragraph" w:styleId="IntenseQuote">
    <w:name w:val="Intense Quote"/>
    <w:basedOn w:val="Normal"/>
    <w:next w:val="Normal"/>
    <w:link w:val="IntenseQuoteChar"/>
    <w:uiPriority w:val="30"/>
    <w:qFormat/>
    <w:rsid w:val="00126A4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1"/>
      <w14:ligatures w14:val="standardContextual"/>
    </w:rPr>
  </w:style>
  <w:style w:type="character" w:customStyle="1" w:styleId="IntenseQuoteChar">
    <w:name w:val="Intense Quote Char"/>
    <w:basedOn w:val="DefaultParagraphFont"/>
    <w:link w:val="IntenseQuote"/>
    <w:uiPriority w:val="30"/>
    <w:rsid w:val="00126A4A"/>
    <w:rPr>
      <w:i/>
      <w:iCs/>
      <w:color w:val="0F4761" w:themeColor="accent1" w:themeShade="BF"/>
    </w:rPr>
  </w:style>
  <w:style w:type="character" w:styleId="IntenseReference">
    <w:name w:val="Intense Reference"/>
    <w:basedOn w:val="DefaultParagraphFont"/>
    <w:uiPriority w:val="32"/>
    <w:qFormat/>
    <w:rsid w:val="00126A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1765</Words>
  <Characters>10067</Characters>
  <Application>Microsoft Office Word</Application>
  <DocSecurity>0</DocSecurity>
  <Lines>83</Lines>
  <Paragraphs>23</Paragraphs>
  <ScaleCrop>false</ScaleCrop>
  <Company/>
  <LinksUpToDate>false</LinksUpToDate>
  <CharactersWithSpaces>11809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Jude Mensah</dc:creator>
  <cp:keywords/>
  <dc:description/>
  <cp:lastModifiedBy>Jude Mensah</cp:lastModifiedBy>
  <cp:revision>2</cp:revision>
  <dcterms:created xsi:type="dcterms:W3CDTF">2026-09-27T15:54:00Z</dcterms:created>
  <dcterms:modified xsi:type="dcterms:W3CDTF">2026-09-27T15:57:00Z</dcterms:modified>
</cp:coreProperties>
</file>