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Microsoft Copilot Studio</w:t>
      </w:r>
    </w:p>
    <w:p>
      <w:pPr>
        <w:pStyle w:val="Title"/>
      </w:pPr>
      <w:r>
        <w:t xml:space="preserve">Governance Framework</w:t>
      </w:r>
    </w:p>
    <w:p>
      <w:pPr>
        <w:spacing w:before="200"/>
        <w:jc w:val="center"/>
      </w:pPr>
      <w:r>
        <w:rPr>
          <w:color w:val="2E75B6"/>
          <w:sz w:val="40"/>
          <w:szCs w:val="40"/>
        </w:rPr>
        <w:t xml:space="preserve">for Financial Services</w:t>
      </w:r>
    </w:p>
    <w:p>
      <w:pPr>
        <w:spacing w:before="600"/>
        <w:jc w:val="center"/>
      </w:pPr>
      <w:r>
        <w:rPr>
          <w:b/>
          <w:bCs/>
          <w:sz w:val="28"/>
          <w:szCs w:val="28"/>
        </w:rPr>
        <w:t xml:space="preserve">COMPREHENSIVE GOVERNANCE GUIDE</w:t>
      </w:r>
    </w:p>
    <w:p>
      <w:pPr>
        <w:spacing w:before="100"/>
        <w:jc w:val="center"/>
      </w:pPr>
      <w:r>
        <w:rPr>
          <w:sz w:val="24"/>
          <w:szCs w:val="24"/>
        </w:rPr>
        <w:t xml:space="preserve">43 Controls Across 4 Pillars</w:t>
      </w:r>
    </w:p>
    <w:p>
      <w:pPr>
        <w:spacing w:before="800"/>
        <w:jc w:val="center"/>
      </w:pPr>
      <w:r>
        <w:rPr>
          <w:b/>
          <w:bCs/>
          <w:sz w:val="22"/>
          <w:szCs w:val="22"/>
        </w:rPr>
        <w:t xml:space="preserve">Document Version: 1.1</w:t>
      </w:r>
    </w:p>
    <w:p>
      <w:pPr>
        <w:jc w:val="center"/>
      </w:pPr>
      <w:r>
        <w:rPr>
          <w:sz w:val="22"/>
          <w:szCs w:val="22"/>
        </w:rPr>
        <w:t xml:space="preserve">December 2025</w:t>
      </w:r>
    </w:p>
    <w:p>
      <w:pPr>
        <w:spacing w:before="400"/>
        <w:jc w:val="center"/>
      </w:pPr>
      <w:r>
        <w:rPr>
          <w:i/>
          <w:iCs/>
          <w:sz w:val="20"/>
          <w:szCs w:val="20"/>
        </w:rPr>
        <w:t xml:space="preserve">Aligned with Microsoft Learn Documentation</w:t>
      </w:r>
    </w:p>
    <w:p>
      <w:pPr>
        <w:jc w:val="center"/>
      </w:pPr>
      <w:r>
        <w:rPr>
          <w:i/>
          <w:iCs/>
          <w:sz w:val="20"/>
          <w:szCs w:val="20"/>
        </w:rPr>
        <w:t xml:space="preserve">2025 Release Wave 1</w:t>
      </w:r>
    </w:p>
    <w:p>
      <w:r>
        <w:br w:type="page"/>
      </w:r>
    </w:p>
    <w:p>
      <w:pPr>
        <w:pStyle w:val="Heading1"/>
      </w:pPr>
      <w:r>
        <w:t xml:space="preserve">Document Control and Maintenance</w:t>
      </w:r>
    </w:p>
    <w:p>
      <w:pPr>
        <w:spacing w:after="200"/>
      </w:pPr>
      <w:r>
        <w:t xml:space="preserve">This framework is maintained as a living document to ensure alignment with evolving Microsoft platform capabilities, regulatory requirements, and organizational needs.</w:t>
      </w:r>
    </w:p>
    <w:p>
      <w:pPr>
        <w:pStyle w:val="Heading2"/>
      </w:pPr>
      <w:r>
        <w:t xml:space="preserve">Document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Pr>
          <w:p>
            <w:r>
              <w:rPr>
                <w:b/>
                <w:bCs/>
                <w:color w:val="FFFFFF"/>
              </w:rPr>
              <w:t xml:space="preserve">Field</w:t>
            </w:r>
          </w:p>
        </w:tc>
        <w:tc>
          <w:tcPr>
            <w:tcW w:type="dxa" w:w="5760"/>
            <w:tcBorders>
              <w:top w:val="single" w:color="CCCCCC" w:sz="1"/>
              <w:left w:val="single" w:color="CCCCCC" w:sz="1"/>
              <w:bottom w:val="single" w:color="CCCCCC" w:sz="1"/>
              <w:right w:val="single" w:color="CCCCCC" w:sz="1"/>
            </w:tcBorders>
            <w:shd w:fill="1F4E79" w:val="clear"/>
          </w:tcPr>
          <w:p>
            <w:r>
              <w:rPr>
                <w:b/>
                <w:bCs/>
                <w:color w:val="FFFFFF"/>
              </w:rPr>
              <w:t xml:space="preserve">Value</w:t>
            </w:r>
          </w:p>
        </w:tc>
      </w:tr>
      <w:tr>
        <w:tc>
          <w:tcPr>
            <w:tcW w:type="dxa" w:w="3600"/>
            <w:tcBorders>
              <w:top w:val="single" w:color="CCCCCC" w:sz="1"/>
              <w:left w:val="single" w:color="CCCCCC" w:sz="1"/>
              <w:bottom w:val="single" w:color="CCCCCC" w:sz="1"/>
              <w:right w:val="single" w:color="CCCCCC" w:sz="1"/>
            </w:tcBorders>
          </w:tcPr>
          <w:p>
            <w:r>
              <w:t xml:space="preserve">Document Title</w:t>
            </w:r>
          </w:p>
        </w:tc>
        <w:tc>
          <w:tcPr>
            <w:tcW w:type="dxa" w:w="5760"/>
            <w:tcBorders>
              <w:top w:val="single" w:color="CCCCCC" w:sz="1"/>
              <w:left w:val="single" w:color="CCCCCC" w:sz="1"/>
              <w:bottom w:val="single" w:color="CCCCCC" w:sz="1"/>
              <w:right w:val="single" w:color="CCCCCC" w:sz="1"/>
            </w:tcBorders>
          </w:tcPr>
          <w:p>
            <w:r>
              <w:t xml:space="preserve">FSI Agent Governance Framework for Microsoft Copilot Studio</w:t>
            </w:r>
          </w:p>
        </w:tc>
      </w:tr>
      <w:tr>
        <w:tc>
          <w:tcPr>
            <w:tcW w:type="dxa" w:w="3600"/>
            <w:tcBorders>
              <w:top w:val="single" w:color="CCCCCC" w:sz="1"/>
              <w:left w:val="single" w:color="CCCCCC" w:sz="1"/>
              <w:bottom w:val="single" w:color="CCCCCC" w:sz="1"/>
              <w:right w:val="single" w:color="CCCCCC" w:sz="1"/>
            </w:tcBorders>
            <w:shd w:fill="F2F2F2" w:val="clear"/>
          </w:tcPr>
          <w:p>
            <w:r>
              <w:t xml:space="preserve">Version</w:t>
            </w:r>
          </w:p>
        </w:tc>
        <w:tc>
          <w:tcPr>
            <w:tcW w:type="dxa" w:w="5760"/>
            <w:tcBorders>
              <w:top w:val="single" w:color="CCCCCC" w:sz="1"/>
              <w:left w:val="single" w:color="CCCCCC" w:sz="1"/>
              <w:bottom w:val="single" w:color="CCCCCC" w:sz="1"/>
              <w:right w:val="single" w:color="CCCCCC" w:sz="1"/>
            </w:tcBorders>
            <w:shd w:fill="F2F2F2" w:val="clear"/>
          </w:tcPr>
          <w:p>
            <w:r>
              <w:t xml:space="preserve">1.1</w:t>
            </w:r>
          </w:p>
        </w:tc>
      </w:tr>
      <w:tr>
        <w:tc>
          <w:tcPr>
            <w:tcW w:type="dxa" w:w="3600"/>
            <w:tcBorders>
              <w:top w:val="single" w:color="CCCCCC" w:sz="1"/>
              <w:left w:val="single" w:color="CCCCCC" w:sz="1"/>
              <w:bottom w:val="single" w:color="CCCCCC" w:sz="1"/>
              <w:right w:val="single" w:color="CCCCCC" w:sz="1"/>
            </w:tcBorders>
          </w:tcPr>
          <w:p>
            <w:r>
              <w:t xml:space="preserve">Effective Date</w:t>
            </w:r>
          </w:p>
        </w:tc>
        <w:tc>
          <w:tcPr>
            <w:tcW w:type="dxa" w:w="5760"/>
            <w:tcBorders>
              <w:top w:val="single" w:color="CCCCCC" w:sz="1"/>
              <w:left w:val="single" w:color="CCCCCC" w:sz="1"/>
              <w:bottom w:val="single" w:color="CCCCCC" w:sz="1"/>
              <w:right w:val="single" w:color="CCCCCC" w:sz="1"/>
            </w:tcBorders>
          </w:tcPr>
          <w:p>
            <w:r>
              <w:t xml:space="preserve">December 2025</w:t>
            </w:r>
          </w:p>
        </w:tc>
      </w:tr>
      <w:tr>
        <w:tc>
          <w:tcPr>
            <w:tcW w:type="dxa" w:w="3600"/>
            <w:tcBorders>
              <w:top w:val="single" w:color="CCCCCC" w:sz="1"/>
              <w:left w:val="single" w:color="CCCCCC" w:sz="1"/>
              <w:bottom w:val="single" w:color="CCCCCC" w:sz="1"/>
              <w:right w:val="single" w:color="CCCCCC" w:sz="1"/>
            </w:tcBorders>
            <w:shd w:fill="F2F2F2" w:val="clear"/>
          </w:tcPr>
          <w:p>
            <w:r>
              <w:t xml:space="preserve">Document Owner</w:t>
            </w:r>
          </w:p>
        </w:tc>
        <w:tc>
          <w:tcPr>
            <w:tcW w:type="dxa" w:w="5760"/>
            <w:tcBorders>
              <w:top w:val="single" w:color="CCCCCC" w:sz="1"/>
              <w:left w:val="single" w:color="CCCCCC" w:sz="1"/>
              <w:bottom w:val="single" w:color="CCCCCC" w:sz="1"/>
              <w:right w:val="single" w:color="CCCCCC" w:sz="1"/>
            </w:tcBorders>
            <w:shd w:fill="F2F2F2" w:val="clear"/>
          </w:tcPr>
          <w:p>
            <w:r>
              <w:t xml:space="preserve">AI Governance Team</w:t>
            </w:r>
          </w:p>
        </w:tc>
      </w:tr>
      <w:tr>
        <w:tc>
          <w:tcPr>
            <w:tcW w:type="dxa" w:w="3600"/>
            <w:tcBorders>
              <w:top w:val="single" w:color="CCCCCC" w:sz="1"/>
              <w:left w:val="single" w:color="CCCCCC" w:sz="1"/>
              <w:bottom w:val="single" w:color="CCCCCC" w:sz="1"/>
              <w:right w:val="single" w:color="CCCCCC" w:sz="1"/>
            </w:tcBorders>
          </w:tcPr>
          <w:p>
            <w:r>
              <w:t xml:space="preserve">Classification</w:t>
            </w:r>
          </w:p>
        </w:tc>
        <w:tc>
          <w:tcPr>
            <w:tcW w:type="dxa" w:w="5760"/>
            <w:tcBorders>
              <w:top w:val="single" w:color="CCCCCC" w:sz="1"/>
              <w:left w:val="single" w:color="CCCCCC" w:sz="1"/>
              <w:bottom w:val="single" w:color="CCCCCC" w:sz="1"/>
              <w:right w:val="single" w:color="CCCCCC" w:sz="1"/>
            </w:tcBorders>
          </w:tcPr>
          <w:p>
            <w:r>
              <w:t xml:space="preserve">Internal Use Only</w:t>
            </w:r>
          </w:p>
        </w:tc>
      </w:tr>
      <w:tr>
        <w:tc>
          <w:tcPr>
            <w:tcW w:type="dxa" w:w="3600"/>
            <w:tcBorders>
              <w:top w:val="single" w:color="CCCCCC" w:sz="1"/>
              <w:left w:val="single" w:color="CCCCCC" w:sz="1"/>
              <w:bottom w:val="single" w:color="CCCCCC" w:sz="1"/>
              <w:right w:val="single" w:color="CCCCCC" w:sz="1"/>
            </w:tcBorders>
            <w:shd w:fill="F2F2F2" w:val="clear"/>
          </w:tcPr>
          <w:p>
            <w:r>
              <w:t xml:space="preserve">Review Frequency</w:t>
            </w:r>
          </w:p>
        </w:tc>
        <w:tc>
          <w:tcPr>
            <w:tcW w:type="dxa" w:w="5760"/>
            <w:tcBorders>
              <w:top w:val="single" w:color="CCCCCC" w:sz="1"/>
              <w:left w:val="single" w:color="CCCCCC" w:sz="1"/>
              <w:bottom w:val="single" w:color="CCCCCC" w:sz="1"/>
              <w:right w:val="single" w:color="CCCCCC" w:sz="1"/>
            </w:tcBorders>
            <w:shd w:fill="F2F2F2" w:val="clear"/>
          </w:tcPr>
          <w:p>
            <w:r>
              <w:t xml:space="preserve">Quarterly (minimum) or upon trigger event</w:t>
            </w:r>
          </w:p>
        </w:tc>
      </w:tr>
    </w:tbl>
    <w:p>
      <w:pPr>
        <w:pStyle w:val="Heading2"/>
        <w:spacing w:before="400"/>
      </w:pPr>
      <w:r>
        <w:t xml:space="preserve">Review Triggers</w:t>
      </w:r>
    </w:p>
    <w:p>
      <w:r>
        <w:t xml:space="preserve">This framework must be reviewed and updated upon occurrence of any of the following events:</w:t>
      </w:r>
    </w:p>
    <w:p>
      <w:pPr>
        <w:spacing w:before="200"/>
      </w:pPr>
      <w:r>
        <w:rPr>
          <w:b/>
          <w:bCs/>
        </w:rPr>
        <w:t xml:space="preserve">Microsoft Platform Updates:</w:t>
      </w:r>
    </w:p>
    <w:p>
      <w:pPr>
        <w:pStyle w:val="ListParagraph"/>
        <w:numPr>
          <w:ilvl w:val="0"/>
          <w:numId w:val="2"/>
        </w:numPr>
      </w:pPr>
      <w:r>
        <w:t xml:space="preserve">New Microsoft Learn governance documentation</w:t>
      </w:r>
    </w:p>
    <w:p>
      <w:pPr>
        <w:pStyle w:val="ListParagraph"/>
        <w:numPr>
          <w:ilvl w:val="0"/>
          <w:numId w:val="2"/>
        </w:numPr>
      </w:pPr>
      <w:r>
        <w:t xml:space="preserve">Copilot Studio feature releases (GA or Preview)</w:t>
      </w:r>
    </w:p>
    <w:p>
      <w:pPr>
        <w:pStyle w:val="ListParagraph"/>
        <w:numPr>
          <w:ilvl w:val="0"/>
          <w:numId w:val="2"/>
        </w:numPr>
      </w:pPr>
      <w:r>
        <w:t xml:space="preserve">Power Platform admin center capability changes</w:t>
      </w:r>
    </w:p>
    <w:p>
      <w:pPr>
        <w:pStyle w:val="ListParagraph"/>
        <w:numPr>
          <w:ilvl w:val="0"/>
          <w:numId w:val="2"/>
        </w:numPr>
      </w:pPr>
      <w:r>
        <w:t xml:space="preserve">New Purview AI retention locations or policies</w:t>
      </w:r>
    </w:p>
    <w:p>
      <w:pPr>
        <w:pStyle w:val="ListParagraph"/>
        <w:numPr>
          <w:ilvl w:val="0"/>
          <w:numId w:val="2"/>
        </w:numPr>
      </w:pPr>
      <w:r>
        <w:t xml:space="preserve">Agent 365 general availability announcement</w:t>
      </w:r>
    </w:p>
    <w:p>
      <w:pPr>
        <w:spacing w:before="200"/>
      </w:pPr>
      <w:r>
        <w:rPr>
          <w:b/>
          <w:bCs/>
        </w:rPr>
        <w:t xml:space="preserve">Regulatory Notices:</w:t>
      </w:r>
    </w:p>
    <w:p>
      <w:pPr>
        <w:pStyle w:val="ListParagraph"/>
        <w:numPr>
          <w:ilvl w:val="0"/>
          <w:numId w:val="2"/>
        </w:numPr>
      </w:pPr>
      <w:r>
        <w:t xml:space="preserve">FINRA regulatory notices or exam priorities</w:t>
      </w:r>
    </w:p>
    <w:p>
      <w:pPr>
        <w:pStyle w:val="ListParagraph"/>
        <w:numPr>
          <w:ilvl w:val="0"/>
          <w:numId w:val="2"/>
        </w:numPr>
      </w:pPr>
      <w:r>
        <w:t xml:space="preserve">SEC guidance on AI/ML in financial services</w:t>
      </w:r>
    </w:p>
    <w:p>
      <w:pPr>
        <w:pStyle w:val="ListParagraph"/>
        <w:numPr>
          <w:ilvl w:val="0"/>
          <w:numId w:val="2"/>
        </w:numPr>
      </w:pPr>
      <w:r>
        <w:t xml:space="preserve">OCC bulletins on model risk or third-party risk</w:t>
      </w:r>
    </w:p>
    <w:p>
      <w:pPr>
        <w:pStyle w:val="ListParagraph"/>
        <w:numPr>
          <w:ilvl w:val="0"/>
          <w:numId w:val="2"/>
        </w:numPr>
      </w:pPr>
      <w:r>
        <w:t xml:space="preserve">State regulator AI guidance (e.g., NYDFS)</w:t>
      </w:r>
    </w:p>
    <w:p>
      <w:pPr>
        <w:spacing w:before="200"/>
      </w:pPr>
      <w:r>
        <w:rPr>
          <w:b/>
          <w:bCs/>
        </w:rPr>
        <w:t xml:space="preserve">Organizational Changes:</w:t>
      </w:r>
    </w:p>
    <w:p>
      <w:pPr>
        <w:pStyle w:val="ListParagraph"/>
        <w:numPr>
          <w:ilvl w:val="0"/>
          <w:numId w:val="2"/>
        </w:numPr>
      </w:pPr>
      <w:r>
        <w:t xml:space="preserve">New agent use cases entering production</w:t>
      </w:r>
    </w:p>
    <w:p>
      <w:pPr>
        <w:pStyle w:val="ListParagraph"/>
        <w:numPr>
          <w:ilvl w:val="0"/>
          <w:numId w:val="2"/>
        </w:numPr>
      </w:pPr>
      <w:r>
        <w:t xml:space="preserve">Changes to risk appetite or governance structure</w:t>
      </w:r>
    </w:p>
    <w:p>
      <w:pPr>
        <w:pStyle w:val="ListParagraph"/>
        <w:numPr>
          <w:ilvl w:val="0"/>
          <w:numId w:val="2"/>
        </w:numPr>
      </w:pPr>
      <w:r>
        <w:t xml:space="preserve">Audit findings or examination results</w:t>
      </w:r>
    </w:p>
    <w:p>
      <w:pPr>
        <w:pStyle w:val="Heading2"/>
        <w:spacing w:before="400"/>
      </w:pPr>
      <w:r>
        <w:t xml:space="preserve">Important Disclaimer</w:t>
      </w:r>
    </w:p>
    <w:p>
      <w:pPr>
        <w:shd w:fill="FFF3CD" w:val="clear"/>
        <w:spacing w:before="100" w:after="100"/>
      </w:pPr>
      <w:r>
        <w:rPr>
          <w:b/>
          <w:bCs/>
        </w:rPr>
        <w:t xml:space="preserve">Preview Features: </w:t>
      </w:r>
      <w:r>
        <w:t xml:space="preserve">Capabilities documented as "Preview" (including Agent 365 Frontier Preview) are provided for planning purposes only. Preview features should not be used to satisfy regulatory compliance requirements. Verify general availability status before implementation.</w:t>
      </w:r>
    </w:p>
    <w:p>
      <w:pPr>
        <w:shd w:fill="D4EDDA" w:val="clear"/>
        <w:spacing w:before="100" w:after="100"/>
      </w:pPr>
      <w:r>
        <w:rPr>
          <w:b/>
          <w:bCs/>
        </w:rPr>
        <w:t xml:space="preserve">Core Controls: </w:t>
      </w:r>
      <w:r>
        <w:t xml:space="preserve">The 43 controls in Pillars 1-4 (Controls 1.1 through 4.5) represent the mandatory governance baseline. These controls must be implemented regardless of preview feature availability and should not be deferred pending future Microsoft releases.</w:t>
      </w:r>
    </w:p>
    <w:p>
      <w:r>
        <w:br w:type="page"/>
      </w:r>
    </w:p>
    <w:p>
      <w:pPr>
        <w:pStyle w:val="Heading1"/>
      </w:pPr>
      <w:r>
        <w:t xml:space="preserve">Executive Summary</w:t>
      </w:r>
    </w:p>
    <w:p>
      <w:pPr>
        <w:spacing w:after="200"/>
      </w:pPr>
      <w:r>
        <w:t xml:space="preserve">This comprehensive governance framework provides Financial Services Institutions (FSI) with the controls, procedures, and documentation necessary to deploy Microsoft Copilot Studio agents in a secure, compliant, and well-governed manner.</w:t>
      </w:r>
    </w:p>
    <w:p>
      <w:pPr>
        <w:pStyle w:val="Heading2"/>
      </w:pPr>
      <w:r>
        <w:t xml:space="preserve">Framework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4E79" w:val="clear"/>
          </w:tcPr>
          <w:p>
            <w:r>
              <w:rPr>
                <w:b/>
                <w:bCs/>
                <w:color w:val="FFFFFF"/>
              </w:rPr>
              <w:t xml:space="preserve">Component</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Count</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Status</w:t>
            </w:r>
          </w:p>
        </w:tc>
      </w:tr>
      <w:tr>
        <w:tc>
          <w:tcPr>
            <w:tcW w:type="dxa" w:w="4680"/>
            <w:tcBorders>
              <w:top w:val="single" w:color="CCCCCC" w:sz="1"/>
              <w:left w:val="single" w:color="CCCCCC" w:sz="1"/>
              <w:bottom w:val="single" w:color="CCCCCC" w:sz="1"/>
              <w:right w:val="single" w:color="CCCCCC" w:sz="1"/>
            </w:tcBorders>
          </w:tcPr>
          <w:p>
            <w:r>
              <w:t xml:space="preserve">Security Controls (Pillar 1)</w:t>
            </w:r>
          </w:p>
        </w:tc>
        <w:tc>
          <w:tcPr>
            <w:tcW w:type="dxa" w:w="2340"/>
            <w:tcBorders>
              <w:top w:val="single" w:color="CCCCCC" w:sz="1"/>
              <w:left w:val="single" w:color="CCCCCC" w:sz="1"/>
              <w:bottom w:val="single" w:color="CCCCCC" w:sz="1"/>
              <w:right w:val="single" w:color="CCCCCC" w:sz="1"/>
            </w:tcBorders>
          </w:tcPr>
          <w:p>
            <w:pPr>
              <w:jc w:val="center"/>
            </w:pPr>
            <w:r>
              <w:t xml:space="preserve">18</w:t>
            </w:r>
          </w:p>
        </w:tc>
        <w:tc>
          <w:tcPr>
            <w:tcW w:type="dxa" w:w="2340"/>
            <w:tcBorders>
              <w:top w:val="single" w:color="CCCCCC" w:sz="1"/>
              <w:left w:val="single" w:color="CCCCCC" w:sz="1"/>
              <w:bottom w:val="single" w:color="CCCCCC" w:sz="1"/>
              <w:right w:val="single" w:color="CCCCCC" w:sz="1"/>
            </w:tcBorders>
          </w:tcPr>
          <w:p>
            <w:pPr>
              <w:jc w:val="center"/>
            </w:pPr>
            <w:r>
              <w:rPr>
                <w:color w:val="228B22"/>
              </w:rPr>
              <w:t xml:space="preserve">Complete</w:t>
            </w:r>
          </w:p>
        </w:tc>
      </w:tr>
      <w:tr>
        <w:tc>
          <w:tcPr>
            <w:tcW w:type="dxa" w:w="4680"/>
            <w:tcBorders>
              <w:top w:val="single" w:color="CCCCCC" w:sz="1"/>
              <w:left w:val="single" w:color="CCCCCC" w:sz="1"/>
              <w:bottom w:val="single" w:color="CCCCCC" w:sz="1"/>
              <w:right w:val="single" w:color="CCCCCC" w:sz="1"/>
            </w:tcBorders>
            <w:shd w:fill="F2F2F2" w:val="clear"/>
          </w:tcPr>
          <w:p>
            <w:r>
              <w:t xml:space="preserve">Management Controls (Pillar 2)</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14</w:t>
            </w:r>
          </w:p>
        </w:tc>
        <w:tc>
          <w:tcPr>
            <w:tcW w:type="dxa" w:w="2340"/>
            <w:tcBorders>
              <w:top w:val="single" w:color="CCCCCC" w:sz="1"/>
              <w:left w:val="single" w:color="CCCCCC" w:sz="1"/>
              <w:bottom w:val="single" w:color="CCCCCC" w:sz="1"/>
              <w:right w:val="single" w:color="CCCCCC" w:sz="1"/>
            </w:tcBorders>
            <w:shd w:fill="F2F2F2" w:val="clear"/>
          </w:tcPr>
          <w:p>
            <w:pPr>
              <w:jc w:val="center"/>
            </w:pPr>
            <w:r>
              <w:rPr>
                <w:color w:val="228B22"/>
              </w:rPr>
              <w:t xml:space="preserve">Complete</w:t>
            </w:r>
          </w:p>
        </w:tc>
      </w:tr>
      <w:tr>
        <w:tc>
          <w:tcPr>
            <w:tcW w:type="dxa" w:w="4680"/>
            <w:tcBorders>
              <w:top w:val="single" w:color="CCCCCC" w:sz="1"/>
              <w:left w:val="single" w:color="CCCCCC" w:sz="1"/>
              <w:bottom w:val="single" w:color="CCCCCC" w:sz="1"/>
              <w:right w:val="single" w:color="CCCCCC" w:sz="1"/>
            </w:tcBorders>
          </w:tcPr>
          <w:p>
            <w:r>
              <w:t xml:space="preserve">Agent Reporting (Pillar 3)</w:t>
            </w:r>
          </w:p>
        </w:tc>
        <w:tc>
          <w:tcPr>
            <w:tcW w:type="dxa" w:w="2340"/>
            <w:tcBorders>
              <w:top w:val="single" w:color="CCCCCC" w:sz="1"/>
              <w:left w:val="single" w:color="CCCCCC" w:sz="1"/>
              <w:bottom w:val="single" w:color="CCCCCC" w:sz="1"/>
              <w:right w:val="single" w:color="CCCCCC" w:sz="1"/>
            </w:tcBorders>
          </w:tcPr>
          <w:p>
            <w:pPr>
              <w:jc w:val="center"/>
            </w:pPr>
            <w:r>
              <w:t xml:space="preserve">6</w:t>
            </w:r>
          </w:p>
        </w:tc>
        <w:tc>
          <w:tcPr>
            <w:tcW w:type="dxa" w:w="2340"/>
            <w:tcBorders>
              <w:top w:val="single" w:color="CCCCCC" w:sz="1"/>
              <w:left w:val="single" w:color="CCCCCC" w:sz="1"/>
              <w:bottom w:val="single" w:color="CCCCCC" w:sz="1"/>
              <w:right w:val="single" w:color="CCCCCC" w:sz="1"/>
            </w:tcBorders>
          </w:tcPr>
          <w:p>
            <w:pPr>
              <w:jc w:val="center"/>
            </w:pPr>
            <w:r>
              <w:rPr>
                <w:color w:val="228B22"/>
              </w:rPr>
              <w:t xml:space="preserve">Complete</w:t>
            </w:r>
          </w:p>
        </w:tc>
      </w:tr>
      <w:tr>
        <w:tc>
          <w:tcPr>
            <w:tcW w:type="dxa" w:w="4680"/>
            <w:tcBorders>
              <w:top w:val="single" w:color="CCCCCC" w:sz="1"/>
              <w:left w:val="single" w:color="CCCCCC" w:sz="1"/>
              <w:bottom w:val="single" w:color="CCCCCC" w:sz="1"/>
              <w:right w:val="single" w:color="CCCCCC" w:sz="1"/>
            </w:tcBorders>
            <w:shd w:fill="F2F2F2" w:val="clear"/>
          </w:tcPr>
          <w:p>
            <w:r>
              <w:t xml:space="preserve">SharePoint Advanced Mgmt (Pillar 4)</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5</w:t>
            </w:r>
          </w:p>
        </w:tc>
        <w:tc>
          <w:tcPr>
            <w:tcW w:type="dxa" w:w="2340"/>
            <w:tcBorders>
              <w:top w:val="single" w:color="CCCCCC" w:sz="1"/>
              <w:left w:val="single" w:color="CCCCCC" w:sz="1"/>
              <w:bottom w:val="single" w:color="CCCCCC" w:sz="1"/>
              <w:right w:val="single" w:color="CCCCCC" w:sz="1"/>
            </w:tcBorders>
            <w:shd w:fill="F2F2F2" w:val="clear"/>
          </w:tcPr>
          <w:p>
            <w:pPr>
              <w:jc w:val="center"/>
            </w:pPr>
            <w:r>
              <w:rPr>
                <w:color w:val="228B22"/>
              </w:rPr>
              <w:t xml:space="preserve">Complete</w:t>
            </w:r>
          </w:p>
        </w:tc>
      </w:tr>
      <w:tr>
        <w:tc>
          <w:tcPr>
            <w:tcW w:type="dxa" w:w="4680"/>
            <w:tcBorders>
              <w:top w:val="single" w:color="CCCCCC" w:sz="1"/>
              <w:left w:val="single" w:color="CCCCCC" w:sz="1"/>
              <w:bottom w:val="single" w:color="CCCCCC" w:sz="1"/>
              <w:right w:val="single" w:color="CCCCCC" w:sz="1"/>
            </w:tcBorders>
          </w:tcPr>
          <w:p>
            <w:r>
              <w:rPr>
                <w:b/>
                <w:bCs/>
              </w:rPr>
              <w:t xml:space="preserve">Total Governance Controls</w:t>
            </w:r>
          </w:p>
        </w:tc>
        <w:tc>
          <w:tcPr>
            <w:tcW w:type="dxa" w:w="2340"/>
            <w:tcBorders>
              <w:top w:val="single" w:color="CCCCCC" w:sz="1"/>
              <w:left w:val="single" w:color="CCCCCC" w:sz="1"/>
              <w:bottom w:val="single" w:color="CCCCCC" w:sz="1"/>
              <w:right w:val="single" w:color="CCCCCC" w:sz="1"/>
            </w:tcBorders>
          </w:tcPr>
          <w:p>
            <w:pPr>
              <w:jc w:val="center"/>
            </w:pPr>
            <w:r>
              <w:rPr>
                <w:b/>
                <w:bCs/>
              </w:rPr>
              <w:t xml:space="preserve">43</w:t>
            </w:r>
          </w:p>
        </w:tc>
        <w:tc>
          <w:tcPr>
            <w:tcW w:type="dxa" w:w="2340"/>
            <w:tcBorders>
              <w:top w:val="single" w:color="CCCCCC" w:sz="1"/>
              <w:left w:val="single" w:color="CCCCCC" w:sz="1"/>
              <w:bottom w:val="single" w:color="CCCCCC" w:sz="1"/>
              <w:right w:val="single" w:color="CCCCCC" w:sz="1"/>
            </w:tcBorders>
          </w:tcPr>
          <w:p>
            <w:pPr>
              <w:jc w:val="center"/>
            </w:pPr>
            <w:r>
              <w:rPr>
                <w:b/>
                <w:bCs/>
                <w:color w:val="228B22"/>
              </w:rPr>
              <w:t xml:space="preserve">Complete</w:t>
            </w:r>
          </w:p>
        </w:tc>
      </w:tr>
    </w:tbl>
    <w:p>
      <w:pPr>
        <w:pStyle w:val="Heading2"/>
        <w:spacing w:before="400"/>
      </w:pPr>
      <w:r>
        <w:t xml:space="preserve">Regulatory Readiness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F4E79" w:val="clear"/>
          </w:tcPr>
          <w:p>
            <w:r>
              <w:rPr>
                <w:b/>
                <w:bCs/>
                <w:color w:val="FFFFFF"/>
              </w:rPr>
              <w:t xml:space="preserve">Regulation</w:t>
            </w:r>
          </w:p>
        </w:tc>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Coverage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Retention</w:t>
            </w:r>
          </w:p>
        </w:tc>
        <w:tc>
          <w:tcPr>
            <w:tcW w:type="dxa" w:w="3120"/>
            <w:tcBorders>
              <w:top w:val="single" w:color="CCCCCC" w:sz="1"/>
              <w:left w:val="single" w:color="CCCCCC" w:sz="1"/>
              <w:bottom w:val="single" w:color="CCCCCC" w:sz="1"/>
              <w:right w:val="single" w:color="CCCCCC" w:sz="1"/>
            </w:tcBorders>
            <w:shd w:fill="1F4E79" w:val="clear"/>
          </w:tcPr>
          <w:p>
            <w:r>
              <w:rPr>
                <w:b/>
                <w:bCs/>
                <w:color w:val="FFFFFF"/>
              </w:rPr>
              <w:t xml:space="preserve">Exam Focus</w:t>
            </w:r>
          </w:p>
        </w:tc>
      </w:tr>
      <w:tr>
        <w:tc>
          <w:tcPr>
            <w:tcW w:type="dxa" w:w="2340"/>
            <w:tcBorders>
              <w:top w:val="single" w:color="CCCCCC" w:sz="1"/>
              <w:left w:val="single" w:color="CCCCCC" w:sz="1"/>
              <w:bottom w:val="single" w:color="CCCCCC" w:sz="1"/>
              <w:right w:val="single" w:color="CCCCCC" w:sz="1"/>
            </w:tcBorders>
          </w:tcPr>
          <w:p>
            <w:r>
              <w:t xml:space="preserve">FINRA 4511/3110</w:t>
            </w:r>
          </w:p>
        </w:tc>
        <w:tc>
          <w:tcPr>
            <w:tcW w:type="dxa" w:w="1560"/>
            <w:tcBorders>
              <w:top w:val="single" w:color="CCCCCC" w:sz="1"/>
              <w:left w:val="single" w:color="CCCCCC" w:sz="1"/>
              <w:bottom w:val="single" w:color="CCCCCC" w:sz="1"/>
              <w:right w:val="single" w:color="CCCCCC" w:sz="1"/>
            </w:tcBorders>
          </w:tcPr>
          <w:p>
            <w:pPr>
              <w:jc w:val="center"/>
            </w:pPr>
            <w:r>
              <w:t xml:space="preserve">100%</w:t>
            </w:r>
          </w:p>
        </w:tc>
        <w:tc>
          <w:tcPr>
            <w:tcW w:type="dxa" w:w="2340"/>
            <w:tcBorders>
              <w:top w:val="single" w:color="CCCCCC" w:sz="1"/>
              <w:left w:val="single" w:color="CCCCCC" w:sz="1"/>
              <w:bottom w:val="single" w:color="CCCCCC" w:sz="1"/>
              <w:right w:val="single" w:color="CCCCCC" w:sz="1"/>
            </w:tcBorders>
          </w:tcPr>
          <w:p>
            <w:pPr>
              <w:jc w:val="center"/>
            </w:pPr>
            <w:r>
              <w:t xml:space="preserve">6 years</w:t>
            </w:r>
          </w:p>
        </w:tc>
        <w:tc>
          <w:tcPr>
            <w:tcW w:type="dxa" w:w="3120"/>
            <w:tcBorders>
              <w:top w:val="single" w:color="CCCCCC" w:sz="1"/>
              <w:left w:val="single" w:color="CCCCCC" w:sz="1"/>
              <w:bottom w:val="single" w:color="CCCCCC" w:sz="1"/>
              <w:right w:val="single" w:color="CCCCCC" w:sz="1"/>
            </w:tcBorders>
          </w:tcPr>
          <w:p>
            <w:r>
              <w:t xml:space="preserve">Records, Supervision</w:t>
            </w:r>
          </w:p>
        </w:tc>
      </w:tr>
      <w:tr>
        <w:tc>
          <w:tcPr>
            <w:tcW w:type="dxa" w:w="2340"/>
            <w:tcBorders>
              <w:top w:val="single" w:color="CCCCCC" w:sz="1"/>
              <w:left w:val="single" w:color="CCCCCC" w:sz="1"/>
              <w:bottom w:val="single" w:color="CCCCCC" w:sz="1"/>
              <w:right w:val="single" w:color="CCCCCC" w:sz="1"/>
            </w:tcBorders>
            <w:shd w:fill="F2F2F2" w:val="clear"/>
          </w:tcPr>
          <w:p>
            <w:r>
              <w:t xml:space="preserve">SEC 17a-3/17a-4</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88%</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6 years</w:t>
            </w:r>
          </w:p>
        </w:tc>
        <w:tc>
          <w:tcPr>
            <w:tcW w:type="dxa" w:w="3120"/>
            <w:tcBorders>
              <w:top w:val="single" w:color="CCCCCC" w:sz="1"/>
              <w:left w:val="single" w:color="CCCCCC" w:sz="1"/>
              <w:bottom w:val="single" w:color="CCCCCC" w:sz="1"/>
              <w:right w:val="single" w:color="CCCCCC" w:sz="1"/>
            </w:tcBorders>
            <w:shd w:fill="F2F2F2" w:val="clear"/>
          </w:tcPr>
          <w:p>
            <w:r>
              <w:t xml:space="preserve">Recordkeeping</w:t>
            </w:r>
          </w:p>
        </w:tc>
      </w:tr>
      <w:tr>
        <w:tc>
          <w:tcPr>
            <w:tcW w:type="dxa" w:w="2340"/>
            <w:tcBorders>
              <w:top w:val="single" w:color="CCCCCC" w:sz="1"/>
              <w:left w:val="single" w:color="CCCCCC" w:sz="1"/>
              <w:bottom w:val="single" w:color="CCCCCC" w:sz="1"/>
              <w:right w:val="single" w:color="CCCCCC" w:sz="1"/>
            </w:tcBorders>
          </w:tcPr>
          <w:p>
            <w:r>
              <w:t xml:space="preserve">SOX 302/404</w:t>
            </w:r>
          </w:p>
        </w:tc>
        <w:tc>
          <w:tcPr>
            <w:tcW w:type="dxa" w:w="1560"/>
            <w:tcBorders>
              <w:top w:val="single" w:color="CCCCCC" w:sz="1"/>
              <w:left w:val="single" w:color="CCCCCC" w:sz="1"/>
              <w:bottom w:val="single" w:color="CCCCCC" w:sz="1"/>
              <w:right w:val="single" w:color="CCCCCC" w:sz="1"/>
            </w:tcBorders>
          </w:tcPr>
          <w:p>
            <w:pPr>
              <w:jc w:val="center"/>
            </w:pPr>
            <w:r>
              <w:t xml:space="preserve">81%</w:t>
            </w:r>
          </w:p>
        </w:tc>
        <w:tc>
          <w:tcPr>
            <w:tcW w:type="dxa" w:w="2340"/>
            <w:tcBorders>
              <w:top w:val="single" w:color="CCCCCC" w:sz="1"/>
              <w:left w:val="single" w:color="CCCCCC" w:sz="1"/>
              <w:bottom w:val="single" w:color="CCCCCC" w:sz="1"/>
              <w:right w:val="single" w:color="CCCCCC" w:sz="1"/>
            </w:tcBorders>
          </w:tcPr>
          <w:p>
            <w:pPr>
              <w:jc w:val="center"/>
            </w:pPr>
            <w:r>
              <w:t xml:space="preserve">7 years</w:t>
            </w:r>
          </w:p>
        </w:tc>
        <w:tc>
          <w:tcPr>
            <w:tcW w:type="dxa" w:w="3120"/>
            <w:tcBorders>
              <w:top w:val="single" w:color="CCCCCC" w:sz="1"/>
              <w:left w:val="single" w:color="CCCCCC" w:sz="1"/>
              <w:bottom w:val="single" w:color="CCCCCC" w:sz="1"/>
              <w:right w:val="single" w:color="CCCCCC" w:sz="1"/>
            </w:tcBorders>
          </w:tcPr>
          <w:p>
            <w:r>
              <w:t xml:space="preserve">Internal Controls</w:t>
            </w:r>
          </w:p>
        </w:tc>
      </w:tr>
      <w:tr>
        <w:tc>
          <w:tcPr>
            <w:tcW w:type="dxa" w:w="2340"/>
            <w:tcBorders>
              <w:top w:val="single" w:color="CCCCCC" w:sz="1"/>
              <w:left w:val="single" w:color="CCCCCC" w:sz="1"/>
              <w:bottom w:val="single" w:color="CCCCCC" w:sz="1"/>
              <w:right w:val="single" w:color="CCCCCC" w:sz="1"/>
            </w:tcBorders>
            <w:shd w:fill="F2F2F2" w:val="clear"/>
          </w:tcPr>
          <w:p>
            <w:r>
              <w:t xml:space="preserve">GLBA 501(b)</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93%</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5-7 years</w:t>
            </w:r>
          </w:p>
        </w:tc>
        <w:tc>
          <w:tcPr>
            <w:tcW w:type="dxa" w:w="3120"/>
            <w:tcBorders>
              <w:top w:val="single" w:color="CCCCCC" w:sz="1"/>
              <w:left w:val="single" w:color="CCCCCC" w:sz="1"/>
              <w:bottom w:val="single" w:color="CCCCCC" w:sz="1"/>
              <w:right w:val="single" w:color="CCCCCC" w:sz="1"/>
            </w:tcBorders>
            <w:shd w:fill="F2F2F2" w:val="clear"/>
          </w:tcPr>
          <w:p>
            <w:r>
              <w:t xml:space="preserve">Safeguards</w:t>
            </w:r>
          </w:p>
        </w:tc>
      </w:tr>
      <w:tr>
        <w:tc>
          <w:tcPr>
            <w:tcW w:type="dxa" w:w="2340"/>
            <w:tcBorders>
              <w:top w:val="single" w:color="CCCCCC" w:sz="1"/>
              <w:left w:val="single" w:color="CCCCCC" w:sz="1"/>
              <w:bottom w:val="single" w:color="CCCCCC" w:sz="1"/>
              <w:right w:val="single" w:color="CCCCCC" w:sz="1"/>
            </w:tcBorders>
          </w:tcPr>
          <w:p>
            <w:r>
              <w:t xml:space="preserve">OCC 2011-12</w:t>
            </w:r>
          </w:p>
        </w:tc>
        <w:tc>
          <w:tcPr>
            <w:tcW w:type="dxa" w:w="1560"/>
            <w:tcBorders>
              <w:top w:val="single" w:color="CCCCCC" w:sz="1"/>
              <w:left w:val="single" w:color="CCCCCC" w:sz="1"/>
              <w:bottom w:val="single" w:color="CCCCCC" w:sz="1"/>
              <w:right w:val="single" w:color="CCCCCC" w:sz="1"/>
            </w:tcBorders>
          </w:tcPr>
          <w:p>
            <w:pPr>
              <w:jc w:val="center"/>
            </w:pPr>
            <w:r>
              <w:t xml:space="preserve">58%</w:t>
            </w:r>
          </w:p>
        </w:tc>
        <w:tc>
          <w:tcPr>
            <w:tcW w:type="dxa" w:w="2340"/>
            <w:tcBorders>
              <w:top w:val="single" w:color="CCCCCC" w:sz="1"/>
              <w:left w:val="single" w:color="CCCCCC" w:sz="1"/>
              <w:bottom w:val="single" w:color="CCCCCC" w:sz="1"/>
              <w:right w:val="single" w:color="CCCCCC" w:sz="1"/>
            </w:tcBorders>
          </w:tcPr>
          <w:p>
            <w:pPr>
              <w:jc w:val="center"/>
            </w:pPr>
            <w:r>
              <w:t xml:space="preserve">Per model</w:t>
            </w:r>
          </w:p>
        </w:tc>
        <w:tc>
          <w:tcPr>
            <w:tcW w:type="dxa" w:w="3120"/>
            <w:tcBorders>
              <w:top w:val="single" w:color="CCCCCC" w:sz="1"/>
              <w:left w:val="single" w:color="CCCCCC" w:sz="1"/>
              <w:bottom w:val="single" w:color="CCCCCC" w:sz="1"/>
              <w:right w:val="single" w:color="CCCCCC" w:sz="1"/>
            </w:tcBorders>
          </w:tcPr>
          <w:p>
            <w:r>
              <w:t xml:space="preserve">Model Risk</w:t>
            </w:r>
          </w:p>
        </w:tc>
      </w:tr>
      <w:tr>
        <w:tc>
          <w:tcPr>
            <w:tcW w:type="dxa" w:w="2340"/>
            <w:tcBorders>
              <w:top w:val="single" w:color="CCCCCC" w:sz="1"/>
              <w:left w:val="single" w:color="CCCCCC" w:sz="1"/>
              <w:bottom w:val="single" w:color="CCCCCC" w:sz="1"/>
              <w:right w:val="single" w:color="CCCCCC" w:sz="1"/>
            </w:tcBorders>
            <w:shd w:fill="F2F2F2" w:val="clear"/>
          </w:tcPr>
          <w:p>
            <w:r>
              <w:t xml:space="preserve">Fed SR 11-7</w:t>
            </w:r>
          </w:p>
        </w:tc>
        <w:tc>
          <w:tcPr>
            <w:tcW w:type="dxa" w:w="1560"/>
            <w:tcBorders>
              <w:top w:val="single" w:color="CCCCCC" w:sz="1"/>
              <w:left w:val="single" w:color="CCCCCC" w:sz="1"/>
              <w:bottom w:val="single" w:color="CCCCCC" w:sz="1"/>
              <w:right w:val="single" w:color="CCCCCC" w:sz="1"/>
            </w:tcBorders>
            <w:shd w:fill="F2F2F2" w:val="clear"/>
          </w:tcPr>
          <w:p>
            <w:pPr>
              <w:jc w:val="center"/>
            </w:pPr>
            <w:r>
              <w:t xml:space="preserve">58%</w:t>
            </w:r>
          </w:p>
        </w:tc>
        <w:tc>
          <w:tcPr>
            <w:tcW w:type="dxa" w:w="2340"/>
            <w:tcBorders>
              <w:top w:val="single" w:color="CCCCCC" w:sz="1"/>
              <w:left w:val="single" w:color="CCCCCC" w:sz="1"/>
              <w:bottom w:val="single" w:color="CCCCCC" w:sz="1"/>
              <w:right w:val="single" w:color="CCCCCC" w:sz="1"/>
            </w:tcBorders>
            <w:shd w:fill="F2F2F2" w:val="clear"/>
          </w:tcPr>
          <w:p>
            <w:pPr>
              <w:jc w:val="center"/>
            </w:pPr>
            <w:r>
              <w:t xml:space="preserve">Per model</w:t>
            </w:r>
          </w:p>
        </w:tc>
        <w:tc>
          <w:tcPr>
            <w:tcW w:type="dxa" w:w="3120"/>
            <w:tcBorders>
              <w:top w:val="single" w:color="CCCCCC" w:sz="1"/>
              <w:left w:val="single" w:color="CCCCCC" w:sz="1"/>
              <w:bottom w:val="single" w:color="CCCCCC" w:sz="1"/>
              <w:right w:val="single" w:color="CCCCCC" w:sz="1"/>
            </w:tcBorders>
            <w:shd w:fill="F2F2F2" w:val="clear"/>
          </w:tcPr>
          <w:p>
            <w:r>
              <w:t xml:space="preserve">Model Validation</w:t>
            </w:r>
          </w:p>
        </w:tc>
      </w:tr>
    </w:tbl>
    <w:p>
      <w:r>
        <w:br w:type="page"/>
      </w:r>
    </w:p>
    <w:p>
      <w:pPr>
        <w:pStyle w:val="Heading1"/>
      </w:pPr>
      <w:r>
        <w:t xml:space="preserve">Governance Framework Overview</w:t>
      </w:r>
    </w:p>
    <w:p>
      <w:r>
        <w:t xml:space="preserve">The FSI Agent Governance Framework is built on Microsoft's governance model, which emphasizes three foundational pillars: Policy, Process, and People. These pillars are implemented through structured zones and enforced via Environment Groups in the Power Platform Admin Center.</w:t>
      </w:r>
    </w:p>
    <w:p>
      <w:pPr>
        <w:pStyle w:val="Heading2"/>
      </w:pPr>
      <w:r>
        <w:t xml:space="preserve">Governance Pyramid</w:t>
      </w:r>
    </w:p>
    <w:p>
      <w:pPr>
        <w:pStyle w:val="ListParagraph"/>
        <w:numPr>
          <w:ilvl w:val="0"/>
          <w:numId w:val="2"/>
        </w:numPr>
      </w:pPr>
      <w:r>
        <w:rPr>
          <w:b/>
          <w:bCs/>
        </w:rPr>
        <w:t xml:space="preserve">Policy: </w:t>
      </w:r>
      <w:r>
        <w:t xml:space="preserve">Comprehensive strategy with DLP, authentication, and ALM policies</w:t>
      </w:r>
    </w:p>
    <w:p>
      <w:pPr>
        <w:pStyle w:val="ListParagraph"/>
        <w:numPr>
          <w:ilvl w:val="0"/>
          <w:numId w:val="2"/>
        </w:numPr>
      </w:pPr>
      <w:r>
        <w:rPr>
          <w:b/>
          <w:bCs/>
        </w:rPr>
        <w:t xml:space="preserve">Process: </w:t>
      </w:r>
      <w:r>
        <w:t xml:space="preserve">Defined workflows for agent lifecycle, incident response, and compliance</w:t>
      </w:r>
    </w:p>
    <w:p>
      <w:pPr>
        <w:pStyle w:val="ListParagraph"/>
        <w:numPr>
          <w:ilvl w:val="0"/>
          <w:numId w:val="2"/>
        </w:numPr>
      </w:pPr>
      <w:r>
        <w:rPr>
          <w:b/>
          <w:bCs/>
        </w:rPr>
        <w:t xml:space="preserve">People: </w:t>
      </w:r>
      <w:r>
        <w:t xml:space="preserve">Clear roles (AI Admin, PP Admin, Compliance Admin) with accountability</w:t>
      </w:r>
    </w:p>
    <w:p>
      <w:pPr>
        <w:pStyle w:val="Heading2"/>
      </w:pPr>
      <w:r>
        <w:t xml:space="preserve">Four Governance Pillars</w:t>
      </w:r>
    </w:p>
    <w:p>
      <w:pPr>
        <w:pStyle w:val="ListParagraph"/>
        <w:numPr>
          <w:ilvl w:val="0"/>
          <w:numId w:val="3"/>
        </w:numPr>
      </w:pPr>
      <w:r>
        <w:rPr>
          <w:b/>
          <w:bCs/>
        </w:rPr>
        <w:t xml:space="preserve">Security Controls (18 controls): </w:t>
      </w:r>
      <w:r>
        <w:t xml:space="preserve">DLP, authentication, audit, Purview integration</w:t>
      </w:r>
    </w:p>
    <w:p>
      <w:pPr>
        <w:pStyle w:val="ListParagraph"/>
        <w:numPr>
          <w:ilvl w:val="0"/>
          <w:numId w:val="3"/>
        </w:numPr>
      </w:pPr>
      <w:r>
        <w:rPr>
          <w:b/>
          <w:bCs/>
        </w:rPr>
        <w:t xml:space="preserve">Management Controls (14 controls): </w:t>
      </w:r>
      <w:r>
        <w:t xml:space="preserve">Environments, ALM, skills, channels</w:t>
      </w:r>
    </w:p>
    <w:p>
      <w:pPr>
        <w:pStyle w:val="ListParagraph"/>
        <w:numPr>
          <w:ilvl w:val="0"/>
          <w:numId w:val="3"/>
        </w:numPr>
      </w:pPr>
      <w:r>
        <w:rPr>
          <w:b/>
          <w:bCs/>
        </w:rPr>
        <w:t xml:space="preserve">Agent Reporting (6 controls): </w:t>
      </w:r>
      <w:r>
        <w:t xml:space="preserve">Inventory, monitoring, cost management</w:t>
      </w:r>
    </w:p>
    <w:p>
      <w:pPr>
        <w:pStyle w:val="ListParagraph"/>
        <w:numPr>
          <w:ilvl w:val="0"/>
          <w:numId w:val="3"/>
        </w:numPr>
      </w:pPr>
      <w:r>
        <w:rPr>
          <w:b/>
          <w:bCs/>
        </w:rPr>
        <w:t xml:space="preserve">SharePoint Advanced Management (5 controls): </w:t>
      </w:r>
      <w:r>
        <w:t xml:space="preserve">RCD, access reviews, sharing</w:t>
      </w:r>
    </w:p>
    <w:p>
      <w:pPr>
        <w:pStyle w:val="Heading1"/>
      </w:pPr>
      <w:r>
        <w:t xml:space="preserve">Zone Governance Model</w:t>
      </w:r>
    </w:p>
    <w:p>
      <w:r>
        <w:t xml:space="preserve">The zone model provides graduated governance based on agent risk and scope. Each zone has progressively stricter controls, implemented through Environment Groups with locked rules.</w:t>
      </w:r>
    </w:p>
    <w:p>
      <w:pPr>
        <w:pStyle w:val="Heading2"/>
      </w:pPr>
      <w:r>
        <w:t xml:space="preserve">Zone 1: Personal Productivity</w:t>
      </w:r>
    </w:p>
    <w:p>
      <w:pPr>
        <w:pStyle w:val="ListParagraph"/>
        <w:numPr>
          <w:ilvl w:val="0"/>
          <w:numId w:val="2"/>
        </w:numPr>
      </w:pPr>
      <w:r>
        <w:rPr>
          <w:b/>
          <w:bCs/>
        </w:rPr>
        <w:t xml:space="preserve">Purpose: </w:t>
      </w:r>
      <w:r>
        <w:t xml:space="preserve">Individual experimentation and personal productivity</w:t>
      </w:r>
    </w:p>
    <w:p>
      <w:pPr>
        <w:pStyle w:val="ListParagraph"/>
        <w:numPr>
          <w:ilvl w:val="0"/>
          <w:numId w:val="2"/>
        </w:numPr>
      </w:pPr>
      <w:r>
        <w:rPr>
          <w:b/>
          <w:bCs/>
        </w:rPr>
        <w:t xml:space="preserve">Risk Level: </w:t>
      </w:r>
      <w:r>
        <w:t xml:space="preserve">Low</w:t>
      </w:r>
    </w:p>
    <w:p>
      <w:pPr>
        <w:pStyle w:val="ListParagraph"/>
        <w:numPr>
          <w:ilvl w:val="0"/>
          <w:numId w:val="2"/>
        </w:numPr>
      </w:pPr>
      <w:r>
        <w:rPr>
          <w:b/>
          <w:bCs/>
        </w:rPr>
        <w:t xml:space="preserve">Sharing: </w:t>
      </w:r>
      <w:r>
        <w:t xml:space="preserve">Disabled or creator-only</w:t>
      </w:r>
    </w:p>
    <w:p>
      <w:pPr>
        <w:pStyle w:val="ListParagraph"/>
        <w:numPr>
          <w:ilvl w:val="0"/>
          <w:numId w:val="2"/>
        </w:numPr>
      </w:pPr>
      <w:r>
        <w:rPr>
          <w:b/>
          <w:bCs/>
        </w:rPr>
        <w:t xml:space="preserve">Channels: </w:t>
      </w:r>
      <w:r>
        <w:t xml:space="preserve">M365 Copilot only</w:t>
      </w:r>
    </w:p>
    <w:p>
      <w:pPr>
        <w:pStyle w:val="ListParagraph"/>
        <w:numPr>
          <w:ilvl w:val="0"/>
          <w:numId w:val="2"/>
        </w:numPr>
      </w:pPr>
      <w:r>
        <w:rPr>
          <w:b/>
          <w:bCs/>
        </w:rPr>
        <w:t xml:space="preserve">Governance: </w:t>
      </w:r>
      <w:r>
        <w:t xml:space="preserve">Self-service with baseline controls</w:t>
      </w:r>
    </w:p>
    <w:p>
      <w:pPr>
        <w:pStyle w:val="Heading2"/>
      </w:pPr>
      <w:r>
        <w:t xml:space="preserve">Zone 2: Team Collaboration</w:t>
      </w:r>
    </w:p>
    <w:p>
      <w:pPr>
        <w:pStyle w:val="ListParagraph"/>
        <w:numPr>
          <w:ilvl w:val="0"/>
          <w:numId w:val="2"/>
        </w:numPr>
      </w:pPr>
      <w:r>
        <w:rPr>
          <w:b/>
          <w:bCs/>
        </w:rPr>
        <w:t xml:space="preserve">Purpose: </w:t>
      </w:r>
      <w:r>
        <w:t xml:space="preserve">Department-level agents shared with teams</w:t>
      </w:r>
    </w:p>
    <w:p>
      <w:pPr>
        <w:pStyle w:val="ListParagraph"/>
        <w:numPr>
          <w:ilvl w:val="0"/>
          <w:numId w:val="2"/>
        </w:numPr>
      </w:pPr>
      <w:r>
        <w:rPr>
          <w:b/>
          <w:bCs/>
        </w:rPr>
        <w:t xml:space="preserve">Risk Level: </w:t>
      </w:r>
      <w:r>
        <w:t xml:space="preserve">Medium</w:t>
      </w:r>
    </w:p>
    <w:p>
      <w:pPr>
        <w:pStyle w:val="ListParagraph"/>
        <w:numPr>
          <w:ilvl w:val="0"/>
          <w:numId w:val="2"/>
        </w:numPr>
      </w:pPr>
      <w:r>
        <w:rPr>
          <w:b/>
          <w:bCs/>
        </w:rPr>
        <w:t xml:space="preserve">Sharing: </w:t>
      </w:r>
      <w:r>
        <w:t xml:space="preserve">Security group limited</w:t>
      </w:r>
    </w:p>
    <w:p>
      <w:pPr>
        <w:pStyle w:val="ListParagraph"/>
        <w:numPr>
          <w:ilvl w:val="0"/>
          <w:numId w:val="2"/>
        </w:numPr>
      </w:pPr>
      <w:r>
        <w:rPr>
          <w:b/>
          <w:bCs/>
        </w:rPr>
        <w:t xml:space="preserve">Channels: </w:t>
      </w:r>
      <w:r>
        <w:t xml:space="preserve">Internal channels (Teams, SharePoint)</w:t>
      </w:r>
    </w:p>
    <w:p>
      <w:pPr>
        <w:pStyle w:val="ListParagraph"/>
        <w:numPr>
          <w:ilvl w:val="0"/>
          <w:numId w:val="2"/>
        </w:numPr>
      </w:pPr>
      <w:r>
        <w:rPr>
          <w:b/>
          <w:bCs/>
        </w:rPr>
        <w:t xml:space="preserve">Governance: </w:t>
      </w:r>
      <w:r>
        <w:t xml:space="preserve">Team-managed with CoE oversight</w:t>
      </w:r>
    </w:p>
    <w:p>
      <w:pPr>
        <w:pStyle w:val="Heading2"/>
      </w:pPr>
      <w:r>
        <w:t xml:space="preserve">Zone 3: Enterprise Managed</w:t>
      </w:r>
    </w:p>
    <w:p>
      <w:pPr>
        <w:pStyle w:val="ListParagraph"/>
        <w:numPr>
          <w:ilvl w:val="0"/>
          <w:numId w:val="2"/>
        </w:numPr>
      </w:pPr>
      <w:r>
        <w:rPr>
          <w:b/>
          <w:bCs/>
        </w:rPr>
        <w:t xml:space="preserve">Purpose: </w:t>
      </w:r>
      <w:r>
        <w:t xml:space="preserve">Organization-wide, customer-facing, or sensitive agents</w:t>
      </w:r>
    </w:p>
    <w:p>
      <w:pPr>
        <w:pStyle w:val="ListParagraph"/>
        <w:numPr>
          <w:ilvl w:val="0"/>
          <w:numId w:val="2"/>
        </w:numPr>
      </w:pPr>
      <w:r>
        <w:rPr>
          <w:b/>
          <w:bCs/>
        </w:rPr>
        <w:t xml:space="preserve">Risk Level: </w:t>
      </w:r>
      <w:r>
        <w:t xml:space="preserve">High</w:t>
      </w:r>
    </w:p>
    <w:p>
      <w:pPr>
        <w:pStyle w:val="ListParagraph"/>
        <w:numPr>
          <w:ilvl w:val="0"/>
          <w:numId w:val="2"/>
        </w:numPr>
      </w:pPr>
      <w:r>
        <w:rPr>
          <w:b/>
          <w:bCs/>
        </w:rPr>
        <w:t xml:space="preserve">Sharing: </w:t>
      </w:r>
      <w:r>
        <w:t xml:space="preserve">Admin-controlled only</w:t>
      </w:r>
    </w:p>
    <w:p>
      <w:pPr>
        <w:pStyle w:val="ListParagraph"/>
        <w:numPr>
          <w:ilvl w:val="0"/>
          <w:numId w:val="2"/>
        </w:numPr>
      </w:pPr>
      <w:r>
        <w:rPr>
          <w:b/>
          <w:bCs/>
        </w:rPr>
        <w:t xml:space="preserve">Channels: </w:t>
      </w:r>
      <w:r>
        <w:t xml:space="preserve">Approved channels with change control</w:t>
      </w:r>
    </w:p>
    <w:p>
      <w:pPr>
        <w:pStyle w:val="ListParagraph"/>
        <w:numPr>
          <w:ilvl w:val="0"/>
          <w:numId w:val="2"/>
        </w:numPr>
      </w:pPr>
      <w:r>
        <w:rPr>
          <w:b/>
          <w:bCs/>
        </w:rPr>
        <w:t xml:space="preserve">Governance: </w:t>
      </w:r>
      <w:r>
        <w:t xml:space="preserve">IT-managed with full governance stack</w:t>
      </w:r>
    </w:p>
    <w:p>
      <w:r>
        <w:br w:type="page"/>
      </w:r>
    </w:p>
    <w:p>
      <w:pPr>
        <w:pStyle w:val="Heading1"/>
      </w:pPr>
      <w:r>
        <w:t xml:space="preserve">Pillar 1: Security Controls</w:t>
      </w:r>
    </w:p>
    <w:p>
      <w:r>
        <w:t xml:space="preserve">Security Controls provide the foundation for protecting organizational data and ensuring agents operate within defined boundaries. These 18 controls span authentication, data protection, audit, and compliance monitoring.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1F4E79" w:val="clear"/>
          </w:tcPr>
          <w:p>
            <w:r>
              <w:rPr>
                <w:b/>
                <w:bCs/>
                <w:color w:val="FFFFFF"/>
              </w:rPr>
              <w:t xml:space="preserve">Control Name</w:t>
            </w:r>
          </w:p>
        </w:tc>
      </w:tr>
      <w:tr>
        <w:tc>
          <w:tcPr>
            <w:tcW w:type="dxa" w:w="1200"/>
            <w:tcBorders>
              <w:top w:val="single" w:color="CCCCCC" w:sz="1"/>
              <w:left w:val="single" w:color="CCCCCC" w:sz="1"/>
              <w:bottom w:val="single" w:color="CCCCCC" w:sz="1"/>
              <w:right w:val="single" w:color="CCCCCC" w:sz="1"/>
            </w:tcBorders>
          </w:tcPr>
          <w:p>
            <w:r>
              <w:t xml:space="preserve">1.1</w:t>
            </w:r>
          </w:p>
        </w:tc>
        <w:tc>
          <w:tcPr>
            <w:tcW w:type="dxa" w:w="8160"/>
            <w:tcBorders>
              <w:top w:val="single" w:color="CCCCCC" w:sz="1"/>
              <w:left w:val="single" w:color="CCCCCC" w:sz="1"/>
              <w:bottom w:val="single" w:color="CCCCCC" w:sz="1"/>
              <w:right w:val="single" w:color="CCCCCC" w:sz="1"/>
            </w:tcBorders>
          </w:tcPr>
          <w:p>
            <w:r>
              <w:t xml:space="preserve">Restrict Agent Publishing by Authorization</w:t>
            </w:r>
          </w:p>
        </w:tc>
      </w:tr>
      <w:tr>
        <w:tc>
          <w:tcPr>
            <w:tcW w:type="dxa" w:w="1200"/>
            <w:tcBorders>
              <w:top w:val="single" w:color="CCCCCC" w:sz="1"/>
              <w:left w:val="single" w:color="CCCCCC" w:sz="1"/>
              <w:bottom w:val="single" w:color="CCCCCC" w:sz="1"/>
              <w:right w:val="single" w:color="CCCCCC" w:sz="1"/>
            </w:tcBorders>
            <w:shd w:fill="F2F2F2" w:val="clear"/>
          </w:tcPr>
          <w:p>
            <w:r>
              <w:t xml:space="preserve">1.2</w:t>
            </w:r>
          </w:p>
        </w:tc>
        <w:tc>
          <w:tcPr>
            <w:tcW w:type="dxa" w:w="8160"/>
            <w:tcBorders>
              <w:top w:val="single" w:color="CCCCCC" w:sz="1"/>
              <w:left w:val="single" w:color="CCCCCC" w:sz="1"/>
              <w:bottom w:val="single" w:color="CCCCCC" w:sz="1"/>
              <w:right w:val="single" w:color="CCCCCC" w:sz="1"/>
            </w:tcBorders>
            <w:shd w:fill="F2F2F2" w:val="clear"/>
          </w:tcPr>
          <w:p>
            <w:r>
              <w:t xml:space="preserve">Agent Registry and Integrated Apps Management</w:t>
            </w:r>
          </w:p>
        </w:tc>
      </w:tr>
      <w:tr>
        <w:tc>
          <w:tcPr>
            <w:tcW w:type="dxa" w:w="1200"/>
            <w:tcBorders>
              <w:top w:val="single" w:color="CCCCCC" w:sz="1"/>
              <w:left w:val="single" w:color="CCCCCC" w:sz="1"/>
              <w:bottom w:val="single" w:color="CCCCCC" w:sz="1"/>
              <w:right w:val="single" w:color="CCCCCC" w:sz="1"/>
            </w:tcBorders>
          </w:tcPr>
          <w:p>
            <w:r>
              <w:t xml:space="preserve">1.3</w:t>
            </w:r>
          </w:p>
        </w:tc>
        <w:tc>
          <w:tcPr>
            <w:tcW w:type="dxa" w:w="8160"/>
            <w:tcBorders>
              <w:top w:val="single" w:color="CCCCCC" w:sz="1"/>
              <w:left w:val="single" w:color="CCCCCC" w:sz="1"/>
              <w:bottom w:val="single" w:color="CCCCCC" w:sz="1"/>
              <w:right w:val="single" w:color="CCCCCC" w:sz="1"/>
            </w:tcBorders>
          </w:tcPr>
          <w:p>
            <w:r>
              <w:t xml:space="preserve">SharePoint Content Governance and Permissions</w:t>
            </w:r>
          </w:p>
        </w:tc>
      </w:tr>
      <w:tr>
        <w:tc>
          <w:tcPr>
            <w:tcW w:type="dxa" w:w="1200"/>
            <w:tcBorders>
              <w:top w:val="single" w:color="CCCCCC" w:sz="1"/>
              <w:left w:val="single" w:color="CCCCCC" w:sz="1"/>
              <w:bottom w:val="single" w:color="CCCCCC" w:sz="1"/>
              <w:right w:val="single" w:color="CCCCCC" w:sz="1"/>
            </w:tcBorders>
            <w:shd w:fill="F2F2F2" w:val="clear"/>
          </w:tcPr>
          <w:p>
            <w:r>
              <w:t xml:space="preserve">1.4</w:t>
            </w:r>
          </w:p>
        </w:tc>
        <w:tc>
          <w:tcPr>
            <w:tcW w:type="dxa" w:w="8160"/>
            <w:tcBorders>
              <w:top w:val="single" w:color="CCCCCC" w:sz="1"/>
              <w:left w:val="single" w:color="CCCCCC" w:sz="1"/>
              <w:bottom w:val="single" w:color="CCCCCC" w:sz="1"/>
              <w:right w:val="single" w:color="CCCCCC" w:sz="1"/>
            </w:tcBorders>
            <w:shd w:fill="F2F2F2" w:val="clear"/>
          </w:tcPr>
          <w:p>
            <w:r>
              <w:t xml:space="preserve">Advanced Connector Policies (ACP)</w:t>
            </w:r>
          </w:p>
        </w:tc>
      </w:tr>
      <w:tr>
        <w:tc>
          <w:tcPr>
            <w:tcW w:type="dxa" w:w="1200"/>
            <w:tcBorders>
              <w:top w:val="single" w:color="CCCCCC" w:sz="1"/>
              <w:left w:val="single" w:color="CCCCCC" w:sz="1"/>
              <w:bottom w:val="single" w:color="CCCCCC" w:sz="1"/>
              <w:right w:val="single" w:color="CCCCCC" w:sz="1"/>
            </w:tcBorders>
          </w:tcPr>
          <w:p>
            <w:r>
              <w:t xml:space="preserve">1.5</w:t>
            </w:r>
          </w:p>
        </w:tc>
        <w:tc>
          <w:tcPr>
            <w:tcW w:type="dxa" w:w="8160"/>
            <w:tcBorders>
              <w:top w:val="single" w:color="CCCCCC" w:sz="1"/>
              <w:left w:val="single" w:color="CCCCCC" w:sz="1"/>
              <w:bottom w:val="single" w:color="CCCCCC" w:sz="1"/>
              <w:right w:val="single" w:color="CCCCCC" w:sz="1"/>
            </w:tcBorders>
          </w:tcPr>
          <w:p>
            <w:r>
              <w:t xml:space="preserve">Data Loss Prevention (DLP) and Sensitivity Labels</w:t>
            </w:r>
          </w:p>
        </w:tc>
      </w:tr>
      <w:tr>
        <w:tc>
          <w:tcPr>
            <w:tcW w:type="dxa" w:w="1200"/>
            <w:tcBorders>
              <w:top w:val="single" w:color="CCCCCC" w:sz="1"/>
              <w:left w:val="single" w:color="CCCCCC" w:sz="1"/>
              <w:bottom w:val="single" w:color="CCCCCC" w:sz="1"/>
              <w:right w:val="single" w:color="CCCCCC" w:sz="1"/>
            </w:tcBorders>
            <w:shd w:fill="F2F2F2" w:val="clear"/>
          </w:tcPr>
          <w:p>
            <w:r>
              <w:t xml:space="preserve">1.6</w:t>
            </w:r>
          </w:p>
        </w:tc>
        <w:tc>
          <w:tcPr>
            <w:tcW w:type="dxa" w:w="8160"/>
            <w:tcBorders>
              <w:top w:val="single" w:color="CCCCCC" w:sz="1"/>
              <w:left w:val="single" w:color="CCCCCC" w:sz="1"/>
              <w:bottom w:val="single" w:color="CCCCCC" w:sz="1"/>
              <w:right w:val="single" w:color="CCCCCC" w:sz="1"/>
            </w:tcBorders>
            <w:shd w:fill="F2F2F2" w:val="clear"/>
          </w:tcPr>
          <w:p>
            <w:r>
              <w:t xml:space="preserve">Microsoft Purview: DSPM for AI</w:t>
            </w:r>
          </w:p>
        </w:tc>
      </w:tr>
      <w:tr>
        <w:tc>
          <w:tcPr>
            <w:tcW w:type="dxa" w:w="1200"/>
            <w:tcBorders>
              <w:top w:val="single" w:color="CCCCCC" w:sz="1"/>
              <w:left w:val="single" w:color="CCCCCC" w:sz="1"/>
              <w:bottom w:val="single" w:color="CCCCCC" w:sz="1"/>
              <w:right w:val="single" w:color="CCCCCC" w:sz="1"/>
            </w:tcBorders>
          </w:tcPr>
          <w:p>
            <w:r>
              <w:t xml:space="preserve">1.7</w:t>
            </w:r>
          </w:p>
        </w:tc>
        <w:tc>
          <w:tcPr>
            <w:tcW w:type="dxa" w:w="8160"/>
            <w:tcBorders>
              <w:top w:val="single" w:color="CCCCCC" w:sz="1"/>
              <w:left w:val="single" w:color="CCCCCC" w:sz="1"/>
              <w:bottom w:val="single" w:color="CCCCCC" w:sz="1"/>
              <w:right w:val="single" w:color="CCCCCC" w:sz="1"/>
            </w:tcBorders>
          </w:tcPr>
          <w:p>
            <w:r>
              <w:t xml:space="preserve">Comprehensive Audit Logging and Compliance</w:t>
            </w:r>
          </w:p>
        </w:tc>
      </w:tr>
      <w:tr>
        <w:tc>
          <w:tcPr>
            <w:tcW w:type="dxa" w:w="1200"/>
            <w:tcBorders>
              <w:top w:val="single" w:color="CCCCCC" w:sz="1"/>
              <w:left w:val="single" w:color="CCCCCC" w:sz="1"/>
              <w:bottom w:val="single" w:color="CCCCCC" w:sz="1"/>
              <w:right w:val="single" w:color="CCCCCC" w:sz="1"/>
            </w:tcBorders>
            <w:shd w:fill="F2F2F2" w:val="clear"/>
          </w:tcPr>
          <w:p>
            <w:r>
              <w:t xml:space="preserve">1.8</w:t>
            </w:r>
          </w:p>
        </w:tc>
        <w:tc>
          <w:tcPr>
            <w:tcW w:type="dxa" w:w="8160"/>
            <w:tcBorders>
              <w:top w:val="single" w:color="CCCCCC" w:sz="1"/>
              <w:left w:val="single" w:color="CCCCCC" w:sz="1"/>
              <w:bottom w:val="single" w:color="CCCCCC" w:sz="1"/>
              <w:right w:val="single" w:color="CCCCCC" w:sz="1"/>
            </w:tcBorders>
            <w:shd w:fill="F2F2F2" w:val="clear"/>
          </w:tcPr>
          <w:p>
            <w:r>
              <w:t xml:space="preserve">Runtime Protection and External Threat Detection</w:t>
            </w:r>
          </w:p>
        </w:tc>
      </w:tr>
      <w:tr>
        <w:tc>
          <w:tcPr>
            <w:tcW w:type="dxa" w:w="1200"/>
            <w:tcBorders>
              <w:top w:val="single" w:color="CCCCCC" w:sz="1"/>
              <w:left w:val="single" w:color="CCCCCC" w:sz="1"/>
              <w:bottom w:val="single" w:color="CCCCCC" w:sz="1"/>
              <w:right w:val="single" w:color="CCCCCC" w:sz="1"/>
            </w:tcBorders>
          </w:tcPr>
          <w:p>
            <w:r>
              <w:t xml:space="preserve">1.9</w:t>
            </w:r>
          </w:p>
        </w:tc>
        <w:tc>
          <w:tcPr>
            <w:tcW w:type="dxa" w:w="8160"/>
            <w:tcBorders>
              <w:top w:val="single" w:color="CCCCCC" w:sz="1"/>
              <w:left w:val="single" w:color="CCCCCC" w:sz="1"/>
              <w:bottom w:val="single" w:color="CCCCCC" w:sz="1"/>
              <w:right w:val="single" w:color="CCCCCC" w:sz="1"/>
            </w:tcBorders>
          </w:tcPr>
          <w:p>
            <w:r>
              <w:t xml:space="preserve">Data Retention and Deletion Policies</w:t>
            </w:r>
          </w:p>
        </w:tc>
      </w:tr>
      <w:tr>
        <w:tc>
          <w:tcPr>
            <w:tcW w:type="dxa" w:w="1200"/>
            <w:tcBorders>
              <w:top w:val="single" w:color="CCCCCC" w:sz="1"/>
              <w:left w:val="single" w:color="CCCCCC" w:sz="1"/>
              <w:bottom w:val="single" w:color="CCCCCC" w:sz="1"/>
              <w:right w:val="single" w:color="CCCCCC" w:sz="1"/>
            </w:tcBorders>
            <w:shd w:fill="F2F2F2" w:val="clear"/>
          </w:tcPr>
          <w:p>
            <w:r>
              <w:t xml:space="preserve">1.10</w:t>
            </w:r>
          </w:p>
        </w:tc>
        <w:tc>
          <w:tcPr>
            <w:tcW w:type="dxa" w:w="8160"/>
            <w:tcBorders>
              <w:top w:val="single" w:color="CCCCCC" w:sz="1"/>
              <w:left w:val="single" w:color="CCCCCC" w:sz="1"/>
              <w:bottom w:val="single" w:color="CCCCCC" w:sz="1"/>
              <w:right w:val="single" w:color="CCCCCC" w:sz="1"/>
            </w:tcBorders>
            <w:shd w:fill="F2F2F2" w:val="clear"/>
          </w:tcPr>
          <w:p>
            <w:r>
              <w:t xml:space="preserve">Communication Compliance for Copilot Studio</w:t>
            </w:r>
          </w:p>
        </w:tc>
      </w:tr>
      <w:tr>
        <w:tc>
          <w:tcPr>
            <w:tcW w:type="dxa" w:w="1200"/>
            <w:tcBorders>
              <w:top w:val="single" w:color="CCCCCC" w:sz="1"/>
              <w:left w:val="single" w:color="CCCCCC" w:sz="1"/>
              <w:bottom w:val="single" w:color="CCCCCC" w:sz="1"/>
              <w:right w:val="single" w:color="CCCCCC" w:sz="1"/>
            </w:tcBorders>
          </w:tcPr>
          <w:p>
            <w:r>
              <w:t xml:space="preserve">1.11</w:t>
            </w:r>
          </w:p>
        </w:tc>
        <w:tc>
          <w:tcPr>
            <w:tcW w:type="dxa" w:w="8160"/>
            <w:tcBorders>
              <w:top w:val="single" w:color="CCCCCC" w:sz="1"/>
              <w:left w:val="single" w:color="CCCCCC" w:sz="1"/>
              <w:bottom w:val="single" w:color="CCCCCC" w:sz="1"/>
              <w:right w:val="single" w:color="CCCCCC" w:sz="1"/>
            </w:tcBorders>
          </w:tcPr>
          <w:p>
            <w:r>
              <w:t xml:space="preserve">Authentication Controls (Require Entra ID)</w:t>
            </w:r>
          </w:p>
        </w:tc>
      </w:tr>
      <w:tr>
        <w:tc>
          <w:tcPr>
            <w:tcW w:type="dxa" w:w="1200"/>
            <w:tcBorders>
              <w:top w:val="single" w:color="CCCCCC" w:sz="1"/>
              <w:left w:val="single" w:color="CCCCCC" w:sz="1"/>
              <w:bottom w:val="single" w:color="CCCCCC" w:sz="1"/>
              <w:right w:val="single" w:color="CCCCCC" w:sz="1"/>
            </w:tcBorders>
            <w:shd w:fill="F2F2F2" w:val="clear"/>
          </w:tcPr>
          <w:p>
            <w:r>
              <w:t xml:space="preserve">1.12</w:t>
            </w:r>
          </w:p>
        </w:tc>
        <w:tc>
          <w:tcPr>
            <w:tcW w:type="dxa" w:w="8160"/>
            <w:tcBorders>
              <w:top w:val="single" w:color="CCCCCC" w:sz="1"/>
              <w:left w:val="single" w:color="CCCCCC" w:sz="1"/>
              <w:bottom w:val="single" w:color="CCCCCC" w:sz="1"/>
              <w:right w:val="single" w:color="CCCCCC" w:sz="1"/>
            </w:tcBorders>
            <w:shd w:fill="F2F2F2" w:val="clear"/>
          </w:tcPr>
          <w:p>
            <w:r>
              <w:t xml:space="preserve">Insider Risk Management for AI</w:t>
            </w:r>
          </w:p>
        </w:tc>
      </w:tr>
      <w:tr>
        <w:tc>
          <w:tcPr>
            <w:tcW w:type="dxa" w:w="1200"/>
            <w:tcBorders>
              <w:top w:val="single" w:color="CCCCCC" w:sz="1"/>
              <w:left w:val="single" w:color="CCCCCC" w:sz="1"/>
              <w:bottom w:val="single" w:color="CCCCCC" w:sz="1"/>
              <w:right w:val="single" w:color="CCCCCC" w:sz="1"/>
            </w:tcBorders>
          </w:tcPr>
          <w:p>
            <w:r>
              <w:t xml:space="preserve">1.13</w:t>
            </w:r>
          </w:p>
        </w:tc>
        <w:tc>
          <w:tcPr>
            <w:tcW w:type="dxa" w:w="8160"/>
            <w:tcBorders>
              <w:top w:val="single" w:color="CCCCCC" w:sz="1"/>
              <w:left w:val="single" w:color="CCCCCC" w:sz="1"/>
              <w:bottom w:val="single" w:color="CCCCCC" w:sz="1"/>
              <w:right w:val="single" w:color="CCCCCC" w:sz="1"/>
            </w:tcBorders>
          </w:tcPr>
          <w:p>
            <w:r>
              <w:t xml:space="preserve">eDiscovery for AI Interactions</w:t>
            </w:r>
          </w:p>
        </w:tc>
      </w:tr>
      <w:tr>
        <w:tc>
          <w:tcPr>
            <w:tcW w:type="dxa" w:w="1200"/>
            <w:tcBorders>
              <w:top w:val="single" w:color="CCCCCC" w:sz="1"/>
              <w:left w:val="single" w:color="CCCCCC" w:sz="1"/>
              <w:bottom w:val="single" w:color="CCCCCC" w:sz="1"/>
              <w:right w:val="single" w:color="CCCCCC" w:sz="1"/>
            </w:tcBorders>
            <w:shd w:fill="F2F2F2" w:val="clear"/>
          </w:tcPr>
          <w:p>
            <w:r>
              <w:t xml:space="preserve">1.14</w:t>
            </w:r>
          </w:p>
        </w:tc>
        <w:tc>
          <w:tcPr>
            <w:tcW w:type="dxa" w:w="8160"/>
            <w:tcBorders>
              <w:top w:val="single" w:color="CCCCCC" w:sz="1"/>
              <w:left w:val="single" w:color="CCCCCC" w:sz="1"/>
              <w:bottom w:val="single" w:color="CCCCCC" w:sz="1"/>
              <w:right w:val="single" w:color="CCCCCC" w:sz="1"/>
            </w:tcBorders>
            <w:shd w:fill="F2F2F2" w:val="clear"/>
          </w:tcPr>
          <w:p>
            <w:r>
              <w:t xml:space="preserve">Channel Publishing Controls</w:t>
            </w:r>
          </w:p>
        </w:tc>
      </w:tr>
      <w:tr>
        <w:tc>
          <w:tcPr>
            <w:tcW w:type="dxa" w:w="1200"/>
            <w:tcBorders>
              <w:top w:val="single" w:color="CCCCCC" w:sz="1"/>
              <w:left w:val="single" w:color="CCCCCC" w:sz="1"/>
              <w:bottom w:val="single" w:color="CCCCCC" w:sz="1"/>
              <w:right w:val="single" w:color="CCCCCC" w:sz="1"/>
            </w:tcBorders>
          </w:tcPr>
          <w:p>
            <w:r>
              <w:t xml:space="preserve">1.15</w:t>
            </w:r>
          </w:p>
        </w:tc>
        <w:tc>
          <w:tcPr>
            <w:tcW w:type="dxa" w:w="8160"/>
            <w:tcBorders>
              <w:top w:val="single" w:color="CCCCCC" w:sz="1"/>
              <w:left w:val="single" w:color="CCCCCC" w:sz="1"/>
              <w:bottom w:val="single" w:color="CCCCCC" w:sz="1"/>
              <w:right w:val="single" w:color="CCCCCC" w:sz="1"/>
            </w:tcBorders>
          </w:tcPr>
          <w:p>
            <w:r>
              <w:t xml:space="preserve">Agent Sharing Controls</w:t>
            </w:r>
          </w:p>
        </w:tc>
      </w:tr>
      <w:tr>
        <w:tc>
          <w:tcPr>
            <w:tcW w:type="dxa" w:w="1200"/>
            <w:tcBorders>
              <w:top w:val="single" w:color="CCCCCC" w:sz="1"/>
              <w:left w:val="single" w:color="CCCCCC" w:sz="1"/>
              <w:bottom w:val="single" w:color="CCCCCC" w:sz="1"/>
              <w:right w:val="single" w:color="CCCCCC" w:sz="1"/>
            </w:tcBorders>
            <w:shd w:fill="F2F2F2" w:val="clear"/>
          </w:tcPr>
          <w:p>
            <w:r>
              <w:t xml:space="preserve">1.16</w:t>
            </w:r>
          </w:p>
        </w:tc>
        <w:tc>
          <w:tcPr>
            <w:tcW w:type="dxa" w:w="8160"/>
            <w:tcBorders>
              <w:top w:val="single" w:color="CCCCCC" w:sz="1"/>
              <w:left w:val="single" w:color="CCCCCC" w:sz="1"/>
              <w:bottom w:val="single" w:color="CCCCCC" w:sz="1"/>
              <w:right w:val="single" w:color="CCCCCC" w:sz="1"/>
            </w:tcBorders>
            <w:shd w:fill="F2F2F2" w:val="clear"/>
          </w:tcPr>
          <w:p>
            <w:r>
              <w:t xml:space="preserve">Sensitivity Labels and Information Protection</w:t>
            </w:r>
          </w:p>
        </w:tc>
      </w:tr>
      <w:tr>
        <w:tc>
          <w:tcPr>
            <w:tcW w:type="dxa" w:w="1200"/>
            <w:tcBorders>
              <w:top w:val="single" w:color="CCCCCC" w:sz="1"/>
              <w:left w:val="single" w:color="CCCCCC" w:sz="1"/>
              <w:bottom w:val="single" w:color="CCCCCC" w:sz="1"/>
              <w:right w:val="single" w:color="CCCCCC" w:sz="1"/>
            </w:tcBorders>
          </w:tcPr>
          <w:p>
            <w:r>
              <w:t xml:space="preserve">1.17</w:t>
            </w:r>
          </w:p>
        </w:tc>
        <w:tc>
          <w:tcPr>
            <w:tcW w:type="dxa" w:w="8160"/>
            <w:tcBorders>
              <w:top w:val="single" w:color="CCCCCC" w:sz="1"/>
              <w:left w:val="single" w:color="CCCCCC" w:sz="1"/>
              <w:bottom w:val="single" w:color="CCCCCC" w:sz="1"/>
              <w:right w:val="single" w:color="CCCCCC" w:sz="1"/>
            </w:tcBorders>
          </w:tcPr>
          <w:p>
            <w:r>
              <w:t xml:space="preserve">Oversharing Assessments and Remediation</w:t>
            </w:r>
          </w:p>
        </w:tc>
      </w:tr>
      <w:tr>
        <w:tc>
          <w:tcPr>
            <w:tcW w:type="dxa" w:w="1200"/>
            <w:tcBorders>
              <w:top w:val="single" w:color="CCCCCC" w:sz="1"/>
              <w:left w:val="single" w:color="CCCCCC" w:sz="1"/>
              <w:bottom w:val="single" w:color="CCCCCC" w:sz="1"/>
              <w:right w:val="single" w:color="CCCCCC" w:sz="1"/>
            </w:tcBorders>
            <w:shd w:fill="F2F2F2" w:val="clear"/>
          </w:tcPr>
          <w:p>
            <w:r>
              <w:t xml:space="preserve">1.18</w:t>
            </w:r>
          </w:p>
        </w:tc>
        <w:tc>
          <w:tcPr>
            <w:tcW w:type="dxa" w:w="8160"/>
            <w:tcBorders>
              <w:top w:val="single" w:color="CCCCCC" w:sz="1"/>
              <w:left w:val="single" w:color="CCCCCC" w:sz="1"/>
              <w:bottom w:val="single" w:color="CCCCCC" w:sz="1"/>
              <w:right w:val="single" w:color="CCCCCC" w:sz="1"/>
            </w:tcBorders>
            <w:shd w:fill="F2F2F2" w:val="clear"/>
          </w:tcPr>
          <w:p>
            <w:r>
              <w:t xml:space="preserve">Conditional Access for Agent Access</w:t>
            </w:r>
          </w:p>
        </w:tc>
      </w:tr>
    </w:tbl>
    <w:p>
      <w:pPr>
        <w:pStyle w:val="Heading2"/>
        <w:spacing w:before="400"/>
      </w:pPr>
      <w:r>
        <w:t xml:space="preserve">Control 1.9: Data Retention and Deletion Policies (Updated December 2025)</w:t>
      </w:r>
    </w:p>
    <w:p>
      <w:r>
        <w:t xml:space="preserve">Data retention and deletion policies automatically retain or delete Copilot Studio interactions based on defined rules. Microsoft Purview Data Lifecycle Management now supports distinct retention locations for AI interactions, enabling granular policy application based on interaction type and source.</w:t>
      </w:r>
    </w:p>
    <w:p>
      <w:pPr>
        <w:pStyle w:val="Heading3"/>
      </w:pPr>
      <w:r>
        <w:t xml:space="preserve">December 2025 Purview Update: AI Retention Locations</w:t>
      </w:r>
    </w:p>
    <w:p>
      <w:r>
        <w:t xml:space="preserve">Microsoft Purview now distinguishes three separate retention locations for AI interactions. Each location requires independent policy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F4E79" w:val="clear"/>
          </w:tcPr>
          <w:p>
            <w:r>
              <w:rPr>
                <w:b/>
                <w:bCs/>
                <w:color w:val="FFFFFF"/>
              </w:rPr>
              <w:t xml:space="preserve">Location</w:t>
            </w:r>
          </w:p>
        </w:tc>
        <w:tc>
          <w:tcPr>
            <w:tcW w:type="dxa" w:w="3600"/>
            <w:tcBorders>
              <w:top w:val="single" w:color="CCCCCC" w:sz="1"/>
              <w:left w:val="single" w:color="CCCCCC" w:sz="1"/>
              <w:bottom w:val="single" w:color="CCCCCC" w:sz="1"/>
              <w:right w:val="single" w:color="CCCCCC" w:sz="1"/>
            </w:tcBorders>
            <w:shd w:fill="1F4E79" w:val="clear"/>
          </w:tcPr>
          <w:p>
            <w:r>
              <w:rPr>
                <w:b/>
                <w:bCs/>
                <w:color w:val="FFFFFF"/>
              </w:rPr>
              <w:t xml:space="preserve">Description</w:t>
            </w:r>
          </w:p>
        </w:tc>
        <w:tc>
          <w:tcPr>
            <w:tcW w:type="dxa" w:w="2960"/>
            <w:tcBorders>
              <w:top w:val="single" w:color="CCCCCC" w:sz="1"/>
              <w:left w:val="single" w:color="CCCCCC" w:sz="1"/>
              <w:bottom w:val="single" w:color="CCCCCC" w:sz="1"/>
              <w:right w:val="single" w:color="CCCCCC" w:sz="1"/>
            </w:tcBorders>
            <w:shd w:fill="1F4E79" w:val="clear"/>
          </w:tcPr>
          <w:p>
            <w:r>
              <w:rPr>
                <w:b/>
                <w:bCs/>
                <w:color w:val="FFFFFF"/>
              </w:rPr>
              <w:t xml:space="preserve">Examples</w:t>
            </w:r>
          </w:p>
        </w:tc>
      </w:tr>
      <w:tr>
        <w:tc>
          <w:tcPr>
            <w:tcW w:type="dxa" w:w="2800"/>
            <w:tcBorders>
              <w:top w:val="single" w:color="CCCCCC" w:sz="1"/>
              <w:left w:val="single" w:color="CCCCCC" w:sz="1"/>
              <w:bottom w:val="single" w:color="CCCCCC" w:sz="1"/>
              <w:right w:val="single" w:color="CCCCCC" w:sz="1"/>
            </w:tcBorders>
          </w:tcPr>
          <w:p>
            <w:r>
              <w:rPr>
                <w:b/>
                <w:bCs/>
              </w:rPr>
              <w:t xml:space="preserve">Microsoft Copilot experiences</w:t>
            </w:r>
          </w:p>
        </w:tc>
        <w:tc>
          <w:tcPr>
            <w:tcW w:type="dxa" w:w="3600"/>
            <w:tcBorders>
              <w:top w:val="single" w:color="CCCCCC" w:sz="1"/>
              <w:left w:val="single" w:color="CCCCCC" w:sz="1"/>
              <w:bottom w:val="single" w:color="CCCCCC" w:sz="1"/>
              <w:right w:val="single" w:color="CCCCCC" w:sz="1"/>
            </w:tcBorders>
          </w:tcPr>
          <w:p>
            <w:r>
              <w:t xml:space="preserve">User interactions with Microsoft 365 Copilot across productivity applications</w:t>
            </w:r>
          </w:p>
        </w:tc>
        <w:tc>
          <w:tcPr>
            <w:tcW w:type="dxa" w:w="2960"/>
            <w:tcBorders>
              <w:top w:val="single" w:color="CCCCCC" w:sz="1"/>
              <w:left w:val="single" w:color="CCCCCC" w:sz="1"/>
              <w:bottom w:val="single" w:color="CCCCCC" w:sz="1"/>
              <w:right w:val="single" w:color="CCCCCC" w:sz="1"/>
            </w:tcBorders>
          </w:tcPr>
          <w:p>
            <w:r>
              <w:t xml:space="preserve">M365 Copilot in Word, Excel, Teams, Outlook; Copilot Chat</w:t>
            </w:r>
          </w:p>
        </w:tc>
      </w:tr>
      <w:tr>
        <w:tc>
          <w:tcPr>
            <w:tcW w:type="dxa" w:w="2800"/>
            <w:tcBorders>
              <w:top w:val="single" w:color="CCCCCC" w:sz="1"/>
              <w:left w:val="single" w:color="CCCCCC" w:sz="1"/>
              <w:bottom w:val="single" w:color="CCCCCC" w:sz="1"/>
              <w:right w:val="single" w:color="CCCCCC" w:sz="1"/>
            </w:tcBorders>
            <w:shd w:fill="F2F2F2" w:val="clear"/>
          </w:tcPr>
          <w:p>
            <w:r>
              <w:rPr>
                <w:b/>
                <w:bCs/>
              </w:rPr>
              <w:t xml:space="preserve">Enterprise AI apps</w:t>
            </w:r>
          </w:p>
        </w:tc>
        <w:tc>
          <w:tcPr>
            <w:tcW w:type="dxa" w:w="3600"/>
            <w:tcBorders>
              <w:top w:val="single" w:color="CCCCCC" w:sz="1"/>
              <w:left w:val="single" w:color="CCCCCC" w:sz="1"/>
              <w:bottom w:val="single" w:color="CCCCCC" w:sz="1"/>
              <w:right w:val="single" w:color="CCCCCC" w:sz="1"/>
            </w:tcBorders>
            <w:shd w:fill="F2F2F2" w:val="clear"/>
          </w:tcPr>
          <w:p>
            <w:r>
              <w:t xml:space="preserve">Custom agent interactions built within organizational boundaries using approved platforms</w:t>
            </w:r>
          </w:p>
        </w:tc>
        <w:tc>
          <w:tcPr>
            <w:tcW w:type="dxa" w:w="2960"/>
            <w:tcBorders>
              <w:top w:val="single" w:color="CCCCCC" w:sz="1"/>
              <w:left w:val="single" w:color="CCCCCC" w:sz="1"/>
              <w:bottom w:val="single" w:color="CCCCCC" w:sz="1"/>
              <w:right w:val="single" w:color="CCCCCC" w:sz="1"/>
            </w:tcBorders>
            <w:shd w:fill="F2F2F2" w:val="clear"/>
          </w:tcPr>
          <w:p>
            <w:r>
              <w:t xml:space="preserve">Copilot Studio agents, Agent Builder agents, SharePoint agents</w:t>
            </w:r>
          </w:p>
        </w:tc>
      </w:tr>
      <w:tr>
        <w:tc>
          <w:tcPr>
            <w:tcW w:type="dxa" w:w="2800"/>
            <w:tcBorders>
              <w:top w:val="single" w:color="CCCCCC" w:sz="1"/>
              <w:left w:val="single" w:color="CCCCCC" w:sz="1"/>
              <w:bottom w:val="single" w:color="CCCCCC" w:sz="1"/>
              <w:right w:val="single" w:color="CCCCCC" w:sz="1"/>
            </w:tcBorders>
          </w:tcPr>
          <w:p>
            <w:r>
              <w:rPr>
                <w:b/>
                <w:bCs/>
              </w:rPr>
              <w:t xml:space="preserve">Other AI apps</w:t>
            </w:r>
          </w:p>
        </w:tc>
        <w:tc>
          <w:tcPr>
            <w:tcW w:type="dxa" w:w="3600"/>
            <w:tcBorders>
              <w:top w:val="single" w:color="CCCCCC" w:sz="1"/>
              <w:left w:val="single" w:color="CCCCCC" w:sz="1"/>
              <w:bottom w:val="single" w:color="CCCCCC" w:sz="1"/>
              <w:right w:val="single" w:color="CCCCCC" w:sz="1"/>
            </w:tcBorders>
          </w:tcPr>
          <w:p>
            <w:r>
              <w:t xml:space="preserve">Third-party AI extensions and integrations operating within the M365 ecosystem</w:t>
            </w:r>
          </w:p>
        </w:tc>
        <w:tc>
          <w:tcPr>
            <w:tcW w:type="dxa" w:w="2960"/>
            <w:tcBorders>
              <w:top w:val="single" w:color="CCCCCC" w:sz="1"/>
              <w:left w:val="single" w:color="CCCCCC" w:sz="1"/>
              <w:bottom w:val="single" w:color="CCCCCC" w:sz="1"/>
              <w:right w:val="single" w:color="CCCCCC" w:sz="1"/>
            </w:tcBorders>
          </w:tcPr>
          <w:p>
            <w:r>
              <w:t xml:space="preserve">Third-party plugins, custom API integrations, marketplace extensions</w:t>
            </w:r>
          </w:p>
        </w:tc>
      </w:tr>
    </w:tbl>
    <w:p>
      <w:pPr>
        <w:shd w:fill="FFF3CD" w:val="clear"/>
        <w:spacing w:before="200"/>
      </w:pPr>
      <w:r>
        <w:rPr>
          <w:b/>
          <w:bCs/>
        </w:rPr>
        <w:t xml:space="preserve">⚠️ IMPORTANT: </w:t>
      </w:r>
      <w:r>
        <w:t xml:space="preserve">Verify current Purview location definitions before configuring retention policies, as these categories are evolving. Check Microsoft Learn documentation for the latest location taxonomy and supported content types.</w:t>
      </w:r>
    </w:p>
    <w:p>
      <w:r>
        <w:br w:type="page"/>
      </w:r>
    </w:p>
    <w:p>
      <w:pPr>
        <w:pStyle w:val="Heading1"/>
      </w:pPr>
      <w:r>
        <w:t xml:space="preserve">Pillar 2: Management Controls</w:t>
      </w:r>
    </w:p>
    <w:p>
      <w:r>
        <w:t xml:space="preserve">Management Controls govern the agent lifecycle from creation through deployment and maintenance. These 14 controls ensure agents are built in governed environments with proper ALM practices.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1F4E79" w:val="clear"/>
          </w:tcPr>
          <w:p>
            <w:r>
              <w:rPr>
                <w:b/>
                <w:bCs/>
                <w:color w:val="FFFFFF"/>
              </w:rPr>
              <w:t xml:space="preserve">Control Name</w:t>
            </w:r>
          </w:p>
        </w:tc>
      </w:tr>
      <w:tr>
        <w:tc>
          <w:tcPr>
            <w:tcW w:type="dxa" w:w="1200"/>
            <w:tcBorders>
              <w:top w:val="single" w:color="CCCCCC" w:sz="1"/>
              <w:left w:val="single" w:color="CCCCCC" w:sz="1"/>
              <w:bottom w:val="single" w:color="CCCCCC" w:sz="1"/>
              <w:right w:val="single" w:color="CCCCCC" w:sz="1"/>
            </w:tcBorders>
          </w:tcPr>
          <w:p>
            <w:r>
              <w:t xml:space="preserve">2.1</w:t>
            </w:r>
          </w:p>
        </w:tc>
        <w:tc>
          <w:tcPr>
            <w:tcW w:type="dxa" w:w="8160"/>
            <w:tcBorders>
              <w:top w:val="single" w:color="CCCCCC" w:sz="1"/>
              <w:left w:val="single" w:color="CCCCCC" w:sz="1"/>
              <w:bottom w:val="single" w:color="CCCCCC" w:sz="1"/>
              <w:right w:val="single" w:color="CCCCCC" w:sz="1"/>
            </w:tcBorders>
          </w:tcPr>
          <w:p>
            <w:r>
              <w:t xml:space="preserve">Managed Environments</w:t>
            </w:r>
          </w:p>
        </w:tc>
      </w:tr>
      <w:tr>
        <w:tc>
          <w:tcPr>
            <w:tcW w:type="dxa" w:w="1200"/>
            <w:tcBorders>
              <w:top w:val="single" w:color="CCCCCC" w:sz="1"/>
              <w:left w:val="single" w:color="CCCCCC" w:sz="1"/>
              <w:bottom w:val="single" w:color="CCCCCC" w:sz="1"/>
              <w:right w:val="single" w:color="CCCCCC" w:sz="1"/>
            </w:tcBorders>
            <w:shd w:fill="F2F2F2" w:val="clear"/>
          </w:tcPr>
          <w:p>
            <w:r>
              <w:t xml:space="preserve">2.2</w:t>
            </w:r>
          </w:p>
        </w:tc>
        <w:tc>
          <w:tcPr>
            <w:tcW w:type="dxa" w:w="8160"/>
            <w:tcBorders>
              <w:top w:val="single" w:color="CCCCCC" w:sz="1"/>
              <w:left w:val="single" w:color="CCCCCC" w:sz="1"/>
              <w:bottom w:val="single" w:color="CCCCCC" w:sz="1"/>
              <w:right w:val="single" w:color="CCCCCC" w:sz="1"/>
            </w:tcBorders>
            <w:shd w:fill="F2F2F2" w:val="clear"/>
          </w:tcPr>
          <w:p>
            <w:r>
              <w:t xml:space="preserve">Environment Groups and Locked Rules</w:t>
            </w:r>
          </w:p>
        </w:tc>
      </w:tr>
      <w:tr>
        <w:tc>
          <w:tcPr>
            <w:tcW w:type="dxa" w:w="1200"/>
            <w:tcBorders>
              <w:top w:val="single" w:color="CCCCCC" w:sz="1"/>
              <w:left w:val="single" w:color="CCCCCC" w:sz="1"/>
              <w:bottom w:val="single" w:color="CCCCCC" w:sz="1"/>
              <w:right w:val="single" w:color="CCCCCC" w:sz="1"/>
            </w:tcBorders>
          </w:tcPr>
          <w:p>
            <w:r>
              <w:t xml:space="preserve">2.3</w:t>
            </w:r>
          </w:p>
        </w:tc>
        <w:tc>
          <w:tcPr>
            <w:tcW w:type="dxa" w:w="8160"/>
            <w:tcBorders>
              <w:top w:val="single" w:color="CCCCCC" w:sz="1"/>
              <w:left w:val="single" w:color="CCCCCC" w:sz="1"/>
              <w:bottom w:val="single" w:color="CCCCCC" w:sz="1"/>
              <w:right w:val="single" w:color="CCCCCC" w:sz="1"/>
            </w:tcBorders>
          </w:tcPr>
          <w:p>
            <w:r>
              <w:t xml:space="preserve">Environment Routing</w:t>
            </w:r>
          </w:p>
        </w:tc>
      </w:tr>
      <w:tr>
        <w:tc>
          <w:tcPr>
            <w:tcW w:type="dxa" w:w="1200"/>
            <w:tcBorders>
              <w:top w:val="single" w:color="CCCCCC" w:sz="1"/>
              <w:left w:val="single" w:color="CCCCCC" w:sz="1"/>
              <w:bottom w:val="single" w:color="CCCCCC" w:sz="1"/>
              <w:right w:val="single" w:color="CCCCCC" w:sz="1"/>
            </w:tcBorders>
            <w:shd w:fill="F2F2F2" w:val="clear"/>
          </w:tcPr>
          <w:p>
            <w:r>
              <w:t xml:space="preserve">2.4</w:t>
            </w:r>
          </w:p>
        </w:tc>
        <w:tc>
          <w:tcPr>
            <w:tcW w:type="dxa" w:w="8160"/>
            <w:tcBorders>
              <w:top w:val="single" w:color="CCCCCC" w:sz="1"/>
              <w:left w:val="single" w:color="CCCCCC" w:sz="1"/>
              <w:bottom w:val="single" w:color="CCCCCC" w:sz="1"/>
              <w:right w:val="single" w:color="CCCCCC" w:sz="1"/>
            </w:tcBorders>
            <w:shd w:fill="F2F2F2" w:val="clear"/>
          </w:tcPr>
          <w:p>
            <w:r>
              <w:t xml:space="preserve">Application Lifecycle Management (ALM) with Pipelines</w:t>
            </w:r>
          </w:p>
        </w:tc>
      </w:tr>
      <w:tr>
        <w:tc>
          <w:tcPr>
            <w:tcW w:type="dxa" w:w="1200"/>
            <w:tcBorders>
              <w:top w:val="single" w:color="CCCCCC" w:sz="1"/>
              <w:left w:val="single" w:color="CCCCCC" w:sz="1"/>
              <w:bottom w:val="single" w:color="CCCCCC" w:sz="1"/>
              <w:right w:val="single" w:color="CCCCCC" w:sz="1"/>
            </w:tcBorders>
          </w:tcPr>
          <w:p>
            <w:r>
              <w:t xml:space="preserve">2.5</w:t>
            </w:r>
          </w:p>
        </w:tc>
        <w:tc>
          <w:tcPr>
            <w:tcW w:type="dxa" w:w="8160"/>
            <w:tcBorders>
              <w:top w:val="single" w:color="CCCCCC" w:sz="1"/>
              <w:left w:val="single" w:color="CCCCCC" w:sz="1"/>
              <w:bottom w:val="single" w:color="CCCCCC" w:sz="1"/>
              <w:right w:val="single" w:color="CCCCCC" w:sz="1"/>
            </w:tcBorders>
          </w:tcPr>
          <w:p>
            <w:r>
              <w:t xml:space="preserve">Blocking Unmanaged Customizations</w:t>
            </w:r>
          </w:p>
        </w:tc>
      </w:tr>
      <w:tr>
        <w:tc>
          <w:tcPr>
            <w:tcW w:type="dxa" w:w="1200"/>
            <w:tcBorders>
              <w:top w:val="single" w:color="CCCCCC" w:sz="1"/>
              <w:left w:val="single" w:color="CCCCCC" w:sz="1"/>
              <w:bottom w:val="single" w:color="CCCCCC" w:sz="1"/>
              <w:right w:val="single" w:color="CCCCCC" w:sz="1"/>
            </w:tcBorders>
            <w:shd w:fill="F2F2F2" w:val="clear"/>
          </w:tcPr>
          <w:p>
            <w:r>
              <w:t xml:space="preserve">2.6</w:t>
            </w:r>
          </w:p>
        </w:tc>
        <w:tc>
          <w:tcPr>
            <w:tcW w:type="dxa" w:w="8160"/>
            <w:tcBorders>
              <w:top w:val="single" w:color="CCCCCC" w:sz="1"/>
              <w:left w:val="single" w:color="CCCCCC" w:sz="1"/>
              <w:bottom w:val="single" w:color="CCCCCC" w:sz="1"/>
              <w:right w:val="single" w:color="CCCCCC" w:sz="1"/>
            </w:tcBorders>
            <w:shd w:fill="F2F2F2" w:val="clear"/>
          </w:tcPr>
          <w:p>
            <w:r>
              <w:t xml:space="preserve">Maker Welcome Content and Training</w:t>
            </w:r>
          </w:p>
        </w:tc>
      </w:tr>
      <w:tr>
        <w:tc>
          <w:tcPr>
            <w:tcW w:type="dxa" w:w="1200"/>
            <w:tcBorders>
              <w:top w:val="single" w:color="CCCCCC" w:sz="1"/>
              <w:left w:val="single" w:color="CCCCCC" w:sz="1"/>
              <w:bottom w:val="single" w:color="CCCCCC" w:sz="1"/>
              <w:right w:val="single" w:color="CCCCCC" w:sz="1"/>
            </w:tcBorders>
          </w:tcPr>
          <w:p>
            <w:r>
              <w:t xml:space="preserve">2.7</w:t>
            </w:r>
          </w:p>
        </w:tc>
        <w:tc>
          <w:tcPr>
            <w:tcW w:type="dxa" w:w="8160"/>
            <w:tcBorders>
              <w:top w:val="single" w:color="CCCCCC" w:sz="1"/>
              <w:left w:val="single" w:color="CCCCCC" w:sz="1"/>
              <w:bottom w:val="single" w:color="CCCCCC" w:sz="1"/>
              <w:right w:val="single" w:color="CCCCCC" w:sz="1"/>
            </w:tcBorders>
          </w:tcPr>
          <w:p>
            <w:r>
              <w:t xml:space="preserve">Knowledge Source Controls</w:t>
            </w:r>
          </w:p>
        </w:tc>
      </w:tr>
      <w:tr>
        <w:tc>
          <w:tcPr>
            <w:tcW w:type="dxa" w:w="1200"/>
            <w:tcBorders>
              <w:top w:val="single" w:color="CCCCCC" w:sz="1"/>
              <w:left w:val="single" w:color="CCCCCC" w:sz="1"/>
              <w:bottom w:val="single" w:color="CCCCCC" w:sz="1"/>
              <w:right w:val="single" w:color="CCCCCC" w:sz="1"/>
            </w:tcBorders>
            <w:shd w:fill="F2F2F2" w:val="clear"/>
          </w:tcPr>
          <w:p>
            <w:r>
              <w:t xml:space="preserve">2.8</w:t>
            </w:r>
          </w:p>
        </w:tc>
        <w:tc>
          <w:tcPr>
            <w:tcW w:type="dxa" w:w="8160"/>
            <w:tcBorders>
              <w:top w:val="single" w:color="CCCCCC" w:sz="1"/>
              <w:left w:val="single" w:color="CCCCCC" w:sz="1"/>
              <w:bottom w:val="single" w:color="CCCCCC" w:sz="1"/>
              <w:right w:val="single" w:color="CCCCCC" w:sz="1"/>
            </w:tcBorders>
            <w:shd w:fill="F2F2F2" w:val="clear"/>
          </w:tcPr>
          <w:p>
            <w:r>
              <w:t xml:space="preserve">AI Prompts and Generative AI Settings</w:t>
            </w:r>
          </w:p>
        </w:tc>
      </w:tr>
      <w:tr>
        <w:tc>
          <w:tcPr>
            <w:tcW w:type="dxa" w:w="1200"/>
            <w:tcBorders>
              <w:top w:val="single" w:color="CCCCCC" w:sz="1"/>
              <w:left w:val="single" w:color="CCCCCC" w:sz="1"/>
              <w:bottom w:val="single" w:color="CCCCCC" w:sz="1"/>
              <w:right w:val="single" w:color="CCCCCC" w:sz="1"/>
            </w:tcBorders>
          </w:tcPr>
          <w:p>
            <w:r>
              <w:t xml:space="preserve">2.9</w:t>
            </w:r>
          </w:p>
        </w:tc>
        <w:tc>
          <w:tcPr>
            <w:tcW w:type="dxa" w:w="8160"/>
            <w:tcBorders>
              <w:top w:val="single" w:color="CCCCCC" w:sz="1"/>
              <w:left w:val="single" w:color="CCCCCC" w:sz="1"/>
              <w:bottom w:val="single" w:color="CCCCCC" w:sz="1"/>
              <w:right w:val="single" w:color="CCCCCC" w:sz="1"/>
            </w:tcBorders>
          </w:tcPr>
          <w:p>
            <w:r>
              <w:t xml:space="preserve">Transcript Retention Controls</w:t>
            </w:r>
          </w:p>
        </w:tc>
      </w:tr>
      <w:tr>
        <w:tc>
          <w:tcPr>
            <w:tcW w:type="dxa" w:w="1200"/>
            <w:tcBorders>
              <w:top w:val="single" w:color="CCCCCC" w:sz="1"/>
              <w:left w:val="single" w:color="CCCCCC" w:sz="1"/>
              <w:bottom w:val="single" w:color="CCCCCC" w:sz="1"/>
              <w:right w:val="single" w:color="CCCCCC" w:sz="1"/>
            </w:tcBorders>
            <w:shd w:fill="F2F2F2" w:val="clear"/>
          </w:tcPr>
          <w:p>
            <w:r>
              <w:t xml:space="preserve">2.10</w:t>
            </w:r>
          </w:p>
        </w:tc>
        <w:tc>
          <w:tcPr>
            <w:tcW w:type="dxa" w:w="8160"/>
            <w:tcBorders>
              <w:top w:val="single" w:color="CCCCCC" w:sz="1"/>
              <w:left w:val="single" w:color="CCCCCC" w:sz="1"/>
              <w:bottom w:val="single" w:color="CCCCCC" w:sz="1"/>
              <w:right w:val="single" w:color="CCCCCC" w:sz="1"/>
            </w:tcBorders>
            <w:shd w:fill="F2F2F2" w:val="clear"/>
          </w:tcPr>
          <w:p>
            <w:r>
              <w:t xml:space="preserve">Solution Checker Enforcement</w:t>
            </w:r>
          </w:p>
        </w:tc>
      </w:tr>
      <w:tr>
        <w:tc>
          <w:tcPr>
            <w:tcW w:type="dxa" w:w="1200"/>
            <w:tcBorders>
              <w:top w:val="single" w:color="CCCCCC" w:sz="1"/>
              <w:left w:val="single" w:color="CCCCCC" w:sz="1"/>
              <w:bottom w:val="single" w:color="CCCCCC" w:sz="1"/>
              <w:right w:val="single" w:color="CCCCCC" w:sz="1"/>
            </w:tcBorders>
          </w:tcPr>
          <w:p>
            <w:r>
              <w:t xml:space="preserve">2.11</w:t>
            </w:r>
          </w:p>
        </w:tc>
        <w:tc>
          <w:tcPr>
            <w:tcW w:type="dxa" w:w="8160"/>
            <w:tcBorders>
              <w:top w:val="single" w:color="CCCCCC" w:sz="1"/>
              <w:left w:val="single" w:color="CCCCCC" w:sz="1"/>
              <w:bottom w:val="single" w:color="CCCCCC" w:sz="1"/>
              <w:right w:val="single" w:color="CCCCCC" w:sz="1"/>
            </w:tcBorders>
          </w:tcPr>
          <w:p>
            <w:r>
              <w:t xml:space="preserve">Skills and Plugins Controls</w:t>
            </w:r>
          </w:p>
        </w:tc>
      </w:tr>
      <w:tr>
        <w:tc>
          <w:tcPr>
            <w:tcW w:type="dxa" w:w="1200"/>
            <w:tcBorders>
              <w:top w:val="single" w:color="CCCCCC" w:sz="1"/>
              <w:left w:val="single" w:color="CCCCCC" w:sz="1"/>
              <w:bottom w:val="single" w:color="CCCCCC" w:sz="1"/>
              <w:right w:val="single" w:color="CCCCCC" w:sz="1"/>
            </w:tcBorders>
            <w:shd w:fill="F2F2F2" w:val="clear"/>
          </w:tcPr>
          <w:p>
            <w:r>
              <w:t xml:space="preserve">2.12</w:t>
            </w:r>
          </w:p>
        </w:tc>
        <w:tc>
          <w:tcPr>
            <w:tcW w:type="dxa" w:w="8160"/>
            <w:tcBorders>
              <w:top w:val="single" w:color="CCCCCC" w:sz="1"/>
              <w:left w:val="single" w:color="CCCCCC" w:sz="1"/>
              <w:bottom w:val="single" w:color="CCCCCC" w:sz="1"/>
              <w:right w:val="single" w:color="CCCCCC" w:sz="1"/>
            </w:tcBorders>
            <w:shd w:fill="F2F2F2" w:val="clear"/>
          </w:tcPr>
          <w:p>
            <w:r>
              <w:t xml:space="preserve">Autonomous Agent Controls</w:t>
            </w:r>
          </w:p>
        </w:tc>
      </w:tr>
      <w:tr>
        <w:tc>
          <w:tcPr>
            <w:tcW w:type="dxa" w:w="1200"/>
            <w:tcBorders>
              <w:top w:val="single" w:color="CCCCCC" w:sz="1"/>
              <w:left w:val="single" w:color="CCCCCC" w:sz="1"/>
              <w:bottom w:val="single" w:color="CCCCCC" w:sz="1"/>
              <w:right w:val="single" w:color="CCCCCC" w:sz="1"/>
            </w:tcBorders>
          </w:tcPr>
          <w:p>
            <w:r>
              <w:t xml:space="preserve">2.13</w:t>
            </w:r>
          </w:p>
        </w:tc>
        <w:tc>
          <w:tcPr>
            <w:tcW w:type="dxa" w:w="8160"/>
            <w:tcBorders>
              <w:top w:val="single" w:color="CCCCCC" w:sz="1"/>
              <w:left w:val="single" w:color="CCCCCC" w:sz="1"/>
              <w:bottom w:val="single" w:color="CCCCCC" w:sz="1"/>
              <w:right w:val="single" w:color="CCCCCC" w:sz="1"/>
            </w:tcBorders>
          </w:tcPr>
          <w:p>
            <w:r>
              <w:t xml:space="preserve">Agent Authentication Rules (Environment Group)</w:t>
            </w:r>
          </w:p>
        </w:tc>
      </w:tr>
      <w:tr>
        <w:tc>
          <w:tcPr>
            <w:tcW w:type="dxa" w:w="1200"/>
            <w:tcBorders>
              <w:top w:val="single" w:color="CCCCCC" w:sz="1"/>
              <w:left w:val="single" w:color="CCCCCC" w:sz="1"/>
              <w:bottom w:val="single" w:color="CCCCCC" w:sz="1"/>
              <w:right w:val="single" w:color="CCCCCC" w:sz="1"/>
            </w:tcBorders>
            <w:shd w:fill="F2F2F2" w:val="clear"/>
          </w:tcPr>
          <w:p>
            <w:r>
              <w:t xml:space="preserve">2.14</w:t>
            </w:r>
          </w:p>
        </w:tc>
        <w:tc>
          <w:tcPr>
            <w:tcW w:type="dxa" w:w="8160"/>
            <w:tcBorders>
              <w:top w:val="single" w:color="CCCCCC" w:sz="1"/>
              <w:left w:val="single" w:color="CCCCCC" w:sz="1"/>
              <w:bottom w:val="single" w:color="CCCCCC" w:sz="1"/>
              <w:right w:val="single" w:color="CCCCCC" w:sz="1"/>
            </w:tcBorders>
            <w:shd w:fill="F2F2F2" w:val="clear"/>
          </w:tcPr>
          <w:p>
            <w:r>
              <w:t xml:space="preserve">Agent Channels Rules (Environment Group)</w:t>
            </w:r>
          </w:p>
        </w:tc>
      </w:tr>
    </w:tbl>
    <w:p>
      <w:r>
        <w:br w:type="page"/>
      </w:r>
    </w:p>
    <w:p>
      <w:pPr>
        <w:pStyle w:val="Heading1"/>
      </w:pPr>
      <w:r>
        <w:t xml:space="preserve">Pillar 3: Agent Reporting</w:t>
      </w:r>
    </w:p>
    <w:p>
      <w:r>
        <w:t xml:space="preserve">Agent Reporting provides visibility into agent inventory, health, costs, and ownership. These 6 controls ensure administrators have the information needed for governance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1F4E79" w:val="clear"/>
          </w:tcPr>
          <w:p>
            <w:r>
              <w:rPr>
                <w:b/>
                <w:bCs/>
                <w:color w:val="FFFFFF"/>
              </w:rPr>
              <w:t xml:space="preserve">Control Name</w:t>
            </w:r>
          </w:p>
        </w:tc>
      </w:tr>
      <w:tr>
        <w:tc>
          <w:tcPr>
            <w:tcW w:type="dxa" w:w="1200"/>
            <w:tcBorders>
              <w:top w:val="single" w:color="CCCCCC" w:sz="1"/>
              <w:left w:val="single" w:color="CCCCCC" w:sz="1"/>
              <w:bottom w:val="single" w:color="CCCCCC" w:sz="1"/>
              <w:right w:val="single" w:color="CCCCCC" w:sz="1"/>
            </w:tcBorders>
          </w:tcPr>
          <w:p>
            <w:r>
              <w:t xml:space="preserve">3.1</w:t>
            </w:r>
          </w:p>
        </w:tc>
        <w:tc>
          <w:tcPr>
            <w:tcW w:type="dxa" w:w="8160"/>
            <w:tcBorders>
              <w:top w:val="single" w:color="CCCCCC" w:sz="1"/>
              <w:left w:val="single" w:color="CCCCCC" w:sz="1"/>
              <w:bottom w:val="single" w:color="CCCCCC" w:sz="1"/>
              <w:right w:val="single" w:color="CCCCCC" w:sz="1"/>
            </w:tcBorders>
          </w:tcPr>
          <w:p>
            <w:r>
              <w:t xml:space="preserve">Agent Inventory Management</w:t>
            </w:r>
          </w:p>
        </w:tc>
      </w:tr>
      <w:tr>
        <w:tc>
          <w:tcPr>
            <w:tcW w:type="dxa" w:w="1200"/>
            <w:tcBorders>
              <w:top w:val="single" w:color="CCCCCC" w:sz="1"/>
              <w:left w:val="single" w:color="CCCCCC" w:sz="1"/>
              <w:bottom w:val="single" w:color="CCCCCC" w:sz="1"/>
              <w:right w:val="single" w:color="CCCCCC" w:sz="1"/>
            </w:tcBorders>
            <w:shd w:fill="F2F2F2" w:val="clear"/>
          </w:tcPr>
          <w:p>
            <w:r>
              <w:t xml:space="preserve">3.2</w:t>
            </w:r>
          </w:p>
        </w:tc>
        <w:tc>
          <w:tcPr>
            <w:tcW w:type="dxa" w:w="8160"/>
            <w:tcBorders>
              <w:top w:val="single" w:color="CCCCCC" w:sz="1"/>
              <w:left w:val="single" w:color="CCCCCC" w:sz="1"/>
              <w:bottom w:val="single" w:color="CCCCCC" w:sz="1"/>
              <w:right w:val="single" w:color="CCCCCC" w:sz="1"/>
            </w:tcBorders>
            <w:shd w:fill="F2F2F2" w:val="clear"/>
          </w:tcPr>
          <w:p>
            <w:r>
              <w:t xml:space="preserve">Monitoring and Health Analytics</w:t>
            </w:r>
          </w:p>
        </w:tc>
      </w:tr>
      <w:tr>
        <w:tc>
          <w:tcPr>
            <w:tcW w:type="dxa" w:w="1200"/>
            <w:tcBorders>
              <w:top w:val="single" w:color="CCCCCC" w:sz="1"/>
              <w:left w:val="single" w:color="CCCCCC" w:sz="1"/>
              <w:bottom w:val="single" w:color="CCCCCC" w:sz="1"/>
              <w:right w:val="single" w:color="CCCCCC" w:sz="1"/>
            </w:tcBorders>
          </w:tcPr>
          <w:p>
            <w:r>
              <w:t xml:space="preserve">3.3</w:t>
            </w:r>
          </w:p>
        </w:tc>
        <w:tc>
          <w:tcPr>
            <w:tcW w:type="dxa" w:w="8160"/>
            <w:tcBorders>
              <w:top w:val="single" w:color="CCCCCC" w:sz="1"/>
              <w:left w:val="single" w:color="CCCCCC" w:sz="1"/>
              <w:bottom w:val="single" w:color="CCCCCC" w:sz="1"/>
              <w:right w:val="single" w:color="CCCCCC" w:sz="1"/>
            </w:tcBorders>
          </w:tcPr>
          <w:p>
            <w:r>
              <w:t xml:space="preserve">Security Posture Management Dashboard</w:t>
            </w:r>
          </w:p>
        </w:tc>
      </w:tr>
      <w:tr>
        <w:tc>
          <w:tcPr>
            <w:tcW w:type="dxa" w:w="1200"/>
            <w:tcBorders>
              <w:top w:val="single" w:color="CCCCCC" w:sz="1"/>
              <w:left w:val="single" w:color="CCCCCC" w:sz="1"/>
              <w:bottom w:val="single" w:color="CCCCCC" w:sz="1"/>
              <w:right w:val="single" w:color="CCCCCC" w:sz="1"/>
            </w:tcBorders>
            <w:shd w:fill="F2F2F2" w:val="clear"/>
          </w:tcPr>
          <w:p>
            <w:r>
              <w:t xml:space="preserve">3.4</w:t>
            </w:r>
          </w:p>
        </w:tc>
        <w:tc>
          <w:tcPr>
            <w:tcW w:type="dxa" w:w="8160"/>
            <w:tcBorders>
              <w:top w:val="single" w:color="CCCCCC" w:sz="1"/>
              <w:left w:val="single" w:color="CCCCCC" w:sz="1"/>
              <w:bottom w:val="single" w:color="CCCCCC" w:sz="1"/>
              <w:right w:val="single" w:color="CCCCCC" w:sz="1"/>
            </w:tcBorders>
            <w:shd w:fill="F2F2F2" w:val="clear"/>
          </w:tcPr>
          <w:p>
            <w:r>
              <w:t xml:space="preserve">Copilot Governance and ROI Dashboard</w:t>
            </w:r>
          </w:p>
        </w:tc>
      </w:tr>
      <w:tr>
        <w:tc>
          <w:tcPr>
            <w:tcW w:type="dxa" w:w="1200"/>
            <w:tcBorders>
              <w:top w:val="single" w:color="CCCCCC" w:sz="1"/>
              <w:left w:val="single" w:color="CCCCCC" w:sz="1"/>
              <w:bottom w:val="single" w:color="CCCCCC" w:sz="1"/>
              <w:right w:val="single" w:color="CCCCCC" w:sz="1"/>
            </w:tcBorders>
          </w:tcPr>
          <w:p>
            <w:r>
              <w:t xml:space="preserve">3.5</w:t>
            </w:r>
          </w:p>
        </w:tc>
        <w:tc>
          <w:tcPr>
            <w:tcW w:type="dxa" w:w="8160"/>
            <w:tcBorders>
              <w:top w:val="single" w:color="CCCCCC" w:sz="1"/>
              <w:left w:val="single" w:color="CCCCCC" w:sz="1"/>
              <w:bottom w:val="single" w:color="CCCCCC" w:sz="1"/>
              <w:right w:val="single" w:color="CCCCCC" w:sz="1"/>
            </w:tcBorders>
          </w:tcPr>
          <w:p>
            <w:r>
              <w:t xml:space="preserve">Cost Management and Billing Controls</w:t>
            </w:r>
          </w:p>
        </w:tc>
      </w:tr>
      <w:tr>
        <w:tc>
          <w:tcPr>
            <w:tcW w:type="dxa" w:w="1200"/>
            <w:tcBorders>
              <w:top w:val="single" w:color="CCCCCC" w:sz="1"/>
              <w:left w:val="single" w:color="CCCCCC" w:sz="1"/>
              <w:bottom w:val="single" w:color="CCCCCC" w:sz="1"/>
              <w:right w:val="single" w:color="CCCCCC" w:sz="1"/>
            </w:tcBorders>
            <w:shd w:fill="F2F2F2" w:val="clear"/>
          </w:tcPr>
          <w:p>
            <w:r>
              <w:t xml:space="preserve">3.6</w:t>
            </w:r>
          </w:p>
        </w:tc>
        <w:tc>
          <w:tcPr>
            <w:tcW w:type="dxa" w:w="8160"/>
            <w:tcBorders>
              <w:top w:val="single" w:color="CCCCCC" w:sz="1"/>
              <w:left w:val="single" w:color="CCCCCC" w:sz="1"/>
              <w:bottom w:val="single" w:color="CCCCCC" w:sz="1"/>
              <w:right w:val="single" w:color="CCCCCC" w:sz="1"/>
            </w:tcBorders>
            <w:shd w:fill="F2F2F2" w:val="clear"/>
          </w:tcPr>
          <w:p>
            <w:r>
              <w:t xml:space="preserve">Ownerless Agent Management</w:t>
            </w:r>
          </w:p>
        </w:tc>
      </w:tr>
    </w:tbl>
    <w:p>
      <w:pPr>
        <w:pStyle w:val="Heading1"/>
        <w:spacing w:before="600"/>
      </w:pPr>
      <w:r>
        <w:t xml:space="preserve">Pillar 4: SharePoint Advanced Management</w:t>
      </w:r>
    </w:p>
    <w:p>
      <w:r>
        <w:t xml:space="preserve">SharePoint Advanced Management controls govern how agents access SharePoint content as knowledge sources. These 5 controls prevent data oversharing and ensure appropriate access.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Pr>
          <w:p>
            <w:r>
              <w:rPr>
                <w:b/>
                <w:bCs/>
                <w:color w:val="FFFFFF"/>
              </w:rPr>
              <w:t xml:space="preserve">ID</w:t>
            </w:r>
          </w:p>
        </w:tc>
        <w:tc>
          <w:tcPr>
            <w:tcW w:type="dxa" w:w="8160"/>
            <w:tcBorders>
              <w:top w:val="single" w:color="CCCCCC" w:sz="1"/>
              <w:left w:val="single" w:color="CCCCCC" w:sz="1"/>
              <w:bottom w:val="single" w:color="CCCCCC" w:sz="1"/>
              <w:right w:val="single" w:color="CCCCCC" w:sz="1"/>
            </w:tcBorders>
            <w:shd w:fill="1F4E79" w:val="clear"/>
          </w:tcPr>
          <w:p>
            <w:r>
              <w:rPr>
                <w:b/>
                <w:bCs/>
                <w:color w:val="FFFFFF"/>
              </w:rPr>
              <w:t xml:space="preserve">Control Name</w:t>
            </w:r>
          </w:p>
        </w:tc>
      </w:tr>
      <w:tr>
        <w:tc>
          <w:tcPr>
            <w:tcW w:type="dxa" w:w="1200"/>
            <w:tcBorders>
              <w:top w:val="single" w:color="CCCCCC" w:sz="1"/>
              <w:left w:val="single" w:color="CCCCCC" w:sz="1"/>
              <w:bottom w:val="single" w:color="CCCCCC" w:sz="1"/>
              <w:right w:val="single" w:color="CCCCCC" w:sz="1"/>
            </w:tcBorders>
          </w:tcPr>
          <w:p>
            <w:r>
              <w:t xml:space="preserve">4.1</w:t>
            </w:r>
          </w:p>
        </w:tc>
        <w:tc>
          <w:tcPr>
            <w:tcW w:type="dxa" w:w="8160"/>
            <w:tcBorders>
              <w:top w:val="single" w:color="CCCCCC" w:sz="1"/>
              <w:left w:val="single" w:color="CCCCCC" w:sz="1"/>
              <w:bottom w:val="single" w:color="CCCCCC" w:sz="1"/>
              <w:right w:val="single" w:color="CCCCCC" w:sz="1"/>
            </w:tcBorders>
          </w:tcPr>
          <w:p>
            <w:r>
              <w:t xml:space="preserve">Restricted Content Discovery for Agents</w:t>
            </w:r>
          </w:p>
        </w:tc>
      </w:tr>
      <w:tr>
        <w:tc>
          <w:tcPr>
            <w:tcW w:type="dxa" w:w="1200"/>
            <w:tcBorders>
              <w:top w:val="single" w:color="CCCCCC" w:sz="1"/>
              <w:left w:val="single" w:color="CCCCCC" w:sz="1"/>
              <w:bottom w:val="single" w:color="CCCCCC" w:sz="1"/>
              <w:right w:val="single" w:color="CCCCCC" w:sz="1"/>
            </w:tcBorders>
            <w:shd w:fill="F2F2F2" w:val="clear"/>
          </w:tcPr>
          <w:p>
            <w:r>
              <w:t xml:space="preserve">4.2</w:t>
            </w:r>
          </w:p>
        </w:tc>
        <w:tc>
          <w:tcPr>
            <w:tcW w:type="dxa" w:w="8160"/>
            <w:tcBorders>
              <w:top w:val="single" w:color="CCCCCC" w:sz="1"/>
              <w:left w:val="single" w:color="CCCCCC" w:sz="1"/>
              <w:bottom w:val="single" w:color="CCCCCC" w:sz="1"/>
              <w:right w:val="single" w:color="CCCCCC" w:sz="1"/>
            </w:tcBorders>
            <w:shd w:fill="F2F2F2" w:val="clear"/>
          </w:tcPr>
          <w:p>
            <w:r>
              <w:t xml:space="preserve">Site Access Reviews for Agent Sources</w:t>
            </w:r>
          </w:p>
        </w:tc>
      </w:tr>
      <w:tr>
        <w:tc>
          <w:tcPr>
            <w:tcW w:type="dxa" w:w="1200"/>
            <w:tcBorders>
              <w:top w:val="single" w:color="CCCCCC" w:sz="1"/>
              <w:left w:val="single" w:color="CCCCCC" w:sz="1"/>
              <w:bottom w:val="single" w:color="CCCCCC" w:sz="1"/>
              <w:right w:val="single" w:color="CCCCCC" w:sz="1"/>
            </w:tcBorders>
          </w:tcPr>
          <w:p>
            <w:r>
              <w:t xml:space="preserve">4.3</w:t>
            </w:r>
          </w:p>
        </w:tc>
        <w:tc>
          <w:tcPr>
            <w:tcW w:type="dxa" w:w="8160"/>
            <w:tcBorders>
              <w:top w:val="single" w:color="CCCCCC" w:sz="1"/>
              <w:left w:val="single" w:color="CCCCCC" w:sz="1"/>
              <w:bottom w:val="single" w:color="CCCCCC" w:sz="1"/>
              <w:right w:val="single" w:color="CCCCCC" w:sz="1"/>
            </w:tcBorders>
          </w:tcPr>
          <w:p>
            <w:r>
              <w:t xml:space="preserve">Block Download Policy for Agent Sources</w:t>
            </w:r>
          </w:p>
        </w:tc>
      </w:tr>
      <w:tr>
        <w:tc>
          <w:tcPr>
            <w:tcW w:type="dxa" w:w="1200"/>
            <w:tcBorders>
              <w:top w:val="single" w:color="CCCCCC" w:sz="1"/>
              <w:left w:val="single" w:color="CCCCCC" w:sz="1"/>
              <w:bottom w:val="single" w:color="CCCCCC" w:sz="1"/>
              <w:right w:val="single" w:color="CCCCCC" w:sz="1"/>
            </w:tcBorders>
            <w:shd w:fill="F2F2F2" w:val="clear"/>
          </w:tcPr>
          <w:p>
            <w:r>
              <w:t xml:space="preserve">4.4</w:t>
            </w:r>
          </w:p>
        </w:tc>
        <w:tc>
          <w:tcPr>
            <w:tcW w:type="dxa" w:w="8160"/>
            <w:tcBorders>
              <w:top w:val="single" w:color="CCCCCC" w:sz="1"/>
              <w:left w:val="single" w:color="CCCCCC" w:sz="1"/>
              <w:bottom w:val="single" w:color="CCCCCC" w:sz="1"/>
              <w:right w:val="single" w:color="CCCCCC" w:sz="1"/>
            </w:tcBorders>
            <w:shd w:fill="F2F2F2" w:val="clear"/>
          </w:tcPr>
          <w:p>
            <w:r>
              <w:t xml:space="preserve">Agent Insight Reports (SharePoint)</w:t>
            </w:r>
          </w:p>
        </w:tc>
      </w:tr>
      <w:tr>
        <w:tc>
          <w:tcPr>
            <w:tcW w:type="dxa" w:w="1200"/>
            <w:tcBorders>
              <w:top w:val="single" w:color="CCCCCC" w:sz="1"/>
              <w:left w:val="single" w:color="CCCCCC" w:sz="1"/>
              <w:bottom w:val="single" w:color="CCCCCC" w:sz="1"/>
              <w:right w:val="single" w:color="CCCCCC" w:sz="1"/>
            </w:tcBorders>
          </w:tcPr>
          <w:p>
            <w:r>
              <w:t xml:space="preserve">4.5</w:t>
            </w:r>
          </w:p>
        </w:tc>
        <w:tc>
          <w:tcPr>
            <w:tcW w:type="dxa" w:w="8160"/>
            <w:tcBorders>
              <w:top w:val="single" w:color="CCCCCC" w:sz="1"/>
              <w:left w:val="single" w:color="CCCCCC" w:sz="1"/>
              <w:bottom w:val="single" w:color="CCCCCC" w:sz="1"/>
              <w:right w:val="single" w:color="CCCCCC" w:sz="1"/>
            </w:tcBorders>
          </w:tcPr>
          <w:p>
            <w:r>
              <w:t xml:space="preserve">Site Sharing Restrictions for Agent Sources</w:t>
            </w:r>
          </w:p>
        </w:tc>
      </w:tr>
    </w:tbl>
    <w:p>
      <w:r>
        <w:br w:type="page"/>
      </w:r>
    </w:p>
    <w:p>
      <w:pPr>
        <w:pStyle w:val="Heading1"/>
      </w:pPr>
      <w:r>
        <w:t xml:space="preserve">Model Risk Considerations and FINRA 2026 Oversight Guidance</w:t>
      </w:r>
    </w:p>
    <w:p>
      <w:pPr>
        <w:pStyle w:val="Heading2"/>
      </w:pPr>
      <w:r>
        <w:t xml:space="preserve">Regulatory Context</w:t>
      </w:r>
    </w:p>
    <w:p>
      <w:r>
        <w:t xml:space="preserve">The FINRA 2026 Annual Regulatory Oversight Report (released December 2025) identifies AI agents as an emerging examination priority, with specific focus on autonomous decision-making, accuracy/hallucination risks, and supervisory controls. FSI organizations deploying Copilot Studio agents should evaluate model risk management requirements in addition to the governance controls documented in this framework.</w:t>
      </w:r>
    </w:p>
    <w:p>
      <w:pPr>
        <w:pStyle w:val="Heading2"/>
      </w:pPr>
      <w:r>
        <w:t xml:space="preserve">Key Agent Risks Identified</w:t>
      </w:r>
    </w:p>
    <w:p>
      <w:r>
        <w:t xml:space="preserve">FINRA's 2026 guidance highlights three categories of agent-specific risk:</w:t>
      </w:r>
    </w:p>
    <w:p>
      <w:pPr>
        <w:pStyle w:val="Heading3"/>
      </w:pPr>
      <w:r>
        <w:t xml:space="preserve">1. Autonomy Risk</w:t>
      </w:r>
    </w:p>
    <w:p>
      <w:r>
        <w:t xml:space="preserve">Agents that take actions without human review (e.g., sending communications, updating records, initiating transactions) require enhanced supervisory controls. FINRA expects firms to document:</w:t>
      </w:r>
    </w:p>
    <w:p>
      <w:pPr>
        <w:pStyle w:val="ListParagraph"/>
        <w:numPr>
          <w:ilvl w:val="0"/>
          <w:numId w:val="2"/>
        </w:numPr>
      </w:pPr>
      <w:r>
        <w:t xml:space="preserve">Which agent actions are fully autonomous vs. human-approved</w:t>
      </w:r>
    </w:p>
    <w:p>
      <w:pPr>
        <w:pStyle w:val="ListParagraph"/>
        <w:numPr>
          <w:ilvl w:val="0"/>
          <w:numId w:val="2"/>
        </w:numPr>
      </w:pPr>
      <w:r>
        <w:t xml:space="preserve">Escalation thresholds triggering human review</w:t>
      </w:r>
    </w:p>
    <w:p>
      <w:pPr>
        <w:pStyle w:val="ListParagraph"/>
        <w:numPr>
          <w:ilvl w:val="0"/>
          <w:numId w:val="2"/>
        </w:numPr>
      </w:pPr>
      <w:r>
        <w:t xml:space="preserve">Audit trails demonstrating supervisory oversight</w:t>
      </w:r>
    </w:p>
    <w:p>
      <w:pPr>
        <w:pStyle w:val="Heading3"/>
      </w:pPr>
      <w:r>
        <w:t xml:space="preserve">2. Hallucination and Accuracy Risk</w:t>
      </w:r>
    </w:p>
    <w:p>
      <w:r>
        <w:t xml:space="preserve">Generative AI agents may produce confident but incorrect outputs. Regulators expect:</w:t>
      </w:r>
    </w:p>
    <w:p>
      <w:pPr>
        <w:pStyle w:val="ListParagraph"/>
        <w:numPr>
          <w:ilvl w:val="0"/>
          <w:numId w:val="2"/>
        </w:numPr>
      </w:pPr>
      <w:r>
        <w:t xml:space="preserve">Accuracy monitoring and validation procedures</w:t>
      </w:r>
    </w:p>
    <w:p>
      <w:pPr>
        <w:pStyle w:val="ListParagraph"/>
        <w:numPr>
          <w:ilvl w:val="0"/>
          <w:numId w:val="2"/>
        </w:numPr>
      </w:pPr>
      <w:r>
        <w:t xml:space="preserve">User disclosures when AI-generated content is presented</w:t>
      </w:r>
    </w:p>
    <w:p>
      <w:pPr>
        <w:pStyle w:val="ListParagraph"/>
        <w:numPr>
          <w:ilvl w:val="0"/>
          <w:numId w:val="2"/>
        </w:numPr>
      </w:pPr>
      <w:r>
        <w:t xml:space="preserve">Feedback mechanisms for reporting inaccurate responses</w:t>
      </w:r>
    </w:p>
    <w:p>
      <w:pPr>
        <w:pStyle w:val="ListParagraph"/>
        <w:numPr>
          <w:ilvl w:val="0"/>
          <w:numId w:val="2"/>
        </w:numPr>
      </w:pPr>
      <w:r>
        <w:t xml:space="preserve">Periodic accuracy assessments with documented results</w:t>
      </w:r>
    </w:p>
    <w:p>
      <w:pPr>
        <w:pStyle w:val="Heading3"/>
      </w:pPr>
      <w:r>
        <w:t xml:space="preserve">3. Human-in-the-Loop Requirements</w:t>
      </w:r>
    </w:p>
    <w:p>
      <w:r>
        <w:t xml:space="preserve">For customer-facing or transaction-affecting agents, firms should implement:</w:t>
      </w:r>
    </w:p>
    <w:p>
      <w:pPr>
        <w:pStyle w:val="ListParagraph"/>
        <w:numPr>
          <w:ilvl w:val="0"/>
          <w:numId w:val="2"/>
        </w:numPr>
      </w:pPr>
      <w:r>
        <w:t xml:space="preserve">Mandatory human review for high-risk outputs</w:t>
      </w:r>
    </w:p>
    <w:p>
      <w:pPr>
        <w:pStyle w:val="ListParagraph"/>
        <w:numPr>
          <w:ilvl w:val="0"/>
          <w:numId w:val="2"/>
        </w:numPr>
      </w:pPr>
      <w:r>
        <w:t xml:space="preserve">Clear escalation paths from agent to human representative</w:t>
      </w:r>
    </w:p>
    <w:p>
      <w:pPr>
        <w:pStyle w:val="ListParagraph"/>
        <w:numPr>
          <w:ilvl w:val="0"/>
          <w:numId w:val="2"/>
        </w:numPr>
      </w:pPr>
      <w:r>
        <w:t xml:space="preserve">Documentation of review decisions and rationale</w:t>
      </w:r>
    </w:p>
    <w:p>
      <w:pPr>
        <w:pStyle w:val="ListParagraph"/>
        <w:numPr>
          <w:ilvl w:val="0"/>
          <w:numId w:val="2"/>
        </w:numPr>
      </w:pPr>
      <w:r>
        <w:t xml:space="preserve">Training for staff reviewing agent outputs</w:t>
      </w:r>
    </w:p>
    <w:p>
      <w:pPr>
        <w:pStyle w:val="Heading2"/>
      </w:pPr>
      <w:r>
        <w:t xml:space="preserve">OCC 2011-12 and Fed SR 11-7 Applicability</w:t>
      </w:r>
    </w:p>
    <w:p>
      <w:r>
        <w:t xml:space="preserve">Zone 3 (Enterprise Managed) agents may meet the regulatory definition of "models" under OCC 2011-12 (Supervisory Guidance on Model Risk Management) and Federal Reserve SR 11-7. Agents potentially in scope include those that:</w:t>
      </w:r>
    </w:p>
    <w:p>
      <w:pPr>
        <w:pStyle w:val="ListParagraph"/>
        <w:numPr>
          <w:ilvl w:val="0"/>
          <w:numId w:val="2"/>
        </w:numPr>
      </w:pPr>
      <w:r>
        <w:t xml:space="preserve">Generate risk assessments or credit decisions</w:t>
      </w:r>
    </w:p>
    <w:p>
      <w:pPr>
        <w:pStyle w:val="ListParagraph"/>
        <w:numPr>
          <w:ilvl w:val="0"/>
          <w:numId w:val="2"/>
        </w:numPr>
      </w:pPr>
      <w:r>
        <w:t xml:space="preserve">Provide investment recommendations or financial projections</w:t>
      </w:r>
    </w:p>
    <w:p>
      <w:pPr>
        <w:pStyle w:val="ListParagraph"/>
        <w:numPr>
          <w:ilvl w:val="0"/>
          <w:numId w:val="2"/>
        </w:numPr>
      </w:pPr>
      <w:r>
        <w:t xml:space="preserve">Automate compliance determinations</w:t>
      </w:r>
    </w:p>
    <w:p>
      <w:pPr>
        <w:pStyle w:val="ListParagraph"/>
        <w:numPr>
          <w:ilvl w:val="0"/>
          <w:numId w:val="2"/>
        </w:numPr>
      </w:pPr>
      <w:r>
        <w:t xml:space="preserve">Process customer complaints or disputes</w:t>
      </w:r>
    </w:p>
    <w:p>
      <w:pPr>
        <w:spacing w:before="200"/>
      </w:pPr>
      <w:r>
        <w:rPr>
          <w:b/>
          <w:bCs/>
        </w:rPr>
        <w:t xml:space="preserve">If classified as models, these agents require: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Pr>
          <w:p>
            <w:r>
              <w:rPr>
                <w:b/>
                <w:bCs/>
                <w:color w:val="FFFFFF"/>
              </w:rPr>
              <w:t xml:space="preserve">Requirement</w:t>
            </w:r>
          </w:p>
        </w:tc>
        <w:tc>
          <w:tcPr>
            <w:tcW w:type="dxa" w:w="3200"/>
            <w:tcBorders>
              <w:top w:val="single" w:color="CCCCCC" w:sz="1"/>
              <w:left w:val="single" w:color="CCCCCC" w:sz="1"/>
              <w:bottom w:val="single" w:color="CCCCCC" w:sz="1"/>
              <w:right w:val="single" w:color="CCCCCC" w:sz="1"/>
            </w:tcBorders>
            <w:shd w:fill="1F4E79" w:val="clear"/>
          </w:tcPr>
          <w:p>
            <w:r>
              <w:rPr>
                <w:b/>
                <w:bCs/>
                <w:color w:val="FFFFFF"/>
              </w:rPr>
              <w:t xml:space="preserve">Control Mapping</w:t>
            </w:r>
          </w:p>
        </w:tc>
        <w:tc>
          <w:tcPr>
            <w:tcW w:type="dxa" w:w="3360"/>
            <w:tcBorders>
              <w:top w:val="single" w:color="CCCCCC" w:sz="1"/>
              <w:left w:val="single" w:color="CCCCCC" w:sz="1"/>
              <w:bottom w:val="single" w:color="CCCCCC" w:sz="1"/>
              <w:right w:val="single" w:color="CCCCCC" w:sz="1"/>
            </w:tcBorders>
            <w:shd w:fill="1F4E79" w:val="clear"/>
          </w:tcPr>
          <w:p>
            <w:r>
              <w:rPr>
                <w:b/>
                <w:bCs/>
                <w:color w:val="FFFFFF"/>
              </w:rPr>
              <w:t xml:space="preserve">Implementation Note</w:t>
            </w:r>
          </w:p>
        </w:tc>
      </w:tr>
      <w:tr>
        <w:tc>
          <w:tcPr>
            <w:tcW w:type="dxa" w:w="2800"/>
            <w:tcBorders>
              <w:top w:val="single" w:color="CCCCCC" w:sz="1"/>
              <w:left w:val="single" w:color="CCCCCC" w:sz="1"/>
              <w:bottom w:val="single" w:color="CCCCCC" w:sz="1"/>
              <w:right w:val="single" w:color="CCCCCC" w:sz="1"/>
            </w:tcBorders>
          </w:tcPr>
          <w:p>
            <w:r>
              <w:t xml:space="preserve">Model Inventory</w:t>
            </w:r>
          </w:p>
        </w:tc>
        <w:tc>
          <w:tcPr>
            <w:tcW w:type="dxa" w:w="3200"/>
            <w:tcBorders>
              <w:top w:val="single" w:color="CCCCCC" w:sz="1"/>
              <w:left w:val="single" w:color="CCCCCC" w:sz="1"/>
              <w:bottom w:val="single" w:color="CCCCCC" w:sz="1"/>
              <w:right w:val="single" w:color="CCCCCC" w:sz="1"/>
            </w:tcBorders>
          </w:tcPr>
          <w:p>
            <w:r>
              <w:t xml:space="preserve">3.1 Agent Inventory</w:t>
            </w:r>
          </w:p>
        </w:tc>
        <w:tc>
          <w:tcPr>
            <w:tcW w:type="dxa" w:w="3360"/>
            <w:tcBorders>
              <w:top w:val="single" w:color="CCCCCC" w:sz="1"/>
              <w:left w:val="single" w:color="CCCCCC" w:sz="1"/>
              <w:bottom w:val="single" w:color="CCCCCC" w:sz="1"/>
              <w:right w:val="single" w:color="CCCCCC" w:sz="1"/>
            </w:tcBorders>
          </w:tcPr>
          <w:p>
            <w:r>
              <w:t xml:space="preserve">Add model classification flag</w:t>
            </w:r>
          </w:p>
        </w:tc>
      </w:tr>
      <w:tr>
        <w:tc>
          <w:tcPr>
            <w:tcW w:type="dxa" w:w="2800"/>
            <w:tcBorders>
              <w:top w:val="single" w:color="CCCCCC" w:sz="1"/>
              <w:left w:val="single" w:color="CCCCCC" w:sz="1"/>
              <w:bottom w:val="single" w:color="CCCCCC" w:sz="1"/>
              <w:right w:val="single" w:color="CCCCCC" w:sz="1"/>
            </w:tcBorders>
            <w:shd w:fill="F2F2F2" w:val="clear"/>
          </w:tcPr>
          <w:p>
            <w:r>
              <w:t xml:space="preserve">Model Validation</w:t>
            </w:r>
          </w:p>
        </w:tc>
        <w:tc>
          <w:tcPr>
            <w:tcW w:type="dxa" w:w="3200"/>
            <w:tcBorders>
              <w:top w:val="single" w:color="CCCCCC" w:sz="1"/>
              <w:left w:val="single" w:color="CCCCCC" w:sz="1"/>
              <w:bottom w:val="single" w:color="CCCCCC" w:sz="1"/>
              <w:right w:val="single" w:color="CCCCCC" w:sz="1"/>
            </w:tcBorders>
            <w:shd w:fill="F2F2F2" w:val="clear"/>
          </w:tcPr>
          <w:p>
            <w:r>
              <w:t xml:space="preserve">New: Pre-deployment testing</w:t>
            </w:r>
          </w:p>
        </w:tc>
        <w:tc>
          <w:tcPr>
            <w:tcW w:type="dxa" w:w="3360"/>
            <w:tcBorders>
              <w:top w:val="single" w:color="CCCCCC" w:sz="1"/>
              <w:left w:val="single" w:color="CCCCCC" w:sz="1"/>
              <w:bottom w:val="single" w:color="CCCCCC" w:sz="1"/>
              <w:right w:val="single" w:color="CCCCCC" w:sz="1"/>
            </w:tcBorders>
            <w:shd w:fill="F2F2F2" w:val="clear"/>
          </w:tcPr>
          <w:p>
            <w:r>
              <w:t xml:space="preserve">Document validation methodology</w:t>
            </w:r>
          </w:p>
        </w:tc>
      </w:tr>
      <w:tr>
        <w:tc>
          <w:tcPr>
            <w:tcW w:type="dxa" w:w="2800"/>
            <w:tcBorders>
              <w:top w:val="single" w:color="CCCCCC" w:sz="1"/>
              <w:left w:val="single" w:color="CCCCCC" w:sz="1"/>
              <w:bottom w:val="single" w:color="CCCCCC" w:sz="1"/>
              <w:right w:val="single" w:color="CCCCCC" w:sz="1"/>
            </w:tcBorders>
          </w:tcPr>
          <w:p>
            <w:r>
              <w:t xml:space="preserve">Ongoing Monitoring</w:t>
            </w:r>
          </w:p>
        </w:tc>
        <w:tc>
          <w:tcPr>
            <w:tcW w:type="dxa" w:w="3200"/>
            <w:tcBorders>
              <w:top w:val="single" w:color="CCCCCC" w:sz="1"/>
              <w:left w:val="single" w:color="CCCCCC" w:sz="1"/>
              <w:bottom w:val="single" w:color="CCCCCC" w:sz="1"/>
              <w:right w:val="single" w:color="CCCCCC" w:sz="1"/>
            </w:tcBorders>
          </w:tcPr>
          <w:p>
            <w:r>
              <w:t xml:space="preserve">3.2 Monitoring &amp; Health</w:t>
            </w:r>
          </w:p>
        </w:tc>
        <w:tc>
          <w:tcPr>
            <w:tcW w:type="dxa" w:w="3360"/>
            <w:tcBorders>
              <w:top w:val="single" w:color="CCCCCC" w:sz="1"/>
              <w:left w:val="single" w:color="CCCCCC" w:sz="1"/>
              <w:bottom w:val="single" w:color="CCCCCC" w:sz="1"/>
              <w:right w:val="single" w:color="CCCCCC" w:sz="1"/>
            </w:tcBorders>
          </w:tcPr>
          <w:p>
            <w:r>
              <w:t xml:space="preserve">Add accuracy/drift metrics</w:t>
            </w:r>
          </w:p>
        </w:tc>
      </w:tr>
      <w:tr>
        <w:tc>
          <w:tcPr>
            <w:tcW w:type="dxa" w:w="2800"/>
            <w:tcBorders>
              <w:top w:val="single" w:color="CCCCCC" w:sz="1"/>
              <w:left w:val="single" w:color="CCCCCC" w:sz="1"/>
              <w:bottom w:val="single" w:color="CCCCCC" w:sz="1"/>
              <w:right w:val="single" w:color="CCCCCC" w:sz="1"/>
            </w:tcBorders>
            <w:shd w:fill="F2F2F2" w:val="clear"/>
          </w:tcPr>
          <w:p>
            <w:r>
              <w:t xml:space="preserve">Model Risk Governance</w:t>
            </w:r>
          </w:p>
        </w:tc>
        <w:tc>
          <w:tcPr>
            <w:tcW w:type="dxa" w:w="3200"/>
            <w:tcBorders>
              <w:top w:val="single" w:color="CCCCCC" w:sz="1"/>
              <w:left w:val="single" w:color="CCCCCC" w:sz="1"/>
              <w:bottom w:val="single" w:color="CCCCCC" w:sz="1"/>
              <w:right w:val="single" w:color="CCCCCC" w:sz="1"/>
            </w:tcBorders>
            <w:shd w:fill="F2F2F2" w:val="clear"/>
          </w:tcPr>
          <w:p>
            <w:r>
              <w:t xml:space="preserve">RACI Matrix</w:t>
            </w:r>
          </w:p>
        </w:tc>
        <w:tc>
          <w:tcPr>
            <w:tcW w:type="dxa" w:w="3360"/>
            <w:tcBorders>
              <w:top w:val="single" w:color="CCCCCC" w:sz="1"/>
              <w:left w:val="single" w:color="CCCCCC" w:sz="1"/>
              <w:bottom w:val="single" w:color="CCCCCC" w:sz="1"/>
              <w:right w:val="single" w:color="CCCCCC" w:sz="1"/>
            </w:tcBorders>
            <w:shd w:fill="F2F2F2" w:val="clear"/>
          </w:tcPr>
          <w:p>
            <w:r>
              <w:t xml:space="preserve">Assign Model Risk Officer role</w:t>
            </w:r>
          </w:p>
        </w:tc>
      </w:tr>
      <w:tr>
        <w:tc>
          <w:tcPr>
            <w:tcW w:type="dxa" w:w="2800"/>
            <w:tcBorders>
              <w:top w:val="single" w:color="CCCCCC" w:sz="1"/>
              <w:left w:val="single" w:color="CCCCCC" w:sz="1"/>
              <w:bottom w:val="single" w:color="CCCCCC" w:sz="1"/>
              <w:right w:val="single" w:color="CCCCCC" w:sz="1"/>
            </w:tcBorders>
          </w:tcPr>
          <w:p>
            <w:r>
              <w:t xml:space="preserve">Documentation</w:t>
            </w:r>
          </w:p>
        </w:tc>
        <w:tc>
          <w:tcPr>
            <w:tcW w:type="dxa" w:w="3200"/>
            <w:tcBorders>
              <w:top w:val="single" w:color="CCCCCC" w:sz="1"/>
              <w:left w:val="single" w:color="CCCCCC" w:sz="1"/>
              <w:bottom w:val="single" w:color="CCCCCC" w:sz="1"/>
              <w:right w:val="single" w:color="CCCCCC" w:sz="1"/>
            </w:tcBorders>
          </w:tcPr>
          <w:p>
            <w:r>
              <w:t xml:space="preserve">Runbooks, Admin Paths</w:t>
            </w:r>
          </w:p>
        </w:tc>
        <w:tc>
          <w:tcPr>
            <w:tcW w:type="dxa" w:w="3360"/>
            <w:tcBorders>
              <w:top w:val="single" w:color="CCCCCC" w:sz="1"/>
              <w:left w:val="single" w:color="CCCCCC" w:sz="1"/>
              <w:bottom w:val="single" w:color="CCCCCC" w:sz="1"/>
              <w:right w:val="single" w:color="CCCCCC" w:sz="1"/>
            </w:tcBorders>
          </w:tcPr>
          <w:p>
            <w:r>
              <w:t xml:space="preserve">Maintain validation records</w:t>
            </w:r>
          </w:p>
        </w:tc>
      </w:tr>
    </w:tbl>
    <w:p>
      <w:r>
        <w:br w:type="page"/>
      </w:r>
    </w:p>
    <w:p>
      <w:pPr>
        <w:pStyle w:val="Heading1"/>
      </w:pPr>
      <w:r>
        <w:t xml:space="preserve">Operational Procedures</w:t>
      </w:r>
    </w:p>
    <w:p>
      <w:r>
        <w:t xml:space="preserve">The framework includes 37 operational tasks organized by frequency to ensure ongoing governance.</w:t>
      </w:r>
    </w:p>
    <w:p>
      <w:pPr>
        <w:pStyle w:val="Heading2"/>
      </w:pPr>
      <w:r>
        <w:t xml:space="preserve">Daily Operations (6 tasks, ~75 minutes)</w:t>
      </w:r>
    </w:p>
    <w:p>
      <w:pPr>
        <w:pStyle w:val="ListParagraph"/>
        <w:numPr>
          <w:ilvl w:val="0"/>
          <w:numId w:val="2"/>
        </w:numPr>
      </w:pPr>
      <w:r>
        <w:t xml:space="preserve">Review Insider Risk for AI alerts (1.12)</w:t>
      </w:r>
    </w:p>
    <w:p>
      <w:pPr>
        <w:pStyle w:val="ListParagraph"/>
        <w:numPr>
          <w:ilvl w:val="0"/>
          <w:numId w:val="2"/>
        </w:numPr>
      </w:pPr>
      <w:r>
        <w:t xml:space="preserve">Monitor authentication failures (1.11, 2.13)</w:t>
      </w:r>
    </w:p>
    <w:p>
      <w:pPr>
        <w:pStyle w:val="ListParagraph"/>
        <w:numPr>
          <w:ilvl w:val="0"/>
          <w:numId w:val="2"/>
        </w:numPr>
      </w:pPr>
      <w:r>
        <w:t xml:space="preserve">Check Communication Compliance queue (1.10)</w:t>
      </w:r>
    </w:p>
    <w:p>
      <w:pPr>
        <w:pStyle w:val="ListParagraph"/>
        <w:numPr>
          <w:ilvl w:val="0"/>
          <w:numId w:val="2"/>
        </w:numPr>
      </w:pPr>
      <w:r>
        <w:t xml:space="preserve">Review Zone 3 agent activity (1.18)</w:t>
      </w:r>
    </w:p>
    <w:p>
      <w:pPr>
        <w:pStyle w:val="ListParagraph"/>
        <w:numPr>
          <w:ilvl w:val="0"/>
          <w:numId w:val="2"/>
        </w:numPr>
      </w:pPr>
      <w:r>
        <w:t xml:space="preserve">Monitor Copilot cost consumption (3.5)</w:t>
      </w:r>
    </w:p>
    <w:p>
      <w:pPr>
        <w:pStyle w:val="ListParagraph"/>
        <w:numPr>
          <w:ilvl w:val="0"/>
          <w:numId w:val="2"/>
        </w:numPr>
      </w:pPr>
      <w:r>
        <w:t xml:space="preserve">Check ownerless agent alerts (3.6)</w:t>
      </w:r>
    </w:p>
    <w:p>
      <w:pPr>
        <w:pStyle w:val="Heading2"/>
      </w:pPr>
      <w:r>
        <w:t xml:space="preserve">Weekly Operations (10 tasks)</w:t>
      </w:r>
    </w:p>
    <w:p>
      <w:pPr>
        <w:pStyle w:val="ListParagraph"/>
        <w:numPr>
          <w:ilvl w:val="0"/>
          <w:numId w:val="2"/>
        </w:numPr>
      </w:pPr>
      <w:r>
        <w:t xml:space="preserve">Review oversharing assessment results (1.17)</w:t>
      </w:r>
    </w:p>
    <w:p>
      <w:pPr>
        <w:pStyle w:val="ListParagraph"/>
        <w:numPr>
          <w:ilvl w:val="0"/>
          <w:numId w:val="2"/>
        </w:numPr>
      </w:pPr>
      <w:r>
        <w:t xml:space="preserve">Audit agent sharing changes (1.15)</w:t>
      </w:r>
    </w:p>
    <w:p>
      <w:pPr>
        <w:pStyle w:val="ListParagraph"/>
        <w:numPr>
          <w:ilvl w:val="0"/>
          <w:numId w:val="2"/>
        </w:numPr>
      </w:pPr>
      <w:r>
        <w:t xml:space="preserve">Review channel publishing attempts (1.14, 2.14)</w:t>
      </w:r>
    </w:p>
    <w:p>
      <w:pPr>
        <w:pStyle w:val="ListParagraph"/>
        <w:numPr>
          <w:ilvl w:val="0"/>
          <w:numId w:val="2"/>
        </w:numPr>
      </w:pPr>
      <w:r>
        <w:t xml:space="preserve">Check skills/plugins usage (2.11)</w:t>
      </w:r>
    </w:p>
    <w:p>
      <w:pPr>
        <w:pStyle w:val="ListParagraph"/>
        <w:numPr>
          <w:ilvl w:val="0"/>
          <w:numId w:val="2"/>
        </w:numPr>
      </w:pPr>
      <w:r>
        <w:t xml:space="preserve">Review autonomous agent actions (2.12)</w:t>
      </w:r>
    </w:p>
    <w:p>
      <w:pPr>
        <w:pStyle w:val="Heading2"/>
      </w:pPr>
      <w:r>
        <w:t xml:space="preserve">Monthly Operations (11 tasks)</w:t>
      </w:r>
    </w:p>
    <w:p>
      <w:pPr>
        <w:pStyle w:val="ListParagraph"/>
        <w:numPr>
          <w:ilvl w:val="0"/>
          <w:numId w:val="2"/>
        </w:numPr>
      </w:pPr>
      <w:r>
        <w:t xml:space="preserve">Sensitivity label coverage audit (1.16)</w:t>
      </w:r>
    </w:p>
    <w:p>
      <w:pPr>
        <w:pStyle w:val="ListParagraph"/>
        <w:numPr>
          <w:ilvl w:val="0"/>
          <w:numId w:val="2"/>
        </w:numPr>
      </w:pPr>
      <w:r>
        <w:t xml:space="preserve">eDiscovery readiness test (1.13)</w:t>
      </w:r>
    </w:p>
    <w:p>
      <w:pPr>
        <w:pStyle w:val="ListParagraph"/>
        <w:numPr>
          <w:ilvl w:val="0"/>
          <w:numId w:val="2"/>
        </w:numPr>
      </w:pPr>
      <w:r>
        <w:t xml:space="preserve">Data retention policy review (1.9)</w:t>
      </w:r>
    </w:p>
    <w:p>
      <w:pPr>
        <w:pStyle w:val="ListParagraph"/>
        <w:numPr>
          <w:ilvl w:val="0"/>
          <w:numId w:val="2"/>
        </w:numPr>
      </w:pPr>
      <w:r>
        <w:t xml:space="preserve">Communication Compliance trends analysis (1.10)</w:t>
      </w:r>
    </w:p>
    <w:p>
      <w:pPr>
        <w:pStyle w:val="ListParagraph"/>
        <w:numPr>
          <w:ilvl w:val="0"/>
          <w:numId w:val="2"/>
        </w:numPr>
      </w:pPr>
      <w:r>
        <w:t xml:space="preserve">Cost allocation and chargeback (3.5)</w:t>
      </w:r>
    </w:p>
    <w:p>
      <w:pPr>
        <w:pStyle w:val="Heading2"/>
      </w:pPr>
      <w:r>
        <w:t xml:space="preserve">Quarterly Operations (10 tasks)</w:t>
      </w:r>
    </w:p>
    <w:p>
      <w:pPr>
        <w:pStyle w:val="ListParagraph"/>
        <w:numPr>
          <w:ilvl w:val="0"/>
          <w:numId w:val="2"/>
        </w:numPr>
      </w:pPr>
      <w:r>
        <w:t xml:space="preserve">Comprehensive retention compliance review</w:t>
      </w:r>
    </w:p>
    <w:p>
      <w:pPr>
        <w:pStyle w:val="ListParagraph"/>
        <w:numPr>
          <w:ilvl w:val="0"/>
          <w:numId w:val="2"/>
        </w:numPr>
      </w:pPr>
      <w:r>
        <w:t xml:space="preserve">Conditional Access policy review</w:t>
      </w:r>
    </w:p>
    <w:p>
      <w:pPr>
        <w:pStyle w:val="ListParagraph"/>
        <w:numPr>
          <w:ilvl w:val="0"/>
          <w:numId w:val="2"/>
        </w:numPr>
      </w:pPr>
      <w:r>
        <w:t xml:space="preserve">DLP policy effectiveness assessment</w:t>
      </w:r>
    </w:p>
    <w:p>
      <w:pPr>
        <w:pStyle w:val="ListParagraph"/>
        <w:numPr>
          <w:ilvl w:val="0"/>
          <w:numId w:val="2"/>
        </w:numPr>
      </w:pPr>
      <w:r>
        <w:t xml:space="preserve">Environment Group rules audit</w:t>
      </w:r>
    </w:p>
    <w:p>
      <w:pPr>
        <w:pStyle w:val="ListParagraph"/>
        <w:numPr>
          <w:ilvl w:val="0"/>
          <w:numId w:val="2"/>
        </w:numPr>
      </w:pPr>
      <w:r>
        <w:t xml:space="preserve">Regulatory exam preparation update</w:t>
      </w:r>
    </w:p>
    <w:p>
      <w:r>
        <w:br w:type="page"/>
      </w:r>
    </w:p>
    <w:p>
      <w:pPr>
        <w:pStyle w:val="Heading1"/>
      </w:pPr>
      <w:r>
        <w:t xml:space="preserve">Appendix A: Admin Portal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4E79" w:val="clear"/>
          </w:tcPr>
          <w:p>
            <w:r>
              <w:rPr>
                <w:b/>
                <w:bCs/>
                <w:color w:val="FFFFFF"/>
              </w:rPr>
              <w:t xml:space="preserve">Portal</w:t>
            </w:r>
          </w:p>
        </w:tc>
        <w:tc>
          <w:tcPr>
            <w:tcW w:type="dxa" w:w="3800"/>
            <w:tcBorders>
              <w:top w:val="single" w:color="CCCCCC" w:sz="1"/>
              <w:left w:val="single" w:color="CCCCCC" w:sz="1"/>
              <w:bottom w:val="single" w:color="CCCCCC" w:sz="1"/>
              <w:right w:val="single" w:color="CCCCCC" w:sz="1"/>
            </w:tcBorders>
            <w:shd w:fill="1F4E79" w:val="clear"/>
          </w:tcPr>
          <w:p>
            <w:r>
              <w:rPr>
                <w:b/>
                <w:bCs/>
                <w:color w:val="FFFFFF"/>
              </w:rPr>
              <w:t xml:space="preserve">URL</w:t>
            </w:r>
          </w:p>
        </w:tc>
        <w:tc>
          <w:tcPr>
            <w:tcW w:type="dxa" w:w="3360"/>
            <w:tcBorders>
              <w:top w:val="single" w:color="CCCCCC" w:sz="1"/>
              <w:left w:val="single" w:color="CCCCCC" w:sz="1"/>
              <w:bottom w:val="single" w:color="CCCCCC" w:sz="1"/>
              <w:right w:val="single" w:color="CCCCCC" w:sz="1"/>
            </w:tcBorders>
            <w:shd w:fill="1F4E79" w:val="clear"/>
          </w:tcPr>
          <w:p>
            <w:r>
              <w:rPr>
                <w:b/>
                <w:bCs/>
                <w:color w:val="FFFFFF"/>
              </w:rPr>
              <w:t xml:space="preserve">Key Controls</w:t>
            </w:r>
          </w:p>
        </w:tc>
      </w:tr>
      <w:tr>
        <w:tc>
          <w:tcPr>
            <w:tcW w:type="dxa" w:w="2200"/>
            <w:tcBorders>
              <w:top w:val="single" w:color="CCCCCC" w:sz="1"/>
              <w:left w:val="single" w:color="CCCCCC" w:sz="1"/>
              <w:bottom w:val="single" w:color="CCCCCC" w:sz="1"/>
              <w:right w:val="single" w:color="CCCCCC" w:sz="1"/>
            </w:tcBorders>
          </w:tcPr>
          <w:p>
            <w:r>
              <w:t xml:space="preserve">Power Platform Admin</w:t>
            </w:r>
          </w:p>
        </w:tc>
        <w:tc>
          <w:tcPr>
            <w:tcW w:type="dxa" w:w="3800"/>
            <w:tcBorders>
              <w:top w:val="single" w:color="CCCCCC" w:sz="1"/>
              <w:left w:val="single" w:color="CCCCCC" w:sz="1"/>
              <w:bottom w:val="single" w:color="CCCCCC" w:sz="1"/>
              <w:right w:val="single" w:color="CCCCCC" w:sz="1"/>
            </w:tcBorders>
          </w:tcPr>
          <w:p>
            <w:r>
              <w:t xml:space="preserve">admin.powerplatform.microsoft.com</w:t>
            </w:r>
          </w:p>
        </w:tc>
        <w:tc>
          <w:tcPr>
            <w:tcW w:type="dxa" w:w="3360"/>
            <w:tcBorders>
              <w:top w:val="single" w:color="CCCCCC" w:sz="1"/>
              <w:left w:val="single" w:color="CCCCCC" w:sz="1"/>
              <w:bottom w:val="single" w:color="CCCCCC" w:sz="1"/>
              <w:right w:val="single" w:color="CCCCCC" w:sz="1"/>
            </w:tcBorders>
          </w:tcPr>
          <w:p>
            <w:r>
              <w:t xml:space="preserve">1.4, 1.11, 1.14, 1.15, 2.1-2.14</w:t>
            </w:r>
          </w:p>
        </w:tc>
      </w:tr>
      <w:tr>
        <w:tc>
          <w:tcPr>
            <w:tcW w:type="dxa" w:w="2200"/>
            <w:tcBorders>
              <w:top w:val="single" w:color="CCCCCC" w:sz="1"/>
              <w:left w:val="single" w:color="CCCCCC" w:sz="1"/>
              <w:bottom w:val="single" w:color="CCCCCC" w:sz="1"/>
              <w:right w:val="single" w:color="CCCCCC" w:sz="1"/>
            </w:tcBorders>
            <w:shd w:fill="F2F2F2" w:val="clear"/>
          </w:tcPr>
          <w:p>
            <w:r>
              <w:t xml:space="preserve">Microsoft Purview</w:t>
            </w:r>
          </w:p>
        </w:tc>
        <w:tc>
          <w:tcPr>
            <w:tcW w:type="dxa" w:w="3800"/>
            <w:tcBorders>
              <w:top w:val="single" w:color="CCCCCC" w:sz="1"/>
              <w:left w:val="single" w:color="CCCCCC" w:sz="1"/>
              <w:bottom w:val="single" w:color="CCCCCC" w:sz="1"/>
              <w:right w:val="single" w:color="CCCCCC" w:sz="1"/>
            </w:tcBorders>
            <w:shd w:fill="F2F2F2" w:val="clear"/>
          </w:tcPr>
          <w:p>
            <w:r>
              <w:t xml:space="preserve">purview.microsoft.com</w:t>
            </w:r>
          </w:p>
        </w:tc>
        <w:tc>
          <w:tcPr>
            <w:tcW w:type="dxa" w:w="3360"/>
            <w:tcBorders>
              <w:top w:val="single" w:color="CCCCCC" w:sz="1"/>
              <w:left w:val="single" w:color="CCCCCC" w:sz="1"/>
              <w:bottom w:val="single" w:color="CCCCCC" w:sz="1"/>
              <w:right w:val="single" w:color="CCCCCC" w:sz="1"/>
            </w:tcBorders>
            <w:shd w:fill="F2F2F2" w:val="clear"/>
          </w:tcPr>
          <w:p>
            <w:r>
              <w:t xml:space="preserve">1.5-1.13, 1.16-1.17</w:t>
            </w:r>
          </w:p>
        </w:tc>
      </w:tr>
      <w:tr>
        <w:tc>
          <w:tcPr>
            <w:tcW w:type="dxa" w:w="2200"/>
            <w:tcBorders>
              <w:top w:val="single" w:color="CCCCCC" w:sz="1"/>
              <w:left w:val="single" w:color="CCCCCC" w:sz="1"/>
              <w:bottom w:val="single" w:color="CCCCCC" w:sz="1"/>
              <w:right w:val="single" w:color="CCCCCC" w:sz="1"/>
            </w:tcBorders>
          </w:tcPr>
          <w:p>
            <w:r>
              <w:t xml:space="preserve">Microsoft Entra</w:t>
            </w:r>
          </w:p>
        </w:tc>
        <w:tc>
          <w:tcPr>
            <w:tcW w:type="dxa" w:w="3800"/>
            <w:tcBorders>
              <w:top w:val="single" w:color="CCCCCC" w:sz="1"/>
              <w:left w:val="single" w:color="CCCCCC" w:sz="1"/>
              <w:bottom w:val="single" w:color="CCCCCC" w:sz="1"/>
              <w:right w:val="single" w:color="CCCCCC" w:sz="1"/>
            </w:tcBorders>
          </w:tcPr>
          <w:p>
            <w:r>
              <w:t xml:space="preserve">entra.microsoft.com</w:t>
            </w:r>
          </w:p>
        </w:tc>
        <w:tc>
          <w:tcPr>
            <w:tcW w:type="dxa" w:w="3360"/>
            <w:tcBorders>
              <w:top w:val="single" w:color="CCCCCC" w:sz="1"/>
              <w:left w:val="single" w:color="CCCCCC" w:sz="1"/>
              <w:bottom w:val="single" w:color="CCCCCC" w:sz="1"/>
              <w:right w:val="single" w:color="CCCCCC" w:sz="1"/>
            </w:tcBorders>
          </w:tcPr>
          <w:p>
            <w:r>
              <w:t xml:space="preserve">1.18, 4.2</w:t>
            </w:r>
          </w:p>
        </w:tc>
      </w:tr>
      <w:tr>
        <w:tc>
          <w:tcPr>
            <w:tcW w:type="dxa" w:w="2200"/>
            <w:tcBorders>
              <w:top w:val="single" w:color="CCCCCC" w:sz="1"/>
              <w:left w:val="single" w:color="CCCCCC" w:sz="1"/>
              <w:bottom w:val="single" w:color="CCCCCC" w:sz="1"/>
              <w:right w:val="single" w:color="CCCCCC" w:sz="1"/>
            </w:tcBorders>
            <w:shd w:fill="F2F2F2" w:val="clear"/>
          </w:tcPr>
          <w:p>
            <w:r>
              <w:t xml:space="preserve">SharePoint Admin</w:t>
            </w:r>
          </w:p>
        </w:tc>
        <w:tc>
          <w:tcPr>
            <w:tcW w:type="dxa" w:w="3800"/>
            <w:tcBorders>
              <w:top w:val="single" w:color="CCCCCC" w:sz="1"/>
              <w:left w:val="single" w:color="CCCCCC" w:sz="1"/>
              <w:bottom w:val="single" w:color="CCCCCC" w:sz="1"/>
              <w:right w:val="single" w:color="CCCCCC" w:sz="1"/>
            </w:tcBorders>
            <w:shd w:fill="F2F2F2" w:val="clear"/>
          </w:tcPr>
          <w:p>
            <w:r>
              <w:t xml:space="preserve">admin.microsoft.com/sharepoint</w:t>
            </w:r>
          </w:p>
        </w:tc>
        <w:tc>
          <w:tcPr>
            <w:tcW w:type="dxa" w:w="3360"/>
            <w:tcBorders>
              <w:top w:val="single" w:color="CCCCCC" w:sz="1"/>
              <w:left w:val="single" w:color="CCCCCC" w:sz="1"/>
              <w:bottom w:val="single" w:color="CCCCCC" w:sz="1"/>
              <w:right w:val="single" w:color="CCCCCC" w:sz="1"/>
            </w:tcBorders>
            <w:shd w:fill="F2F2F2" w:val="clear"/>
          </w:tcPr>
          <w:p>
            <w:r>
              <w:t xml:space="preserve">1.3, 4.1, 4.3-4.5</w:t>
            </w:r>
          </w:p>
        </w:tc>
      </w:tr>
      <w:tr>
        <w:tc>
          <w:tcPr>
            <w:tcW w:type="dxa" w:w="2200"/>
            <w:tcBorders>
              <w:top w:val="single" w:color="CCCCCC" w:sz="1"/>
              <w:left w:val="single" w:color="CCCCCC" w:sz="1"/>
              <w:bottom w:val="single" w:color="CCCCCC" w:sz="1"/>
              <w:right w:val="single" w:color="CCCCCC" w:sz="1"/>
            </w:tcBorders>
          </w:tcPr>
          <w:p>
            <w:r>
              <w:t xml:space="preserve">M365 Admin Center</w:t>
            </w:r>
          </w:p>
        </w:tc>
        <w:tc>
          <w:tcPr>
            <w:tcW w:type="dxa" w:w="3800"/>
            <w:tcBorders>
              <w:top w:val="single" w:color="CCCCCC" w:sz="1"/>
              <w:left w:val="single" w:color="CCCCCC" w:sz="1"/>
              <w:bottom w:val="single" w:color="CCCCCC" w:sz="1"/>
              <w:right w:val="single" w:color="CCCCCC" w:sz="1"/>
            </w:tcBorders>
          </w:tcPr>
          <w:p>
            <w:r>
              <w:t xml:space="preserve">admin.microsoft.com</w:t>
            </w:r>
          </w:p>
        </w:tc>
        <w:tc>
          <w:tcPr>
            <w:tcW w:type="dxa" w:w="3360"/>
            <w:tcBorders>
              <w:top w:val="single" w:color="CCCCCC" w:sz="1"/>
              <w:left w:val="single" w:color="CCCCCC" w:sz="1"/>
              <w:bottom w:val="single" w:color="CCCCCC" w:sz="1"/>
              <w:right w:val="single" w:color="CCCCCC" w:sz="1"/>
            </w:tcBorders>
          </w:tcPr>
          <w:p>
            <w:r>
              <w:t xml:space="preserve">1.2, 3.1</w:t>
            </w:r>
          </w:p>
        </w:tc>
      </w:tr>
    </w:tbl>
    <w:p>
      <w:r>
        <w:br w:type="page"/>
      </w:r>
    </w:p>
    <w:p>
      <w:pPr>
        <w:pStyle w:val="Heading1"/>
      </w:pPr>
      <w:r>
        <w:t xml:space="preserve">Appendix C: Future State - Agent 365 (Frontier Preview)</w:t>
      </w:r>
    </w:p>
    <w:p>
      <w:pPr>
        <w:shd w:fill="E3F2FD" w:val="clear"/>
        <w:spacing w:before="100" w:after="100"/>
      </w:pPr>
      <w:r>
        <w:rPr>
          <w:b/>
          <w:bCs/>
        </w:rPr>
        <w:t xml:space="preserve">Status: </w:t>
      </w:r>
      <w:r>
        <w:t xml:space="preserve">Frontier Preview (Not Generally Available) | </w:t>
      </w:r>
      <w:r>
        <w:rPr>
          <w:b/>
          <w:bCs/>
        </w:rPr>
        <w:t xml:space="preserve">Last Updated: </w:t>
      </w:r>
      <w:r>
        <w:t xml:space="preserve">December 2025 | </w:t>
      </w:r>
      <w:r>
        <w:rPr>
          <w:b/>
          <w:bCs/>
        </w:rPr>
        <w:t xml:space="preserve">Applicability: </w:t>
      </w:r>
      <w:r>
        <w:t xml:space="preserve">Advisory planning only</w:t>
      </w:r>
    </w:p>
    <w:p>
      <w:pPr>
        <w:pStyle w:val="Heading2"/>
      </w:pPr>
      <w:r>
        <w:t xml:space="preserve">Overview</w:t>
      </w:r>
    </w:p>
    <w:p>
      <w:r>
        <w:t xml:space="preserve">Agent 365 represents Microsoft's emerging "Fleet Management" layer for centralized agent governance across the Microsoft 365 ecosystem. Currently in Frontier Preview, Agent 365 aims to provide unified visibility and control over agents regardless of their creation surface (Copilot Studio, Agent Builder, SharePoint, or pro-code tools).</w:t>
      </w:r>
    </w:p>
    <w:p>
      <w:pPr>
        <w:spacing w:before="100"/>
      </w:pPr>
      <w:r>
        <w:t xml:space="preserve">Organizations should monitor Agent 365 development for future governance enhancements while maintaining full compliance with the 43 controls documented in this framework.</w:t>
      </w:r>
    </w:p>
    <w:p>
      <w:pPr>
        <w:pStyle w:val="Heading2"/>
      </w:pPr>
      <w:r>
        <w:t xml:space="preserve">Key Capabilities (Preview)</w:t>
      </w:r>
    </w:p>
    <w:p>
      <w:pPr>
        <w:pStyle w:val="Heading3"/>
      </w:pPr>
      <w:r>
        <w:t xml:space="preserve">1. Centralized Agent Registry</w:t>
      </w:r>
    </w:p>
    <w:p>
      <w:pPr>
        <w:pStyle w:val="ListParagraph"/>
        <w:numPr>
          <w:ilvl w:val="0"/>
          <w:numId w:val="2"/>
        </w:numPr>
      </w:pPr>
      <w:r>
        <w:t xml:space="preserve">Single inventory view across all agent creation surfaces</w:t>
      </w:r>
    </w:p>
    <w:p>
      <w:pPr>
        <w:pStyle w:val="ListParagraph"/>
        <w:numPr>
          <w:ilvl w:val="0"/>
          <w:numId w:val="2"/>
        </w:numPr>
      </w:pPr>
      <w:r>
        <w:t xml:space="preserve">Automatic discovery and cataloging of agents tenant-wide</w:t>
      </w:r>
    </w:p>
    <w:p>
      <w:pPr>
        <w:pStyle w:val="ListParagraph"/>
        <w:numPr>
          <w:ilvl w:val="0"/>
          <w:numId w:val="2"/>
        </w:numPr>
      </w:pPr>
      <w:r>
        <w:t xml:space="preserve">Metadata standardization including owner, purpose, zone classification, and data sources</w:t>
      </w:r>
    </w:p>
    <w:p>
      <w:pPr>
        <w:pStyle w:val="ListParagraph"/>
        <w:numPr>
          <w:ilvl w:val="0"/>
          <w:numId w:val="2"/>
        </w:numPr>
      </w:pPr>
      <w:r>
        <w:t xml:space="preserve">Integration with Microsoft 365 Admin Center Integrated Apps</w:t>
      </w:r>
    </w:p>
    <w:p>
      <w:pPr>
        <w:pStyle w:val="Heading3"/>
      </w:pPr>
      <w:r>
        <w:t xml:space="preserve">2. Entra Agent ID for Identity and Access Control</w:t>
      </w:r>
    </w:p>
    <w:p>
      <w:pPr>
        <w:pStyle w:val="ListParagraph"/>
        <w:numPr>
          <w:ilvl w:val="0"/>
          <w:numId w:val="2"/>
        </w:numPr>
      </w:pPr>
      <w:r>
        <w:t xml:space="preserve">Dedicated identity objects for agents within Microsoft Entra ID</w:t>
      </w:r>
    </w:p>
    <w:p>
      <w:pPr>
        <w:pStyle w:val="ListParagraph"/>
        <w:numPr>
          <w:ilvl w:val="0"/>
          <w:numId w:val="2"/>
        </w:numPr>
      </w:pPr>
      <w:r>
        <w:t xml:space="preserve">Service principal-based authentication replacing user-context execution</w:t>
      </w:r>
    </w:p>
    <w:p>
      <w:pPr>
        <w:pStyle w:val="ListParagraph"/>
        <w:numPr>
          <w:ilvl w:val="0"/>
          <w:numId w:val="2"/>
        </w:numPr>
      </w:pPr>
      <w:r>
        <w:t xml:space="preserve">Granular permission scoping through Entra ID roles and conditional access</w:t>
      </w:r>
    </w:p>
    <w:p>
      <w:pPr>
        <w:pStyle w:val="ListParagraph"/>
        <w:numPr>
          <w:ilvl w:val="0"/>
          <w:numId w:val="2"/>
        </w:numPr>
      </w:pPr>
      <w:r>
        <w:t xml:space="preserve">Audit trail linking agent actions to specific Entra Agent IDs</w:t>
      </w:r>
    </w:p>
    <w:p>
      <w:pPr>
        <w:pStyle w:val="Heading3"/>
      </w:pPr>
      <w:r>
        <w:t xml:space="preserve">3. Fleet-Level Observability and Control</w:t>
      </w:r>
    </w:p>
    <w:p>
      <w:pPr>
        <w:pStyle w:val="ListParagraph"/>
        <w:numPr>
          <w:ilvl w:val="0"/>
          <w:numId w:val="2"/>
        </w:numPr>
      </w:pPr>
      <w:r>
        <w:t xml:space="preserve">Centralized health monitoring across all registered agents</w:t>
      </w:r>
    </w:p>
    <w:p>
      <w:pPr>
        <w:pStyle w:val="ListParagraph"/>
        <w:numPr>
          <w:ilvl w:val="0"/>
          <w:numId w:val="2"/>
        </w:numPr>
      </w:pPr>
      <w:r>
        <w:t xml:space="preserve">Automated quarantine capabilities based on policy violations or anomalous behavior</w:t>
      </w:r>
    </w:p>
    <w:p>
      <w:pPr>
        <w:pStyle w:val="ListParagraph"/>
        <w:numPr>
          <w:ilvl w:val="0"/>
          <w:numId w:val="2"/>
        </w:numPr>
      </w:pPr>
      <w:r>
        <w:t xml:space="preserve">Upstream dependency mapping (knowledge sources, connectors, actions)</w:t>
      </w:r>
    </w:p>
    <w:p>
      <w:pPr>
        <w:pStyle w:val="ListParagraph"/>
        <w:numPr>
          <w:ilvl w:val="0"/>
          <w:numId w:val="2"/>
        </w:numPr>
      </w:pPr>
      <w:r>
        <w:t xml:space="preserve">Integration with Azure Monitor and Microsoft Sentinel for enterprise telemetry</w:t>
      </w:r>
    </w:p>
    <w:p>
      <w:pPr>
        <w:pStyle w:val="Heading2"/>
      </w:pPr>
      <w:r>
        <w:t xml:space="preserve">Relationship to Current Framework</w:t>
      </w:r>
    </w:p>
    <w:p>
      <w:pPr>
        <w:shd w:fill="D4EDDA" w:val="clear"/>
        <w:spacing w:before="100" w:after="100"/>
      </w:pPr>
      <w:r>
        <w:rPr>
          <w:b/>
          <w:bCs/>
        </w:rPr>
        <w:t xml:space="preserve">CRITICAL: </w:t>
      </w:r>
      <w:r>
        <w:t xml:space="preserve">The 43 governance controls documented in this framework remain the mandatory baseline for all FSI tenants, regardless of Agent 365 availability. Agent 365 capabilities, when generally available, will complement—not replace—these foundational controls.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Pr>
          <w:p>
            <w:r>
              <w:rPr>
                <w:b/>
                <w:bCs/>
                <w:color w:val="FFFFFF"/>
              </w:rPr>
              <w:t xml:space="preserve">Current Control</w:t>
            </w:r>
          </w:p>
        </w:tc>
        <w:tc>
          <w:tcPr>
            <w:tcW w:type="dxa" w:w="4680"/>
            <w:tcBorders>
              <w:top w:val="single" w:color="CCCCCC" w:sz="1"/>
              <w:left w:val="single" w:color="CCCCCC" w:sz="1"/>
              <w:bottom w:val="single" w:color="CCCCCC" w:sz="1"/>
              <w:right w:val="single" w:color="CCCCCC" w:sz="1"/>
            </w:tcBorders>
            <w:shd w:fill="1F4E79" w:val="clear"/>
          </w:tcPr>
          <w:p>
            <w:r>
              <w:rPr>
                <w:b/>
                <w:bCs/>
                <w:color w:val="FFFFFF"/>
              </w:rPr>
              <w:t xml:space="preserve">Agent 365 Enhancement (Future)</w:t>
            </w:r>
          </w:p>
        </w:tc>
      </w:tr>
      <w:tr>
        <w:tc>
          <w:tcPr>
            <w:tcW w:type="dxa" w:w="4680"/>
            <w:tcBorders>
              <w:top w:val="single" w:color="CCCCCC" w:sz="1"/>
              <w:left w:val="single" w:color="CCCCCC" w:sz="1"/>
              <w:bottom w:val="single" w:color="CCCCCC" w:sz="1"/>
              <w:right w:val="single" w:color="CCCCCC" w:sz="1"/>
            </w:tcBorders>
          </w:tcPr>
          <w:p>
            <w:r>
              <w:t xml:space="preserve">3.1 Agent Inventory Management</w:t>
            </w:r>
          </w:p>
        </w:tc>
        <w:tc>
          <w:tcPr>
            <w:tcW w:type="dxa" w:w="4680"/>
            <w:tcBorders>
              <w:top w:val="single" w:color="CCCCCC" w:sz="1"/>
              <w:left w:val="single" w:color="CCCCCC" w:sz="1"/>
              <w:bottom w:val="single" w:color="CCCCCC" w:sz="1"/>
              <w:right w:val="single" w:color="CCCCCC" w:sz="1"/>
            </w:tcBorders>
          </w:tcPr>
          <w:p>
            <w:r>
              <w:t xml:space="preserve">Unified cross-surface registry</w:t>
            </w:r>
          </w:p>
        </w:tc>
      </w:tr>
      <w:tr>
        <w:tc>
          <w:tcPr>
            <w:tcW w:type="dxa" w:w="4680"/>
            <w:tcBorders>
              <w:top w:val="single" w:color="CCCCCC" w:sz="1"/>
              <w:left w:val="single" w:color="CCCCCC" w:sz="1"/>
              <w:bottom w:val="single" w:color="CCCCCC" w:sz="1"/>
              <w:right w:val="single" w:color="CCCCCC" w:sz="1"/>
            </w:tcBorders>
            <w:shd w:fill="F2F2F2" w:val="clear"/>
          </w:tcPr>
          <w:p>
            <w:r>
              <w:t xml:space="preserve">1.11 Authentication Controls</w:t>
            </w:r>
          </w:p>
        </w:tc>
        <w:tc>
          <w:tcPr>
            <w:tcW w:type="dxa" w:w="4680"/>
            <w:tcBorders>
              <w:top w:val="single" w:color="CCCCCC" w:sz="1"/>
              <w:left w:val="single" w:color="CCCCCC" w:sz="1"/>
              <w:bottom w:val="single" w:color="CCCCCC" w:sz="1"/>
              <w:right w:val="single" w:color="CCCCCC" w:sz="1"/>
            </w:tcBorders>
            <w:shd w:fill="F2F2F2" w:val="clear"/>
          </w:tcPr>
          <w:p>
            <w:r>
              <w:t xml:space="preserve">Entra Agent ID integration</w:t>
            </w:r>
          </w:p>
        </w:tc>
      </w:tr>
      <w:tr>
        <w:tc>
          <w:tcPr>
            <w:tcW w:type="dxa" w:w="4680"/>
            <w:tcBorders>
              <w:top w:val="single" w:color="CCCCCC" w:sz="1"/>
              <w:left w:val="single" w:color="CCCCCC" w:sz="1"/>
              <w:bottom w:val="single" w:color="CCCCCC" w:sz="1"/>
              <w:right w:val="single" w:color="CCCCCC" w:sz="1"/>
            </w:tcBorders>
          </w:tcPr>
          <w:p>
            <w:r>
              <w:t xml:space="preserve">3.2 Monitoring and Health</w:t>
            </w:r>
          </w:p>
        </w:tc>
        <w:tc>
          <w:tcPr>
            <w:tcW w:type="dxa" w:w="4680"/>
            <w:tcBorders>
              <w:top w:val="single" w:color="CCCCCC" w:sz="1"/>
              <w:left w:val="single" w:color="CCCCCC" w:sz="1"/>
              <w:bottom w:val="single" w:color="CCCCCC" w:sz="1"/>
              <w:right w:val="single" w:color="CCCCCC" w:sz="1"/>
            </w:tcBorders>
          </w:tcPr>
          <w:p>
            <w:r>
              <w:t xml:space="preserve">Fleet-level observability dashboard</w:t>
            </w:r>
          </w:p>
        </w:tc>
      </w:tr>
      <w:tr>
        <w:tc>
          <w:tcPr>
            <w:tcW w:type="dxa" w:w="4680"/>
            <w:tcBorders>
              <w:top w:val="single" w:color="CCCCCC" w:sz="1"/>
              <w:left w:val="single" w:color="CCCCCC" w:sz="1"/>
              <w:bottom w:val="single" w:color="CCCCCC" w:sz="1"/>
              <w:right w:val="single" w:color="CCCCCC" w:sz="1"/>
            </w:tcBorders>
            <w:shd w:fill="F2F2F2" w:val="clear"/>
          </w:tcPr>
          <w:p>
            <w:r>
              <w:t xml:space="preserve">3.6 Ownerless Agent Management</w:t>
            </w:r>
          </w:p>
        </w:tc>
        <w:tc>
          <w:tcPr>
            <w:tcW w:type="dxa" w:w="4680"/>
            <w:tcBorders>
              <w:top w:val="single" w:color="CCCCCC" w:sz="1"/>
              <w:left w:val="single" w:color="CCCCCC" w:sz="1"/>
              <w:bottom w:val="single" w:color="CCCCCC" w:sz="1"/>
              <w:right w:val="single" w:color="CCCCCC" w:sz="1"/>
            </w:tcBorders>
            <w:shd w:fill="F2F2F2" w:val="clear"/>
          </w:tcPr>
          <w:p>
            <w:r>
              <w:t xml:space="preserve">Automated ownership tracking</w:t>
            </w:r>
          </w:p>
        </w:tc>
      </w:tr>
    </w:tbl>
    <w:p>
      <w:pPr>
        <w:pStyle w:val="Heading2"/>
      </w:pPr>
      <w:r>
        <w:t xml:space="preserve">Recommended Preparation</w:t>
      </w:r>
    </w:p>
    <w:p>
      <w:r>
        <w:t xml:space="preserve">While Agent 365 remains in preview, FSI organizations should:</w:t>
      </w:r>
    </w:p>
    <w:p>
      <w:pPr>
        <w:pStyle w:val="ListParagraph"/>
        <w:numPr>
          <w:ilvl w:val="0"/>
          <w:numId w:val="4"/>
        </w:numPr>
      </w:pPr>
      <w:r>
        <w:t xml:space="preserve">Document current agent inventory using existing tools (MAC Integrated Apps, PPAC inventory)</w:t>
      </w:r>
    </w:p>
    <w:p>
      <w:pPr>
        <w:pStyle w:val="ListParagraph"/>
        <w:numPr>
          <w:ilvl w:val="0"/>
          <w:numId w:val="4"/>
        </w:numPr>
      </w:pPr>
      <w:r>
        <w:t xml:space="preserve">Establish agent naming conventions and metadata standards</w:t>
      </w:r>
    </w:p>
    <w:p>
      <w:pPr>
        <w:pStyle w:val="ListParagraph"/>
        <w:numPr>
          <w:ilvl w:val="0"/>
          <w:numId w:val="4"/>
        </w:numPr>
      </w:pPr>
      <w:r>
        <w:t xml:space="preserve">Define quarantine criteria and incident response procedures</w:t>
      </w:r>
    </w:p>
    <w:p>
      <w:pPr>
        <w:pStyle w:val="ListParagraph"/>
        <w:numPr>
          <w:ilvl w:val="0"/>
          <w:numId w:val="4"/>
        </w:numPr>
      </w:pPr>
      <w:r>
        <w:t xml:space="preserve">Monitor Microsoft Learn and Ignite announcements for GA timeline</w:t>
      </w:r>
    </w:p>
    <w:p>
      <w:pPr>
        <w:shd w:fill="FFF3CD" w:val="clear"/>
        <w:spacing w:before="200" w:after="100"/>
      </w:pPr>
      <w:r>
        <w:rPr>
          <w:b/>
          <w:bCs/>
        </w:rPr>
        <w:t xml:space="preserve">⚠️ DISCLAIMER: </w:t>
      </w:r>
      <w:r>
        <w:t xml:space="preserve">Agent 365 features described herein are based on Frontier Preview documentation and are subject to change. Microsoft has not announced general availability dates. FSI organizations should not make compliance commitments based on preview functionality. Verify current capability status at https://learn.microsoft.com before planning.</w:t>
      </w:r>
    </w:p>
    <w:p>
      <w:r>
        <w:br w:type="page"/>
      </w:r>
    </w:p>
    <w:p>
      <w:pPr>
        <w:pStyle w:val="Heading1"/>
      </w:pPr>
      <w:r>
        <w:t xml:space="preserve">Version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CCCCCC" w:sz="1"/>
              <w:left w:val="single" w:color="CCCCCC" w:sz="1"/>
              <w:bottom w:val="single" w:color="CCCCCC" w:sz="1"/>
              <w:right w:val="single" w:color="CCCCCC" w:sz="1"/>
            </w:tcBorders>
            <w:shd w:fill="1F4E79" w:val="clear"/>
          </w:tcPr>
          <w:p>
            <w:r>
              <w:rPr>
                <w:b/>
                <w:bCs/>
                <w:color w:val="FFFFFF"/>
              </w:rPr>
              <w:t xml:space="preserve">Version</w:t>
            </w:r>
          </w:p>
        </w:tc>
        <w:tc>
          <w:tcPr>
            <w:tcW w:type="dxa" w:w="2000"/>
            <w:tcBorders>
              <w:top w:val="single" w:color="CCCCCC" w:sz="1"/>
              <w:left w:val="single" w:color="CCCCCC" w:sz="1"/>
              <w:bottom w:val="single" w:color="CCCCCC" w:sz="1"/>
              <w:right w:val="single" w:color="CCCCCC" w:sz="1"/>
            </w:tcBorders>
            <w:shd w:fill="1F4E79" w:val="clear"/>
          </w:tcPr>
          <w:p>
            <w:r>
              <w:rPr>
                <w:b/>
                <w:bCs/>
                <w:color w:val="FFFFFF"/>
              </w:rPr>
              <w:t xml:space="preserve">Date</w:t>
            </w:r>
          </w:p>
        </w:tc>
        <w:tc>
          <w:tcPr>
            <w:tcW w:type="dxa" w:w="2800"/>
            <w:tcBorders>
              <w:top w:val="single" w:color="CCCCCC" w:sz="1"/>
              <w:left w:val="single" w:color="CCCCCC" w:sz="1"/>
              <w:bottom w:val="single" w:color="CCCCCC" w:sz="1"/>
              <w:right w:val="single" w:color="CCCCCC" w:sz="1"/>
            </w:tcBorders>
            <w:shd w:fill="1F4E79" w:val="clear"/>
          </w:tcPr>
          <w:p>
            <w:r>
              <w:rPr>
                <w:b/>
                <w:bCs/>
                <w:color w:val="FFFFFF"/>
              </w:rPr>
              <w:t xml:space="preserve">Author</w:t>
            </w:r>
          </w:p>
        </w:tc>
        <w:tc>
          <w:tcPr>
            <w:tcW w:type="dxa" w:w="3360"/>
            <w:tcBorders>
              <w:top w:val="single" w:color="CCCCCC" w:sz="1"/>
              <w:left w:val="single" w:color="CCCCCC" w:sz="1"/>
              <w:bottom w:val="single" w:color="CCCCCC" w:sz="1"/>
              <w:right w:val="single" w:color="CCCCCC" w:sz="1"/>
            </w:tcBorders>
            <w:shd w:fill="1F4E79" w:val="clear"/>
          </w:tcPr>
          <w:p>
            <w:r>
              <w:rPr>
                <w:b/>
                <w:bCs/>
                <w:color w:val="FFFFFF"/>
              </w:rPr>
              <w:t xml:space="preserve">Change Summary</w:t>
            </w:r>
          </w:p>
        </w:tc>
      </w:tr>
      <w:tr>
        <w:tc>
          <w:tcPr>
            <w:tcW w:type="dxa" w:w="1200"/>
            <w:tcBorders>
              <w:top w:val="single" w:color="CCCCCC" w:sz="1"/>
              <w:left w:val="single" w:color="CCCCCC" w:sz="1"/>
              <w:bottom w:val="single" w:color="CCCCCC" w:sz="1"/>
              <w:right w:val="single" w:color="CCCCCC" w:sz="1"/>
            </w:tcBorders>
          </w:tcPr>
          <w:p>
            <w:r>
              <w:t xml:space="preserve">1.0</w:t>
            </w:r>
          </w:p>
        </w:tc>
        <w:tc>
          <w:tcPr>
            <w:tcW w:type="dxa" w:w="2000"/>
            <w:tcBorders>
              <w:top w:val="single" w:color="CCCCCC" w:sz="1"/>
              <w:left w:val="single" w:color="CCCCCC" w:sz="1"/>
              <w:bottom w:val="single" w:color="CCCCCC" w:sz="1"/>
              <w:right w:val="single" w:color="CCCCCC" w:sz="1"/>
            </w:tcBorders>
          </w:tcPr>
          <w:p>
            <w:r>
              <w:t xml:space="preserve">December 2025</w:t>
            </w:r>
          </w:p>
        </w:tc>
        <w:tc>
          <w:tcPr>
            <w:tcW w:type="dxa" w:w="2800"/>
            <w:tcBorders>
              <w:top w:val="single" w:color="CCCCCC" w:sz="1"/>
              <w:left w:val="single" w:color="CCCCCC" w:sz="1"/>
              <w:bottom w:val="single" w:color="CCCCCC" w:sz="1"/>
              <w:right w:val="single" w:color="CCCCCC" w:sz="1"/>
            </w:tcBorders>
          </w:tcPr>
          <w:p>
            <w:r>
              <w:t xml:space="preserve">AI Governance Team</w:t>
            </w:r>
          </w:p>
        </w:tc>
        <w:tc>
          <w:tcPr>
            <w:tcW w:type="dxa" w:w="3360"/>
            <w:tcBorders>
              <w:top w:val="single" w:color="CCCCCC" w:sz="1"/>
              <w:left w:val="single" w:color="CCCCCC" w:sz="1"/>
              <w:bottom w:val="single" w:color="CCCCCC" w:sz="1"/>
              <w:right w:val="single" w:color="CCCCCC" w:sz="1"/>
            </w:tcBorders>
          </w:tcPr>
          <w:p>
            <w:r>
              <w:t xml:space="preserve">Initial release - 43 controls across 4 pillars</w:t>
            </w:r>
          </w:p>
        </w:tc>
      </w:tr>
      <w:tr>
        <w:tc>
          <w:tcPr>
            <w:tcW w:type="dxa" w:w="1200"/>
            <w:tcBorders>
              <w:top w:val="single" w:color="CCCCCC" w:sz="1"/>
              <w:left w:val="single" w:color="CCCCCC" w:sz="1"/>
              <w:bottom w:val="single" w:color="CCCCCC" w:sz="1"/>
              <w:right w:val="single" w:color="CCCCCC" w:sz="1"/>
            </w:tcBorders>
            <w:shd w:fill="F2F2F2" w:val="clear"/>
          </w:tcPr>
          <w:p>
            <w:r>
              <w:t xml:space="preserve">1.1</w:t>
            </w:r>
          </w:p>
        </w:tc>
        <w:tc>
          <w:tcPr>
            <w:tcW w:type="dxa" w:w="2000"/>
            <w:tcBorders>
              <w:top w:val="single" w:color="CCCCCC" w:sz="1"/>
              <w:left w:val="single" w:color="CCCCCC" w:sz="1"/>
              <w:bottom w:val="single" w:color="CCCCCC" w:sz="1"/>
              <w:right w:val="single" w:color="CCCCCC" w:sz="1"/>
            </w:tcBorders>
            <w:shd w:fill="F2F2F2" w:val="clear"/>
          </w:tcPr>
          <w:p>
            <w:r>
              <w:t xml:space="preserve">December 2025</w:t>
            </w:r>
          </w:p>
        </w:tc>
        <w:tc>
          <w:tcPr>
            <w:tcW w:type="dxa" w:w="2800"/>
            <w:tcBorders>
              <w:top w:val="single" w:color="CCCCCC" w:sz="1"/>
              <w:left w:val="single" w:color="CCCCCC" w:sz="1"/>
              <w:bottom w:val="single" w:color="CCCCCC" w:sz="1"/>
              <w:right w:val="single" w:color="CCCCCC" w:sz="1"/>
            </w:tcBorders>
            <w:shd w:fill="F2F2F2" w:val="clear"/>
          </w:tcPr>
          <w:p>
            <w:r>
              <w:t xml:space="preserve">AI Governance Team</w:t>
            </w:r>
          </w:p>
        </w:tc>
        <w:tc>
          <w:tcPr>
            <w:tcW w:type="dxa" w:w="3360"/>
            <w:tcBorders>
              <w:top w:val="single" w:color="CCCCCC" w:sz="1"/>
              <w:left w:val="single" w:color="CCCCCC" w:sz="1"/>
              <w:bottom w:val="single" w:color="CCCCCC" w:sz="1"/>
              <w:right w:val="single" w:color="CCCCCC" w:sz="1"/>
            </w:tcBorders>
            <w:shd w:fill="F2F2F2" w:val="clear"/>
          </w:tcPr>
          <w:p>
            <w:r>
              <w:t xml:space="preserve">Added: Agent 365 Appendix, FINRA 2026 guidance, Purview AI retention locations, Document Control section</w:t>
            </w:r>
          </w:p>
        </w:tc>
      </w:tr>
    </w:tbl>
    <w:p>
      <w:pPr>
        <w:pStyle w:val="Heading2"/>
        <w:spacing w:before="400"/>
      </w:pPr>
      <w:r>
        <w:t xml:space="preserve">References</w:t>
      </w:r>
    </w:p>
    <w:p>
      <w:pPr>
        <w:pStyle w:val="ListParagraph"/>
        <w:numPr>
          <w:ilvl w:val="0"/>
          <w:numId w:val="2"/>
        </w:numPr>
      </w:pPr>
      <w:r>
        <w:t xml:space="preserve">Microsoft Learn: Security and governance - Microsoft Copilot Studio</w:t>
      </w:r>
    </w:p>
    <w:p>
      <w:pPr>
        <w:pStyle w:val="ListParagraph"/>
        <w:numPr>
          <w:ilvl w:val="0"/>
          <w:numId w:val="2"/>
        </w:numPr>
      </w:pPr>
      <w:r>
        <w:t xml:space="preserve">Microsoft Learn: Overview of Microsoft Copilot Studio 2025 Release Wave 1</w:t>
      </w:r>
    </w:p>
    <w:p>
      <w:pPr>
        <w:pStyle w:val="ListParagraph"/>
        <w:numPr>
          <w:ilvl w:val="0"/>
          <w:numId w:val="2"/>
        </w:numPr>
      </w:pPr>
      <w:r>
        <w:t xml:space="preserve">Microsoft Whitepaper: Administering and Governing Agents (Version 3)</w:t>
      </w:r>
    </w:p>
    <w:p>
      <w:pPr>
        <w:pStyle w:val="ListParagraph"/>
        <w:numPr>
          <w:ilvl w:val="0"/>
          <w:numId w:val="2"/>
        </w:numPr>
      </w:pPr>
      <w:r>
        <w:t xml:space="preserve">Power Platform Admin Center Documentation</w:t>
      </w:r>
    </w:p>
    <w:p>
      <w:pPr>
        <w:pStyle w:val="ListParagraph"/>
        <w:numPr>
          <w:ilvl w:val="0"/>
          <w:numId w:val="2"/>
        </w:numPr>
      </w:pPr>
      <w:r>
        <w:t xml:space="preserve">Microsoft Purview Documentation</w:t>
      </w:r>
    </w:p>
    <w:p>
      <w:pPr>
        <w:pStyle w:val="ListParagraph"/>
        <w:numPr>
          <w:ilvl w:val="0"/>
          <w:numId w:val="2"/>
        </w:numPr>
      </w:pPr>
      <w:r>
        <w:t xml:space="preserve">FINRA 2026 Annual Regulatory Oversight Report</w:t>
      </w:r>
    </w:p>
    <w:p>
      <w:pPr>
        <w:spacing w:before="600"/>
        <w:jc w:val="center"/>
      </w:pPr>
      <w:r>
        <w:rPr>
          <w:i/>
          <w:iCs/>
          <w:color w:val="66666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66666"/>
        <w:sz w:val="18"/>
        <w:szCs w:val="18"/>
      </w:rPr>
      <w:t xml:space="preserve"> | Internal Use Only | December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FSI Agent Governance Framework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2025-12-14T19:17:19.899Z</dcterms:created>
  <dcterms:modified xsi:type="dcterms:W3CDTF">2025-12-14T19:17:19.899Z</dcterms:modified>
</cp:coreProperties>
</file>

<file path=docProps/custom.xml><?xml version="1.0" encoding="utf-8"?>
<Properties xmlns="http://schemas.openxmlformats.org/officeDocument/2006/custom-properties" xmlns:vt="http://schemas.openxmlformats.org/officeDocument/2006/docPropsVTypes"/>
</file>