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96D" w:rsidRDefault="00E63A58">
      <w:pPr>
        <w:pStyle w:val="Heading1"/>
        <w:jc w:val="center"/>
        <w:rPr>
          <w:rFonts w:eastAsia="Times New Roman"/>
        </w:rPr>
      </w:pPr>
      <w:r>
        <w:rPr>
          <w:rFonts w:eastAsia="Times New Roman"/>
        </w:rPr>
        <w:t>Report on DOT Significant Rulemakings</w:t>
      </w:r>
    </w:p>
    <w:p w:rsidR="0051496D" w:rsidRDefault="00E63A58">
      <w:pPr>
        <w:jc w:val="center"/>
        <w:rPr>
          <w:rFonts w:ascii="Times" w:eastAsia="Times New Roman" w:hAnsi="Times" w:cs="Times"/>
          <w:sz w:val="36"/>
          <w:szCs w:val="36"/>
        </w:rPr>
      </w:pPr>
      <w:r>
        <w:rPr>
          <w:rFonts w:ascii="Times" w:eastAsia="Times New Roman" w:hAnsi="Times" w:cs="Times"/>
          <w:sz w:val="36"/>
          <w:szCs w:val="36"/>
        </w:rPr>
        <w:t>Table of Contents</w:t>
      </w:r>
    </w:p>
    <w:p w:rsidR="0051496D" w:rsidRDefault="00E63A58">
      <w:pPr>
        <w:rPr>
          <w:rFonts w:ascii="Times" w:eastAsia="Times New Roman" w:hAnsi="Times" w:cs="Times"/>
        </w:rPr>
      </w:pPr>
      <w:r>
        <w:rPr>
          <w:rFonts w:ascii="Times" w:eastAsia="Times New Roman" w:hAnsi="Times" w:cs="Times"/>
          <w:b/>
          <w:bCs/>
        </w:rPr>
        <w:t>Federal Aviation Administration</w:t>
      </w:r>
    </w:p>
    <w:p w:rsidR="0051496D" w:rsidRDefault="00E63A58">
      <w:pPr>
        <w:divId w:val="884295375"/>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Qualification, Service, and Use of Crewmembers and Aircraft Dispatchers</w:t>
        </w:r>
      </w:hyperlink>
    </w:p>
    <w:p w:rsidR="0051496D" w:rsidRDefault="0051496D">
      <w:pPr>
        <w:rPr>
          <w:rFonts w:ascii="Times" w:eastAsia="Times New Roman" w:hAnsi="Times" w:cs="Times"/>
          <w:sz w:val="20"/>
          <w:szCs w:val="20"/>
        </w:rPr>
      </w:pPr>
    </w:p>
    <w:p w:rsidR="0051496D" w:rsidRDefault="00E63A58">
      <w:pPr>
        <w:divId w:val="34550019"/>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Supercooled Large Droplet Icing Conditions</w:t>
        </w:r>
      </w:hyperlink>
    </w:p>
    <w:p w:rsidR="0051496D" w:rsidRDefault="0051496D">
      <w:pPr>
        <w:rPr>
          <w:rFonts w:ascii="Times" w:eastAsia="Times New Roman" w:hAnsi="Times" w:cs="Times"/>
          <w:sz w:val="20"/>
          <w:szCs w:val="20"/>
        </w:rPr>
      </w:pPr>
    </w:p>
    <w:p w:rsidR="0051496D" w:rsidRDefault="00E63A58">
      <w:pPr>
        <w:divId w:val="1713383334"/>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Airport Safety Management System</w:t>
        </w:r>
      </w:hyperlink>
    </w:p>
    <w:p w:rsidR="0051496D" w:rsidRDefault="0051496D">
      <w:pPr>
        <w:rPr>
          <w:rFonts w:ascii="Times" w:eastAsia="Times New Roman" w:hAnsi="Times" w:cs="Times"/>
          <w:sz w:val="20"/>
          <w:szCs w:val="20"/>
        </w:rPr>
      </w:pPr>
    </w:p>
    <w:p w:rsidR="0051496D" w:rsidRDefault="00E63A58">
      <w:pPr>
        <w:divId w:val="505486604"/>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Photo Requirements for Pilot Certificates</w:t>
        </w:r>
      </w:hyperlink>
    </w:p>
    <w:p w:rsidR="0051496D" w:rsidRDefault="0051496D">
      <w:pPr>
        <w:rPr>
          <w:rFonts w:ascii="Times" w:eastAsia="Times New Roman" w:hAnsi="Times" w:cs="Times"/>
          <w:sz w:val="20"/>
          <w:szCs w:val="20"/>
        </w:rPr>
      </w:pPr>
    </w:p>
    <w:p w:rsidR="0051496D" w:rsidRDefault="00E63A58">
      <w:pPr>
        <w:divId w:val="1511993627"/>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Ambulance and Commercial Helicopter Operations; Safety Initiatives and Miscellaneous Amendments</w:t>
        </w:r>
      </w:hyperlink>
    </w:p>
    <w:p w:rsidR="0051496D" w:rsidRDefault="0051496D">
      <w:pPr>
        <w:rPr>
          <w:rFonts w:ascii="Times" w:eastAsia="Times New Roman" w:hAnsi="Times" w:cs="Times"/>
          <w:sz w:val="20"/>
          <w:szCs w:val="20"/>
        </w:rPr>
      </w:pPr>
    </w:p>
    <w:p w:rsidR="0051496D" w:rsidRDefault="00E63A58">
      <w:pPr>
        <w:divId w:val="1825974579"/>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Flight and Duty Time Limitations and Rest Requirements</w:t>
        </w:r>
      </w:hyperlink>
    </w:p>
    <w:p w:rsidR="0051496D" w:rsidRDefault="0051496D">
      <w:pPr>
        <w:rPr>
          <w:rFonts w:ascii="Times" w:eastAsia="Times New Roman" w:hAnsi="Times" w:cs="Times"/>
          <w:sz w:val="20"/>
          <w:szCs w:val="20"/>
        </w:rPr>
      </w:pPr>
    </w:p>
    <w:p w:rsidR="0051496D" w:rsidRDefault="00E63A58">
      <w:pPr>
        <w:divId w:val="809785490"/>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Operation and Certification of Small Unmanned Aircraft Systems (sUAS)</w:t>
        </w:r>
      </w:hyperlink>
    </w:p>
    <w:p w:rsidR="0051496D" w:rsidRDefault="0051496D">
      <w:pPr>
        <w:rPr>
          <w:rFonts w:ascii="Times" w:eastAsia="Times New Roman" w:hAnsi="Times" w:cs="Times"/>
          <w:sz w:val="20"/>
          <w:szCs w:val="20"/>
        </w:rPr>
      </w:pPr>
    </w:p>
    <w:p w:rsidR="0051496D" w:rsidRDefault="00E63A58">
      <w:pPr>
        <w:divId w:val="2036688339"/>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Certification and Qualification Requirements (formerly First Officer Qualification Requirements) (HR 5900)</w:t>
        </w:r>
      </w:hyperlink>
    </w:p>
    <w:p w:rsidR="0051496D" w:rsidRDefault="0051496D">
      <w:pPr>
        <w:rPr>
          <w:rFonts w:ascii="Times" w:eastAsia="Times New Roman" w:hAnsi="Times" w:cs="Times"/>
          <w:sz w:val="20"/>
          <w:szCs w:val="20"/>
        </w:rPr>
      </w:pPr>
    </w:p>
    <w:p w:rsidR="0051496D" w:rsidRDefault="00E63A58">
      <w:pPr>
        <w:divId w:val="1895005416"/>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Prohibition Against Certain Flights Within the Territory and Airspace of Afghanistan</w:t>
        </w:r>
      </w:hyperlink>
    </w:p>
    <w:p w:rsidR="0051496D" w:rsidRDefault="0051496D">
      <w:pPr>
        <w:rPr>
          <w:rFonts w:ascii="Times" w:eastAsia="Times New Roman" w:hAnsi="Times" w:cs="Times"/>
          <w:sz w:val="20"/>
          <w:szCs w:val="20"/>
        </w:rPr>
      </w:pPr>
    </w:p>
    <w:p w:rsidR="0051496D" w:rsidRDefault="00E63A58">
      <w:pPr>
        <w:divId w:val="1817379552"/>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Requirement for Wildlife Assessments at Certificated Airports</w:t>
        </w:r>
      </w:hyperlink>
    </w:p>
    <w:p w:rsidR="0051496D" w:rsidRDefault="0051496D">
      <w:pPr>
        <w:rPr>
          <w:rFonts w:ascii="Times" w:eastAsia="Times New Roman" w:hAnsi="Times" w:cs="Times"/>
          <w:sz w:val="20"/>
          <w:szCs w:val="20"/>
        </w:rPr>
      </w:pPr>
    </w:p>
    <w:p w:rsidR="0051496D" w:rsidRDefault="00E63A58">
      <w:pPr>
        <w:divId w:val="1413090957"/>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Regulation Of Flight Operations Conducted By Alaska Guide Pilots</w:t>
        </w:r>
      </w:hyperlink>
    </w:p>
    <w:p w:rsidR="0051496D" w:rsidRDefault="0051496D">
      <w:pPr>
        <w:rPr>
          <w:rFonts w:ascii="Times" w:eastAsia="Times New Roman" w:hAnsi="Times" w:cs="Times"/>
          <w:sz w:val="20"/>
          <w:szCs w:val="20"/>
        </w:rPr>
      </w:pPr>
    </w:p>
    <w:p w:rsidR="0051496D" w:rsidRDefault="00E63A58">
      <w:pPr>
        <w:divId w:val="875968062"/>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 Carrier Maintenance Training Program</w:t>
        </w:r>
      </w:hyperlink>
      <w:bookmarkStart w:id="0" w:name="_GoBack"/>
      <w:bookmarkEnd w:id="0"/>
    </w:p>
    <w:p w:rsidR="0051496D" w:rsidRDefault="0051496D">
      <w:pPr>
        <w:rPr>
          <w:rFonts w:ascii="Times" w:eastAsia="Times New Roman" w:hAnsi="Times" w:cs="Times"/>
          <w:sz w:val="20"/>
          <w:szCs w:val="20"/>
        </w:rPr>
      </w:pPr>
    </w:p>
    <w:p w:rsidR="0051496D" w:rsidRDefault="00E63A58">
      <w:pPr>
        <w:divId w:val="2096240806"/>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Safety Management Systems for Part 121 Certificate Holders</w:t>
        </w:r>
      </w:hyperlink>
    </w:p>
    <w:p w:rsidR="0051496D" w:rsidRDefault="0051496D">
      <w:pPr>
        <w:rPr>
          <w:rFonts w:ascii="Times" w:eastAsia="Times New Roman" w:hAnsi="Times" w:cs="Times"/>
          <w:sz w:val="20"/>
          <w:szCs w:val="20"/>
        </w:rPr>
      </w:pPr>
    </w:p>
    <w:p w:rsidR="0051496D" w:rsidRDefault="00E63A58">
      <w:pPr>
        <w:divId w:val="666326007"/>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Flight Crewmember Mentoring, Leadership and Professional Development (HR 5900)</w:t>
        </w:r>
      </w:hyperlink>
    </w:p>
    <w:p w:rsidR="0051496D" w:rsidRDefault="0051496D">
      <w:pPr>
        <w:rPr>
          <w:rFonts w:ascii="Times" w:eastAsia="Times New Roman" w:hAnsi="Times" w:cs="Times"/>
          <w:sz w:val="20"/>
          <w:szCs w:val="20"/>
        </w:rPr>
      </w:pPr>
    </w:p>
    <w:p w:rsidR="0051496D" w:rsidRDefault="00E63A58">
      <w:pPr>
        <w:divId w:val="137962986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Slot Management and Transparency for LaGuardia Airport, John F. Kennedy International Airport, and Newark Liberty International Airport</w:t>
        </w:r>
      </w:hyperlink>
    </w:p>
    <w:p w:rsidR="0051496D" w:rsidRDefault="0051496D">
      <w:pPr>
        <w:rPr>
          <w:rFonts w:ascii="Times" w:eastAsia="Times New Roman" w:hAnsi="Times" w:cs="Times"/>
          <w:sz w:val="20"/>
          <w:szCs w:val="20"/>
        </w:rPr>
      </w:pPr>
    </w:p>
    <w:p w:rsidR="0051496D" w:rsidRDefault="00E63A58">
      <w:pPr>
        <w:divId w:val="925648654"/>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Part 121 Exiting Icing</w:t>
        </w:r>
      </w:hyperlink>
    </w:p>
    <w:p w:rsidR="0051496D" w:rsidRDefault="0051496D">
      <w:pPr>
        <w:rPr>
          <w:rFonts w:ascii="Times" w:eastAsia="Times New Roman" w:hAnsi="Times" w:cs="Times"/>
          <w:sz w:val="20"/>
          <w:szCs w:val="20"/>
        </w:rPr>
      </w:pPr>
    </w:p>
    <w:p w:rsidR="0051496D" w:rsidRDefault="00E63A58">
      <w:pPr>
        <w:divId w:val="306397866"/>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Drug and Alcohol Testing of Certain Maintenance Provider Employees Located Outside of the United States</w:t>
        </w:r>
      </w:hyperlink>
    </w:p>
    <w:p w:rsidR="0051496D" w:rsidRDefault="0051496D">
      <w:pPr>
        <w:rPr>
          <w:rFonts w:ascii="Times" w:eastAsia="Times New Roman" w:hAnsi="Times" w:cs="Times"/>
          <w:sz w:val="20"/>
          <w:szCs w:val="20"/>
        </w:rPr>
      </w:pPr>
    </w:p>
    <w:p w:rsidR="0051496D" w:rsidRDefault="00E63A58">
      <w:pPr>
        <w:divId w:val="2171254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Production and Airworthiness Certification II</w:t>
        </w:r>
      </w:hyperlink>
    </w:p>
    <w:p w:rsidR="0051496D" w:rsidRDefault="0051496D">
      <w:pPr>
        <w:rPr>
          <w:rFonts w:ascii="Times" w:eastAsia="Times New Roman" w:hAnsi="Times" w:cs="Times"/>
          <w:sz w:val="20"/>
          <w:szCs w:val="20"/>
        </w:rPr>
      </w:pPr>
    </w:p>
    <w:p w:rsidR="0051496D" w:rsidRDefault="00E63A58">
      <w:pPr>
        <w:divId w:val="216402793"/>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Prohibition of Tail End Ferry in Part 121 (Reauthorization)</w:t>
        </w:r>
      </w:hyperlink>
    </w:p>
    <w:p w:rsidR="0051496D" w:rsidRDefault="0051496D">
      <w:pPr>
        <w:rPr>
          <w:rFonts w:ascii="Times" w:eastAsia="Times New Roman" w:hAnsi="Times" w:cs="Times"/>
          <w:sz w:val="20"/>
          <w:szCs w:val="20"/>
        </w:rPr>
      </w:pPr>
    </w:p>
    <w:p w:rsidR="0051496D" w:rsidRDefault="00E63A58">
      <w:pPr>
        <w:divId w:val="888608182"/>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Terminating Operations of Jets of Weights At or Less Than 75,000 lbs. and Not Stage 3 Noise Compliant (Reauthorization)</w:t>
        </w:r>
      </w:hyperlink>
    </w:p>
    <w:p w:rsidR="0051496D" w:rsidRDefault="0051496D">
      <w:pPr>
        <w:rPr>
          <w:rFonts w:ascii="Times" w:eastAsia="Times New Roman" w:hAnsi="Times" w:cs="Times"/>
          <w:sz w:val="20"/>
          <w:szCs w:val="20"/>
        </w:rPr>
      </w:pPr>
    </w:p>
    <w:p w:rsidR="0051496D" w:rsidRDefault="00E63A58">
      <w:pPr>
        <w:rPr>
          <w:rFonts w:ascii="Times" w:eastAsia="Times New Roman" w:hAnsi="Times" w:cs="Times"/>
        </w:rPr>
      </w:pPr>
      <w:r>
        <w:rPr>
          <w:rFonts w:ascii="Times" w:eastAsia="Times New Roman" w:hAnsi="Times" w:cs="Times"/>
          <w:b/>
          <w:bCs/>
        </w:rPr>
        <w:t>Federal Highway Administration</w:t>
      </w:r>
    </w:p>
    <w:p w:rsidR="0051496D" w:rsidRDefault="00E63A58">
      <w:pPr>
        <w:divId w:val="2057270955"/>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 (MAP-21)</w:t>
        </w:r>
      </w:hyperlink>
    </w:p>
    <w:p w:rsidR="0051496D" w:rsidRDefault="0051496D">
      <w:pPr>
        <w:rPr>
          <w:rFonts w:ascii="Times" w:eastAsia="Times New Roman" w:hAnsi="Times" w:cs="Times"/>
          <w:sz w:val="20"/>
          <w:szCs w:val="20"/>
        </w:rPr>
      </w:pPr>
    </w:p>
    <w:p w:rsidR="0051496D" w:rsidRDefault="00E63A58">
      <w:pPr>
        <w:divId w:val="784498462"/>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51496D" w:rsidRDefault="0051496D">
      <w:pPr>
        <w:rPr>
          <w:rFonts w:ascii="Times" w:eastAsia="Times New Roman" w:hAnsi="Times" w:cs="Times"/>
          <w:sz w:val="20"/>
          <w:szCs w:val="20"/>
        </w:rPr>
      </w:pPr>
    </w:p>
    <w:p w:rsidR="0051496D" w:rsidRDefault="00E63A58">
      <w:pPr>
        <w:divId w:val="103654146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(MAP-21)</w:t>
        </w:r>
      </w:hyperlink>
    </w:p>
    <w:p w:rsidR="0051496D" w:rsidRDefault="0051496D">
      <w:pPr>
        <w:rPr>
          <w:rFonts w:ascii="Times" w:eastAsia="Times New Roman" w:hAnsi="Times" w:cs="Times"/>
          <w:sz w:val="20"/>
          <w:szCs w:val="20"/>
        </w:rPr>
      </w:pPr>
    </w:p>
    <w:p w:rsidR="0051496D" w:rsidRDefault="00E63A58">
      <w:pPr>
        <w:divId w:val="66072159"/>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Highway Worker Safety (MAP-21)</w:t>
        </w:r>
      </w:hyperlink>
    </w:p>
    <w:p w:rsidR="0051496D" w:rsidRDefault="0051496D">
      <w:pPr>
        <w:rPr>
          <w:rFonts w:ascii="Times" w:eastAsia="Times New Roman" w:hAnsi="Times" w:cs="Times"/>
          <w:sz w:val="20"/>
          <w:szCs w:val="20"/>
        </w:rPr>
      </w:pPr>
    </w:p>
    <w:p w:rsidR="0051496D" w:rsidRDefault="00E63A58">
      <w:pPr>
        <w:divId w:val="198083638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Statewide and Nonmetropolitan Transportation Planning; Metropolitan Transportation Planning (MAP-21)</w:t>
        </w:r>
      </w:hyperlink>
    </w:p>
    <w:p w:rsidR="0051496D" w:rsidRDefault="0051496D">
      <w:pPr>
        <w:rPr>
          <w:rFonts w:ascii="Times" w:eastAsia="Times New Roman" w:hAnsi="Times" w:cs="Times"/>
          <w:sz w:val="20"/>
          <w:szCs w:val="20"/>
        </w:rPr>
      </w:pPr>
    </w:p>
    <w:p w:rsidR="0051496D" w:rsidRDefault="00E63A58">
      <w:pPr>
        <w:divId w:val="1769689859"/>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51496D" w:rsidRDefault="0051496D">
      <w:pPr>
        <w:rPr>
          <w:rFonts w:ascii="Times" w:eastAsia="Times New Roman" w:hAnsi="Times" w:cs="Times"/>
          <w:sz w:val="20"/>
          <w:szCs w:val="20"/>
        </w:rPr>
      </w:pPr>
    </w:p>
    <w:p w:rsidR="0051496D" w:rsidRDefault="00E63A58">
      <w:pPr>
        <w:divId w:val="1032074239"/>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51496D" w:rsidRDefault="0051496D">
      <w:pPr>
        <w:rPr>
          <w:rFonts w:ascii="Times" w:eastAsia="Times New Roman" w:hAnsi="Times" w:cs="Times"/>
          <w:sz w:val="20"/>
          <w:szCs w:val="20"/>
        </w:rPr>
      </w:pPr>
    </w:p>
    <w:p w:rsidR="0051496D" w:rsidRDefault="00E63A58">
      <w:pPr>
        <w:divId w:val="1185241205"/>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Bridge Inspection Standards (MAP-21)</w:t>
        </w:r>
      </w:hyperlink>
    </w:p>
    <w:p w:rsidR="0051496D" w:rsidRDefault="0051496D">
      <w:pPr>
        <w:rPr>
          <w:rFonts w:ascii="Times" w:eastAsia="Times New Roman" w:hAnsi="Times" w:cs="Times"/>
          <w:sz w:val="20"/>
          <w:szCs w:val="20"/>
        </w:rPr>
      </w:pPr>
    </w:p>
    <w:p w:rsidR="0051496D" w:rsidRDefault="00E63A58">
      <w:pPr>
        <w:divId w:val="474837507"/>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Highway Safety Improvement Program (MAP-21)</w:t>
        </w:r>
      </w:hyperlink>
    </w:p>
    <w:p w:rsidR="0051496D" w:rsidRDefault="0051496D">
      <w:pPr>
        <w:rPr>
          <w:rFonts w:ascii="Times" w:eastAsia="Times New Roman" w:hAnsi="Times" w:cs="Times"/>
          <w:sz w:val="20"/>
          <w:szCs w:val="20"/>
        </w:rPr>
      </w:pPr>
    </w:p>
    <w:p w:rsidR="0051496D" w:rsidRDefault="00E63A58">
      <w:pPr>
        <w:divId w:val="5598852"/>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Risk-Based Asset Management Plan (MAP-21)</w:t>
        </w:r>
      </w:hyperlink>
    </w:p>
    <w:p w:rsidR="0051496D" w:rsidRDefault="0051496D">
      <w:pPr>
        <w:rPr>
          <w:rFonts w:ascii="Times" w:eastAsia="Times New Roman" w:hAnsi="Times" w:cs="Times"/>
          <w:sz w:val="20"/>
          <w:szCs w:val="20"/>
        </w:rPr>
      </w:pPr>
    </w:p>
    <w:p w:rsidR="0051496D" w:rsidRDefault="00E63A58">
      <w:pPr>
        <w:rPr>
          <w:rFonts w:ascii="Times" w:eastAsia="Times New Roman" w:hAnsi="Times" w:cs="Times"/>
        </w:rPr>
      </w:pPr>
      <w:r>
        <w:rPr>
          <w:rFonts w:ascii="Times" w:eastAsia="Times New Roman" w:hAnsi="Times" w:cs="Times"/>
          <w:b/>
          <w:bCs/>
        </w:rPr>
        <w:t>Federal Motor Carrier Safety Administration</w:t>
      </w:r>
    </w:p>
    <w:p w:rsidR="0051496D" w:rsidRDefault="00E63A58">
      <w:pPr>
        <w:divId w:val="1933858041"/>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Unified Registration System</w:t>
        </w:r>
      </w:hyperlink>
    </w:p>
    <w:p w:rsidR="0051496D" w:rsidRDefault="0051496D">
      <w:pPr>
        <w:rPr>
          <w:rFonts w:ascii="Times" w:eastAsia="Times New Roman" w:hAnsi="Times" w:cs="Times"/>
          <w:sz w:val="20"/>
          <w:szCs w:val="20"/>
        </w:rPr>
      </w:pPr>
    </w:p>
    <w:p w:rsidR="0051496D" w:rsidRDefault="00E63A58">
      <w:pPr>
        <w:divId w:val="11806789"/>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Application by Certain Mexico-Domiciled Motor Carriers to Operate Beyond U.S. Municipalities and Commercial Zones on the U.S.-Mexico Border</w:t>
        </w:r>
      </w:hyperlink>
    </w:p>
    <w:p w:rsidR="0051496D" w:rsidRDefault="0051496D">
      <w:pPr>
        <w:rPr>
          <w:rFonts w:ascii="Times" w:eastAsia="Times New Roman" w:hAnsi="Times" w:cs="Times"/>
          <w:sz w:val="20"/>
          <w:szCs w:val="20"/>
        </w:rPr>
      </w:pPr>
    </w:p>
    <w:p w:rsidR="0051496D" w:rsidRDefault="00E63A58">
      <w:pPr>
        <w:divId w:val="2138445550"/>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Safety Monitoring System and Compliance Initiative for Mexico-Domiciled Motor Carriers Operating in the United States</w:t>
        </w:r>
      </w:hyperlink>
    </w:p>
    <w:p w:rsidR="0051496D" w:rsidRDefault="0051496D">
      <w:pPr>
        <w:rPr>
          <w:rFonts w:ascii="Times" w:eastAsia="Times New Roman" w:hAnsi="Times" w:cs="Times"/>
          <w:sz w:val="20"/>
          <w:szCs w:val="20"/>
        </w:rPr>
      </w:pPr>
    </w:p>
    <w:p w:rsidR="0051496D" w:rsidRDefault="00E63A58">
      <w:pPr>
        <w:divId w:val="879129663"/>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Certification of Safety Auditors, Safety Investigators, and Safety Inspectors</w:t>
        </w:r>
      </w:hyperlink>
    </w:p>
    <w:p w:rsidR="0051496D" w:rsidRDefault="0051496D">
      <w:pPr>
        <w:rPr>
          <w:rFonts w:ascii="Times" w:eastAsia="Times New Roman" w:hAnsi="Times" w:cs="Times"/>
          <w:sz w:val="20"/>
          <w:szCs w:val="20"/>
        </w:rPr>
      </w:pPr>
    </w:p>
    <w:p w:rsidR="0051496D" w:rsidRDefault="00E63A58">
      <w:pPr>
        <w:divId w:val="1288663950"/>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 xml:space="preserve">Limitations on the Issuance of Commercial Driver Licenses with a Hazardous Materials Endorsement </w:t>
        </w:r>
      </w:hyperlink>
    </w:p>
    <w:p w:rsidR="0051496D" w:rsidRDefault="0051496D">
      <w:pPr>
        <w:rPr>
          <w:rFonts w:ascii="Times" w:eastAsia="Times New Roman" w:hAnsi="Times" w:cs="Times"/>
          <w:sz w:val="20"/>
          <w:szCs w:val="20"/>
        </w:rPr>
      </w:pPr>
    </w:p>
    <w:p w:rsidR="0051496D" w:rsidRDefault="00E63A58">
      <w:pPr>
        <w:divId w:val="887452990"/>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Qualifications of Drivers; Diabetes Standard</w:t>
        </w:r>
      </w:hyperlink>
    </w:p>
    <w:p w:rsidR="0051496D" w:rsidRDefault="0051496D">
      <w:pPr>
        <w:rPr>
          <w:rFonts w:ascii="Times" w:eastAsia="Times New Roman" w:hAnsi="Times" w:cs="Times"/>
          <w:sz w:val="20"/>
          <w:szCs w:val="20"/>
        </w:rPr>
      </w:pPr>
    </w:p>
    <w:p w:rsidR="0051496D" w:rsidRDefault="00E63A58">
      <w:pPr>
        <w:divId w:val="59449524"/>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Consumer Complaint Information</w:t>
        </w:r>
      </w:hyperlink>
    </w:p>
    <w:p w:rsidR="0051496D" w:rsidRDefault="0051496D">
      <w:pPr>
        <w:rPr>
          <w:rFonts w:ascii="Times" w:eastAsia="Times New Roman" w:hAnsi="Times" w:cs="Times"/>
          <w:sz w:val="20"/>
          <w:szCs w:val="20"/>
        </w:rPr>
      </w:pPr>
    </w:p>
    <w:p w:rsidR="0051496D" w:rsidRDefault="00E63A58">
      <w:pPr>
        <w:divId w:val="931546611"/>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Minimum Training Requirements for Entry Level Commercial Motor Vehicle Operations (MAP-21)</w:t>
        </w:r>
      </w:hyperlink>
    </w:p>
    <w:p w:rsidR="0051496D" w:rsidRDefault="0051496D">
      <w:pPr>
        <w:rPr>
          <w:rFonts w:ascii="Times" w:eastAsia="Times New Roman" w:hAnsi="Times" w:cs="Times"/>
          <w:sz w:val="20"/>
          <w:szCs w:val="20"/>
        </w:rPr>
      </w:pPr>
    </w:p>
    <w:p w:rsidR="0051496D" w:rsidRDefault="00E63A58">
      <w:pPr>
        <w:divId w:val="183445102"/>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Carrier Safety Fitness Determination </w:t>
        </w:r>
      </w:hyperlink>
    </w:p>
    <w:p w:rsidR="0051496D" w:rsidRDefault="0051496D">
      <w:pPr>
        <w:rPr>
          <w:rFonts w:ascii="Times" w:eastAsia="Times New Roman" w:hAnsi="Times" w:cs="Times"/>
          <w:sz w:val="20"/>
          <w:szCs w:val="20"/>
        </w:rPr>
      </w:pPr>
    </w:p>
    <w:p w:rsidR="0051496D" w:rsidRDefault="00E63A58">
      <w:pPr>
        <w:divId w:val="1766346699"/>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New Entrant Safety Assurance Process: Implementation of Section 210(b) of the Motor Carrier Safety Improvement Act of 1999</w:t>
        </w:r>
      </w:hyperlink>
    </w:p>
    <w:p w:rsidR="0051496D" w:rsidRDefault="0051496D">
      <w:pPr>
        <w:rPr>
          <w:rFonts w:ascii="Times" w:eastAsia="Times New Roman" w:hAnsi="Times" w:cs="Times"/>
          <w:sz w:val="20"/>
          <w:szCs w:val="20"/>
        </w:rPr>
      </w:pPr>
    </w:p>
    <w:p w:rsidR="0051496D" w:rsidRDefault="00E63A58">
      <w:pPr>
        <w:divId w:val="135203159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Commercial Driver's License Drug and Alcohol Clearinghouse (MAP-21)</w:t>
        </w:r>
      </w:hyperlink>
    </w:p>
    <w:p w:rsidR="0051496D" w:rsidRDefault="0051496D">
      <w:pPr>
        <w:rPr>
          <w:rFonts w:ascii="Times" w:eastAsia="Times New Roman" w:hAnsi="Times" w:cs="Times"/>
          <w:sz w:val="20"/>
          <w:szCs w:val="20"/>
        </w:rPr>
      </w:pPr>
    </w:p>
    <w:p w:rsidR="0051496D" w:rsidRDefault="00E63A58">
      <w:pPr>
        <w:divId w:val="1621570150"/>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Electronic Logging Devices and Hours of Service Supporting Documents (MAP-21)</w:t>
        </w:r>
      </w:hyperlink>
    </w:p>
    <w:p w:rsidR="0051496D" w:rsidRDefault="0051496D">
      <w:pPr>
        <w:rPr>
          <w:rFonts w:ascii="Times" w:eastAsia="Times New Roman" w:hAnsi="Times" w:cs="Times"/>
          <w:sz w:val="20"/>
          <w:szCs w:val="20"/>
        </w:rPr>
      </w:pPr>
    </w:p>
    <w:p w:rsidR="0051496D" w:rsidRDefault="00E63A58">
      <w:pPr>
        <w:divId w:val="2052340027"/>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Medical Examiner's Certification Integration (MAP-21)</w:t>
        </w:r>
      </w:hyperlink>
    </w:p>
    <w:p w:rsidR="0051496D" w:rsidRDefault="0051496D">
      <w:pPr>
        <w:rPr>
          <w:rFonts w:ascii="Times" w:eastAsia="Times New Roman" w:hAnsi="Times" w:cs="Times"/>
          <w:sz w:val="20"/>
          <w:szCs w:val="20"/>
        </w:rPr>
      </w:pPr>
    </w:p>
    <w:p w:rsidR="0051496D" w:rsidRDefault="00E63A58">
      <w:pPr>
        <w:divId w:val="525866965"/>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Lease and Interchange of Vehicles; Motor Carriers of Passengers</w:t>
        </w:r>
      </w:hyperlink>
    </w:p>
    <w:p w:rsidR="0051496D" w:rsidRDefault="0051496D">
      <w:pPr>
        <w:rPr>
          <w:rFonts w:ascii="Times" w:eastAsia="Times New Roman" w:hAnsi="Times" w:cs="Times"/>
          <w:sz w:val="20"/>
          <w:szCs w:val="20"/>
        </w:rPr>
      </w:pPr>
    </w:p>
    <w:p w:rsidR="0051496D" w:rsidRDefault="00E63A58">
      <w:pPr>
        <w:divId w:val="1406495922"/>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Inspection, Repair, and Maintenance; Driver-Vehicle Inspection Report (RRR)</w:t>
        </w:r>
      </w:hyperlink>
    </w:p>
    <w:p w:rsidR="0051496D" w:rsidRDefault="0051496D">
      <w:pPr>
        <w:rPr>
          <w:rFonts w:ascii="Times" w:eastAsia="Times New Roman" w:hAnsi="Times" w:cs="Times"/>
          <w:sz w:val="20"/>
          <w:szCs w:val="20"/>
        </w:rPr>
      </w:pPr>
    </w:p>
    <w:p w:rsidR="0051496D" w:rsidRDefault="00E63A58">
      <w:pPr>
        <w:divId w:val="194973900"/>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MAP-21 Enhancements to the Unified Registration System (MAP-21)</w:t>
        </w:r>
      </w:hyperlink>
    </w:p>
    <w:p w:rsidR="0051496D" w:rsidRDefault="0051496D">
      <w:pPr>
        <w:rPr>
          <w:rFonts w:ascii="Times" w:eastAsia="Times New Roman" w:hAnsi="Times" w:cs="Times"/>
          <w:sz w:val="20"/>
          <w:szCs w:val="20"/>
        </w:rPr>
      </w:pPr>
    </w:p>
    <w:p w:rsidR="0051496D" w:rsidRDefault="00E63A58">
      <w:pPr>
        <w:divId w:val="1858233991"/>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Prohibition of Coercion (MAP-21)</w:t>
        </w:r>
      </w:hyperlink>
    </w:p>
    <w:p w:rsidR="0051496D" w:rsidRDefault="0051496D">
      <w:pPr>
        <w:rPr>
          <w:rFonts w:ascii="Times" w:eastAsia="Times New Roman" w:hAnsi="Times" w:cs="Times"/>
          <w:sz w:val="20"/>
          <w:szCs w:val="20"/>
        </w:rPr>
      </w:pPr>
    </w:p>
    <w:p w:rsidR="0051496D" w:rsidRDefault="00E63A58">
      <w:pPr>
        <w:rPr>
          <w:rFonts w:ascii="Times" w:eastAsia="Times New Roman" w:hAnsi="Times" w:cs="Times"/>
        </w:rPr>
      </w:pPr>
      <w:r>
        <w:rPr>
          <w:rFonts w:ascii="Times" w:eastAsia="Times New Roman" w:hAnsi="Times" w:cs="Times"/>
          <w:b/>
          <w:bCs/>
        </w:rPr>
        <w:t>Federal Railroad Administration</w:t>
      </w:r>
    </w:p>
    <w:p w:rsidR="0051496D" w:rsidRDefault="00E63A58">
      <w:pPr>
        <w:divId w:val="198050043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Critical Incident Stress Plan; "Critical Incident" Definition</w:t>
        </w:r>
      </w:hyperlink>
    </w:p>
    <w:p w:rsidR="0051496D" w:rsidRDefault="0051496D">
      <w:pPr>
        <w:rPr>
          <w:rFonts w:ascii="Times" w:eastAsia="Times New Roman" w:hAnsi="Times" w:cs="Times"/>
          <w:sz w:val="20"/>
          <w:szCs w:val="20"/>
        </w:rPr>
      </w:pPr>
    </w:p>
    <w:p w:rsidR="0051496D" w:rsidRDefault="00E63A58">
      <w:pPr>
        <w:divId w:val="1014500832"/>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Training Standards for Railroad Employees</w:t>
        </w:r>
      </w:hyperlink>
    </w:p>
    <w:p w:rsidR="0051496D" w:rsidRDefault="0051496D">
      <w:pPr>
        <w:rPr>
          <w:rFonts w:ascii="Times" w:eastAsia="Times New Roman" w:hAnsi="Times" w:cs="Times"/>
          <w:sz w:val="20"/>
          <w:szCs w:val="20"/>
        </w:rPr>
      </w:pPr>
    </w:p>
    <w:p w:rsidR="0051496D" w:rsidRDefault="00E63A58">
      <w:pPr>
        <w:divId w:val="1527795141"/>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Vehicle/Track Interaction Safety Standards; High-Speed and High Cant Deficiency Operations</w:t>
        </w:r>
      </w:hyperlink>
    </w:p>
    <w:p w:rsidR="0051496D" w:rsidRDefault="0051496D">
      <w:pPr>
        <w:rPr>
          <w:rFonts w:ascii="Times" w:eastAsia="Times New Roman" w:hAnsi="Times" w:cs="Times"/>
          <w:sz w:val="20"/>
          <w:szCs w:val="20"/>
        </w:rPr>
      </w:pPr>
    </w:p>
    <w:p w:rsidR="0051496D" w:rsidRDefault="00E63A58">
      <w:pPr>
        <w:divId w:val="521939407"/>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 xml:space="preserve">Alcohol and Controlled Substance Testing for Maintenance-of-Way Employees </w:t>
        </w:r>
      </w:hyperlink>
    </w:p>
    <w:p w:rsidR="0051496D" w:rsidRDefault="0051496D">
      <w:pPr>
        <w:rPr>
          <w:rFonts w:ascii="Times" w:eastAsia="Times New Roman" w:hAnsi="Times" w:cs="Times"/>
          <w:sz w:val="20"/>
          <w:szCs w:val="20"/>
        </w:rPr>
      </w:pPr>
    </w:p>
    <w:p w:rsidR="0051496D" w:rsidRDefault="00E63A58">
      <w:pPr>
        <w:divId w:val="2050374879"/>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Risk Reduction Program</w:t>
        </w:r>
      </w:hyperlink>
    </w:p>
    <w:p w:rsidR="0051496D" w:rsidRDefault="0051496D">
      <w:pPr>
        <w:rPr>
          <w:rFonts w:ascii="Times" w:eastAsia="Times New Roman" w:hAnsi="Times" w:cs="Times"/>
          <w:sz w:val="20"/>
          <w:szCs w:val="20"/>
        </w:rPr>
      </w:pPr>
    </w:p>
    <w:p w:rsidR="0051496D" w:rsidRDefault="00E63A58">
      <w:pPr>
        <w:divId w:val="1053044645"/>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Emergency Escape Breathing Apparatus</w:t>
        </w:r>
      </w:hyperlink>
    </w:p>
    <w:p w:rsidR="0051496D" w:rsidRDefault="0051496D">
      <w:pPr>
        <w:rPr>
          <w:rFonts w:ascii="Times" w:eastAsia="Times New Roman" w:hAnsi="Times" w:cs="Times"/>
          <w:sz w:val="20"/>
          <w:szCs w:val="20"/>
        </w:rPr>
      </w:pPr>
    </w:p>
    <w:p w:rsidR="0051496D" w:rsidRDefault="00E63A58">
      <w:pPr>
        <w:divId w:val="1357000602"/>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High-Speed Rail Corridor Development and Capital Investment Grants to Support Intercity Passenger Rail Service</w:t>
        </w:r>
      </w:hyperlink>
    </w:p>
    <w:p w:rsidR="0051496D" w:rsidRDefault="0051496D">
      <w:pPr>
        <w:rPr>
          <w:rFonts w:ascii="Times" w:eastAsia="Times New Roman" w:hAnsi="Times" w:cs="Times"/>
          <w:sz w:val="20"/>
          <w:szCs w:val="20"/>
        </w:rPr>
      </w:pPr>
    </w:p>
    <w:p w:rsidR="0051496D" w:rsidRDefault="00E63A58">
      <w:pPr>
        <w:divId w:val="1185248542"/>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Intercity Passenger Rail (HSIPR) Program; Buy America Program Requirements</w:t>
        </w:r>
      </w:hyperlink>
    </w:p>
    <w:p w:rsidR="0051496D" w:rsidRDefault="0051496D">
      <w:pPr>
        <w:rPr>
          <w:rFonts w:ascii="Times" w:eastAsia="Times New Roman" w:hAnsi="Times" w:cs="Times"/>
          <w:sz w:val="20"/>
          <w:szCs w:val="20"/>
        </w:rPr>
      </w:pPr>
    </w:p>
    <w:p w:rsidR="0051496D" w:rsidRDefault="00E63A58">
      <w:pPr>
        <w:divId w:val="72452343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Positive Train Control Systems: De Minimis Exception, Yard Movements, En Route Failures; Miscellaneous Grade Crossing/Signal and Train Control Amendments (RRR)</w:t>
        </w:r>
      </w:hyperlink>
    </w:p>
    <w:p w:rsidR="0051496D" w:rsidRDefault="0051496D">
      <w:pPr>
        <w:rPr>
          <w:rFonts w:ascii="Times" w:eastAsia="Times New Roman" w:hAnsi="Times" w:cs="Times"/>
          <w:sz w:val="20"/>
          <w:szCs w:val="20"/>
        </w:rPr>
      </w:pPr>
    </w:p>
    <w:p w:rsidR="0051496D" w:rsidRDefault="00E63A58">
      <w:pPr>
        <w:rPr>
          <w:rFonts w:ascii="Times" w:eastAsia="Times New Roman" w:hAnsi="Times" w:cs="Times"/>
        </w:rPr>
      </w:pPr>
      <w:r>
        <w:rPr>
          <w:rFonts w:ascii="Times" w:eastAsia="Times New Roman" w:hAnsi="Times" w:cs="Times"/>
          <w:b/>
          <w:bCs/>
        </w:rPr>
        <w:t>Federal Transit Administration</w:t>
      </w:r>
    </w:p>
    <w:p w:rsidR="0051496D" w:rsidRDefault="00E63A58">
      <w:pPr>
        <w:divId w:val="401562168"/>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 xml:space="preserve">Capital Project Management (MAP-21) </w:t>
        </w:r>
      </w:hyperlink>
    </w:p>
    <w:p w:rsidR="0051496D" w:rsidRDefault="0051496D">
      <w:pPr>
        <w:rPr>
          <w:rFonts w:ascii="Times" w:eastAsia="Times New Roman" w:hAnsi="Times" w:cs="Times"/>
          <w:sz w:val="20"/>
          <w:szCs w:val="20"/>
        </w:rPr>
      </w:pPr>
    </w:p>
    <w:p w:rsidR="0051496D" w:rsidRDefault="00E63A58">
      <w:pPr>
        <w:divId w:val="870387310"/>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Environmental Impact and Related Procedures (RRR)</w:t>
        </w:r>
      </w:hyperlink>
    </w:p>
    <w:p w:rsidR="0051496D" w:rsidRDefault="0051496D">
      <w:pPr>
        <w:rPr>
          <w:rFonts w:ascii="Times" w:eastAsia="Times New Roman" w:hAnsi="Times" w:cs="Times"/>
          <w:sz w:val="20"/>
          <w:szCs w:val="20"/>
        </w:rPr>
      </w:pPr>
    </w:p>
    <w:p w:rsidR="0051496D" w:rsidRDefault="00E63A58">
      <w:pPr>
        <w:divId w:val="199512557"/>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Public Transportation Emergency Relief Program (MAP-21)</w:t>
        </w:r>
      </w:hyperlink>
    </w:p>
    <w:p w:rsidR="0051496D" w:rsidRDefault="0051496D">
      <w:pPr>
        <w:rPr>
          <w:rFonts w:ascii="Times" w:eastAsia="Times New Roman" w:hAnsi="Times" w:cs="Times"/>
          <w:sz w:val="20"/>
          <w:szCs w:val="20"/>
        </w:rPr>
      </w:pPr>
    </w:p>
    <w:p w:rsidR="0051496D" w:rsidRDefault="00E63A58">
      <w:pPr>
        <w:divId w:val="277883180"/>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State Safety Oversight (MAP-21)</w:t>
        </w:r>
      </w:hyperlink>
    </w:p>
    <w:p w:rsidR="0051496D" w:rsidRDefault="0051496D">
      <w:pPr>
        <w:rPr>
          <w:rFonts w:ascii="Times" w:eastAsia="Times New Roman" w:hAnsi="Times" w:cs="Times"/>
          <w:sz w:val="20"/>
          <w:szCs w:val="20"/>
        </w:rPr>
      </w:pPr>
    </w:p>
    <w:p w:rsidR="0051496D" w:rsidRDefault="00E63A58">
      <w:pPr>
        <w:rPr>
          <w:rFonts w:ascii="Times" w:eastAsia="Times New Roman" w:hAnsi="Times" w:cs="Times"/>
        </w:rPr>
      </w:pPr>
      <w:r>
        <w:rPr>
          <w:rFonts w:ascii="Times" w:eastAsia="Times New Roman" w:hAnsi="Times" w:cs="Times"/>
          <w:b/>
          <w:bCs/>
        </w:rPr>
        <w:t>Maritime Administration</w:t>
      </w:r>
    </w:p>
    <w:p w:rsidR="0051496D" w:rsidRDefault="00E63A58">
      <w:pPr>
        <w:divId w:val="70006651"/>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Regulations To Be Followed by All Departments, Agencies and Shippers Having Responsibility To Provide a Preference for U.S.-Flag Vessels in the Shipment of Cargoes on Ocean Vessels</w:t>
        </w:r>
      </w:hyperlink>
    </w:p>
    <w:p w:rsidR="0051496D" w:rsidRDefault="0051496D">
      <w:pPr>
        <w:rPr>
          <w:rFonts w:ascii="Times" w:eastAsia="Times New Roman" w:hAnsi="Times" w:cs="Times"/>
          <w:sz w:val="20"/>
          <w:szCs w:val="20"/>
        </w:rPr>
      </w:pPr>
    </w:p>
    <w:p w:rsidR="0051496D" w:rsidRDefault="00E63A58">
      <w:pPr>
        <w:rPr>
          <w:rFonts w:ascii="Times" w:eastAsia="Times New Roman" w:hAnsi="Times" w:cs="Times"/>
        </w:rPr>
      </w:pPr>
      <w:r>
        <w:rPr>
          <w:rFonts w:ascii="Times" w:eastAsia="Times New Roman" w:hAnsi="Times" w:cs="Times"/>
          <w:b/>
          <w:bCs/>
        </w:rPr>
        <w:t>National Highway Traffic Safety Administration</w:t>
      </w:r>
    </w:p>
    <w:p w:rsidR="0051496D" w:rsidRDefault="00E63A58">
      <w:pPr>
        <w:divId w:val="1862739629"/>
        <w:rPr>
          <w:rFonts w:ascii="Times" w:eastAsia="Times New Roman" w:hAnsi="Times" w:cs="Times"/>
        </w:rPr>
      </w:pPr>
      <w:r>
        <w:rPr>
          <w:rFonts w:ascii="Times" w:eastAsia="Times New Roman" w:hAnsi="Times" w:cs="Times"/>
        </w:rPr>
        <w:lastRenderedPageBreak/>
        <w:t>62. </w:t>
      </w:r>
      <w:hyperlink w:anchor="62" w:history="1">
        <w:r>
          <w:rPr>
            <w:rStyle w:val="Hyperlink"/>
            <w:rFonts w:ascii="Times" w:eastAsia="Times New Roman" w:hAnsi="Times" w:cs="Times"/>
          </w:rPr>
          <w:t xml:space="preserve">Federal Motor Vehicle Safety Standard No. 111, Rearview Mirrors </w:t>
        </w:r>
      </w:hyperlink>
    </w:p>
    <w:p w:rsidR="0051496D" w:rsidRDefault="0051496D">
      <w:pPr>
        <w:rPr>
          <w:rFonts w:ascii="Times" w:eastAsia="Times New Roman" w:hAnsi="Times" w:cs="Times"/>
          <w:sz w:val="20"/>
          <w:szCs w:val="20"/>
        </w:rPr>
      </w:pPr>
    </w:p>
    <w:p w:rsidR="0051496D" w:rsidRDefault="00E63A58">
      <w:pPr>
        <w:divId w:val="1190489407"/>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Require Installation of Seat Belts on Motorcoaches, FMVSS No. 208 (MAP-21)</w:t>
        </w:r>
      </w:hyperlink>
    </w:p>
    <w:p w:rsidR="0051496D" w:rsidRDefault="0051496D">
      <w:pPr>
        <w:rPr>
          <w:rFonts w:ascii="Times" w:eastAsia="Times New Roman" w:hAnsi="Times" w:cs="Times"/>
          <w:sz w:val="20"/>
          <w:szCs w:val="20"/>
        </w:rPr>
      </w:pPr>
    </w:p>
    <w:p w:rsidR="0051496D" w:rsidRDefault="00E63A58">
      <w:pPr>
        <w:divId w:val="110985848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Alternative Fuel Vehicle Badging and Fuel Compartment Labels on Alternative Fuel Usage</w:t>
        </w:r>
      </w:hyperlink>
    </w:p>
    <w:p w:rsidR="0051496D" w:rsidRDefault="0051496D">
      <w:pPr>
        <w:rPr>
          <w:rFonts w:ascii="Times" w:eastAsia="Times New Roman" w:hAnsi="Times" w:cs="Times"/>
          <w:sz w:val="20"/>
          <w:szCs w:val="20"/>
        </w:rPr>
      </w:pPr>
    </w:p>
    <w:p w:rsidR="0051496D" w:rsidRDefault="00E63A58">
      <w:pPr>
        <w:divId w:val="1242375944"/>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Tire Fuel Efficiency Consumer Information - Part 2</w:t>
        </w:r>
      </w:hyperlink>
    </w:p>
    <w:p w:rsidR="0051496D" w:rsidRDefault="0051496D">
      <w:pPr>
        <w:rPr>
          <w:rFonts w:ascii="Times" w:eastAsia="Times New Roman" w:hAnsi="Times" w:cs="Times"/>
          <w:sz w:val="20"/>
          <w:szCs w:val="20"/>
        </w:rPr>
      </w:pPr>
    </w:p>
    <w:p w:rsidR="0051496D" w:rsidRDefault="00E63A58">
      <w:pPr>
        <w:divId w:val="1746687511"/>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 xml:space="preserve">Mandatory Event Data Recorder Requirements </w:t>
        </w:r>
      </w:hyperlink>
    </w:p>
    <w:p w:rsidR="0051496D" w:rsidRDefault="0051496D">
      <w:pPr>
        <w:rPr>
          <w:rFonts w:ascii="Times" w:eastAsia="Times New Roman" w:hAnsi="Times" w:cs="Times"/>
          <w:sz w:val="20"/>
          <w:szCs w:val="20"/>
        </w:rPr>
      </w:pPr>
    </w:p>
    <w:p w:rsidR="0051496D" w:rsidRDefault="00E63A58">
      <w:pPr>
        <w:divId w:val="1128163031"/>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Upgrade of Event Data Recorder Requirements</w:t>
        </w:r>
      </w:hyperlink>
    </w:p>
    <w:p w:rsidR="0051496D" w:rsidRDefault="0051496D">
      <w:pPr>
        <w:rPr>
          <w:rFonts w:ascii="Times" w:eastAsia="Times New Roman" w:hAnsi="Times" w:cs="Times"/>
          <w:sz w:val="20"/>
          <w:szCs w:val="20"/>
        </w:rPr>
      </w:pPr>
    </w:p>
    <w:p w:rsidR="0051496D" w:rsidRDefault="00E63A58">
      <w:pPr>
        <w:divId w:val="2058822678"/>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 xml:space="preserve">Heavy Vehicle Speed Limiters </w:t>
        </w:r>
      </w:hyperlink>
    </w:p>
    <w:p w:rsidR="0051496D" w:rsidRDefault="0051496D">
      <w:pPr>
        <w:rPr>
          <w:rFonts w:ascii="Times" w:eastAsia="Times New Roman" w:hAnsi="Times" w:cs="Times"/>
          <w:sz w:val="20"/>
          <w:szCs w:val="20"/>
        </w:rPr>
      </w:pPr>
    </w:p>
    <w:p w:rsidR="0051496D" w:rsidRDefault="00E63A58">
      <w:pPr>
        <w:divId w:val="1707876411"/>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Sound for Hybrid and Electric Vehicles </w:t>
        </w:r>
      </w:hyperlink>
    </w:p>
    <w:p w:rsidR="0051496D" w:rsidRDefault="0051496D">
      <w:pPr>
        <w:rPr>
          <w:rFonts w:ascii="Times" w:eastAsia="Times New Roman" w:hAnsi="Times" w:cs="Times"/>
          <w:sz w:val="20"/>
          <w:szCs w:val="20"/>
        </w:rPr>
      </w:pPr>
    </w:p>
    <w:p w:rsidR="0051496D" w:rsidRDefault="00E63A58">
      <w:pPr>
        <w:divId w:val="2025597100"/>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Establish Side Impact Performance Requirements for Child Restraint Systems (MAP-21) </w:t>
        </w:r>
      </w:hyperlink>
    </w:p>
    <w:p w:rsidR="0051496D" w:rsidRDefault="0051496D">
      <w:pPr>
        <w:rPr>
          <w:rFonts w:ascii="Times" w:eastAsia="Times New Roman" w:hAnsi="Times" w:cs="Times"/>
          <w:sz w:val="20"/>
          <w:szCs w:val="20"/>
        </w:rPr>
      </w:pPr>
    </w:p>
    <w:p w:rsidR="0051496D" w:rsidRDefault="00E63A58">
      <w:pPr>
        <w:divId w:val="1657957359"/>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Motorcoach Rollover Structural Integrity (MAP-21) </w:t>
        </w:r>
      </w:hyperlink>
    </w:p>
    <w:p w:rsidR="0051496D" w:rsidRDefault="0051496D">
      <w:pPr>
        <w:rPr>
          <w:rFonts w:ascii="Times" w:eastAsia="Times New Roman" w:hAnsi="Times" w:cs="Times"/>
          <w:sz w:val="20"/>
          <w:szCs w:val="20"/>
        </w:rPr>
      </w:pPr>
    </w:p>
    <w:p w:rsidR="0051496D" w:rsidRDefault="00E63A58">
      <w:pPr>
        <w:divId w:val="1438059290"/>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Electronic Stability Control Systems for Heavy Vehicles (MAP-21) </w:t>
        </w:r>
      </w:hyperlink>
    </w:p>
    <w:p w:rsidR="0051496D" w:rsidRDefault="0051496D">
      <w:pPr>
        <w:rPr>
          <w:rFonts w:ascii="Times" w:eastAsia="Times New Roman" w:hAnsi="Times" w:cs="Times"/>
          <w:sz w:val="20"/>
          <w:szCs w:val="20"/>
        </w:rPr>
      </w:pPr>
    </w:p>
    <w:p w:rsidR="0051496D" w:rsidRDefault="00E63A58">
      <w:pPr>
        <w:divId w:val="192711351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FMVSS No. 218 and Enforcement Policy Concerning Novelty Helmets</w:t>
        </w:r>
      </w:hyperlink>
    </w:p>
    <w:p w:rsidR="0051496D" w:rsidRDefault="0051496D">
      <w:pPr>
        <w:rPr>
          <w:rFonts w:ascii="Times" w:eastAsia="Times New Roman" w:hAnsi="Times" w:cs="Times"/>
          <w:sz w:val="20"/>
          <w:szCs w:val="20"/>
        </w:rPr>
      </w:pPr>
    </w:p>
    <w:p w:rsidR="0051496D" w:rsidRDefault="00E63A58">
      <w:pPr>
        <w:divId w:val="1565025577"/>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Amend Definition of 3-Wheeled Vehicles</w:t>
        </w:r>
      </w:hyperlink>
    </w:p>
    <w:p w:rsidR="0051496D" w:rsidRDefault="0051496D">
      <w:pPr>
        <w:rPr>
          <w:rFonts w:ascii="Times" w:eastAsia="Times New Roman" w:hAnsi="Times" w:cs="Times"/>
          <w:sz w:val="20"/>
          <w:szCs w:val="20"/>
        </w:rPr>
      </w:pPr>
    </w:p>
    <w:p w:rsidR="0051496D" w:rsidRDefault="00E63A58">
      <w:pPr>
        <w:divId w:val="202715982"/>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Part 571 New FMVSS, Lamps and Reflective Devices for Agricultural Equipment (MAP-21)</w:t>
        </w:r>
      </w:hyperlink>
    </w:p>
    <w:p w:rsidR="0051496D" w:rsidRDefault="0051496D">
      <w:pPr>
        <w:rPr>
          <w:rFonts w:ascii="Times" w:eastAsia="Times New Roman" w:hAnsi="Times" w:cs="Times"/>
          <w:sz w:val="20"/>
          <w:szCs w:val="20"/>
        </w:rPr>
      </w:pPr>
    </w:p>
    <w:p w:rsidR="0051496D" w:rsidRDefault="00E63A58">
      <w:pPr>
        <w:divId w:val="1530490447"/>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Uniform Procedures for State Highway Safety Programs (MAP-21)</w:t>
        </w:r>
      </w:hyperlink>
    </w:p>
    <w:p w:rsidR="0051496D" w:rsidRDefault="0051496D">
      <w:pPr>
        <w:rPr>
          <w:rFonts w:ascii="Times" w:eastAsia="Times New Roman" w:hAnsi="Times" w:cs="Times"/>
          <w:sz w:val="20"/>
          <w:szCs w:val="20"/>
        </w:rPr>
      </w:pPr>
    </w:p>
    <w:p w:rsidR="0051496D" w:rsidRDefault="00E63A58">
      <w:pPr>
        <w:divId w:val="41829152"/>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Corrections and Minor Revisions to the MY 2014-2018 Greenhouse Gas Emissions Standards and Fuel Efficiency Standards for Medium- and Heavy-Duty Engines and Vehicles</w:t>
        </w:r>
      </w:hyperlink>
    </w:p>
    <w:p w:rsidR="0051496D" w:rsidRDefault="0051496D">
      <w:pPr>
        <w:rPr>
          <w:rFonts w:ascii="Times" w:eastAsia="Times New Roman" w:hAnsi="Times" w:cs="Times"/>
          <w:sz w:val="20"/>
          <w:szCs w:val="20"/>
        </w:rPr>
      </w:pPr>
    </w:p>
    <w:p w:rsidR="0051496D" w:rsidRDefault="00E63A58">
      <w:pPr>
        <w:rPr>
          <w:rFonts w:ascii="Times" w:eastAsia="Times New Roman" w:hAnsi="Times" w:cs="Times"/>
        </w:rPr>
      </w:pPr>
      <w:r>
        <w:rPr>
          <w:rFonts w:ascii="Times" w:eastAsia="Times New Roman" w:hAnsi="Times" w:cs="Times"/>
          <w:b/>
          <w:bCs/>
        </w:rPr>
        <w:t>Office of the Secretary</w:t>
      </w:r>
    </w:p>
    <w:p w:rsidR="0051496D" w:rsidRDefault="00E63A58">
      <w:pPr>
        <w:divId w:val="1370031077"/>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Protection of Sensitive Security Information</w:t>
        </w:r>
      </w:hyperlink>
    </w:p>
    <w:p w:rsidR="0051496D" w:rsidRDefault="0051496D">
      <w:pPr>
        <w:rPr>
          <w:rFonts w:ascii="Times" w:eastAsia="Times New Roman" w:hAnsi="Times" w:cs="Times"/>
          <w:sz w:val="20"/>
          <w:szCs w:val="20"/>
        </w:rPr>
      </w:pPr>
    </w:p>
    <w:p w:rsidR="0051496D" w:rsidRDefault="00E63A58">
      <w:pPr>
        <w:divId w:val="2083328134"/>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Use of the Seat-Strapping Method for Carrying a Wheelchair on an Aircraft</w:t>
        </w:r>
      </w:hyperlink>
    </w:p>
    <w:p w:rsidR="0051496D" w:rsidRDefault="0051496D">
      <w:pPr>
        <w:rPr>
          <w:rFonts w:ascii="Times" w:eastAsia="Times New Roman" w:hAnsi="Times" w:cs="Times"/>
          <w:sz w:val="20"/>
          <w:szCs w:val="20"/>
        </w:rPr>
      </w:pPr>
    </w:p>
    <w:p w:rsidR="0051496D" w:rsidRDefault="00E63A58">
      <w:pPr>
        <w:divId w:val="2141723434"/>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 xml:space="preserve">Stowage of Wheelchairs, other Mobility Aids and other Assistive Devices </w:t>
        </w:r>
      </w:hyperlink>
    </w:p>
    <w:p w:rsidR="0051496D" w:rsidRDefault="0051496D">
      <w:pPr>
        <w:rPr>
          <w:rFonts w:ascii="Times" w:eastAsia="Times New Roman" w:hAnsi="Times" w:cs="Times"/>
          <w:sz w:val="20"/>
          <w:szCs w:val="20"/>
        </w:rPr>
      </w:pPr>
    </w:p>
    <w:p w:rsidR="0051496D" w:rsidRDefault="00E63A58">
      <w:pPr>
        <w:divId w:val="729307226"/>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Accessibility of Airports </w:t>
        </w:r>
      </w:hyperlink>
    </w:p>
    <w:p w:rsidR="0051496D" w:rsidRDefault="0051496D">
      <w:pPr>
        <w:rPr>
          <w:rFonts w:ascii="Times" w:eastAsia="Times New Roman" w:hAnsi="Times" w:cs="Times"/>
          <w:sz w:val="20"/>
          <w:szCs w:val="20"/>
        </w:rPr>
      </w:pPr>
    </w:p>
    <w:p w:rsidR="0051496D" w:rsidRDefault="00E63A58">
      <w:pPr>
        <w:divId w:val="157045250"/>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Accessibility of Carrier Websites and Ticket Kiosks </w:t>
        </w:r>
      </w:hyperlink>
    </w:p>
    <w:p w:rsidR="0051496D" w:rsidRDefault="0051496D">
      <w:pPr>
        <w:rPr>
          <w:rFonts w:ascii="Times" w:eastAsia="Times New Roman" w:hAnsi="Times" w:cs="Times"/>
          <w:sz w:val="20"/>
          <w:szCs w:val="20"/>
        </w:rPr>
      </w:pPr>
    </w:p>
    <w:p w:rsidR="0051496D" w:rsidRDefault="00E63A58">
      <w:pPr>
        <w:divId w:val="1183519554"/>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Smoking of Electronic Cigarettes On Commercial Aircraft</w:t>
        </w:r>
      </w:hyperlink>
    </w:p>
    <w:p w:rsidR="0051496D" w:rsidRDefault="0051496D">
      <w:pPr>
        <w:rPr>
          <w:rFonts w:ascii="Times" w:eastAsia="Times New Roman" w:hAnsi="Times" w:cs="Times"/>
          <w:sz w:val="20"/>
          <w:szCs w:val="20"/>
        </w:rPr>
      </w:pPr>
    </w:p>
    <w:p w:rsidR="0051496D" w:rsidRDefault="00E63A58">
      <w:pPr>
        <w:divId w:val="1264612995"/>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Enhancing Airline Passenger Protections III</w:t>
        </w:r>
      </w:hyperlink>
    </w:p>
    <w:p w:rsidR="0051496D" w:rsidRDefault="0051496D">
      <w:pPr>
        <w:rPr>
          <w:rFonts w:ascii="Times" w:eastAsia="Times New Roman" w:hAnsi="Times" w:cs="Times"/>
          <w:sz w:val="20"/>
          <w:szCs w:val="20"/>
        </w:rPr>
      </w:pPr>
    </w:p>
    <w:p w:rsidR="0051496D" w:rsidRDefault="00E63A58">
      <w:pPr>
        <w:divId w:val="921909762"/>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Carrier-Supplied Medical Oxygen, Accessible In-Flight Entertainment Systems, Service Animals, and Accessible Lavatories on Single-Aisle Aircraft</w:t>
        </w:r>
      </w:hyperlink>
    </w:p>
    <w:p w:rsidR="0051496D" w:rsidRDefault="0051496D">
      <w:pPr>
        <w:rPr>
          <w:rFonts w:ascii="Times" w:eastAsia="Times New Roman" w:hAnsi="Times" w:cs="Times"/>
          <w:sz w:val="20"/>
          <w:szCs w:val="20"/>
        </w:rPr>
      </w:pPr>
    </w:p>
    <w:p w:rsidR="0051496D" w:rsidRDefault="00E63A58">
      <w:pPr>
        <w:divId w:val="91706076"/>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Transportation for Individuals with Disabilities: Reasonable Modification</w:t>
        </w:r>
      </w:hyperlink>
    </w:p>
    <w:p w:rsidR="0051496D" w:rsidRDefault="0051496D">
      <w:pPr>
        <w:rPr>
          <w:rFonts w:ascii="Times" w:eastAsia="Times New Roman" w:hAnsi="Times" w:cs="Times"/>
          <w:sz w:val="20"/>
          <w:szCs w:val="20"/>
        </w:rPr>
      </w:pPr>
    </w:p>
    <w:p w:rsidR="0051496D" w:rsidRDefault="00E63A58">
      <w:pPr>
        <w:rPr>
          <w:rFonts w:ascii="Times" w:eastAsia="Times New Roman" w:hAnsi="Times" w:cs="Times"/>
        </w:rPr>
      </w:pPr>
      <w:r>
        <w:rPr>
          <w:rFonts w:ascii="Times" w:eastAsia="Times New Roman" w:hAnsi="Times" w:cs="Times"/>
          <w:b/>
          <w:bCs/>
        </w:rPr>
        <w:t>Pipeline and Hazardous Materials Safety Administration</w:t>
      </w:r>
    </w:p>
    <w:p w:rsidR="0051496D" w:rsidRDefault="00E63A58">
      <w:pPr>
        <w:divId w:val="1411121773"/>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Hazardous Materials: Bulk Loading and Unloading Operations </w:t>
        </w:r>
      </w:hyperlink>
    </w:p>
    <w:p w:rsidR="0051496D" w:rsidRDefault="0051496D">
      <w:pPr>
        <w:rPr>
          <w:rFonts w:ascii="Times" w:eastAsia="Times New Roman" w:hAnsi="Times" w:cs="Times"/>
          <w:sz w:val="20"/>
          <w:szCs w:val="20"/>
        </w:rPr>
      </w:pPr>
    </w:p>
    <w:p w:rsidR="0051496D" w:rsidRDefault="00E63A58">
      <w:pPr>
        <w:divId w:val="430782787"/>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Enforcement of State Excavation Damage Laws</w:t>
        </w:r>
      </w:hyperlink>
    </w:p>
    <w:p w:rsidR="0051496D" w:rsidRDefault="0051496D">
      <w:pPr>
        <w:rPr>
          <w:rFonts w:ascii="Times" w:eastAsia="Times New Roman" w:hAnsi="Times" w:cs="Times"/>
          <w:sz w:val="20"/>
          <w:szCs w:val="20"/>
        </w:rPr>
      </w:pPr>
    </w:p>
    <w:p w:rsidR="0051496D" w:rsidRDefault="00E63A58">
      <w:pPr>
        <w:divId w:val="1781219376"/>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Revisions to Requirements for the Transportation of Lithium Batteries</w:t>
        </w:r>
      </w:hyperlink>
    </w:p>
    <w:p w:rsidR="0051496D" w:rsidRDefault="0051496D">
      <w:pPr>
        <w:rPr>
          <w:rFonts w:ascii="Times" w:eastAsia="Times New Roman" w:hAnsi="Times" w:cs="Times"/>
          <w:sz w:val="20"/>
          <w:szCs w:val="20"/>
        </w:rPr>
      </w:pPr>
    </w:p>
    <w:p w:rsidR="0051496D" w:rsidRDefault="00E63A58">
      <w:pPr>
        <w:divId w:val="267467171"/>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 xml:space="preserve">Hazardous Materials: Safety Requirements for External Product Piping on Cargo Tanks Transporting Flammable Liquids (Wetlines) (MAP-21) </w:t>
        </w:r>
      </w:hyperlink>
    </w:p>
    <w:p w:rsidR="0051496D" w:rsidRDefault="0051496D">
      <w:pPr>
        <w:rPr>
          <w:rFonts w:ascii="Times" w:eastAsia="Times New Roman" w:hAnsi="Times" w:cs="Times"/>
          <w:sz w:val="20"/>
          <w:szCs w:val="20"/>
        </w:rPr>
      </w:pPr>
    </w:p>
    <w:p w:rsidR="0051496D" w:rsidRDefault="00E63A58">
      <w:pPr>
        <w:divId w:val="996685238"/>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Hazardous Materials: Approval and Communication Requirements for the Safe Transportation of Air Bag Inflators, Air Bag Modules, and Seat-Belt Pretensioners (RRR)</w:t>
        </w:r>
      </w:hyperlink>
    </w:p>
    <w:p w:rsidR="0051496D" w:rsidRDefault="0051496D">
      <w:pPr>
        <w:rPr>
          <w:rFonts w:ascii="Times" w:eastAsia="Times New Roman" w:hAnsi="Times" w:cs="Times"/>
          <w:sz w:val="20"/>
          <w:szCs w:val="20"/>
        </w:rPr>
      </w:pPr>
    </w:p>
    <w:p w:rsidR="0051496D" w:rsidRDefault="00E63A58">
      <w:pPr>
        <w:divId w:val="381639924"/>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Pipeline Safety: Safety of On-Shore Liquid Hazardous Pipelines</w:t>
        </w:r>
      </w:hyperlink>
    </w:p>
    <w:p w:rsidR="0051496D" w:rsidRDefault="0051496D">
      <w:pPr>
        <w:rPr>
          <w:rFonts w:ascii="Times" w:eastAsia="Times New Roman" w:hAnsi="Times" w:cs="Times"/>
          <w:sz w:val="20"/>
          <w:szCs w:val="20"/>
        </w:rPr>
      </w:pPr>
    </w:p>
    <w:p w:rsidR="0051496D" w:rsidRDefault="00E63A58">
      <w:pPr>
        <w:divId w:val="416947748"/>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Safety: Excess Flow Valves In Applications Other Than Single-Family Residences in Gas Distribution Systems</w:t>
        </w:r>
      </w:hyperlink>
    </w:p>
    <w:p w:rsidR="0051496D" w:rsidRDefault="0051496D">
      <w:pPr>
        <w:rPr>
          <w:rFonts w:ascii="Times" w:eastAsia="Times New Roman" w:hAnsi="Times" w:cs="Times"/>
          <w:sz w:val="20"/>
          <w:szCs w:val="20"/>
        </w:rPr>
      </w:pPr>
    </w:p>
    <w:p w:rsidR="0051496D" w:rsidRDefault="00E63A58">
      <w:pPr>
        <w:divId w:val="1428502387"/>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Pipeline Safety: Gas Transmission (RRR)</w:t>
        </w:r>
      </w:hyperlink>
    </w:p>
    <w:p w:rsidR="0051496D" w:rsidRDefault="0051496D">
      <w:pPr>
        <w:rPr>
          <w:rFonts w:ascii="Times" w:eastAsia="Times New Roman" w:hAnsi="Times" w:cs="Times"/>
          <w:sz w:val="20"/>
          <w:szCs w:val="20"/>
        </w:rPr>
      </w:pPr>
    </w:p>
    <w:p w:rsidR="0051496D" w:rsidRDefault="00E63A58">
      <w:pPr>
        <w:divId w:val="1265265616"/>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Hazardous Materials: Reverse Logistics (RRR)</w:t>
        </w:r>
      </w:hyperlink>
    </w:p>
    <w:p w:rsidR="0051496D" w:rsidRDefault="0051496D">
      <w:pPr>
        <w:rPr>
          <w:rFonts w:ascii="Times" w:eastAsia="Times New Roman" w:hAnsi="Times" w:cs="Times"/>
          <w:sz w:val="20"/>
          <w:szCs w:val="20"/>
        </w:rPr>
      </w:pPr>
    </w:p>
    <w:p w:rsidR="0051496D" w:rsidRDefault="00E63A58">
      <w:pPr>
        <w:divId w:val="676813977"/>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Pipeline Safety: Periodic Updates of Regulatory References to Technical Standards and Miscellaneous Amendments (RRR)</w:t>
        </w:r>
      </w:hyperlink>
    </w:p>
    <w:p w:rsidR="0051496D" w:rsidRDefault="0051496D">
      <w:pPr>
        <w:rPr>
          <w:rFonts w:ascii="Times" w:eastAsia="Times New Roman" w:hAnsi="Times" w:cs="Times"/>
          <w:sz w:val="20"/>
          <w:szCs w:val="20"/>
        </w:rPr>
      </w:pPr>
    </w:p>
    <w:p w:rsidR="0051496D" w:rsidRDefault="00E63A58">
      <w:pPr>
        <w:divId w:val="1931963305"/>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Hazardous Materials: Requirements for the Safe Transportation of Bulk Explosives (RRR)</w:t>
        </w:r>
      </w:hyperlink>
    </w:p>
    <w:p w:rsidR="0051496D" w:rsidRDefault="0051496D">
      <w:pPr>
        <w:rPr>
          <w:rFonts w:ascii="Times" w:eastAsia="Times New Roman" w:hAnsi="Times" w:cs="Times"/>
          <w:sz w:val="20"/>
          <w:szCs w:val="20"/>
        </w:rPr>
      </w:pPr>
    </w:p>
    <w:p w:rsidR="0051496D" w:rsidRDefault="00E63A58">
      <w:pPr>
        <w:divId w:val="1244995982"/>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Hazardous Materials: Rail Petitions and Recommendations to Improve the Safety of Railroad Tank Car Transportation (RRR)</w:t>
        </w:r>
      </w:hyperlink>
    </w:p>
    <w:p w:rsidR="0051496D" w:rsidRDefault="0051496D">
      <w:pPr>
        <w:rPr>
          <w:rFonts w:ascii="Times" w:eastAsia="Times New Roman" w:hAnsi="Times" w:cs="Times"/>
          <w:sz w:val="20"/>
          <w:szCs w:val="20"/>
        </w:rPr>
      </w:pPr>
    </w:p>
    <w:p w:rsidR="0051496D" w:rsidRDefault="00E63A58">
      <w:pPr>
        <w:rPr>
          <w:rFonts w:ascii="Times" w:eastAsia="Times New Roman" w:hAnsi="Times" w:cs="Times"/>
        </w:rPr>
      </w:pPr>
      <w:r>
        <w:rPr>
          <w:rFonts w:ascii="Times" w:eastAsia="Times New Roman" w:hAnsi="Times" w:cs="Times"/>
          <w:b/>
          <w:bCs/>
        </w:rPr>
        <w:t>Research and Innovative Technology Administration</w:t>
      </w:r>
    </w:p>
    <w:p w:rsidR="0051496D" w:rsidRDefault="00E63A58">
      <w:pPr>
        <w:divId w:val="1705793259"/>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Reporting Ancillary Airline Passenger Revenues</w:t>
        </w:r>
      </w:hyperlink>
    </w:p>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Qualification, Service, and Use of Crewmembers and Aircraft Dispatchers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Subparts N and O</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2120-AJ00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01/12/2009;End of Comment Period 05/12/2009; Extension of Comment Period 04/20/2009;End of Extended of Comment Period 08/10/2009. SNPRM: Publication Date 05/20/2011;End of Comment Period 07/19/2011;Extension of Comment Period 06/23/2011;End of Extended of Comment Period 09/19/2011.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crewmember and dispatcher training programs in domestic, flag, and supplemental operations. The rulemaking would enhance traditional training programs by requiring the use of flight simulation training devices for flight crewmembers and including additional training requirements in areas that are critical to safety. The rulemaking would also reorganize and revise the qualification and training requirements. The changes are intended to contribute significantly to reducing aviation accidents.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01/19/2013</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03/12/1999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FAA-2008-0677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Supercooled Large Droplet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Supercooled Large Droplet Icing Conditions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2120-AJ34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6/29/2010; End of Comment Period 08/30/2010; Publication of Extended Comment Period 08/16/2010; End of Extended Comment Period 9/29/2010.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airworthiness standards applicable to certain transport category airplanes certificated for flight in icing conditions and the icing airworthiness standards applicable to certain aircraft engines. The rulemaking would improve safety by addressing supercooled large drop icing conditions for transport category airplanes most affected by supercooled large drop icing conditions, mixed phase and ice crystal conditions for all transport category airplanes, and supercooled large drop, mixed phase, and ice crystal icing conditions for all turbine engines. This rulemaking is the result of information gathered from a review of icing accidents and incidents.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11/29/2012</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FAA-2010-0636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2120-AJ38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Photo Requirements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2120-AJ42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digital photos on all pilot certificates. This action is necessary to update regulations about pilot plastic certificates. The intended effect of this action is to meet all requirements of the Intelligence Reform and Terrorism Prevention Act. Since the close of the comment period, FAA reauthorization was passed. Sec. 321 of P.L. 112-95 imposes additional requirements for the issuance of improved pilot certificates. The FAA is currently evaluating this rulemaking in light of these requirements.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Air Ambulance and Commercial Helicopter Operations; Safety Initiatives and Miscellaneous Amendments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Safety Initiatives and Misc Amendments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2120-AJ53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10/12/2010; End of Comment Period 01/01/2011.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equipment and operating requirements for commercial helicopter operations, including many specifically for helicopter air ambulance operations. This rulemaking is necessary to increase crew, passenger, and patient safety. The intended effect is to implement National Transportation Safety Board, Aviation Rulemaking Committee, and internal FAA recommendations.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34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49 U.S.C. 44730(b), as enacted under P.L. 112-95, sec. 306(b) (Feb. 14, 2012) : 06/01/2012</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04/15/2009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FAA-2010-0982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Flight and Duty Time Limitations and Rest Requirements</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2120-AJ58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77 FR 73911</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2120-AJ60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the classification of small unmanned aircraft, certification of their pilots and visual observers, registration, approval of operations, and operational limits in order to increase the safety and efficiency of the national airspace system. The rulemaking would result in regular collection of safety data from the user community and aid the FAA in assessing effectiveness of regulations to expand sUAS access to the national airspace system.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Pilot Certification and Qualification Requirements (formerly First Officer Qualification Requirements) (HR 5900)</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Certification and Qualification Requirements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2120-AJ67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02/08/2010; End of Comment Period 04/09/2010. NPRM: Publication Date 02/29/2012; Comment Period Closed 04/30/2012.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eligibility and qualification requirements for pilots engaged in part 121 air carrier operations. Additionally, it would modify the requirements for an airline transport pilot certificate. These actions are necessary because recent airline accidents and incidents have brought considerable attention to the experience level and training of air carrier flight crews. This rulemaking is a result of requirements in P.L. 111-216.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01/28/2011</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10/20/2009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FAA-2010-0100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2120-AJ69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2120-AJ71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Wildlife Hazard Assessment (scientific evaluation of wildlife populations and their attractants) for certificated airports. This rulemaking would also require periodic completion of a wildlife hazard assessment, or continuous wildlife monitoring as an alternative to the assessment, and clarify requirements for those conducting an assessment. This rulemaking is intended to decrease direct hazards (animals striking aircraft) and indirect hazards (animal burrowing and nesting in or near aircraft or aircraft operations areas).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2120-AJ78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2120-AJ79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2120-AJ86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Flight Crewmember Mentoring, Leadership and Professional Development (HR 5900)</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 Crewmember Mentoring</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2120-AJ87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that address mentoring, leadership, and professional development of flight crewmembers in part 121 operations. The amendments are intended to contribute significantly to airline safety by reducing aviation accidents and respond to the mandate in P.L. 111-216.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07/29/2011</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2120-AJ89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Part 121 Exiting Icing</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121 Exiting Icing</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2120-AJ95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2120-AK09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Reauthorization Act of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Production and Airworthiness Certification II</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Production and Airworthiness Certification II</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2120-AK20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requirements for certificating aeronautical products and articles. These changes are necessary to address deficiencies in oversight of supplier facilities; allow manufacture of certain airframe components by engine manufacturers; add a requirement that an accountable person be named for certain production approval holders; and add a minor change to marking requirements for certain wood propellers. These changes are intended to address deficiencies in oversight of supplier facilities. This rulemaking has expanded the scope of RIN 2120-AK04.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07/10/2012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2120-AK22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Terminating Operations of Jets of Weights At or Less Than 75,000 lbs. and Not Stage 3 Noise Compliant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Ban on non-Stage 3 Small Jet Operations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2120-AK25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 with Request for Comments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add a new requirement for a ban on non-Stage 3 compliant airplanes under 75,000 pounds. Congress has mandated, by the FAA Modernization and Reform Act of 2012, that after December 31, 2015, such airplanes will be prohibited from operation in the contiguous United States unless they meet Stage 3 noise levels. This rulemaking was recently upgraded to significant.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12/31/2015</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 with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 with Request for Comments:</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2125-AF24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23 CFR Part 650 -- Bridges, Structures, and Hydraulics, by adding the National Tunnel Inspection Standards (NTIS) under Subpart E. We anticipate that the NTIS may be modeled after the existing National Bridge Inspection Standards and may include requirements for, among other things, inspection procedures, the qualifications and training of inspectors, and a National Tunnel Inventory. The FHWA has changed the stage from a final rule to a SNPRM because MAP-21 broadened FHWA´s authority to include all highway tunnels. In addition, it made a number of changes to the NBIS, upon which this rulemaking is based. In order to conform the two processes and to reassess the cost benefit analysis of this rulemaking, a supplemental NPRM is being pursued.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2125-AF34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relating to maintaining minimum levels of retroreflectivity for pavement markings on all roads open to public travel. We originally scheduled publication of a final rule for 12/30/2011. A supplemental NPRM had been scheduled for 05/14/2012.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2125-AF49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2125-AF51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2125-AF52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05/03/2013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2125-AF53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2125-AF54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2125-AF55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10/31/2015</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2125-AF56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Risk-Based 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Risk-Based Asset Management Plan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2125-AF57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01/06/2014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1" w:name="31"/>
            <w:r>
              <w:rPr>
                <w:rFonts w:ascii="Times" w:eastAsia="Times New Roman" w:hAnsi="Times" w:cs="Times"/>
                <w:b/>
                <w:bCs/>
                <w:sz w:val="20"/>
                <w:szCs w:val="20"/>
              </w:rPr>
              <w:lastRenderedPageBreak/>
              <w:t>Federal Motor Carrier Safety Administration</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Unified Registration System</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I</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2126-AA22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08/26/96; End of Comment Period 10/26/96. NPRM: Publication Date 05/19/05; End of Comment Period 08/17/05. SNPRM: Publication Date 10/26/11; End of Comment Period 12/27/11.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a new Unified Registration System (URS) to replace four legacy systems in support of FMCSA´s safety and commercial oversight responsibilities. It would require all entities subject to FMCSA jurisdiction to comply with a new URS registration and biennial update requirement, disclose the cumulative registration information collected by URS, and provide a cross-reference to all regulatory requirements necessary to obtain permanent registration. It implements statutory provisions in the ICC Termination Act and SAFTEA-LU. URS would serve as a clearinghouse and depository of information on, and identification of, motor carriers, brokers, freight forwarders, and others required to register with the Department of Transportation.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300"/>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(SAFETEA-LU) : 08/10/2006</w:t>
                  </w:r>
                  <w:r>
                    <w:rPr>
                      <w:rFonts w:ascii="Times" w:eastAsia="Times New Roman" w:hAnsi="Times" w:cs="Times"/>
                      <w:sz w:val="20"/>
                      <w:szCs w:val="20"/>
                    </w:rPr>
                    <w:br/>
                    <w:t>Final Rule (ICC Act) : 01/01/1998</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01/01/1996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FMCSA-1997-2349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2126-AA34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2126-AA35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2126-AA64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NPRM that addresses issues not clarified in the IFR.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2126-AA70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2126-AA95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2126-AB01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Minimum Training Requirements for Entry Level Commercial Motor Vehicle Operations (MAP-21)</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Entry Level Driver Training</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2126-AB06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12/26/2007; End of Extended Comment Period 5/23/2008.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behind-the-wheel and classroom training for persons who must hold a commercial driver´s license to operate commercial motor vehicles. This action is in response to the U.S. Court of Appeals for the District of Columbia Circuit´s December 2005 decision remanding the May 21, 2004, Final Rule, "Minimum Training Requirements for Entry-Level Commercial Motor Vehicle Operators" to the Agency for further consideration. The rulemaking will consider the effectiveness of CMV driver training in reducing crashes, the appropriate types and levels of training that should be mandated, and related costs. Additionally, provisions in this rulemaking would also be responsive to requirements of the Moving Ahead for Progress in the 21st Century (MAP-21) Act. MAP-21 requires a final rule by October 1, 2013.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739"/>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MAP-21 to issue final rule within 12 months of enactment : 10/01/2013</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04/19/2006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FMCSA-2007-27748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49 CFR Part 385, Safety Fitness Procedures, in accordance with the Agency´s Compliance, Safety, Accountability (CSA) initiative. CSA is an operational model FMCSA implemented that is designed to help the Agency carry out its compliance and enforcement programs more efficiently and effectively. Currently, the safety fitness rating of a motor carrier is determined based on the results of a very labor intensive compliance review conducted at the carrier´s place of business. Aside from roadside inspections and new entrant audits, the compliance review is the Agency´s primary intervention. Under CSA, FMCSA would propose to implement a broader array of interventions, some of which allow FMCSA to make contact with more carriers. Through this rulemaking FMCSA would establish safety fitness determinations based on safety data from crashes, inspections, investigations, and violation history rather than just the standard compliance review. This will enable the Agency to assess the safety performance of a greater segment of the motor carrier industry with the goal of further reducing large truck and bus crashes and fatalities.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FMCSA-2004-18898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2126-AB17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Court Action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2126-AB18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05/31/2010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2126-AB20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02/01/11; End of Comment Period 04/04/2011, NPRM: Extension of Comment Period 04/13/2011; End of Extended Comment Period 05/23/11; Notice of Intent 02/13/2012.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would establish: (1) minimum performance standards for electronic logging devices (ELDs); (2) requirements for the mandatory use of the devices by drivers required to prepare handwritten records of duty status (RODS); (3) requirements concerning HOS supporting documents; and (4) measures to ensure that the mandatory use of ELDs will not result in harassment of drivers by motor carriers and enforcement officials. This rulemaking supplements the Agency´s February 1, 2011, Notice of Proposed Rulemaking (NPRM) and addresses issues raised by the U.S. Court of Appeals for the Seventh Circuit Court in its 2011 decision vacating the Agency´s April 5, 2010, final rule concerning ELDs. The requirements for ELDs would improve compliance with the hours-of-service (HOS) rules and thereby decrease the risk of fatigue-related crashes attributable to non-compliance with the applicable HOS requirements.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Medical Examiner's Certification Integration (MAP-21)</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Examiner's Certification Integration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2126-AB40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build upon the National Registry (2126-AA97) and Medical Certification (2126-AA10) final rules. This rulemaking would (1) require certified medical examiners (MEs) performing physical examinations on drivers of commercial motor vehicles (CMV) to use a newly developed Medical Examination Report (MER) Form; (2) require MEs to use a prescribed form for the medical examiner´s certificate; (3) require MEs to report results of all completed commercial drivers´ physical examinations (including the results of examinations where the driver was found not to be qualified) to FMCSA by close of business on the day of the examination; (4) transmit information from the Medical Examiner´s Certificate electronically from the National Registry system to the State Driver Licensing Agencies (SDLAs);(5) transmit to the SDLAs information about Medical Examiner´s Certificates that have been invalidated because a subsequent examination has found that the driver is not physically qualified; and (6) require the Agency to transmit medical variance information for such drivers electronically to the SDLAs.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04/20/2011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2126-AB44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adopt regulations governing the lease and interchange of passenger vehicles to: (1) identify the motor carrier operating a bus or motorcoach and responsible for compliance with the Federal Motor Carrier Safety Regulations; (2) ensure that a lessor surrenders control of the vehicle for the full term of the lease or temporary exchange of vehicles and drivers; and (3) prohibit motor carriers subject to a prohibition on operating in interstate commerce from leasing their vehicles to other carriers. This action is necessary to ensure that unsafe passenger carriers cannot evade FMCSA oversight and enforcement by operating under the authority of another carrier that exercises no actual control over those operations. This action will ensure that FMCSA, the National Transportation Safety Board (NTSB), and our State partners are able to identify motor carriers transporting passengers in interstate commerce and correctly assign responsibility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rulemaking for passenger-carrying CMVs would focus entirely on operational safety.</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2126-AB46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149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MAP-21 Enhancements to the Unified Registration System (MAP-21)</w:t>
                  </w:r>
                </w:p>
              </w:tc>
              <w:tc>
                <w:tcPr>
                  <w:tcW w:w="360" w:type="dxa"/>
                  <w:tcBorders>
                    <w:top w:val="outset" w:sz="6" w:space="0" w:color="000000"/>
                    <w:left w:val="outset" w:sz="6" w:space="0" w:color="000000"/>
                    <w:bottom w:val="outset" w:sz="6" w:space="0" w:color="000000"/>
                    <w:right w:val="outset" w:sz="6" w:space="0" w:color="00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Black</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2126-AB56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which removed a cap of $300 for registration, this rule would establish new registration fee and incorporate other registration provisions of MAP-21.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2126-AB57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Given this new statutory requirement took effect October 1, 2012, this rulemaking must be fast tracked because it affects any new FMCSA rulemaking. Future rulemakings would need to consider whether coercion of drivers is a concern. However, in rules where coercion would need to be considered, the Agency would cross reference its regulation on coercion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8" w:name="48"/>
            <w:r>
              <w:rPr>
                <w:rFonts w:ascii="Times" w:eastAsia="Times New Roman" w:hAnsi="Times" w:cs="Times"/>
                <w:b/>
                <w:bCs/>
                <w:sz w:val="20"/>
                <w:szCs w:val="20"/>
              </w:rPr>
              <w:lastRenderedPageBreak/>
              <w:t>Federal Railroad Administration</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8"/>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Critical Incident Stress Plan; "Critical Incident" Definition</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Critical Incident Stress Plan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2130-AC00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to define the term "critical incident." This rulemaking would also seek to define program elements appropriate for the rail environment for certain railroad´s critical incident response programs, so that appropriate action is taken when a railroad employee is involved in or directly witnesses a critical incident.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11/14/2008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FRA-2008-0131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Training Standards for Railroad Employees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Training Standards for RR Employees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2130-AC06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02/07/2012; Comment Period End 04/09/2012.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(1) establish minimum training standards for each class or craft of safety-related employee and equivalent railroad contractor and subcontractor employee by requiring railroads, contractors, and subcontractors to qualify and document the proficiency of such employees on their knowledge and ability to comply with Federal railroad safety laws and regulations and railroad rules and procedures intended to implement those laws and regulations, etc.; (2) require submission of the training and qualification programs for FRA approval; and (3) establish a minimum training curriculum and ongoing training criteria, testing, and skills evaluation measures.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10/16/2009</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Vehicle/Track Interaction Safety Standards; High-Speed and High Cant Deficiency Operations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Vehicle/Track Interaction, High Speed, High Cant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2130-AC09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5/10/2010; End of Comment Period 7/9/2010.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Track Safety Standards and Passenger Equipment Safety Standards for high-speed train operations and train operations at high cant deficiencies to promote the safe interaction of rail vehicles with the track over which they operate. It would revise both the safety limits for these operations and the process to qualify them. It accounts for a range of vehicle types that are currently used and may likely be used on future high-speed or high cant deficiency rail operations, and would provide safety assurance for train operations in all classes of track. It is based on the results of simulation studies designed to identify track geometry irregularities associated with unsafe wheel forces and acceleration, thorough reviews of vehicle qualification and revenue service test data, and consideration of international practices.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06/19/2008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05/24/2012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Alcohol and Controlled Substance Testing for Maintenance-of-Way Employees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Controlled Substance Testing/Maintenance Employees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2130-AC10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Federal Railroad Administration´s (FRA) alcohol and drug regulations to cover all employees of railroads, railroad contractors, and subcontractors who perform maintenance-of-way activities. FRA?s alcohol and drug regulations (49 CFR Part 219) contain certain prohibitions on the use and possession of alcohol and drugs. The regulations also contain requirements for post-accident toxicological (PAT) testing, random testing, reasonable cause testing, reasonable suspicion testing, co-worker and voluntary referral policies, pre-employment drug testing, and reporting. Currently, the regulations only apply to covered employees (defined as employees assigned to perform covered service subject to the Hours of Service Act, 49 CFR Ch. 211). In response to a statutory mandate, the proposed rulemaking would expand coverage of part 219 to employees who perform maintenance-of-way (MOW) activities. This rulemaking would also make other miscellaneous updates to 14 CFR Part 219.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10/16/2010</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09/08/2009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10/07/2009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2130-AC11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2130-AC14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2130-AC17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2130-AC23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Positive Train Control Systems: De Minimis Exception, Yard Movements, En Route Failures; Miscellaneous Grade Crossing/Signal and Train Control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PTC Amendments Grade Crossing &amp; Signal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2130-AC32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12/11/2012; End of Comment Period 02/11/2013.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Positive Train Control regulations by defining the de minimis exception and en route failures, proposing exceptions relating to yard movements that may not be considered on the main line system, and amending regulations governing grade crossing and signal and train control systems. The rulemaking is in response to a petition for rulemaking from the Association of American Railroads.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06/01/2011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7" w:name="57"/>
            <w:r>
              <w:rPr>
                <w:rFonts w:ascii="Times" w:eastAsia="Times New Roman" w:hAnsi="Times" w:cs="Times"/>
                <w:b/>
                <w:bCs/>
                <w:sz w:val="20"/>
                <w:szCs w:val="20"/>
              </w:rPr>
              <w:lastRenderedPageBreak/>
              <w:t>Federal Transit Administration</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7"/>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Capital Project Management (MAP-21)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Capital Project Management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2132-AA92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09/10/2009; End of C/P 11/09/2009; Extension of C/P 11/10/2009; End of Extended C/P 01/08/2010. NPRM: Publication Date 9/13/2011; End of C/P: 11/14/2011; Extension of Comment Period: 11/01/2011; End of Extended C/P: 12/02/2011.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September 2011, FTA proposed to transform the current rule for project management oversight into a discrete set of managerial principles for sponsors of major capital projects. MAP-21 changed the potential universe of "major capital project" by repealing the Fixed Guideway Modernization program and enacting the Core Capacity Improvement and State of Good repair programs; also MAP-21 made fundamental changes to the New Starts project development process, which will affect FTA risk assessments for major capital projects. In light of MAP-21, FTA will either withdraw the current NPRM and initiate a new rulemaking at a later date, or issue a supplemental NPRM revisiting the definition of "major capital project" and the agency´s practice for risk assessments.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FTA-2009-0030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Environmental Impact and Related Procedures (RRR)</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Environmental Impact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2132-AB03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Date of Publication 03/15/2012; End of Comment Period: 05/14/2012.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proposes to establish a number of categorical exclusions (CE) from the requirement that an environmental assessment or an environmental impact statement be prepared under section 102 of the National Environmental Policy Act of 1969 (NEPA) for FTA-funded actions. The CEs were developed after an extensive effort, and are consistent with Council on Environmental Quality guidance, Executive Order 13571 on ?Streamlining Service Delivery and Improving Customer Service,? and the Presidential Memorandum on ?Speeding Infrastructure Development through More Efficient and Effective Permitting and Environmental Review.? They were developed to identify activities that FTA believes do not have a significant effect on the environment. The proposed CEs covers some of the same actions as existing CEs, but would provide a tool that would expedite the delivery of transit projects without compromising environmental quality. The rulemaking would also make targeted revisions to the joint FTA/FHWA NEPA regulation that would only apply to FTA and would serve to support FTA´s focus on streamlining its environmental process.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Presidential Direction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02/07/2013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149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Public Transportation Emergency Relief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Black</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Relief</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2132-AB13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49 U.S.C. 5324, as amended by MAP-21, the public transportation emergency relief program. The rulemaking will establish eligible activities and ineligible activities, processes, and procedures for applying for grants.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06/27/2013</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02/15/2013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149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0000"/>
                    <w:left w:val="outset" w:sz="6" w:space="0" w:color="000000"/>
                    <w:bottom w:val="outset" w:sz="6" w:space="0" w:color="000000"/>
                    <w:right w:val="outset" w:sz="6" w:space="0" w:color="00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Black</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SSO</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2132-AB19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the requirements of section 20021 of MAP-21 (Pub. L. 112-141)(also known as "The Federal Public Transportation Act of 2012"), codified at 49 U.S.C. section 5329. This section requires the development and implementation of a public transportation safety program. This rulemaking would establish the requirements for the timely distribution of funds for States to develop a State Safety Oversight (SSO) program and to submit for Federal certification within 1 year of the enactment of MAP-21, as required under 49 U.S.C. sections 5329(e)(3), (e)(4),(e)(6), and (e)(7).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Maritime Administration</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1"/>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Regulations To Be Followed by All Departments, Agencies and Shippers Having Responsibility To Provide a Preference for U.S.-Flag Vessels in the Shipment of Cargoes on Ocean Vessels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2133-AB74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rules that have not been revised substantially since 1971. Revisions would include an updated purpose and definitions section along with the removal of obsolete provisions. This rulemaking also would establish a new Part 383 to implement the Cargo Preference regulations. This rulemaking would cover P.L. 110-417, Section 3511, National Defense Authorization Act for FY2009 changes to the cargo preference rules. The rulemaking also would include compromise, assessment, mitigation, settlement, and collection of civil penalties. Originally the agency had two separate rulemakings in process under RIN 2133-AB74 and 2133-AB75. RIN 2133-AB74 would have revised existing regulations and RIN 2133-AB75 would have established a new part 383: Guidance and Civil Penalties and implement P.L. 110-417, Section 3511, National Defense Authorization Act for FY 2009. MARAD has decided it would be more efficient to merge both efforts under one; RIN 2133-AB75 has been merged with this action.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2" w:name="62"/>
            <w:r>
              <w:rPr>
                <w:rFonts w:ascii="Times" w:eastAsia="Times New Roman" w:hAnsi="Times" w:cs="Times"/>
                <w:b/>
                <w:bCs/>
                <w:sz w:val="20"/>
                <w:szCs w:val="20"/>
              </w:rPr>
              <w:lastRenderedPageBreak/>
              <w:t>National Highway Traffic Safety Administration</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2"/>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Federal Motor Vehicle Safety Standard No. 111, Rearview Mirrors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Rearview Visibility</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2127-AK43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03/04/09; End of Comment Period 05/04/09. NPRM: Publication Date 12/07/2010; End of Comment Period 02/07/2011. NPRM Re-opened Comment Period: Publication Date 03/02/2011; End of Re-opened Comment Period 04/18/2011.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Standard No. 111; Rearview Mirrors, to reflect requirements contained in the Cameron Gulbransen Kids Transportation Safety Act of 2007. The Act requires that NHTSA expand the required field of view to enable the driver of a motor vehicle to detect areas behind the motor vehicle to reduce death and injury resulting from backing incidents, particularly incidents involving small children and disabled persons. According to the Act, such a standard may be met by the provision of additional mirrors, sensors, cameras, or other technology to expand the driver´s field of view.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495"/>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FR per Letter to Congress : 12/31/2011</w:t>
                  </w:r>
                  <w:r>
                    <w:rPr>
                      <w:rFonts w:ascii="Times" w:eastAsia="Times New Roman" w:hAnsi="Times" w:cs="Times"/>
                      <w:sz w:val="20"/>
                      <w:szCs w:val="20"/>
                    </w:rPr>
                    <w:br/>
                    <w:t>FR per 2nd Letter to Congress : 02/29/2012</w:t>
                  </w:r>
                  <w:r>
                    <w:rPr>
                      <w:rFonts w:ascii="Times" w:eastAsia="Times New Roman" w:hAnsi="Times" w:cs="Times"/>
                      <w:sz w:val="20"/>
                      <w:szCs w:val="20"/>
                    </w:rPr>
                    <w:br/>
                    <w:t>FR per 3nd Letter to Congress : 12/31/2012</w:t>
                  </w:r>
                  <w:r>
                    <w:rPr>
                      <w:rFonts w:ascii="Times" w:eastAsia="Times New Roman" w:hAnsi="Times" w:cs="Times"/>
                      <w:sz w:val="20"/>
                      <w:szCs w:val="20"/>
                    </w:rPr>
                    <w:br/>
                    <w:t>Initiate rulemaking : 02/28/2009</w:t>
                  </w:r>
                  <w:r>
                    <w:rPr>
                      <w:rFonts w:ascii="Times" w:eastAsia="Times New Roman" w:hAnsi="Times" w:cs="Times"/>
                      <w:sz w:val="20"/>
                      <w:szCs w:val="20"/>
                    </w:rPr>
                    <w:br/>
                    <w:t>Final Rule : 02/28/2011</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02/28/2008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NHTSA-2009-0041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10/03/2011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National Highway Traffic Safety Administration</w:t>
            </w:r>
            <w:bookmarkEnd w:id="6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Require Installation of Seat Belts on Motorcoaches, FMVSS No. 208 (MAP-21)</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Seat Belts on Motorcoaches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2127-AK56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08/18/2010; End Of Comment Period 10/1/2010.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lap/shoulder belts in newly-manufactured motorcoaches. Specifically, this rulemaking would establish a new definition for motorcoaches in 49 CFR Part 571.3. It would also amend Federal Motor Vehicle Safety Standard No. 208, Occupant Crash Protection, to require the installation of lap/shoulder belts at all driver and passenger seating positions. It would also require the installation of lap/shoulder belts at driver seating positions of large school buses in FMVSS No. 208. This rulemaking responds, in part, to recommendations made by the National Transportation Safety Board for improving bus safety and to a newly enacted statutory mandate in MAP-21 to require seat belts in certain buses.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07/05/2013</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NHTSA-2010-0112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National Highway Traffic Safety Administration</w:t>
            </w:r>
            <w:bookmarkEnd w:id="6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Alternative Fuel Vehicle Badging and Fuel Compartment Labels on Alternative Fuel Usage</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Usage Labeling &amp; Badging</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2127-AK75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and Security Act of 2007 (EISA), Title 1, Subtitle A, Section 105, as it amends 49 USC § 32908, to implement Consumer Information and Consumer Education programs related to fuel economy, GHG, other emissions, and alternative fuels. EISA directs the Secretary of Transportation to label vehicles with a permanent and prominent display that an automobile is capable of operating on alternative fuels, and to include in the owner´s manual for vehicles capable of operating on alternative fuels information that describes that capability and the benefits of using alternative fuels, including the renewable nature and environmental benefits of using alternative fuels. Additionally, EISA requires a label to be attached to the fuel compartment of vehicles capable of operating on alternative fuels, with the form of alternative fuel stated on the label. EISA, signed into Law on December 19, 2007, requires that the Secretary issue a final rule not later than 42 months after the date of the enactment.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06/19/2011</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National Highway Traffic Safety Administration</w:t>
            </w:r>
            <w:bookmarkEnd w:id="6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2127-AK76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2127-AK86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09/13/2011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02/11/2013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77 FR 74144</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Upgrade of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Light Vehicle Upgrade of EDR Requirements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2127-AK87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utility of the amount and type of data Event Data Recorders (EDRs) capture in light vehicles in the event of a crash. The rulemaking would consider requiring some of the optional data elements specified in 49 CFR Part 563. Part 563 established the current reporting requirement of voluntarily installed EDRs in light vehicles. In addition, this rulemaking would make revisions to the optional data elements to account for the latest advances in vehicle safety. Part 563 presently requires vehicle manufacturers who are voluntarily installing EDRs to be in compliance with the regulation by September 1, 2012. In a separate rulemaking (2127-AK86 Mandatory Part 563 Event Data Recorder Requirements), the agency would propose requiring that all light vehicles comply with the requirements specified in current 49 CFR 563. This rulemaking would seek additional information from the public and expand upon that initiative. Moreover, this rulemaking would contribute to advancements in vehicle designs, advanced restraints and other safety countermeasures. The costs are expected to be minimal since some vehicle manufacturers presently capture additional data beyond Part 563 in their EDRs.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2127-AK92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2127-AK93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03/15/2013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78 FR 2797</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2127-AK95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08/29/3013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2127-AK96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07/05/2014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11/10/2011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09/23/2011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2127-AK97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 xml:space="preserve">Federalism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07/05/2014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2127-AL01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the sale and use of novelty motorcycle helmets. The rulemaking would set forth an interpretation that clarifies that novelty helmets are within the reach of 49 USC 30102(a)(7), motor vehicle equipment. In addition, this rulemaking would propose preliminary screening requirements that could be used by laboratories, law enforcement, or Customs and Border Protection to identify helmets that are not designed to comply with FMVSS No. 218.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51496D">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Yellow</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2127-AL15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11/22/2012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2127-AL28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07/06/2014</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2127-AL30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among other things,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must proceed with an expedited rulemaking. Accordingly, NHTSA is taking a two-pronged approach. NHTSA plans to issue an interim final rule (IFR) to implement the grant criteria for all the grants. On, October 5, 2012, NHTSA issued a non-significant notice of proposed rulemaking (NPRM) for the minimum requirements for the GDL grant (RIN 2127-AL29). This action (2127-AL30) will incorporate the GDL provisions, including addressing any comments in response to the NPRM, into the IFR for all of the grants.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78 FR 4985</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5149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Corrections and Minor Revisions to the MY 2014-2018 Greenhouse Gas Emissions Standards and Fuel Efficiency Standards for Medium- and Heavy-Duty Engines and Vehicles</w:t>
                  </w:r>
                </w:p>
              </w:tc>
              <w:tc>
                <w:tcPr>
                  <w:tcW w:w="360" w:type="dxa"/>
                  <w:tcBorders>
                    <w:top w:val="outset" w:sz="6" w:space="0" w:color="000000"/>
                    <w:left w:val="outset" w:sz="6" w:space="0" w:color="000000"/>
                    <w:bottom w:val="outset" w:sz="6" w:space="0" w:color="000000"/>
                    <w:right w:val="outset" w:sz="6" w:space="0" w:color="00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Black</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Corrections to MY 2014-2018 GHG Standards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2127-AL31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National Highway Traffic Safety Administration (NHTSA) and the Environmental Protection Agency (EPA) developed the first-ever program to reduce greenhouse gas (GHG) emissions and fuel consumption in the heavy-duty highway vehicle sector. This broad sector ? ranging from large pickups to sleeper-cab tractors ? together represent the second largest contributor to oil consumption and GHG emissions from the mobile source sector, after light-duty passenger cars and trucks. The final rule was published in the Federal Register on September 15, 2011 (76 FR 57106). NHTSA is issuing this rulemaking to revise portions of the regulations in 49 CFR part 535 to correct technical errors and gaps identified in the promulgated MY 2014-2018 Greenhouse Gas Emissions Standards and Fuel Efficiency Standards for Medium- and Heavy-Duty Engines and Vehicles final rule.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09/27/2012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r>
              <w:rPr>
                <w:rFonts w:ascii="Times" w:eastAsia="Times New Roman" w:hAnsi="Times" w:cs="Times"/>
                <w:sz w:val="20"/>
                <w:szCs w:val="20"/>
              </w:rPr>
              <w:br/>
              <w:t>No Schedule Available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8" w:name="78"/>
            <w:r>
              <w:rPr>
                <w:rFonts w:ascii="Times" w:eastAsia="Times New Roman" w:hAnsi="Times" w:cs="Times"/>
                <w:b/>
                <w:bCs/>
                <w:sz w:val="20"/>
                <w:szCs w:val="20"/>
              </w:rPr>
              <w:lastRenderedPageBreak/>
              <w:t>Office of the Secretary</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8"/>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Protection of Sensitive Security Information</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SSI-TSA</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2105-AD59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05/18/2004; End of Comment Period 07/19/2004.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finalize a May 2004 interim final rule and respond to any comments received on that action. This is a joint rulemaking between DOT and the Transportation Security Administration. A final rule was originally scheduled for 10/31/06.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09/02/2002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TSA-2003-15569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Use of the Seat-Strapping Method for Carrying a Wheelchair on an Aircraft</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Seat-Strapping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2105-AD87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06/03/2011; End of Comment Period 08/02/2011.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whether carriers should be allowed to utilize the seat-strapping method to stow a passenger´s wheelchair in the aircraft cabin.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04/30/2009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06/07/2012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2105-AD90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2105-AD91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Accessibility of Carrier Websites and Ticket Kiosks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ACAA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2105-AD96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08/09/2010. SNPRM: Publication Date 09/26/2011; End of Comment Period 11/25/2011; Extension of Comment Period 11/21/2011; End of Extended Comment Period 01/09/2012.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first of two rulemakings to follow-up on air travel accessibility issues discussed in the preamble of the 2008 final Air Carrier Access Act (ACAA) rule but deferred for final decision to a later rulemaking. (The second rulemaking is RIN 2105-AE12.) This rulemaking action would consider: (1) whether carriers should be required to make Web sites they operate and on which their agents sell airport transportation on their behalf accessible to people with disabilities; and (2) whether automated kiosks operated by carriers at U.S. airports should be required to be accessible.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01/31/2013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09/07/2012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2105-AE06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Enhancing Airline Passenger Protections III</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2105-AE11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following issues: (1) whether the Department should require a marketing carrier to provide assistance to its code-share partner when a flight operated by the code-share partner experiences a lengthy tarmac delay; (2) whether the Department should enhance disclosure requirements on code-share operations, including requiring on-time performance data, reporting of certain data code-share operations, and codifying the statutory amendment of 49 U.S.C. 41712(c) regarding website schedule disclosure of code-share operations; (3) whether the Department should expand the on-time performance "reporting carrier" pool to include smaller carriers; (4) whether the Department should require travel agents to adopt minimum customer service standards in relation to the sale of air transportation; (5) whether the Department should require ticket agents to disclose the carriers whose tickets they sell or do not sell and information regarding any incentive payments they receive in connection with the sale of air transportation; (6) whether the Department should require ticket agents to disclose any preferential display of individual fares or carriers in the ticket agent´s internet displays; (7) whether the Department should require additional or special disclosures regarding certain substantial fees, e.g., oversize or overweight baggage fees; (8) whether the Department should prohibit post-purchase price increase for all services and products not purchased with the ticket or whether it is sufficient to prohibit post-purchase prices increases for baggage charges that traditionally have been included in the ticket price; and (9) whether the Department should require that ancillary fees be displayed through all sale channels.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3"/>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Carrier-Supplied Medical Oxygen, Accessible In-Flight Entertainment Systems, Service Animals, and Accessible Lavatories on Single-Aisle Aircraft</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ACAA SNPRM 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2105-AE12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two supplemental notices of proposed rulemaking (SNPRM) to follow-up on air travel accessibility issues discussed in the preamble of the 2008 final Air Carrier Access Act (ACAA) rule but deferred for final decision to a later rulemaking. (The first SNPRM is RIN 2105-AD96.) This rulemaking action would consider (1) whether there are safety-related reasons for excluding service animals other than dogs that may be specific to foreign carriers; (2) whether carriers should be required to supply in-flight medical oxygen for a fee to passengers who require it to access air transportation; (3) whether providing accessible in-flight entertainment to passengers with disabilities is technically and economically feasible; (4) whether certain changes should be made to provisions allowing carriers to require medical documentation and 48 hours advance notice from users of emotional support and psychiatric service animals; and (5) whether carriers should be required to report to the Department annually the number of requests for wheelchair assistance they receive. The rulemaking would also seek public comment on the feasibility of requiring accessible lavatories on certain single-aisle aircraft, expanding the applicability of certain required seating accommodations, and clarifications of certain requirements pertaining to the carriage of service animals.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2105-AE15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add to the Department´s ADA regulations a requirement, parallel to that in other DOT and Department of Justice ADA rules, that regulated entities reasonably modify policies and practices where necessary to ensure nondiscriminatory transportation services for individuals with disabilities, except where doing so would fundamentally alter the service.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08/15/0201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7" w:name="87"/>
            <w:r>
              <w:rPr>
                <w:rFonts w:ascii="Times" w:eastAsia="Times New Roman" w:hAnsi="Times" w:cs="Times"/>
                <w:b/>
                <w:bCs/>
                <w:sz w:val="20"/>
                <w:szCs w:val="20"/>
              </w:rPr>
              <w:lastRenderedPageBreak/>
              <w:t>Pipeline and Hazardous Materials Safety Administration</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7"/>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Hazardous Materials: Bulk Loading and Unloading Operations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Loading/Unloading</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2137-AE37</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03/11/2011; End of C/P 05/10/2011. End of Extended C/P 06/09/2011.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require each person (i.e., carrier or facility) who engages in cargo tank loading or unloading operations to perform a risk assessment of the loading and unloading operation and develop and implement safe operating procedures based upon the results of the risk assessment. These amendments would include the operational procedures requirements to address several aspects of loading and unloading, including provisions for facilities to develop maintenance testing programs for transfer equipment (i.e., hose maintenance programs) used to load or unload cargo tank motor vehicles (CTMVs). In addition, this rulemaking would require each employee who engages in cargo tank loading or unloading operations to receive training and be evaluated on the employee´s qualifications to perform loading or unloading functions. This rulemaking is intended to reduce the risk associated with the loading and unloading of cargo tank motor vehicles that contain hazardous materials.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PHMSA-2007-28119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2137-AE43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Hazardous Materials: Revisions to Requirements for the Transportation of Lithium Batteries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Transportation of Lithium Batteries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2137-AE44</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1/11/2010; End of C/P 3/12/2010. C/P reopened: 04/11/2012, C/P closed 05/11/2012.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to comprehensively address the safe transportation of lithium cells and batteries. The intent of the rulemaking is to strengthen the current regulatory framework by imposing more effective safeguards, including design testing to address risks related to internal short circuits, and enhanced packaging, hazard communication, and operational measures for various types and sizes of lithium batteries in specific transportation contexts. The rulemaking would respond to several recommendations issued by the National Transportation Safety Board.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PHMSA-2009-0095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 xml:space="preserve">Hazardous Materials: Safety Requirements for External Product Piping on Cargo Tanks Transporting Flammable Liquids (Wetlines) (MAP-21) </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2137-AE53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End of C/P 3/28/2011. NPRM Extension of C/P: 3/17/2011; End of Extended C/P 4/27/2011.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from being transported in unprotected product piping on existing and newly manufactured DOT specification cargo tank motor vehicles. The status of this rule is now undetermined as a statutorily mandated GAO report must be completed before any further action is taken.</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Hazardous Materials: Approval and Communication Requirements for the Safe Transportation of Air Bag Inflators, Air Bag Modules, and Seat-Belt Pretensioners (RRR)</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Bags and Pretensioners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2137-AE62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03/26/2012; End of C/P 05/25/2012.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Hazardous Materials Regulations applicable to air bag inflators, air bag modules, and seat-belt pretensioners. The changes would incorporate into the regulations the provisions of certain special permits with proven safety records. In addition, the rule would revise the current approval and documentation requirements for a material appropriately classified as a UN3268 air bag inflator, air bag module, or seat-belt pretensioner.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PHMSA-2010-0201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2137-AE66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2"/>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Pipeline and Hazardous Materials Safety Administration</w:t>
            </w:r>
            <w:bookmarkEnd w:id="93"/>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2137-AE71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4" w:name="94"/>
            <w:r>
              <w:rPr>
                <w:rFonts w:ascii="Times" w:eastAsia="Times New Roman" w:hAnsi="Times" w:cs="Times"/>
                <w:sz w:val="20"/>
                <w:szCs w:val="20"/>
              </w:rPr>
              <w:lastRenderedPageBreak/>
              <w:t>Pipeline and Hazardous Materials Safety Administration</w:t>
            </w:r>
            <w:bookmarkEnd w:id="94"/>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2137-AE72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be reviewing the definition of an HCA ( including the concept of a potential impact radius), the repair criteria for both HCA and non-HCA areas, requiring the use of automatic and remote controlled shut off valves, valve spacing, and whether applying the integrity management program requirements to additional areas would mitigate the need for class location requirements.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Pipeline and Hazardous Materials Safety Administration</w:t>
            </w:r>
            <w:bookmarkEnd w:id="95"/>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Hazardous Materials: Reverse Logistics (RRR)</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Reverse Logistics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2137-AE81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07/05/2012; End of C/P 10/03/2012.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changes to the Hazardous Materials Regulations (HMR) that are applicable to reverse logistics based on petitions received by the agency. The issue of reverse logistics involves the transportation of hazardous materials that have been damaged or returned from the retailer to a return center. Specifically, the rulemaking would establish a regulatory definition of ´reverse logistics´ and outline the responsibilities of those that offer hazardous materials returned by retail customers.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04/08/2011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PHMSA-2011-0143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02/25/2014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Pipeline Safety: Periodic Updates of Regulatory References to Technical Standards and Miscellaneous Amendments (RRR)</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Updates of References to Technical Standards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2137-AE85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incorporate by reference all or parts of new, updated, or reaffirmed editions of voluntary consensus standards. The use of voluntary consensus standards allows pipeline operators to use the most current industry technologies, materials, and management practices available in today´s market. It also would make non-substantive edits and clarify regulatory language in certain provisions. These amendments to the pipeline safety regulations would not require pipeline operators to undertake any significant new pipeline safety initiatives.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5149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Hazardous Materials: Requirements for the Safe Transportation of Bulk Explosives (RRR)</w:t>
                  </w:r>
                </w:p>
              </w:tc>
              <w:tc>
                <w:tcPr>
                  <w:tcW w:w="360" w:type="dxa"/>
                  <w:tcBorders>
                    <w:top w:val="outset" w:sz="6" w:space="0" w:color="008000"/>
                    <w:left w:val="outset" w:sz="6" w:space="0" w:color="008000"/>
                    <w:bottom w:val="outset" w:sz="6" w:space="0" w:color="008000"/>
                    <w:right w:val="outset" w:sz="6" w:space="0" w:color="008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Green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 Transportation of Bulk Explosives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2137-AE86</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Hazardous Materials Regulations (HMR) by establishing standards for the safe transportation of bulk explosives. This rulemaking would be responsive to two petitions for rulemaking submitted by industry representatives, requesting this action. Developing requirements for the HMR would provide wider access to the regulatory flexibility currently only offered by special permit and competent authorities. The HMR would authorize the transportation of certain explosives, ammonium nitrate, ammonium nitrate emulsions, and other specific hazardous materials in bulk packagings, which are not otherwise authorized under the HMR. These hazardous materials are used in blasting operations on specialized vehicles, multi-purpose bulk trucks (MBTs). MBTs are used as mobile work platforms to create blends of explosives that are unique for each blast site.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PHMSA-2011-0345</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05/10/2013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Hazardous Materials: Rail Petitions and Recommendations to Improve the Safety of Railroad Tank Car Transportation (RRR)</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 Petitions (RRR)</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2137-AE91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HMR applicable to the transportation of hazardous materials by rail. This action responds to petitions for rulemaking submitted by the regulated community and NTSB recommendations that are associated with the petitions. Specifically, these amendments would identify elements of non-conformity that do not require a movement approval from the Federal Railroad Administration (FRA); correct an unsafe condition associated with pressure relief valves (PRV) on rail cars transporting carbon dioxide, refrigerated liquid; revise outdated regulations applicable to the repair and maintenance of DOT Specification 110, DOT Specification 106, and ICC 27 tank car tanks (ton tanks); except ruptured discs from removal if the inspection itself damages, changes, or alters the intended operation of the device; and enhance the standards for DOT Specification 111 tank cars used to transport Packing Group I and II hazardous materials.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08/10/2012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51496D" w:rsidRDefault="00E63A58">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bookmarkStart w:id="99" w:name="99"/>
            <w:r>
              <w:rPr>
                <w:rFonts w:ascii="Times" w:eastAsia="Times New Roman" w:hAnsi="Times" w:cs="Times"/>
                <w:b/>
                <w:bCs/>
                <w:sz w:val="20"/>
                <w:szCs w:val="20"/>
              </w:rPr>
              <w:lastRenderedPageBreak/>
              <w:t>Research and Innovative Technology Administration</w:t>
            </w:r>
          </w:p>
        </w:tc>
      </w:tr>
      <w:tr w:rsidR="0051496D">
        <w:trPr>
          <w:tblCellSpacing w:w="20" w:type="dxa"/>
        </w:trPr>
        <w:tc>
          <w:tcPr>
            <w:tcW w:w="0" w:type="auto"/>
            <w:gridSpan w:val="2"/>
            <w:vAlign w:val="center"/>
            <w:hideMark/>
          </w:tcPr>
          <w:p w:rsidR="0051496D" w:rsidRDefault="009C70E3">
            <w:pPr>
              <w:rPr>
                <w:rFonts w:ascii="Times" w:eastAsia="Times New Roman" w:hAnsi="Times" w:cs="Times"/>
                <w:sz w:val="20"/>
                <w:szCs w:val="20"/>
              </w:rPr>
            </w:pPr>
            <w:r>
              <w:rPr>
                <w:rFonts w:ascii="Times" w:eastAsia="Times New Roman" w:hAnsi="Times" w:cs="Times"/>
                <w:sz w:val="20"/>
                <w:szCs w:val="20"/>
              </w:rPr>
              <w:pict>
                <v:rect id="_x0000_i1034" style="width:0;height:1.5pt" o:hralign="center" o:hrstd="t" o:hr="t" fillcolor="#a0a0a0" stroked="f"/>
              </w:pict>
            </w:r>
          </w:p>
        </w:tc>
      </w:tr>
      <w:tr w:rsidR="0051496D">
        <w:trPr>
          <w:tblCellSpacing w:w="20" w:type="dxa"/>
        </w:trPr>
        <w:tc>
          <w:tcPr>
            <w:tcW w:w="0" w:type="auto"/>
            <w:gridSpan w:val="2"/>
            <w:vAlign w:val="center"/>
            <w:hideMark/>
          </w:tcPr>
          <w:p w:rsidR="0051496D" w:rsidRDefault="00E63A58">
            <w:pPr>
              <w:jc w:val="center"/>
              <w:rPr>
                <w:rFonts w:ascii="Times" w:eastAsia="Times New Roman" w:hAnsi="Times" w:cs="Times"/>
                <w:sz w:val="20"/>
                <w:szCs w:val="20"/>
              </w:rPr>
            </w:pPr>
            <w:r>
              <w:rPr>
                <w:rFonts w:ascii="Times" w:eastAsia="Times New Roman" w:hAnsi="Times" w:cs="Times"/>
                <w:sz w:val="20"/>
                <w:szCs w:val="20"/>
              </w:rPr>
              <w:t>Research and Innovative Technology Administration</w:t>
            </w:r>
          </w:p>
        </w:tc>
      </w:tr>
      <w:bookmarkEnd w:id="99"/>
      <w:tr w:rsidR="0051496D">
        <w:trPr>
          <w:tblCellSpacing w:w="20" w:type="dxa"/>
        </w:trPr>
        <w:tc>
          <w:tcPr>
            <w:tcW w:w="360" w:type="dxa"/>
            <w:vAlign w:val="center"/>
            <w:hideMark/>
          </w:tcPr>
          <w:p w:rsidR="0051496D" w:rsidRDefault="00E63A58">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5149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FF0000"/>
                    <w:left w:val="outset" w:sz="6" w:space="0" w:color="FF0000"/>
                    <w:bottom w:val="outset" w:sz="6" w:space="0" w:color="FF0000"/>
                    <w:right w:val="outset" w:sz="6" w:space="0" w:color="FF0000"/>
                  </w:tcBorders>
                  <w:hideMark/>
                </w:tcPr>
                <w:p w:rsidR="0051496D" w:rsidRDefault="00E63A58">
                  <w:pPr>
                    <w:rPr>
                      <w:rFonts w:ascii="Times" w:eastAsia="Times New Roman" w:hAnsi="Times" w:cs="Times"/>
                      <w:sz w:val="20"/>
                      <w:szCs w:val="20"/>
                    </w:rPr>
                  </w:pPr>
                  <w:r>
                    <w:rPr>
                      <w:rFonts w:ascii="Times" w:eastAsia="Times New Roman" w:hAnsi="Times" w:cs="Times"/>
                      <w:sz w:val="20"/>
                      <w:szCs w:val="20"/>
                    </w:rPr>
                    <w:t>Red</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RIN 2139-AA13</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51496D">
              <w:trPr>
                <w:tblCellSpacing w:w="0" w:type="dxa"/>
              </w:trPr>
              <w:tc>
                <w:tcPr>
                  <w:tcW w:w="300" w:type="dxa"/>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51496D">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51496D">
              <w:trPr>
                <w:tblCellSpacing w:w="0" w:type="dxa"/>
              </w:trPr>
              <w:tc>
                <w:tcPr>
                  <w:tcW w:w="0" w:type="auto"/>
                  <w:noWrap/>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51496D" w:rsidRDefault="0051496D">
                  <w:pPr>
                    <w:framePr w:hSpace="30" w:wrap="around" w:vAnchor="text" w:hAnchor="text"/>
                    <w:rPr>
                      <w:rFonts w:ascii="Times" w:eastAsia="Times New Roman" w:hAnsi="Times" w:cs="Times"/>
                      <w:sz w:val="20"/>
                      <w:szCs w:val="20"/>
                    </w:rPr>
                  </w:pP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RITA 2011-0001</w:t>
            </w: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5149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5149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10/08/2013 </w:t>
                  </w:r>
                </w:p>
              </w:tc>
              <w:tc>
                <w:tcPr>
                  <w:tcW w:w="1000" w:type="dxa"/>
                  <w:tcBorders>
                    <w:top w:val="outset" w:sz="6" w:space="0" w:color="auto"/>
                    <w:left w:val="outset" w:sz="6" w:space="0" w:color="auto"/>
                    <w:bottom w:val="outset" w:sz="6" w:space="0" w:color="auto"/>
                    <w:right w:val="outset" w:sz="6" w:space="0" w:color="auto"/>
                  </w:tcBorders>
                  <w:hideMark/>
                </w:tcPr>
                <w:p w:rsidR="0051496D" w:rsidRDefault="00E63A58" w:rsidP="00E35816">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51496D">
              <w:trPr>
                <w:tblCellSpacing w:w="15" w:type="dxa"/>
              </w:trPr>
              <w:tc>
                <w:tcPr>
                  <w:tcW w:w="0" w:type="auto"/>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51496D" w:rsidRDefault="00E63A58">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51496D" w:rsidRDefault="0051496D">
            <w:pPr>
              <w:rPr>
                <w:rFonts w:ascii="Times" w:eastAsia="Times New Roman" w:hAnsi="Times" w:cs="Times"/>
                <w:sz w:val="20"/>
                <w:szCs w:val="20"/>
              </w:rPr>
            </w:pPr>
          </w:p>
        </w:tc>
      </w:tr>
      <w:tr w:rsidR="0051496D">
        <w:trPr>
          <w:tblCellSpacing w:w="20" w:type="dxa"/>
        </w:trPr>
        <w:tc>
          <w:tcPr>
            <w:tcW w:w="0" w:type="auto"/>
            <w:gridSpan w:val="2"/>
            <w:vAlign w:val="center"/>
            <w:hideMark/>
          </w:tcPr>
          <w:p w:rsidR="0051496D" w:rsidRDefault="00E63A58">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E63A58" w:rsidRDefault="00E63A58">
      <w:pPr>
        <w:rPr>
          <w:rFonts w:ascii="Times" w:eastAsia="Times New Roman" w:hAnsi="Times" w:cs="Times"/>
          <w:sz w:val="20"/>
          <w:szCs w:val="20"/>
        </w:rPr>
      </w:pPr>
      <w:r>
        <w:rPr>
          <w:rFonts w:ascii="Times" w:eastAsia="Times New Roman" w:hAnsi="Times" w:cs="Times"/>
          <w:sz w:val="20"/>
          <w:szCs w:val="20"/>
        </w:rPr>
        <w:br w:type="textWrapping" w:clear="all"/>
      </w:r>
    </w:p>
    <w:sectPr w:rsidR="00E63A5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A58" w:rsidRDefault="00E63A58" w:rsidP="00B560DD">
      <w:r>
        <w:separator/>
      </w:r>
    </w:p>
  </w:endnote>
  <w:endnote w:type="continuationSeparator" w:id="0">
    <w:p w:rsidR="00E63A58" w:rsidRDefault="00E63A58" w:rsidP="00B5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8382918"/>
      <w:docPartObj>
        <w:docPartGallery w:val="Page Numbers (Bottom of Page)"/>
        <w:docPartUnique/>
      </w:docPartObj>
    </w:sdtPr>
    <w:sdtEndPr>
      <w:rPr>
        <w:noProof/>
      </w:rPr>
    </w:sdtEndPr>
    <w:sdtContent>
      <w:p w:rsidR="009C70E3" w:rsidRDefault="009C70E3">
        <w:pPr>
          <w:pStyle w:val="Footer"/>
          <w:jc w:val="right"/>
        </w:pPr>
        <w:r>
          <w:t xml:space="preserve">March 2013 Significant Rulemaking Report – page </w:t>
        </w:r>
        <w:r>
          <w:fldChar w:fldCharType="begin"/>
        </w:r>
        <w:r>
          <w:instrText xml:space="preserve"> PAGE   \* MERGEFORMAT </w:instrText>
        </w:r>
        <w:r>
          <w:fldChar w:fldCharType="separate"/>
        </w:r>
        <w:r>
          <w:rPr>
            <w:noProof/>
          </w:rPr>
          <w:t>1</w:t>
        </w:r>
        <w:r>
          <w:rPr>
            <w:noProof/>
          </w:rPr>
          <w:fldChar w:fldCharType="end"/>
        </w:r>
      </w:p>
    </w:sdtContent>
  </w:sdt>
  <w:p w:rsidR="00B560DD" w:rsidRDefault="00B560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A58" w:rsidRDefault="00E63A58" w:rsidP="00B560DD">
      <w:r>
        <w:separator/>
      </w:r>
    </w:p>
  </w:footnote>
  <w:footnote w:type="continuationSeparator" w:id="0">
    <w:p w:rsidR="00E63A58" w:rsidRDefault="00E63A58" w:rsidP="00B56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431C1"/>
    <w:rsid w:val="000431C1"/>
    <w:rsid w:val="0051496D"/>
    <w:rsid w:val="009C70E3"/>
    <w:rsid w:val="00B560DD"/>
    <w:rsid w:val="00E27637"/>
    <w:rsid w:val="00E35816"/>
    <w:rsid w:val="00E6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B560DD"/>
    <w:pPr>
      <w:tabs>
        <w:tab w:val="center" w:pos="4680"/>
        <w:tab w:val="right" w:pos="9360"/>
      </w:tabs>
    </w:pPr>
  </w:style>
  <w:style w:type="character" w:customStyle="1" w:styleId="HeaderChar">
    <w:name w:val="Header Char"/>
    <w:basedOn w:val="DefaultParagraphFont"/>
    <w:link w:val="Header"/>
    <w:uiPriority w:val="99"/>
    <w:rsid w:val="00B560DD"/>
    <w:rPr>
      <w:rFonts w:eastAsiaTheme="minorEastAsia"/>
      <w:sz w:val="24"/>
      <w:szCs w:val="24"/>
    </w:rPr>
  </w:style>
  <w:style w:type="paragraph" w:styleId="Footer">
    <w:name w:val="footer"/>
    <w:basedOn w:val="Normal"/>
    <w:link w:val="FooterChar"/>
    <w:uiPriority w:val="99"/>
    <w:unhideWhenUsed/>
    <w:rsid w:val="00B560DD"/>
    <w:pPr>
      <w:tabs>
        <w:tab w:val="center" w:pos="4680"/>
        <w:tab w:val="right" w:pos="9360"/>
      </w:tabs>
    </w:pPr>
  </w:style>
  <w:style w:type="character" w:customStyle="1" w:styleId="FooterChar">
    <w:name w:val="Footer Char"/>
    <w:basedOn w:val="DefaultParagraphFont"/>
    <w:link w:val="Footer"/>
    <w:uiPriority w:val="99"/>
    <w:rsid w:val="00B560DD"/>
    <w:rPr>
      <w:rFonts w:eastAsiaTheme="minorEastAsia"/>
      <w:sz w:val="24"/>
      <w:szCs w:val="24"/>
    </w:rPr>
  </w:style>
  <w:style w:type="paragraph" w:styleId="BalloonText">
    <w:name w:val="Balloon Text"/>
    <w:basedOn w:val="Normal"/>
    <w:link w:val="BalloonTextChar"/>
    <w:uiPriority w:val="99"/>
    <w:semiHidden/>
    <w:unhideWhenUsed/>
    <w:rsid w:val="00B560DD"/>
    <w:rPr>
      <w:rFonts w:ascii="Tahoma" w:hAnsi="Tahoma" w:cs="Tahoma"/>
      <w:sz w:val="16"/>
      <w:szCs w:val="16"/>
    </w:rPr>
  </w:style>
  <w:style w:type="character" w:customStyle="1" w:styleId="BalloonTextChar">
    <w:name w:val="Balloon Text Char"/>
    <w:basedOn w:val="DefaultParagraphFont"/>
    <w:link w:val="BalloonText"/>
    <w:uiPriority w:val="99"/>
    <w:semiHidden/>
    <w:rsid w:val="00B560D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B560DD"/>
    <w:pPr>
      <w:tabs>
        <w:tab w:val="center" w:pos="4680"/>
        <w:tab w:val="right" w:pos="9360"/>
      </w:tabs>
    </w:pPr>
  </w:style>
  <w:style w:type="character" w:customStyle="1" w:styleId="HeaderChar">
    <w:name w:val="Header Char"/>
    <w:basedOn w:val="DefaultParagraphFont"/>
    <w:link w:val="Header"/>
    <w:uiPriority w:val="99"/>
    <w:rsid w:val="00B560DD"/>
    <w:rPr>
      <w:rFonts w:eastAsiaTheme="minorEastAsia"/>
      <w:sz w:val="24"/>
      <w:szCs w:val="24"/>
    </w:rPr>
  </w:style>
  <w:style w:type="paragraph" w:styleId="Footer">
    <w:name w:val="footer"/>
    <w:basedOn w:val="Normal"/>
    <w:link w:val="FooterChar"/>
    <w:uiPriority w:val="99"/>
    <w:unhideWhenUsed/>
    <w:rsid w:val="00B560DD"/>
    <w:pPr>
      <w:tabs>
        <w:tab w:val="center" w:pos="4680"/>
        <w:tab w:val="right" w:pos="9360"/>
      </w:tabs>
    </w:pPr>
  </w:style>
  <w:style w:type="character" w:customStyle="1" w:styleId="FooterChar">
    <w:name w:val="Footer Char"/>
    <w:basedOn w:val="DefaultParagraphFont"/>
    <w:link w:val="Footer"/>
    <w:uiPriority w:val="99"/>
    <w:rsid w:val="00B560DD"/>
    <w:rPr>
      <w:rFonts w:eastAsiaTheme="minorEastAsia"/>
      <w:sz w:val="24"/>
      <w:szCs w:val="24"/>
    </w:rPr>
  </w:style>
  <w:style w:type="paragraph" w:styleId="BalloonText">
    <w:name w:val="Balloon Text"/>
    <w:basedOn w:val="Normal"/>
    <w:link w:val="BalloonTextChar"/>
    <w:uiPriority w:val="99"/>
    <w:semiHidden/>
    <w:unhideWhenUsed/>
    <w:rsid w:val="00B560DD"/>
    <w:rPr>
      <w:rFonts w:ascii="Tahoma" w:hAnsi="Tahoma" w:cs="Tahoma"/>
      <w:sz w:val="16"/>
      <w:szCs w:val="16"/>
    </w:rPr>
  </w:style>
  <w:style w:type="character" w:customStyle="1" w:styleId="BalloonTextChar">
    <w:name w:val="Balloon Text Char"/>
    <w:basedOn w:val="DefaultParagraphFont"/>
    <w:link w:val="BalloonText"/>
    <w:uiPriority w:val="99"/>
    <w:semiHidden/>
    <w:rsid w:val="00B560D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852">
      <w:marLeft w:val="0"/>
      <w:marRight w:val="0"/>
      <w:marTop w:val="0"/>
      <w:marBottom w:val="0"/>
      <w:divBdr>
        <w:top w:val="none" w:sz="0" w:space="0" w:color="auto"/>
        <w:left w:val="none" w:sz="0" w:space="0" w:color="auto"/>
        <w:bottom w:val="none" w:sz="0" w:space="0" w:color="auto"/>
        <w:right w:val="none" w:sz="0" w:space="0" w:color="auto"/>
      </w:divBdr>
    </w:div>
    <w:div w:id="11806789">
      <w:marLeft w:val="0"/>
      <w:marRight w:val="0"/>
      <w:marTop w:val="0"/>
      <w:marBottom w:val="0"/>
      <w:divBdr>
        <w:top w:val="none" w:sz="0" w:space="0" w:color="auto"/>
        <w:left w:val="none" w:sz="0" w:space="0" w:color="auto"/>
        <w:bottom w:val="none" w:sz="0" w:space="0" w:color="auto"/>
        <w:right w:val="none" w:sz="0" w:space="0" w:color="auto"/>
      </w:divBdr>
    </w:div>
    <w:div w:id="21712541">
      <w:marLeft w:val="0"/>
      <w:marRight w:val="0"/>
      <w:marTop w:val="0"/>
      <w:marBottom w:val="0"/>
      <w:divBdr>
        <w:top w:val="none" w:sz="0" w:space="0" w:color="auto"/>
        <w:left w:val="none" w:sz="0" w:space="0" w:color="auto"/>
        <w:bottom w:val="none" w:sz="0" w:space="0" w:color="auto"/>
        <w:right w:val="none" w:sz="0" w:space="0" w:color="auto"/>
      </w:divBdr>
    </w:div>
    <w:div w:id="34550019">
      <w:marLeft w:val="0"/>
      <w:marRight w:val="0"/>
      <w:marTop w:val="0"/>
      <w:marBottom w:val="0"/>
      <w:divBdr>
        <w:top w:val="none" w:sz="0" w:space="0" w:color="auto"/>
        <w:left w:val="none" w:sz="0" w:space="0" w:color="auto"/>
        <w:bottom w:val="none" w:sz="0" w:space="0" w:color="auto"/>
        <w:right w:val="none" w:sz="0" w:space="0" w:color="auto"/>
      </w:divBdr>
    </w:div>
    <w:div w:id="41829152">
      <w:marLeft w:val="0"/>
      <w:marRight w:val="0"/>
      <w:marTop w:val="0"/>
      <w:marBottom w:val="0"/>
      <w:divBdr>
        <w:top w:val="none" w:sz="0" w:space="0" w:color="auto"/>
        <w:left w:val="none" w:sz="0" w:space="0" w:color="auto"/>
        <w:bottom w:val="none" w:sz="0" w:space="0" w:color="auto"/>
        <w:right w:val="none" w:sz="0" w:space="0" w:color="auto"/>
      </w:divBdr>
    </w:div>
    <w:div w:id="59449524">
      <w:marLeft w:val="0"/>
      <w:marRight w:val="0"/>
      <w:marTop w:val="0"/>
      <w:marBottom w:val="0"/>
      <w:divBdr>
        <w:top w:val="none" w:sz="0" w:space="0" w:color="auto"/>
        <w:left w:val="none" w:sz="0" w:space="0" w:color="auto"/>
        <w:bottom w:val="none" w:sz="0" w:space="0" w:color="auto"/>
        <w:right w:val="none" w:sz="0" w:space="0" w:color="auto"/>
      </w:divBdr>
    </w:div>
    <w:div w:id="66072159">
      <w:marLeft w:val="0"/>
      <w:marRight w:val="0"/>
      <w:marTop w:val="0"/>
      <w:marBottom w:val="0"/>
      <w:divBdr>
        <w:top w:val="none" w:sz="0" w:space="0" w:color="auto"/>
        <w:left w:val="none" w:sz="0" w:space="0" w:color="auto"/>
        <w:bottom w:val="none" w:sz="0" w:space="0" w:color="auto"/>
        <w:right w:val="none" w:sz="0" w:space="0" w:color="auto"/>
      </w:divBdr>
    </w:div>
    <w:div w:id="70006651">
      <w:marLeft w:val="0"/>
      <w:marRight w:val="0"/>
      <w:marTop w:val="0"/>
      <w:marBottom w:val="0"/>
      <w:divBdr>
        <w:top w:val="none" w:sz="0" w:space="0" w:color="auto"/>
        <w:left w:val="none" w:sz="0" w:space="0" w:color="auto"/>
        <w:bottom w:val="none" w:sz="0" w:space="0" w:color="auto"/>
        <w:right w:val="none" w:sz="0" w:space="0" w:color="auto"/>
      </w:divBdr>
    </w:div>
    <w:div w:id="91706076">
      <w:marLeft w:val="0"/>
      <w:marRight w:val="0"/>
      <w:marTop w:val="0"/>
      <w:marBottom w:val="0"/>
      <w:divBdr>
        <w:top w:val="none" w:sz="0" w:space="0" w:color="auto"/>
        <w:left w:val="none" w:sz="0" w:space="0" w:color="auto"/>
        <w:bottom w:val="none" w:sz="0" w:space="0" w:color="auto"/>
        <w:right w:val="none" w:sz="0" w:space="0" w:color="auto"/>
      </w:divBdr>
    </w:div>
    <w:div w:id="157045250">
      <w:marLeft w:val="0"/>
      <w:marRight w:val="0"/>
      <w:marTop w:val="0"/>
      <w:marBottom w:val="0"/>
      <w:divBdr>
        <w:top w:val="none" w:sz="0" w:space="0" w:color="auto"/>
        <w:left w:val="none" w:sz="0" w:space="0" w:color="auto"/>
        <w:bottom w:val="none" w:sz="0" w:space="0" w:color="auto"/>
        <w:right w:val="none" w:sz="0" w:space="0" w:color="auto"/>
      </w:divBdr>
    </w:div>
    <w:div w:id="183445102">
      <w:marLeft w:val="0"/>
      <w:marRight w:val="0"/>
      <w:marTop w:val="0"/>
      <w:marBottom w:val="0"/>
      <w:divBdr>
        <w:top w:val="none" w:sz="0" w:space="0" w:color="auto"/>
        <w:left w:val="none" w:sz="0" w:space="0" w:color="auto"/>
        <w:bottom w:val="none" w:sz="0" w:space="0" w:color="auto"/>
        <w:right w:val="none" w:sz="0" w:space="0" w:color="auto"/>
      </w:divBdr>
    </w:div>
    <w:div w:id="194973900">
      <w:marLeft w:val="0"/>
      <w:marRight w:val="0"/>
      <w:marTop w:val="0"/>
      <w:marBottom w:val="0"/>
      <w:divBdr>
        <w:top w:val="none" w:sz="0" w:space="0" w:color="auto"/>
        <w:left w:val="none" w:sz="0" w:space="0" w:color="auto"/>
        <w:bottom w:val="none" w:sz="0" w:space="0" w:color="auto"/>
        <w:right w:val="none" w:sz="0" w:space="0" w:color="auto"/>
      </w:divBdr>
    </w:div>
    <w:div w:id="199512557">
      <w:marLeft w:val="0"/>
      <w:marRight w:val="0"/>
      <w:marTop w:val="0"/>
      <w:marBottom w:val="0"/>
      <w:divBdr>
        <w:top w:val="none" w:sz="0" w:space="0" w:color="auto"/>
        <w:left w:val="none" w:sz="0" w:space="0" w:color="auto"/>
        <w:bottom w:val="none" w:sz="0" w:space="0" w:color="auto"/>
        <w:right w:val="none" w:sz="0" w:space="0" w:color="auto"/>
      </w:divBdr>
    </w:div>
    <w:div w:id="202715982">
      <w:marLeft w:val="0"/>
      <w:marRight w:val="0"/>
      <w:marTop w:val="0"/>
      <w:marBottom w:val="0"/>
      <w:divBdr>
        <w:top w:val="none" w:sz="0" w:space="0" w:color="auto"/>
        <w:left w:val="none" w:sz="0" w:space="0" w:color="auto"/>
        <w:bottom w:val="none" w:sz="0" w:space="0" w:color="auto"/>
        <w:right w:val="none" w:sz="0" w:space="0" w:color="auto"/>
      </w:divBdr>
    </w:div>
    <w:div w:id="216402793">
      <w:marLeft w:val="0"/>
      <w:marRight w:val="0"/>
      <w:marTop w:val="0"/>
      <w:marBottom w:val="0"/>
      <w:divBdr>
        <w:top w:val="none" w:sz="0" w:space="0" w:color="auto"/>
        <w:left w:val="none" w:sz="0" w:space="0" w:color="auto"/>
        <w:bottom w:val="none" w:sz="0" w:space="0" w:color="auto"/>
        <w:right w:val="none" w:sz="0" w:space="0" w:color="auto"/>
      </w:divBdr>
    </w:div>
    <w:div w:id="267467171">
      <w:marLeft w:val="0"/>
      <w:marRight w:val="0"/>
      <w:marTop w:val="0"/>
      <w:marBottom w:val="0"/>
      <w:divBdr>
        <w:top w:val="none" w:sz="0" w:space="0" w:color="auto"/>
        <w:left w:val="none" w:sz="0" w:space="0" w:color="auto"/>
        <w:bottom w:val="none" w:sz="0" w:space="0" w:color="auto"/>
        <w:right w:val="none" w:sz="0" w:space="0" w:color="auto"/>
      </w:divBdr>
    </w:div>
    <w:div w:id="277883180">
      <w:marLeft w:val="0"/>
      <w:marRight w:val="0"/>
      <w:marTop w:val="0"/>
      <w:marBottom w:val="0"/>
      <w:divBdr>
        <w:top w:val="none" w:sz="0" w:space="0" w:color="auto"/>
        <w:left w:val="none" w:sz="0" w:space="0" w:color="auto"/>
        <w:bottom w:val="none" w:sz="0" w:space="0" w:color="auto"/>
        <w:right w:val="none" w:sz="0" w:space="0" w:color="auto"/>
      </w:divBdr>
    </w:div>
    <w:div w:id="306397866">
      <w:marLeft w:val="0"/>
      <w:marRight w:val="0"/>
      <w:marTop w:val="0"/>
      <w:marBottom w:val="0"/>
      <w:divBdr>
        <w:top w:val="none" w:sz="0" w:space="0" w:color="auto"/>
        <w:left w:val="none" w:sz="0" w:space="0" w:color="auto"/>
        <w:bottom w:val="none" w:sz="0" w:space="0" w:color="auto"/>
        <w:right w:val="none" w:sz="0" w:space="0" w:color="auto"/>
      </w:divBdr>
    </w:div>
    <w:div w:id="381639924">
      <w:marLeft w:val="0"/>
      <w:marRight w:val="0"/>
      <w:marTop w:val="0"/>
      <w:marBottom w:val="0"/>
      <w:divBdr>
        <w:top w:val="none" w:sz="0" w:space="0" w:color="auto"/>
        <w:left w:val="none" w:sz="0" w:space="0" w:color="auto"/>
        <w:bottom w:val="none" w:sz="0" w:space="0" w:color="auto"/>
        <w:right w:val="none" w:sz="0" w:space="0" w:color="auto"/>
      </w:divBdr>
    </w:div>
    <w:div w:id="401562168">
      <w:marLeft w:val="0"/>
      <w:marRight w:val="0"/>
      <w:marTop w:val="0"/>
      <w:marBottom w:val="0"/>
      <w:divBdr>
        <w:top w:val="none" w:sz="0" w:space="0" w:color="auto"/>
        <w:left w:val="none" w:sz="0" w:space="0" w:color="auto"/>
        <w:bottom w:val="none" w:sz="0" w:space="0" w:color="auto"/>
        <w:right w:val="none" w:sz="0" w:space="0" w:color="auto"/>
      </w:divBdr>
    </w:div>
    <w:div w:id="416947748">
      <w:marLeft w:val="0"/>
      <w:marRight w:val="0"/>
      <w:marTop w:val="0"/>
      <w:marBottom w:val="0"/>
      <w:divBdr>
        <w:top w:val="none" w:sz="0" w:space="0" w:color="auto"/>
        <w:left w:val="none" w:sz="0" w:space="0" w:color="auto"/>
        <w:bottom w:val="none" w:sz="0" w:space="0" w:color="auto"/>
        <w:right w:val="none" w:sz="0" w:space="0" w:color="auto"/>
      </w:divBdr>
    </w:div>
    <w:div w:id="430782787">
      <w:marLeft w:val="0"/>
      <w:marRight w:val="0"/>
      <w:marTop w:val="0"/>
      <w:marBottom w:val="0"/>
      <w:divBdr>
        <w:top w:val="none" w:sz="0" w:space="0" w:color="auto"/>
        <w:left w:val="none" w:sz="0" w:space="0" w:color="auto"/>
        <w:bottom w:val="none" w:sz="0" w:space="0" w:color="auto"/>
        <w:right w:val="none" w:sz="0" w:space="0" w:color="auto"/>
      </w:divBdr>
    </w:div>
    <w:div w:id="474837507">
      <w:marLeft w:val="0"/>
      <w:marRight w:val="0"/>
      <w:marTop w:val="0"/>
      <w:marBottom w:val="0"/>
      <w:divBdr>
        <w:top w:val="none" w:sz="0" w:space="0" w:color="auto"/>
        <w:left w:val="none" w:sz="0" w:space="0" w:color="auto"/>
        <w:bottom w:val="none" w:sz="0" w:space="0" w:color="auto"/>
        <w:right w:val="none" w:sz="0" w:space="0" w:color="auto"/>
      </w:divBdr>
    </w:div>
    <w:div w:id="505486604">
      <w:marLeft w:val="0"/>
      <w:marRight w:val="0"/>
      <w:marTop w:val="0"/>
      <w:marBottom w:val="0"/>
      <w:divBdr>
        <w:top w:val="none" w:sz="0" w:space="0" w:color="auto"/>
        <w:left w:val="none" w:sz="0" w:space="0" w:color="auto"/>
        <w:bottom w:val="none" w:sz="0" w:space="0" w:color="auto"/>
        <w:right w:val="none" w:sz="0" w:space="0" w:color="auto"/>
      </w:divBdr>
    </w:div>
    <w:div w:id="521939407">
      <w:marLeft w:val="0"/>
      <w:marRight w:val="0"/>
      <w:marTop w:val="0"/>
      <w:marBottom w:val="0"/>
      <w:divBdr>
        <w:top w:val="none" w:sz="0" w:space="0" w:color="auto"/>
        <w:left w:val="none" w:sz="0" w:space="0" w:color="auto"/>
        <w:bottom w:val="none" w:sz="0" w:space="0" w:color="auto"/>
        <w:right w:val="none" w:sz="0" w:space="0" w:color="auto"/>
      </w:divBdr>
    </w:div>
    <w:div w:id="525866965">
      <w:marLeft w:val="0"/>
      <w:marRight w:val="0"/>
      <w:marTop w:val="0"/>
      <w:marBottom w:val="0"/>
      <w:divBdr>
        <w:top w:val="none" w:sz="0" w:space="0" w:color="auto"/>
        <w:left w:val="none" w:sz="0" w:space="0" w:color="auto"/>
        <w:bottom w:val="none" w:sz="0" w:space="0" w:color="auto"/>
        <w:right w:val="none" w:sz="0" w:space="0" w:color="auto"/>
      </w:divBdr>
    </w:div>
    <w:div w:id="666326007">
      <w:marLeft w:val="0"/>
      <w:marRight w:val="0"/>
      <w:marTop w:val="0"/>
      <w:marBottom w:val="0"/>
      <w:divBdr>
        <w:top w:val="none" w:sz="0" w:space="0" w:color="auto"/>
        <w:left w:val="none" w:sz="0" w:space="0" w:color="auto"/>
        <w:bottom w:val="none" w:sz="0" w:space="0" w:color="auto"/>
        <w:right w:val="none" w:sz="0" w:space="0" w:color="auto"/>
      </w:divBdr>
    </w:div>
    <w:div w:id="676813977">
      <w:marLeft w:val="0"/>
      <w:marRight w:val="0"/>
      <w:marTop w:val="0"/>
      <w:marBottom w:val="0"/>
      <w:divBdr>
        <w:top w:val="none" w:sz="0" w:space="0" w:color="auto"/>
        <w:left w:val="none" w:sz="0" w:space="0" w:color="auto"/>
        <w:bottom w:val="none" w:sz="0" w:space="0" w:color="auto"/>
        <w:right w:val="none" w:sz="0" w:space="0" w:color="auto"/>
      </w:divBdr>
    </w:div>
    <w:div w:id="724523435">
      <w:marLeft w:val="0"/>
      <w:marRight w:val="0"/>
      <w:marTop w:val="0"/>
      <w:marBottom w:val="0"/>
      <w:divBdr>
        <w:top w:val="none" w:sz="0" w:space="0" w:color="auto"/>
        <w:left w:val="none" w:sz="0" w:space="0" w:color="auto"/>
        <w:bottom w:val="none" w:sz="0" w:space="0" w:color="auto"/>
        <w:right w:val="none" w:sz="0" w:space="0" w:color="auto"/>
      </w:divBdr>
    </w:div>
    <w:div w:id="729307226">
      <w:marLeft w:val="0"/>
      <w:marRight w:val="0"/>
      <w:marTop w:val="0"/>
      <w:marBottom w:val="0"/>
      <w:divBdr>
        <w:top w:val="none" w:sz="0" w:space="0" w:color="auto"/>
        <w:left w:val="none" w:sz="0" w:space="0" w:color="auto"/>
        <w:bottom w:val="none" w:sz="0" w:space="0" w:color="auto"/>
        <w:right w:val="none" w:sz="0" w:space="0" w:color="auto"/>
      </w:divBdr>
    </w:div>
    <w:div w:id="784498462">
      <w:marLeft w:val="0"/>
      <w:marRight w:val="0"/>
      <w:marTop w:val="0"/>
      <w:marBottom w:val="0"/>
      <w:divBdr>
        <w:top w:val="none" w:sz="0" w:space="0" w:color="auto"/>
        <w:left w:val="none" w:sz="0" w:space="0" w:color="auto"/>
        <w:bottom w:val="none" w:sz="0" w:space="0" w:color="auto"/>
        <w:right w:val="none" w:sz="0" w:space="0" w:color="auto"/>
      </w:divBdr>
    </w:div>
    <w:div w:id="809785490">
      <w:marLeft w:val="0"/>
      <w:marRight w:val="0"/>
      <w:marTop w:val="0"/>
      <w:marBottom w:val="0"/>
      <w:divBdr>
        <w:top w:val="none" w:sz="0" w:space="0" w:color="auto"/>
        <w:left w:val="none" w:sz="0" w:space="0" w:color="auto"/>
        <w:bottom w:val="none" w:sz="0" w:space="0" w:color="auto"/>
        <w:right w:val="none" w:sz="0" w:space="0" w:color="auto"/>
      </w:divBdr>
    </w:div>
    <w:div w:id="870387310">
      <w:marLeft w:val="0"/>
      <w:marRight w:val="0"/>
      <w:marTop w:val="0"/>
      <w:marBottom w:val="0"/>
      <w:divBdr>
        <w:top w:val="none" w:sz="0" w:space="0" w:color="auto"/>
        <w:left w:val="none" w:sz="0" w:space="0" w:color="auto"/>
        <w:bottom w:val="none" w:sz="0" w:space="0" w:color="auto"/>
        <w:right w:val="none" w:sz="0" w:space="0" w:color="auto"/>
      </w:divBdr>
    </w:div>
    <w:div w:id="875968062">
      <w:marLeft w:val="0"/>
      <w:marRight w:val="0"/>
      <w:marTop w:val="0"/>
      <w:marBottom w:val="0"/>
      <w:divBdr>
        <w:top w:val="none" w:sz="0" w:space="0" w:color="auto"/>
        <w:left w:val="none" w:sz="0" w:space="0" w:color="auto"/>
        <w:bottom w:val="none" w:sz="0" w:space="0" w:color="auto"/>
        <w:right w:val="none" w:sz="0" w:space="0" w:color="auto"/>
      </w:divBdr>
    </w:div>
    <w:div w:id="879129663">
      <w:marLeft w:val="0"/>
      <w:marRight w:val="0"/>
      <w:marTop w:val="0"/>
      <w:marBottom w:val="0"/>
      <w:divBdr>
        <w:top w:val="none" w:sz="0" w:space="0" w:color="auto"/>
        <w:left w:val="none" w:sz="0" w:space="0" w:color="auto"/>
        <w:bottom w:val="none" w:sz="0" w:space="0" w:color="auto"/>
        <w:right w:val="none" w:sz="0" w:space="0" w:color="auto"/>
      </w:divBdr>
    </w:div>
    <w:div w:id="884295375">
      <w:marLeft w:val="0"/>
      <w:marRight w:val="0"/>
      <w:marTop w:val="0"/>
      <w:marBottom w:val="0"/>
      <w:divBdr>
        <w:top w:val="none" w:sz="0" w:space="0" w:color="auto"/>
        <w:left w:val="none" w:sz="0" w:space="0" w:color="auto"/>
        <w:bottom w:val="none" w:sz="0" w:space="0" w:color="auto"/>
        <w:right w:val="none" w:sz="0" w:space="0" w:color="auto"/>
      </w:divBdr>
    </w:div>
    <w:div w:id="887452990">
      <w:marLeft w:val="0"/>
      <w:marRight w:val="0"/>
      <w:marTop w:val="0"/>
      <w:marBottom w:val="0"/>
      <w:divBdr>
        <w:top w:val="none" w:sz="0" w:space="0" w:color="auto"/>
        <w:left w:val="none" w:sz="0" w:space="0" w:color="auto"/>
        <w:bottom w:val="none" w:sz="0" w:space="0" w:color="auto"/>
        <w:right w:val="none" w:sz="0" w:space="0" w:color="auto"/>
      </w:divBdr>
    </w:div>
    <w:div w:id="888608182">
      <w:marLeft w:val="0"/>
      <w:marRight w:val="0"/>
      <w:marTop w:val="0"/>
      <w:marBottom w:val="0"/>
      <w:divBdr>
        <w:top w:val="none" w:sz="0" w:space="0" w:color="auto"/>
        <w:left w:val="none" w:sz="0" w:space="0" w:color="auto"/>
        <w:bottom w:val="none" w:sz="0" w:space="0" w:color="auto"/>
        <w:right w:val="none" w:sz="0" w:space="0" w:color="auto"/>
      </w:divBdr>
    </w:div>
    <w:div w:id="921909762">
      <w:marLeft w:val="0"/>
      <w:marRight w:val="0"/>
      <w:marTop w:val="0"/>
      <w:marBottom w:val="0"/>
      <w:divBdr>
        <w:top w:val="none" w:sz="0" w:space="0" w:color="auto"/>
        <w:left w:val="none" w:sz="0" w:space="0" w:color="auto"/>
        <w:bottom w:val="none" w:sz="0" w:space="0" w:color="auto"/>
        <w:right w:val="none" w:sz="0" w:space="0" w:color="auto"/>
      </w:divBdr>
    </w:div>
    <w:div w:id="925648654">
      <w:marLeft w:val="0"/>
      <w:marRight w:val="0"/>
      <w:marTop w:val="0"/>
      <w:marBottom w:val="0"/>
      <w:divBdr>
        <w:top w:val="none" w:sz="0" w:space="0" w:color="auto"/>
        <w:left w:val="none" w:sz="0" w:space="0" w:color="auto"/>
        <w:bottom w:val="none" w:sz="0" w:space="0" w:color="auto"/>
        <w:right w:val="none" w:sz="0" w:space="0" w:color="auto"/>
      </w:divBdr>
    </w:div>
    <w:div w:id="931546611">
      <w:marLeft w:val="0"/>
      <w:marRight w:val="0"/>
      <w:marTop w:val="0"/>
      <w:marBottom w:val="0"/>
      <w:divBdr>
        <w:top w:val="none" w:sz="0" w:space="0" w:color="auto"/>
        <w:left w:val="none" w:sz="0" w:space="0" w:color="auto"/>
        <w:bottom w:val="none" w:sz="0" w:space="0" w:color="auto"/>
        <w:right w:val="none" w:sz="0" w:space="0" w:color="auto"/>
      </w:divBdr>
    </w:div>
    <w:div w:id="996685238">
      <w:marLeft w:val="0"/>
      <w:marRight w:val="0"/>
      <w:marTop w:val="0"/>
      <w:marBottom w:val="0"/>
      <w:divBdr>
        <w:top w:val="none" w:sz="0" w:space="0" w:color="auto"/>
        <w:left w:val="none" w:sz="0" w:space="0" w:color="auto"/>
        <w:bottom w:val="none" w:sz="0" w:space="0" w:color="auto"/>
        <w:right w:val="none" w:sz="0" w:space="0" w:color="auto"/>
      </w:divBdr>
    </w:div>
    <w:div w:id="1014500832">
      <w:marLeft w:val="0"/>
      <w:marRight w:val="0"/>
      <w:marTop w:val="0"/>
      <w:marBottom w:val="0"/>
      <w:divBdr>
        <w:top w:val="none" w:sz="0" w:space="0" w:color="auto"/>
        <w:left w:val="none" w:sz="0" w:space="0" w:color="auto"/>
        <w:bottom w:val="none" w:sz="0" w:space="0" w:color="auto"/>
        <w:right w:val="none" w:sz="0" w:space="0" w:color="auto"/>
      </w:divBdr>
    </w:div>
    <w:div w:id="1032074239">
      <w:marLeft w:val="0"/>
      <w:marRight w:val="0"/>
      <w:marTop w:val="0"/>
      <w:marBottom w:val="0"/>
      <w:divBdr>
        <w:top w:val="none" w:sz="0" w:space="0" w:color="auto"/>
        <w:left w:val="none" w:sz="0" w:space="0" w:color="auto"/>
        <w:bottom w:val="none" w:sz="0" w:space="0" w:color="auto"/>
        <w:right w:val="none" w:sz="0" w:space="0" w:color="auto"/>
      </w:divBdr>
    </w:div>
    <w:div w:id="1036541465">
      <w:marLeft w:val="0"/>
      <w:marRight w:val="0"/>
      <w:marTop w:val="0"/>
      <w:marBottom w:val="0"/>
      <w:divBdr>
        <w:top w:val="none" w:sz="0" w:space="0" w:color="auto"/>
        <w:left w:val="none" w:sz="0" w:space="0" w:color="auto"/>
        <w:bottom w:val="none" w:sz="0" w:space="0" w:color="auto"/>
        <w:right w:val="none" w:sz="0" w:space="0" w:color="auto"/>
      </w:divBdr>
    </w:div>
    <w:div w:id="1053044645">
      <w:marLeft w:val="0"/>
      <w:marRight w:val="0"/>
      <w:marTop w:val="0"/>
      <w:marBottom w:val="0"/>
      <w:divBdr>
        <w:top w:val="none" w:sz="0" w:space="0" w:color="auto"/>
        <w:left w:val="none" w:sz="0" w:space="0" w:color="auto"/>
        <w:bottom w:val="none" w:sz="0" w:space="0" w:color="auto"/>
        <w:right w:val="none" w:sz="0" w:space="0" w:color="auto"/>
      </w:divBdr>
    </w:div>
    <w:div w:id="1109858484">
      <w:marLeft w:val="0"/>
      <w:marRight w:val="0"/>
      <w:marTop w:val="0"/>
      <w:marBottom w:val="0"/>
      <w:divBdr>
        <w:top w:val="none" w:sz="0" w:space="0" w:color="auto"/>
        <w:left w:val="none" w:sz="0" w:space="0" w:color="auto"/>
        <w:bottom w:val="none" w:sz="0" w:space="0" w:color="auto"/>
        <w:right w:val="none" w:sz="0" w:space="0" w:color="auto"/>
      </w:divBdr>
    </w:div>
    <w:div w:id="1128163031">
      <w:marLeft w:val="0"/>
      <w:marRight w:val="0"/>
      <w:marTop w:val="0"/>
      <w:marBottom w:val="0"/>
      <w:divBdr>
        <w:top w:val="none" w:sz="0" w:space="0" w:color="auto"/>
        <w:left w:val="none" w:sz="0" w:space="0" w:color="auto"/>
        <w:bottom w:val="none" w:sz="0" w:space="0" w:color="auto"/>
        <w:right w:val="none" w:sz="0" w:space="0" w:color="auto"/>
      </w:divBdr>
    </w:div>
    <w:div w:id="1183519554">
      <w:marLeft w:val="0"/>
      <w:marRight w:val="0"/>
      <w:marTop w:val="0"/>
      <w:marBottom w:val="0"/>
      <w:divBdr>
        <w:top w:val="none" w:sz="0" w:space="0" w:color="auto"/>
        <w:left w:val="none" w:sz="0" w:space="0" w:color="auto"/>
        <w:bottom w:val="none" w:sz="0" w:space="0" w:color="auto"/>
        <w:right w:val="none" w:sz="0" w:space="0" w:color="auto"/>
      </w:divBdr>
    </w:div>
    <w:div w:id="1185241205">
      <w:marLeft w:val="0"/>
      <w:marRight w:val="0"/>
      <w:marTop w:val="0"/>
      <w:marBottom w:val="0"/>
      <w:divBdr>
        <w:top w:val="none" w:sz="0" w:space="0" w:color="auto"/>
        <w:left w:val="none" w:sz="0" w:space="0" w:color="auto"/>
        <w:bottom w:val="none" w:sz="0" w:space="0" w:color="auto"/>
        <w:right w:val="none" w:sz="0" w:space="0" w:color="auto"/>
      </w:divBdr>
    </w:div>
    <w:div w:id="1185248542">
      <w:marLeft w:val="0"/>
      <w:marRight w:val="0"/>
      <w:marTop w:val="0"/>
      <w:marBottom w:val="0"/>
      <w:divBdr>
        <w:top w:val="none" w:sz="0" w:space="0" w:color="auto"/>
        <w:left w:val="none" w:sz="0" w:space="0" w:color="auto"/>
        <w:bottom w:val="none" w:sz="0" w:space="0" w:color="auto"/>
        <w:right w:val="none" w:sz="0" w:space="0" w:color="auto"/>
      </w:divBdr>
    </w:div>
    <w:div w:id="1190489407">
      <w:marLeft w:val="0"/>
      <w:marRight w:val="0"/>
      <w:marTop w:val="0"/>
      <w:marBottom w:val="0"/>
      <w:divBdr>
        <w:top w:val="none" w:sz="0" w:space="0" w:color="auto"/>
        <w:left w:val="none" w:sz="0" w:space="0" w:color="auto"/>
        <w:bottom w:val="none" w:sz="0" w:space="0" w:color="auto"/>
        <w:right w:val="none" w:sz="0" w:space="0" w:color="auto"/>
      </w:divBdr>
    </w:div>
    <w:div w:id="1242375944">
      <w:marLeft w:val="0"/>
      <w:marRight w:val="0"/>
      <w:marTop w:val="0"/>
      <w:marBottom w:val="0"/>
      <w:divBdr>
        <w:top w:val="none" w:sz="0" w:space="0" w:color="auto"/>
        <w:left w:val="none" w:sz="0" w:space="0" w:color="auto"/>
        <w:bottom w:val="none" w:sz="0" w:space="0" w:color="auto"/>
        <w:right w:val="none" w:sz="0" w:space="0" w:color="auto"/>
      </w:divBdr>
    </w:div>
    <w:div w:id="1244995982">
      <w:marLeft w:val="0"/>
      <w:marRight w:val="0"/>
      <w:marTop w:val="0"/>
      <w:marBottom w:val="0"/>
      <w:divBdr>
        <w:top w:val="none" w:sz="0" w:space="0" w:color="auto"/>
        <w:left w:val="none" w:sz="0" w:space="0" w:color="auto"/>
        <w:bottom w:val="none" w:sz="0" w:space="0" w:color="auto"/>
        <w:right w:val="none" w:sz="0" w:space="0" w:color="auto"/>
      </w:divBdr>
    </w:div>
    <w:div w:id="1264612995">
      <w:marLeft w:val="0"/>
      <w:marRight w:val="0"/>
      <w:marTop w:val="0"/>
      <w:marBottom w:val="0"/>
      <w:divBdr>
        <w:top w:val="none" w:sz="0" w:space="0" w:color="auto"/>
        <w:left w:val="none" w:sz="0" w:space="0" w:color="auto"/>
        <w:bottom w:val="none" w:sz="0" w:space="0" w:color="auto"/>
        <w:right w:val="none" w:sz="0" w:space="0" w:color="auto"/>
      </w:divBdr>
    </w:div>
    <w:div w:id="1265265616">
      <w:marLeft w:val="0"/>
      <w:marRight w:val="0"/>
      <w:marTop w:val="0"/>
      <w:marBottom w:val="0"/>
      <w:divBdr>
        <w:top w:val="none" w:sz="0" w:space="0" w:color="auto"/>
        <w:left w:val="none" w:sz="0" w:space="0" w:color="auto"/>
        <w:bottom w:val="none" w:sz="0" w:space="0" w:color="auto"/>
        <w:right w:val="none" w:sz="0" w:space="0" w:color="auto"/>
      </w:divBdr>
    </w:div>
    <w:div w:id="1288663950">
      <w:marLeft w:val="0"/>
      <w:marRight w:val="0"/>
      <w:marTop w:val="0"/>
      <w:marBottom w:val="0"/>
      <w:divBdr>
        <w:top w:val="none" w:sz="0" w:space="0" w:color="auto"/>
        <w:left w:val="none" w:sz="0" w:space="0" w:color="auto"/>
        <w:bottom w:val="none" w:sz="0" w:space="0" w:color="auto"/>
        <w:right w:val="none" w:sz="0" w:space="0" w:color="auto"/>
      </w:divBdr>
    </w:div>
    <w:div w:id="1352031598">
      <w:marLeft w:val="0"/>
      <w:marRight w:val="0"/>
      <w:marTop w:val="0"/>
      <w:marBottom w:val="0"/>
      <w:divBdr>
        <w:top w:val="none" w:sz="0" w:space="0" w:color="auto"/>
        <w:left w:val="none" w:sz="0" w:space="0" w:color="auto"/>
        <w:bottom w:val="none" w:sz="0" w:space="0" w:color="auto"/>
        <w:right w:val="none" w:sz="0" w:space="0" w:color="auto"/>
      </w:divBdr>
    </w:div>
    <w:div w:id="1357000602">
      <w:marLeft w:val="0"/>
      <w:marRight w:val="0"/>
      <w:marTop w:val="0"/>
      <w:marBottom w:val="0"/>
      <w:divBdr>
        <w:top w:val="none" w:sz="0" w:space="0" w:color="auto"/>
        <w:left w:val="none" w:sz="0" w:space="0" w:color="auto"/>
        <w:bottom w:val="none" w:sz="0" w:space="0" w:color="auto"/>
        <w:right w:val="none" w:sz="0" w:space="0" w:color="auto"/>
      </w:divBdr>
    </w:div>
    <w:div w:id="1370031077">
      <w:marLeft w:val="0"/>
      <w:marRight w:val="0"/>
      <w:marTop w:val="0"/>
      <w:marBottom w:val="0"/>
      <w:divBdr>
        <w:top w:val="none" w:sz="0" w:space="0" w:color="auto"/>
        <w:left w:val="none" w:sz="0" w:space="0" w:color="auto"/>
        <w:bottom w:val="none" w:sz="0" w:space="0" w:color="auto"/>
        <w:right w:val="none" w:sz="0" w:space="0" w:color="auto"/>
      </w:divBdr>
    </w:div>
    <w:div w:id="1379629863">
      <w:marLeft w:val="0"/>
      <w:marRight w:val="0"/>
      <w:marTop w:val="0"/>
      <w:marBottom w:val="0"/>
      <w:divBdr>
        <w:top w:val="none" w:sz="0" w:space="0" w:color="auto"/>
        <w:left w:val="none" w:sz="0" w:space="0" w:color="auto"/>
        <w:bottom w:val="none" w:sz="0" w:space="0" w:color="auto"/>
        <w:right w:val="none" w:sz="0" w:space="0" w:color="auto"/>
      </w:divBdr>
    </w:div>
    <w:div w:id="1406495922">
      <w:marLeft w:val="0"/>
      <w:marRight w:val="0"/>
      <w:marTop w:val="0"/>
      <w:marBottom w:val="0"/>
      <w:divBdr>
        <w:top w:val="none" w:sz="0" w:space="0" w:color="auto"/>
        <w:left w:val="none" w:sz="0" w:space="0" w:color="auto"/>
        <w:bottom w:val="none" w:sz="0" w:space="0" w:color="auto"/>
        <w:right w:val="none" w:sz="0" w:space="0" w:color="auto"/>
      </w:divBdr>
    </w:div>
    <w:div w:id="1411121773">
      <w:marLeft w:val="0"/>
      <w:marRight w:val="0"/>
      <w:marTop w:val="0"/>
      <w:marBottom w:val="0"/>
      <w:divBdr>
        <w:top w:val="none" w:sz="0" w:space="0" w:color="auto"/>
        <w:left w:val="none" w:sz="0" w:space="0" w:color="auto"/>
        <w:bottom w:val="none" w:sz="0" w:space="0" w:color="auto"/>
        <w:right w:val="none" w:sz="0" w:space="0" w:color="auto"/>
      </w:divBdr>
    </w:div>
    <w:div w:id="1413090957">
      <w:marLeft w:val="0"/>
      <w:marRight w:val="0"/>
      <w:marTop w:val="0"/>
      <w:marBottom w:val="0"/>
      <w:divBdr>
        <w:top w:val="none" w:sz="0" w:space="0" w:color="auto"/>
        <w:left w:val="none" w:sz="0" w:space="0" w:color="auto"/>
        <w:bottom w:val="none" w:sz="0" w:space="0" w:color="auto"/>
        <w:right w:val="none" w:sz="0" w:space="0" w:color="auto"/>
      </w:divBdr>
    </w:div>
    <w:div w:id="1428502387">
      <w:marLeft w:val="0"/>
      <w:marRight w:val="0"/>
      <w:marTop w:val="0"/>
      <w:marBottom w:val="0"/>
      <w:divBdr>
        <w:top w:val="none" w:sz="0" w:space="0" w:color="auto"/>
        <w:left w:val="none" w:sz="0" w:space="0" w:color="auto"/>
        <w:bottom w:val="none" w:sz="0" w:space="0" w:color="auto"/>
        <w:right w:val="none" w:sz="0" w:space="0" w:color="auto"/>
      </w:divBdr>
    </w:div>
    <w:div w:id="1438059290">
      <w:marLeft w:val="0"/>
      <w:marRight w:val="0"/>
      <w:marTop w:val="0"/>
      <w:marBottom w:val="0"/>
      <w:divBdr>
        <w:top w:val="none" w:sz="0" w:space="0" w:color="auto"/>
        <w:left w:val="none" w:sz="0" w:space="0" w:color="auto"/>
        <w:bottom w:val="none" w:sz="0" w:space="0" w:color="auto"/>
        <w:right w:val="none" w:sz="0" w:space="0" w:color="auto"/>
      </w:divBdr>
    </w:div>
    <w:div w:id="1511993627">
      <w:marLeft w:val="0"/>
      <w:marRight w:val="0"/>
      <w:marTop w:val="0"/>
      <w:marBottom w:val="0"/>
      <w:divBdr>
        <w:top w:val="none" w:sz="0" w:space="0" w:color="auto"/>
        <w:left w:val="none" w:sz="0" w:space="0" w:color="auto"/>
        <w:bottom w:val="none" w:sz="0" w:space="0" w:color="auto"/>
        <w:right w:val="none" w:sz="0" w:space="0" w:color="auto"/>
      </w:divBdr>
    </w:div>
    <w:div w:id="1527795141">
      <w:marLeft w:val="0"/>
      <w:marRight w:val="0"/>
      <w:marTop w:val="0"/>
      <w:marBottom w:val="0"/>
      <w:divBdr>
        <w:top w:val="none" w:sz="0" w:space="0" w:color="auto"/>
        <w:left w:val="none" w:sz="0" w:space="0" w:color="auto"/>
        <w:bottom w:val="none" w:sz="0" w:space="0" w:color="auto"/>
        <w:right w:val="none" w:sz="0" w:space="0" w:color="auto"/>
      </w:divBdr>
    </w:div>
    <w:div w:id="1530490447">
      <w:marLeft w:val="0"/>
      <w:marRight w:val="0"/>
      <w:marTop w:val="0"/>
      <w:marBottom w:val="0"/>
      <w:divBdr>
        <w:top w:val="none" w:sz="0" w:space="0" w:color="auto"/>
        <w:left w:val="none" w:sz="0" w:space="0" w:color="auto"/>
        <w:bottom w:val="none" w:sz="0" w:space="0" w:color="auto"/>
        <w:right w:val="none" w:sz="0" w:space="0" w:color="auto"/>
      </w:divBdr>
    </w:div>
    <w:div w:id="1565025577">
      <w:marLeft w:val="0"/>
      <w:marRight w:val="0"/>
      <w:marTop w:val="0"/>
      <w:marBottom w:val="0"/>
      <w:divBdr>
        <w:top w:val="none" w:sz="0" w:space="0" w:color="auto"/>
        <w:left w:val="none" w:sz="0" w:space="0" w:color="auto"/>
        <w:bottom w:val="none" w:sz="0" w:space="0" w:color="auto"/>
        <w:right w:val="none" w:sz="0" w:space="0" w:color="auto"/>
      </w:divBdr>
    </w:div>
    <w:div w:id="1621570150">
      <w:marLeft w:val="0"/>
      <w:marRight w:val="0"/>
      <w:marTop w:val="0"/>
      <w:marBottom w:val="0"/>
      <w:divBdr>
        <w:top w:val="none" w:sz="0" w:space="0" w:color="auto"/>
        <w:left w:val="none" w:sz="0" w:space="0" w:color="auto"/>
        <w:bottom w:val="none" w:sz="0" w:space="0" w:color="auto"/>
        <w:right w:val="none" w:sz="0" w:space="0" w:color="auto"/>
      </w:divBdr>
    </w:div>
    <w:div w:id="1657957359">
      <w:marLeft w:val="0"/>
      <w:marRight w:val="0"/>
      <w:marTop w:val="0"/>
      <w:marBottom w:val="0"/>
      <w:divBdr>
        <w:top w:val="none" w:sz="0" w:space="0" w:color="auto"/>
        <w:left w:val="none" w:sz="0" w:space="0" w:color="auto"/>
        <w:bottom w:val="none" w:sz="0" w:space="0" w:color="auto"/>
        <w:right w:val="none" w:sz="0" w:space="0" w:color="auto"/>
      </w:divBdr>
    </w:div>
    <w:div w:id="1705793259">
      <w:marLeft w:val="0"/>
      <w:marRight w:val="0"/>
      <w:marTop w:val="0"/>
      <w:marBottom w:val="0"/>
      <w:divBdr>
        <w:top w:val="none" w:sz="0" w:space="0" w:color="auto"/>
        <w:left w:val="none" w:sz="0" w:space="0" w:color="auto"/>
        <w:bottom w:val="none" w:sz="0" w:space="0" w:color="auto"/>
        <w:right w:val="none" w:sz="0" w:space="0" w:color="auto"/>
      </w:divBdr>
    </w:div>
    <w:div w:id="1707876411">
      <w:marLeft w:val="0"/>
      <w:marRight w:val="0"/>
      <w:marTop w:val="0"/>
      <w:marBottom w:val="0"/>
      <w:divBdr>
        <w:top w:val="none" w:sz="0" w:space="0" w:color="auto"/>
        <w:left w:val="none" w:sz="0" w:space="0" w:color="auto"/>
        <w:bottom w:val="none" w:sz="0" w:space="0" w:color="auto"/>
        <w:right w:val="none" w:sz="0" w:space="0" w:color="auto"/>
      </w:divBdr>
    </w:div>
    <w:div w:id="1713383334">
      <w:marLeft w:val="0"/>
      <w:marRight w:val="0"/>
      <w:marTop w:val="0"/>
      <w:marBottom w:val="0"/>
      <w:divBdr>
        <w:top w:val="none" w:sz="0" w:space="0" w:color="auto"/>
        <w:left w:val="none" w:sz="0" w:space="0" w:color="auto"/>
        <w:bottom w:val="none" w:sz="0" w:space="0" w:color="auto"/>
        <w:right w:val="none" w:sz="0" w:space="0" w:color="auto"/>
      </w:divBdr>
    </w:div>
    <w:div w:id="1746687511">
      <w:marLeft w:val="0"/>
      <w:marRight w:val="0"/>
      <w:marTop w:val="0"/>
      <w:marBottom w:val="0"/>
      <w:divBdr>
        <w:top w:val="none" w:sz="0" w:space="0" w:color="auto"/>
        <w:left w:val="none" w:sz="0" w:space="0" w:color="auto"/>
        <w:bottom w:val="none" w:sz="0" w:space="0" w:color="auto"/>
        <w:right w:val="none" w:sz="0" w:space="0" w:color="auto"/>
      </w:divBdr>
    </w:div>
    <w:div w:id="1766346699">
      <w:marLeft w:val="0"/>
      <w:marRight w:val="0"/>
      <w:marTop w:val="0"/>
      <w:marBottom w:val="0"/>
      <w:divBdr>
        <w:top w:val="none" w:sz="0" w:space="0" w:color="auto"/>
        <w:left w:val="none" w:sz="0" w:space="0" w:color="auto"/>
        <w:bottom w:val="none" w:sz="0" w:space="0" w:color="auto"/>
        <w:right w:val="none" w:sz="0" w:space="0" w:color="auto"/>
      </w:divBdr>
    </w:div>
    <w:div w:id="1769689859">
      <w:marLeft w:val="0"/>
      <w:marRight w:val="0"/>
      <w:marTop w:val="0"/>
      <w:marBottom w:val="0"/>
      <w:divBdr>
        <w:top w:val="none" w:sz="0" w:space="0" w:color="auto"/>
        <w:left w:val="none" w:sz="0" w:space="0" w:color="auto"/>
        <w:bottom w:val="none" w:sz="0" w:space="0" w:color="auto"/>
        <w:right w:val="none" w:sz="0" w:space="0" w:color="auto"/>
      </w:divBdr>
    </w:div>
    <w:div w:id="1781219376">
      <w:marLeft w:val="0"/>
      <w:marRight w:val="0"/>
      <w:marTop w:val="0"/>
      <w:marBottom w:val="0"/>
      <w:divBdr>
        <w:top w:val="none" w:sz="0" w:space="0" w:color="auto"/>
        <w:left w:val="none" w:sz="0" w:space="0" w:color="auto"/>
        <w:bottom w:val="none" w:sz="0" w:space="0" w:color="auto"/>
        <w:right w:val="none" w:sz="0" w:space="0" w:color="auto"/>
      </w:divBdr>
    </w:div>
    <w:div w:id="1817379552">
      <w:marLeft w:val="0"/>
      <w:marRight w:val="0"/>
      <w:marTop w:val="0"/>
      <w:marBottom w:val="0"/>
      <w:divBdr>
        <w:top w:val="none" w:sz="0" w:space="0" w:color="auto"/>
        <w:left w:val="none" w:sz="0" w:space="0" w:color="auto"/>
        <w:bottom w:val="none" w:sz="0" w:space="0" w:color="auto"/>
        <w:right w:val="none" w:sz="0" w:space="0" w:color="auto"/>
      </w:divBdr>
    </w:div>
    <w:div w:id="1825974579">
      <w:marLeft w:val="0"/>
      <w:marRight w:val="0"/>
      <w:marTop w:val="0"/>
      <w:marBottom w:val="0"/>
      <w:divBdr>
        <w:top w:val="none" w:sz="0" w:space="0" w:color="auto"/>
        <w:left w:val="none" w:sz="0" w:space="0" w:color="auto"/>
        <w:bottom w:val="none" w:sz="0" w:space="0" w:color="auto"/>
        <w:right w:val="none" w:sz="0" w:space="0" w:color="auto"/>
      </w:divBdr>
    </w:div>
    <w:div w:id="1858233991">
      <w:marLeft w:val="0"/>
      <w:marRight w:val="0"/>
      <w:marTop w:val="0"/>
      <w:marBottom w:val="0"/>
      <w:divBdr>
        <w:top w:val="none" w:sz="0" w:space="0" w:color="auto"/>
        <w:left w:val="none" w:sz="0" w:space="0" w:color="auto"/>
        <w:bottom w:val="none" w:sz="0" w:space="0" w:color="auto"/>
        <w:right w:val="none" w:sz="0" w:space="0" w:color="auto"/>
      </w:divBdr>
    </w:div>
    <w:div w:id="1862739629">
      <w:marLeft w:val="0"/>
      <w:marRight w:val="0"/>
      <w:marTop w:val="0"/>
      <w:marBottom w:val="0"/>
      <w:divBdr>
        <w:top w:val="none" w:sz="0" w:space="0" w:color="auto"/>
        <w:left w:val="none" w:sz="0" w:space="0" w:color="auto"/>
        <w:bottom w:val="none" w:sz="0" w:space="0" w:color="auto"/>
        <w:right w:val="none" w:sz="0" w:space="0" w:color="auto"/>
      </w:divBdr>
    </w:div>
    <w:div w:id="1895005416">
      <w:marLeft w:val="0"/>
      <w:marRight w:val="0"/>
      <w:marTop w:val="0"/>
      <w:marBottom w:val="0"/>
      <w:divBdr>
        <w:top w:val="none" w:sz="0" w:space="0" w:color="auto"/>
        <w:left w:val="none" w:sz="0" w:space="0" w:color="auto"/>
        <w:bottom w:val="none" w:sz="0" w:space="0" w:color="auto"/>
        <w:right w:val="none" w:sz="0" w:space="0" w:color="auto"/>
      </w:divBdr>
    </w:div>
    <w:div w:id="1927113514">
      <w:marLeft w:val="0"/>
      <w:marRight w:val="0"/>
      <w:marTop w:val="0"/>
      <w:marBottom w:val="0"/>
      <w:divBdr>
        <w:top w:val="none" w:sz="0" w:space="0" w:color="auto"/>
        <w:left w:val="none" w:sz="0" w:space="0" w:color="auto"/>
        <w:bottom w:val="none" w:sz="0" w:space="0" w:color="auto"/>
        <w:right w:val="none" w:sz="0" w:space="0" w:color="auto"/>
      </w:divBdr>
    </w:div>
    <w:div w:id="1931963305">
      <w:marLeft w:val="0"/>
      <w:marRight w:val="0"/>
      <w:marTop w:val="0"/>
      <w:marBottom w:val="0"/>
      <w:divBdr>
        <w:top w:val="none" w:sz="0" w:space="0" w:color="auto"/>
        <w:left w:val="none" w:sz="0" w:space="0" w:color="auto"/>
        <w:bottom w:val="none" w:sz="0" w:space="0" w:color="auto"/>
        <w:right w:val="none" w:sz="0" w:space="0" w:color="auto"/>
      </w:divBdr>
    </w:div>
    <w:div w:id="1933858041">
      <w:marLeft w:val="0"/>
      <w:marRight w:val="0"/>
      <w:marTop w:val="0"/>
      <w:marBottom w:val="0"/>
      <w:divBdr>
        <w:top w:val="none" w:sz="0" w:space="0" w:color="auto"/>
        <w:left w:val="none" w:sz="0" w:space="0" w:color="auto"/>
        <w:bottom w:val="none" w:sz="0" w:space="0" w:color="auto"/>
        <w:right w:val="none" w:sz="0" w:space="0" w:color="auto"/>
      </w:divBdr>
    </w:div>
    <w:div w:id="1980500437">
      <w:marLeft w:val="0"/>
      <w:marRight w:val="0"/>
      <w:marTop w:val="0"/>
      <w:marBottom w:val="0"/>
      <w:divBdr>
        <w:top w:val="none" w:sz="0" w:space="0" w:color="auto"/>
        <w:left w:val="none" w:sz="0" w:space="0" w:color="auto"/>
        <w:bottom w:val="none" w:sz="0" w:space="0" w:color="auto"/>
        <w:right w:val="none" w:sz="0" w:space="0" w:color="auto"/>
      </w:divBdr>
    </w:div>
    <w:div w:id="1980836386">
      <w:marLeft w:val="0"/>
      <w:marRight w:val="0"/>
      <w:marTop w:val="0"/>
      <w:marBottom w:val="0"/>
      <w:divBdr>
        <w:top w:val="none" w:sz="0" w:space="0" w:color="auto"/>
        <w:left w:val="none" w:sz="0" w:space="0" w:color="auto"/>
        <w:bottom w:val="none" w:sz="0" w:space="0" w:color="auto"/>
        <w:right w:val="none" w:sz="0" w:space="0" w:color="auto"/>
      </w:divBdr>
    </w:div>
    <w:div w:id="2025597100">
      <w:marLeft w:val="0"/>
      <w:marRight w:val="0"/>
      <w:marTop w:val="0"/>
      <w:marBottom w:val="0"/>
      <w:divBdr>
        <w:top w:val="none" w:sz="0" w:space="0" w:color="auto"/>
        <w:left w:val="none" w:sz="0" w:space="0" w:color="auto"/>
        <w:bottom w:val="none" w:sz="0" w:space="0" w:color="auto"/>
        <w:right w:val="none" w:sz="0" w:space="0" w:color="auto"/>
      </w:divBdr>
    </w:div>
    <w:div w:id="2036688339">
      <w:marLeft w:val="0"/>
      <w:marRight w:val="0"/>
      <w:marTop w:val="0"/>
      <w:marBottom w:val="0"/>
      <w:divBdr>
        <w:top w:val="none" w:sz="0" w:space="0" w:color="auto"/>
        <w:left w:val="none" w:sz="0" w:space="0" w:color="auto"/>
        <w:bottom w:val="none" w:sz="0" w:space="0" w:color="auto"/>
        <w:right w:val="none" w:sz="0" w:space="0" w:color="auto"/>
      </w:divBdr>
    </w:div>
    <w:div w:id="2050374879">
      <w:marLeft w:val="0"/>
      <w:marRight w:val="0"/>
      <w:marTop w:val="0"/>
      <w:marBottom w:val="0"/>
      <w:divBdr>
        <w:top w:val="none" w:sz="0" w:space="0" w:color="auto"/>
        <w:left w:val="none" w:sz="0" w:space="0" w:color="auto"/>
        <w:bottom w:val="none" w:sz="0" w:space="0" w:color="auto"/>
        <w:right w:val="none" w:sz="0" w:space="0" w:color="auto"/>
      </w:divBdr>
    </w:div>
    <w:div w:id="2052340027">
      <w:marLeft w:val="0"/>
      <w:marRight w:val="0"/>
      <w:marTop w:val="0"/>
      <w:marBottom w:val="0"/>
      <w:divBdr>
        <w:top w:val="none" w:sz="0" w:space="0" w:color="auto"/>
        <w:left w:val="none" w:sz="0" w:space="0" w:color="auto"/>
        <w:bottom w:val="none" w:sz="0" w:space="0" w:color="auto"/>
        <w:right w:val="none" w:sz="0" w:space="0" w:color="auto"/>
      </w:divBdr>
    </w:div>
    <w:div w:id="2057270955">
      <w:marLeft w:val="0"/>
      <w:marRight w:val="0"/>
      <w:marTop w:val="0"/>
      <w:marBottom w:val="0"/>
      <w:divBdr>
        <w:top w:val="none" w:sz="0" w:space="0" w:color="auto"/>
        <w:left w:val="none" w:sz="0" w:space="0" w:color="auto"/>
        <w:bottom w:val="none" w:sz="0" w:space="0" w:color="auto"/>
        <w:right w:val="none" w:sz="0" w:space="0" w:color="auto"/>
      </w:divBdr>
    </w:div>
    <w:div w:id="2058822678">
      <w:marLeft w:val="0"/>
      <w:marRight w:val="0"/>
      <w:marTop w:val="0"/>
      <w:marBottom w:val="0"/>
      <w:divBdr>
        <w:top w:val="none" w:sz="0" w:space="0" w:color="auto"/>
        <w:left w:val="none" w:sz="0" w:space="0" w:color="auto"/>
        <w:bottom w:val="none" w:sz="0" w:space="0" w:color="auto"/>
        <w:right w:val="none" w:sz="0" w:space="0" w:color="auto"/>
      </w:divBdr>
    </w:div>
    <w:div w:id="2083328134">
      <w:marLeft w:val="0"/>
      <w:marRight w:val="0"/>
      <w:marTop w:val="0"/>
      <w:marBottom w:val="0"/>
      <w:divBdr>
        <w:top w:val="none" w:sz="0" w:space="0" w:color="auto"/>
        <w:left w:val="none" w:sz="0" w:space="0" w:color="auto"/>
        <w:bottom w:val="none" w:sz="0" w:space="0" w:color="auto"/>
        <w:right w:val="none" w:sz="0" w:space="0" w:color="auto"/>
      </w:divBdr>
    </w:div>
    <w:div w:id="2096240806">
      <w:marLeft w:val="0"/>
      <w:marRight w:val="0"/>
      <w:marTop w:val="0"/>
      <w:marBottom w:val="0"/>
      <w:divBdr>
        <w:top w:val="none" w:sz="0" w:space="0" w:color="auto"/>
        <w:left w:val="none" w:sz="0" w:space="0" w:color="auto"/>
        <w:bottom w:val="none" w:sz="0" w:space="0" w:color="auto"/>
        <w:right w:val="none" w:sz="0" w:space="0" w:color="auto"/>
      </w:divBdr>
    </w:div>
    <w:div w:id="2138445550">
      <w:marLeft w:val="0"/>
      <w:marRight w:val="0"/>
      <w:marTop w:val="0"/>
      <w:marBottom w:val="0"/>
      <w:divBdr>
        <w:top w:val="none" w:sz="0" w:space="0" w:color="auto"/>
        <w:left w:val="none" w:sz="0" w:space="0" w:color="auto"/>
        <w:bottom w:val="none" w:sz="0" w:space="0" w:color="auto"/>
        <w:right w:val="none" w:sz="0" w:space="0" w:color="auto"/>
      </w:divBdr>
    </w:div>
    <w:div w:id="214172343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104</Pages>
  <Words>20700</Words>
  <Characters>139660</Characters>
  <Application>Microsoft Office Word</Application>
  <DocSecurity>0</DocSecurity>
  <Lines>1163</Lines>
  <Paragraphs>320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3</cp:revision>
  <dcterms:created xsi:type="dcterms:W3CDTF">2013-03-01T22:26:00Z</dcterms:created>
  <dcterms:modified xsi:type="dcterms:W3CDTF">2013-03-01T22:28:00Z</dcterms:modified>
</cp:coreProperties>
</file>