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F55" w:rsidRDefault="00D21E75">
      <w:pPr>
        <w:pStyle w:val="Heading1"/>
        <w:jc w:val="center"/>
        <w:rPr>
          <w:rFonts w:eastAsia="Times New Roman"/>
        </w:rPr>
      </w:pPr>
      <w:bookmarkStart w:id="0" w:name="_GoBack"/>
      <w:bookmarkEnd w:id="0"/>
      <w:r>
        <w:rPr>
          <w:rFonts w:eastAsia="Times New Roman"/>
        </w:rPr>
        <w:t>Report on DOT Significant Rulemakings</w:t>
      </w:r>
    </w:p>
    <w:p w:rsidR="00DD5F55" w:rsidRDefault="00D21E75">
      <w:pPr>
        <w:jc w:val="center"/>
        <w:rPr>
          <w:rFonts w:ascii="Times" w:eastAsia="Times New Roman" w:hAnsi="Times" w:cs="Times"/>
          <w:sz w:val="36"/>
          <w:szCs w:val="36"/>
        </w:rPr>
      </w:pPr>
      <w:r>
        <w:rPr>
          <w:rFonts w:ascii="Times" w:eastAsia="Times New Roman" w:hAnsi="Times" w:cs="Times"/>
          <w:sz w:val="36"/>
          <w:szCs w:val="36"/>
        </w:rPr>
        <w:t>Table of Contents</w:t>
      </w:r>
    </w:p>
    <w:p w:rsidR="00DD5F55" w:rsidRDefault="00D21E75">
      <w:pPr>
        <w:rPr>
          <w:rFonts w:ascii="Times" w:eastAsia="Times New Roman" w:hAnsi="Times" w:cs="Times"/>
        </w:rPr>
      </w:pPr>
      <w:r>
        <w:rPr>
          <w:rFonts w:ascii="Times" w:eastAsia="Times New Roman" w:hAnsi="Times" w:cs="Times"/>
          <w:b/>
          <w:bCs/>
        </w:rPr>
        <w:t>Federal Aviation Administration</w:t>
      </w:r>
    </w:p>
    <w:p w:rsidR="00DD5F55" w:rsidRDefault="00D21E75">
      <w:pPr>
        <w:divId w:val="118281598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DD5F55" w:rsidRDefault="00DD5F55">
      <w:pPr>
        <w:rPr>
          <w:rFonts w:ascii="Times" w:eastAsia="Times New Roman" w:hAnsi="Times" w:cs="Times"/>
          <w:sz w:val="20"/>
          <w:szCs w:val="20"/>
        </w:rPr>
      </w:pPr>
    </w:p>
    <w:p w:rsidR="00DD5F55" w:rsidRDefault="00D21E75">
      <w:pPr>
        <w:divId w:val="149907246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DD5F55" w:rsidRDefault="00DD5F55">
      <w:pPr>
        <w:rPr>
          <w:rFonts w:ascii="Times" w:eastAsia="Times New Roman" w:hAnsi="Times" w:cs="Times"/>
          <w:sz w:val="20"/>
          <w:szCs w:val="20"/>
        </w:rPr>
      </w:pPr>
    </w:p>
    <w:p w:rsidR="00DD5F55" w:rsidRDefault="00D21E75">
      <w:pPr>
        <w:divId w:val="49920313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DD5F55" w:rsidRDefault="00DD5F55">
      <w:pPr>
        <w:rPr>
          <w:rFonts w:ascii="Times" w:eastAsia="Times New Roman" w:hAnsi="Times" w:cs="Times"/>
          <w:sz w:val="20"/>
          <w:szCs w:val="20"/>
        </w:rPr>
      </w:pPr>
    </w:p>
    <w:p w:rsidR="00DD5F55" w:rsidRDefault="00D21E75">
      <w:pPr>
        <w:divId w:val="1061028213"/>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Air Ambulance and Commercial Helicopter Operations; Safety Initiatives and Miscellaneous Amendments</w:t>
        </w:r>
      </w:hyperlink>
    </w:p>
    <w:p w:rsidR="00DD5F55" w:rsidRDefault="00DD5F55">
      <w:pPr>
        <w:rPr>
          <w:rFonts w:ascii="Times" w:eastAsia="Times New Roman" w:hAnsi="Times" w:cs="Times"/>
          <w:sz w:val="20"/>
          <w:szCs w:val="20"/>
        </w:rPr>
      </w:pPr>
    </w:p>
    <w:p w:rsidR="00DD5F55" w:rsidRDefault="00D21E75">
      <w:pPr>
        <w:divId w:val="208051253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Flight and Duty Time Limitations and Rest Requirements</w:t>
        </w:r>
      </w:hyperlink>
    </w:p>
    <w:p w:rsidR="00DD5F55" w:rsidRDefault="00DD5F55">
      <w:pPr>
        <w:rPr>
          <w:rFonts w:ascii="Times" w:eastAsia="Times New Roman" w:hAnsi="Times" w:cs="Times"/>
          <w:sz w:val="20"/>
          <w:szCs w:val="20"/>
        </w:rPr>
      </w:pPr>
    </w:p>
    <w:p w:rsidR="00DD5F55" w:rsidRDefault="00D21E75">
      <w:pPr>
        <w:divId w:val="97768754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Operation and Certification of Small Unmanned Aircraft Systems (sUAS)</w:t>
        </w:r>
      </w:hyperlink>
    </w:p>
    <w:p w:rsidR="00DD5F55" w:rsidRDefault="00DD5F55">
      <w:pPr>
        <w:rPr>
          <w:rFonts w:ascii="Times" w:eastAsia="Times New Roman" w:hAnsi="Times" w:cs="Times"/>
          <w:sz w:val="20"/>
          <w:szCs w:val="20"/>
        </w:rPr>
      </w:pPr>
    </w:p>
    <w:p w:rsidR="00DD5F55" w:rsidRDefault="00D21E75">
      <w:pPr>
        <w:divId w:val="149162972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Prohibition Against Certain Flights Within the Territory and Airspace of Afghanistan</w:t>
        </w:r>
      </w:hyperlink>
    </w:p>
    <w:p w:rsidR="00DD5F55" w:rsidRDefault="00DD5F55">
      <w:pPr>
        <w:rPr>
          <w:rFonts w:ascii="Times" w:eastAsia="Times New Roman" w:hAnsi="Times" w:cs="Times"/>
          <w:sz w:val="20"/>
          <w:szCs w:val="20"/>
        </w:rPr>
      </w:pPr>
    </w:p>
    <w:p w:rsidR="00DD5F55" w:rsidRDefault="00D21E75">
      <w:pPr>
        <w:divId w:val="84432322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Requirement for Wildlife Assessments at Certificated Airports</w:t>
        </w:r>
      </w:hyperlink>
    </w:p>
    <w:p w:rsidR="00DD5F55" w:rsidRDefault="00DD5F55">
      <w:pPr>
        <w:rPr>
          <w:rFonts w:ascii="Times" w:eastAsia="Times New Roman" w:hAnsi="Times" w:cs="Times"/>
          <w:sz w:val="20"/>
          <w:szCs w:val="20"/>
        </w:rPr>
      </w:pPr>
    </w:p>
    <w:p w:rsidR="00DD5F55" w:rsidRDefault="00D21E75">
      <w:pPr>
        <w:divId w:val="36274839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Regulation Of Flight Operations Conducted By Alaska Guide Pilots</w:t>
        </w:r>
      </w:hyperlink>
    </w:p>
    <w:p w:rsidR="00DD5F55" w:rsidRDefault="00DD5F55">
      <w:pPr>
        <w:rPr>
          <w:rFonts w:ascii="Times" w:eastAsia="Times New Roman" w:hAnsi="Times" w:cs="Times"/>
          <w:sz w:val="20"/>
          <w:szCs w:val="20"/>
        </w:rPr>
      </w:pPr>
    </w:p>
    <w:p w:rsidR="00DD5F55" w:rsidRDefault="00D21E75">
      <w:pPr>
        <w:divId w:val="23660035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 Carrier Maintenance Training Program</w:t>
        </w:r>
      </w:hyperlink>
    </w:p>
    <w:p w:rsidR="00DD5F55" w:rsidRDefault="00DD5F55">
      <w:pPr>
        <w:rPr>
          <w:rFonts w:ascii="Times" w:eastAsia="Times New Roman" w:hAnsi="Times" w:cs="Times"/>
          <w:sz w:val="20"/>
          <w:szCs w:val="20"/>
        </w:rPr>
      </w:pPr>
    </w:p>
    <w:p w:rsidR="00DD5F55" w:rsidRDefault="00D21E75">
      <w:pPr>
        <w:divId w:val="19354229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Safety Management Systems for Part 121 Certificate Holders</w:t>
        </w:r>
      </w:hyperlink>
    </w:p>
    <w:p w:rsidR="00DD5F55" w:rsidRDefault="00DD5F55">
      <w:pPr>
        <w:rPr>
          <w:rFonts w:ascii="Times" w:eastAsia="Times New Roman" w:hAnsi="Times" w:cs="Times"/>
          <w:sz w:val="20"/>
          <w:szCs w:val="20"/>
        </w:rPr>
      </w:pPr>
    </w:p>
    <w:p w:rsidR="00DD5F55" w:rsidRDefault="00D21E75">
      <w:pPr>
        <w:divId w:val="620037093"/>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Flight Crewmember Mentoring, Leadership and Professional Development (HR 5900)</w:t>
        </w:r>
      </w:hyperlink>
    </w:p>
    <w:p w:rsidR="00DD5F55" w:rsidRDefault="00DD5F55">
      <w:pPr>
        <w:rPr>
          <w:rFonts w:ascii="Times" w:eastAsia="Times New Roman" w:hAnsi="Times" w:cs="Times"/>
          <w:sz w:val="20"/>
          <w:szCs w:val="20"/>
        </w:rPr>
      </w:pPr>
    </w:p>
    <w:p w:rsidR="00DD5F55" w:rsidRDefault="00D21E75">
      <w:pPr>
        <w:divId w:val="177729104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Slot Management and Transparency for LaGuardia Airport, John F. Kennedy International Airport, and Newark Liberty International Airport</w:t>
        </w:r>
      </w:hyperlink>
    </w:p>
    <w:p w:rsidR="00DD5F55" w:rsidRDefault="00DD5F55">
      <w:pPr>
        <w:rPr>
          <w:rFonts w:ascii="Times" w:eastAsia="Times New Roman" w:hAnsi="Times" w:cs="Times"/>
          <w:sz w:val="20"/>
          <w:szCs w:val="20"/>
        </w:rPr>
      </w:pPr>
    </w:p>
    <w:p w:rsidR="00DD5F55" w:rsidRDefault="00D21E75">
      <w:pPr>
        <w:divId w:val="799957987"/>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Part 121 Exiting Icing</w:t>
        </w:r>
      </w:hyperlink>
    </w:p>
    <w:p w:rsidR="00DD5F55" w:rsidRDefault="00DD5F55">
      <w:pPr>
        <w:rPr>
          <w:rFonts w:ascii="Times" w:eastAsia="Times New Roman" w:hAnsi="Times" w:cs="Times"/>
          <w:sz w:val="20"/>
          <w:szCs w:val="20"/>
        </w:rPr>
      </w:pPr>
    </w:p>
    <w:p w:rsidR="00DD5F55" w:rsidRDefault="00D21E75">
      <w:pPr>
        <w:divId w:val="52822900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Simulation Training Device (FSTD) Qualification Standards for Extended Envelope and Adverse Weather Event Training</w:t>
        </w:r>
      </w:hyperlink>
    </w:p>
    <w:p w:rsidR="00DD5F55" w:rsidRDefault="00DD5F55">
      <w:pPr>
        <w:rPr>
          <w:rFonts w:ascii="Times" w:eastAsia="Times New Roman" w:hAnsi="Times" w:cs="Times"/>
          <w:sz w:val="20"/>
          <w:szCs w:val="20"/>
        </w:rPr>
      </w:pPr>
    </w:p>
    <w:p w:rsidR="00DD5F55" w:rsidRDefault="00D21E75">
      <w:pPr>
        <w:divId w:val="89157422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Drug and Alcohol Testing of Certain Maintenance Provider Employees Located Outside of the United States</w:t>
        </w:r>
      </w:hyperlink>
    </w:p>
    <w:p w:rsidR="00DD5F55" w:rsidRDefault="00DD5F55">
      <w:pPr>
        <w:rPr>
          <w:rFonts w:ascii="Times" w:eastAsia="Times New Roman" w:hAnsi="Times" w:cs="Times"/>
          <w:sz w:val="20"/>
          <w:szCs w:val="20"/>
        </w:rPr>
      </w:pPr>
    </w:p>
    <w:p w:rsidR="00DD5F55" w:rsidRDefault="00D21E75">
      <w:pPr>
        <w:divId w:val="44238875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Disclosure of Seat Dimensions to Facilitate the Use of Child Restraint Systems on Aircraft (FAA Reauthorization)</w:t>
        </w:r>
      </w:hyperlink>
    </w:p>
    <w:p w:rsidR="00DD5F55" w:rsidRDefault="00DD5F55">
      <w:pPr>
        <w:rPr>
          <w:rFonts w:ascii="Times" w:eastAsia="Times New Roman" w:hAnsi="Times" w:cs="Times"/>
          <w:sz w:val="20"/>
          <w:szCs w:val="20"/>
        </w:rPr>
      </w:pPr>
    </w:p>
    <w:p w:rsidR="00DD5F55" w:rsidRDefault="00D21E75">
      <w:pPr>
        <w:divId w:val="67642071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Production and Airworthiness Certification II</w:t>
        </w:r>
      </w:hyperlink>
    </w:p>
    <w:p w:rsidR="00DD5F55" w:rsidRDefault="00DD5F55">
      <w:pPr>
        <w:rPr>
          <w:rFonts w:ascii="Times" w:eastAsia="Times New Roman" w:hAnsi="Times" w:cs="Times"/>
          <w:sz w:val="20"/>
          <w:szCs w:val="20"/>
        </w:rPr>
      </w:pPr>
    </w:p>
    <w:p w:rsidR="00DD5F55" w:rsidRDefault="00D21E75">
      <w:pPr>
        <w:divId w:val="239297174"/>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of Tail End Ferry in Part 121 (Reauthorization)</w:t>
        </w:r>
      </w:hyperlink>
    </w:p>
    <w:p w:rsidR="00DD5F55" w:rsidRDefault="00DD5F55">
      <w:pPr>
        <w:rPr>
          <w:rFonts w:ascii="Times" w:eastAsia="Times New Roman" w:hAnsi="Times" w:cs="Times"/>
          <w:sz w:val="20"/>
          <w:szCs w:val="20"/>
        </w:rPr>
      </w:pPr>
    </w:p>
    <w:p w:rsidR="00DD5F55" w:rsidRDefault="00D21E75">
      <w:pPr>
        <w:divId w:val="97297708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Tail-End Ferry in Part 135 (FAA Reauthorization)</w:t>
        </w:r>
      </w:hyperlink>
    </w:p>
    <w:p w:rsidR="00DD5F55" w:rsidRDefault="00DD5F55">
      <w:pPr>
        <w:rPr>
          <w:rFonts w:ascii="Times" w:eastAsia="Times New Roman" w:hAnsi="Times" w:cs="Times"/>
          <w:sz w:val="20"/>
          <w:szCs w:val="20"/>
        </w:rPr>
      </w:pPr>
    </w:p>
    <w:p w:rsidR="00DD5F55" w:rsidRDefault="00D21E75">
      <w:pPr>
        <w:divId w:val="668170256"/>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Pilot Records Database (HR 5900)</w:t>
        </w:r>
      </w:hyperlink>
    </w:p>
    <w:p w:rsidR="00DD5F55" w:rsidRDefault="00DD5F55">
      <w:pPr>
        <w:rPr>
          <w:rFonts w:ascii="Times" w:eastAsia="Times New Roman" w:hAnsi="Times" w:cs="Times"/>
          <w:sz w:val="20"/>
          <w:szCs w:val="20"/>
        </w:rPr>
      </w:pPr>
    </w:p>
    <w:p w:rsidR="00DD5F55" w:rsidRDefault="00D21E75">
      <w:pPr>
        <w:divId w:val="79672581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Biometric Certificates (FAA Reauthorization)</w:t>
        </w:r>
      </w:hyperlink>
    </w:p>
    <w:p w:rsidR="00DD5F55" w:rsidRDefault="00DD5F55">
      <w:pPr>
        <w:rPr>
          <w:rFonts w:ascii="Times" w:eastAsia="Times New Roman" w:hAnsi="Times" w:cs="Times"/>
          <w:sz w:val="20"/>
          <w:szCs w:val="20"/>
        </w:rPr>
      </w:pPr>
    </w:p>
    <w:p w:rsidR="00DD5F55" w:rsidRDefault="00D21E75">
      <w:pPr>
        <w:divId w:val="1839734236"/>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Permanent Requirement for Helicopters to use the New York North Shore Helicopter Route</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Federal Highway Administration</w:t>
      </w:r>
    </w:p>
    <w:p w:rsidR="00DD5F55" w:rsidRDefault="00D21E75">
      <w:pPr>
        <w:divId w:val="60485255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DD5F55" w:rsidRDefault="00DD5F55">
      <w:pPr>
        <w:rPr>
          <w:rFonts w:ascii="Times" w:eastAsia="Times New Roman" w:hAnsi="Times" w:cs="Times"/>
          <w:sz w:val="20"/>
          <w:szCs w:val="20"/>
        </w:rPr>
      </w:pPr>
    </w:p>
    <w:p w:rsidR="00DD5F55" w:rsidRDefault="00D21E75">
      <w:pPr>
        <w:divId w:val="161540439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DD5F55" w:rsidRDefault="00DD5F55">
      <w:pPr>
        <w:rPr>
          <w:rFonts w:ascii="Times" w:eastAsia="Times New Roman" w:hAnsi="Times" w:cs="Times"/>
          <w:sz w:val="20"/>
          <w:szCs w:val="20"/>
        </w:rPr>
      </w:pPr>
    </w:p>
    <w:p w:rsidR="00DD5F55" w:rsidRDefault="00D21E75">
      <w:pPr>
        <w:divId w:val="3489399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DD5F55" w:rsidRDefault="00DD5F55">
      <w:pPr>
        <w:rPr>
          <w:rFonts w:ascii="Times" w:eastAsia="Times New Roman" w:hAnsi="Times" w:cs="Times"/>
          <w:sz w:val="20"/>
          <w:szCs w:val="20"/>
        </w:rPr>
      </w:pPr>
    </w:p>
    <w:p w:rsidR="00DD5F55" w:rsidRDefault="00D21E75">
      <w:pPr>
        <w:divId w:val="16790894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DD5F55" w:rsidRDefault="00DD5F55">
      <w:pPr>
        <w:rPr>
          <w:rFonts w:ascii="Times" w:eastAsia="Times New Roman" w:hAnsi="Times" w:cs="Times"/>
          <w:sz w:val="20"/>
          <w:szCs w:val="20"/>
        </w:rPr>
      </w:pPr>
    </w:p>
    <w:p w:rsidR="00DD5F55" w:rsidRDefault="00D21E75">
      <w:pPr>
        <w:divId w:val="99445235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DD5F55" w:rsidRDefault="00DD5F55">
      <w:pPr>
        <w:rPr>
          <w:rFonts w:ascii="Times" w:eastAsia="Times New Roman" w:hAnsi="Times" w:cs="Times"/>
          <w:sz w:val="20"/>
          <w:szCs w:val="20"/>
        </w:rPr>
      </w:pPr>
    </w:p>
    <w:p w:rsidR="00DD5F55" w:rsidRDefault="00D21E75">
      <w:pPr>
        <w:divId w:val="27383354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DD5F55" w:rsidRDefault="00DD5F55">
      <w:pPr>
        <w:rPr>
          <w:rFonts w:ascii="Times" w:eastAsia="Times New Roman" w:hAnsi="Times" w:cs="Times"/>
          <w:sz w:val="20"/>
          <w:szCs w:val="20"/>
        </w:rPr>
      </w:pPr>
    </w:p>
    <w:p w:rsidR="00DD5F55" w:rsidRDefault="00D21E75">
      <w:pPr>
        <w:divId w:val="80119306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DD5F55" w:rsidRDefault="00DD5F55">
      <w:pPr>
        <w:rPr>
          <w:rFonts w:ascii="Times" w:eastAsia="Times New Roman" w:hAnsi="Times" w:cs="Times"/>
          <w:sz w:val="20"/>
          <w:szCs w:val="20"/>
        </w:rPr>
      </w:pPr>
    </w:p>
    <w:p w:rsidR="00DD5F55" w:rsidRDefault="00D21E75">
      <w:pPr>
        <w:divId w:val="341011175"/>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DD5F55" w:rsidRDefault="00DD5F55">
      <w:pPr>
        <w:rPr>
          <w:rFonts w:ascii="Times" w:eastAsia="Times New Roman" w:hAnsi="Times" w:cs="Times"/>
          <w:sz w:val="20"/>
          <w:szCs w:val="20"/>
        </w:rPr>
      </w:pPr>
    </w:p>
    <w:p w:rsidR="00DD5F55" w:rsidRDefault="00D21E75">
      <w:pPr>
        <w:divId w:val="127325006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DD5F55" w:rsidRDefault="00DD5F55">
      <w:pPr>
        <w:rPr>
          <w:rFonts w:ascii="Times" w:eastAsia="Times New Roman" w:hAnsi="Times" w:cs="Times"/>
          <w:sz w:val="20"/>
          <w:szCs w:val="20"/>
        </w:rPr>
      </w:pPr>
    </w:p>
    <w:p w:rsidR="00DD5F55" w:rsidRDefault="00D21E75">
      <w:pPr>
        <w:divId w:val="890723941"/>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Risk-Based Asset Management Plan (MAP-21)</w:t>
        </w:r>
      </w:hyperlink>
    </w:p>
    <w:p w:rsidR="00DD5F55" w:rsidRDefault="00DD5F55">
      <w:pPr>
        <w:rPr>
          <w:rFonts w:ascii="Times" w:eastAsia="Times New Roman" w:hAnsi="Times" w:cs="Times"/>
          <w:sz w:val="20"/>
          <w:szCs w:val="20"/>
        </w:rPr>
      </w:pPr>
    </w:p>
    <w:p w:rsidR="00DD5F55" w:rsidRDefault="00D21E75">
      <w:pPr>
        <w:divId w:val="210124729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Federal Motor Carrier Safety Administration</w:t>
      </w:r>
    </w:p>
    <w:p w:rsidR="00DD5F55" w:rsidRDefault="00D21E75">
      <w:pPr>
        <w:divId w:val="202015531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DD5F55" w:rsidRDefault="00DD5F55">
      <w:pPr>
        <w:rPr>
          <w:rFonts w:ascii="Times" w:eastAsia="Times New Roman" w:hAnsi="Times" w:cs="Times"/>
          <w:sz w:val="20"/>
          <w:szCs w:val="20"/>
        </w:rPr>
      </w:pPr>
    </w:p>
    <w:p w:rsidR="00DD5F55" w:rsidRDefault="00D21E75">
      <w:pPr>
        <w:divId w:val="941763616"/>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DD5F55" w:rsidRDefault="00DD5F55">
      <w:pPr>
        <w:rPr>
          <w:rFonts w:ascii="Times" w:eastAsia="Times New Roman" w:hAnsi="Times" w:cs="Times"/>
          <w:sz w:val="20"/>
          <w:szCs w:val="20"/>
        </w:rPr>
      </w:pPr>
    </w:p>
    <w:p w:rsidR="00DD5F55" w:rsidRDefault="00D21E75">
      <w:pPr>
        <w:divId w:val="1706053639"/>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DD5F55" w:rsidRDefault="00DD5F55">
      <w:pPr>
        <w:rPr>
          <w:rFonts w:ascii="Times" w:eastAsia="Times New Roman" w:hAnsi="Times" w:cs="Times"/>
          <w:sz w:val="20"/>
          <w:szCs w:val="20"/>
        </w:rPr>
      </w:pPr>
    </w:p>
    <w:p w:rsidR="00DD5F55" w:rsidRDefault="00D21E75">
      <w:pPr>
        <w:divId w:val="125385116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DD5F55" w:rsidRDefault="00DD5F55">
      <w:pPr>
        <w:rPr>
          <w:rFonts w:ascii="Times" w:eastAsia="Times New Roman" w:hAnsi="Times" w:cs="Times"/>
          <w:sz w:val="20"/>
          <w:szCs w:val="20"/>
        </w:rPr>
      </w:pPr>
    </w:p>
    <w:p w:rsidR="00DD5F55" w:rsidRDefault="00D21E75">
      <w:pPr>
        <w:divId w:val="142818739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DD5F55" w:rsidRDefault="00DD5F55">
      <w:pPr>
        <w:rPr>
          <w:rFonts w:ascii="Times" w:eastAsia="Times New Roman" w:hAnsi="Times" w:cs="Times"/>
          <w:sz w:val="20"/>
          <w:szCs w:val="20"/>
        </w:rPr>
      </w:pPr>
    </w:p>
    <w:p w:rsidR="00DD5F55" w:rsidRDefault="00D21E75">
      <w:pPr>
        <w:divId w:val="67496441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DD5F55" w:rsidRDefault="00DD5F55">
      <w:pPr>
        <w:rPr>
          <w:rFonts w:ascii="Times" w:eastAsia="Times New Roman" w:hAnsi="Times" w:cs="Times"/>
          <w:sz w:val="20"/>
          <w:szCs w:val="20"/>
        </w:rPr>
      </w:pPr>
    </w:p>
    <w:p w:rsidR="00DD5F55" w:rsidRDefault="00D21E75">
      <w:pPr>
        <w:divId w:val="751119153"/>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DD5F55" w:rsidRDefault="00DD5F55">
      <w:pPr>
        <w:rPr>
          <w:rFonts w:ascii="Times" w:eastAsia="Times New Roman" w:hAnsi="Times" w:cs="Times"/>
          <w:sz w:val="20"/>
          <w:szCs w:val="20"/>
        </w:rPr>
      </w:pPr>
    </w:p>
    <w:p w:rsidR="00DD5F55" w:rsidRDefault="00D21E75">
      <w:pPr>
        <w:divId w:val="340860131"/>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DD5F55" w:rsidRDefault="00DD5F55">
      <w:pPr>
        <w:rPr>
          <w:rFonts w:ascii="Times" w:eastAsia="Times New Roman" w:hAnsi="Times" w:cs="Times"/>
          <w:sz w:val="20"/>
          <w:szCs w:val="20"/>
        </w:rPr>
      </w:pPr>
    </w:p>
    <w:p w:rsidR="00DD5F55" w:rsidRDefault="00D21E75">
      <w:pPr>
        <w:divId w:val="83036939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DD5F55" w:rsidRDefault="00DD5F55">
      <w:pPr>
        <w:rPr>
          <w:rFonts w:ascii="Times" w:eastAsia="Times New Roman" w:hAnsi="Times" w:cs="Times"/>
          <w:sz w:val="20"/>
          <w:szCs w:val="20"/>
        </w:rPr>
      </w:pPr>
    </w:p>
    <w:p w:rsidR="00DD5F55" w:rsidRDefault="00D21E75">
      <w:pPr>
        <w:divId w:val="409238631"/>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DD5F55" w:rsidRDefault="00DD5F55">
      <w:pPr>
        <w:rPr>
          <w:rFonts w:ascii="Times" w:eastAsia="Times New Roman" w:hAnsi="Times" w:cs="Times"/>
          <w:sz w:val="20"/>
          <w:szCs w:val="20"/>
        </w:rPr>
      </w:pPr>
    </w:p>
    <w:p w:rsidR="00DD5F55" w:rsidRDefault="00D21E75">
      <w:pPr>
        <w:divId w:val="546331719"/>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DD5F55" w:rsidRDefault="00DD5F55">
      <w:pPr>
        <w:rPr>
          <w:rFonts w:ascii="Times" w:eastAsia="Times New Roman" w:hAnsi="Times" w:cs="Times"/>
          <w:sz w:val="20"/>
          <w:szCs w:val="20"/>
        </w:rPr>
      </w:pPr>
    </w:p>
    <w:p w:rsidR="00DD5F55" w:rsidRDefault="00D21E75">
      <w:pPr>
        <w:divId w:val="115992398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DD5F55" w:rsidRDefault="00DD5F55">
      <w:pPr>
        <w:rPr>
          <w:rFonts w:ascii="Times" w:eastAsia="Times New Roman" w:hAnsi="Times" w:cs="Times"/>
          <w:sz w:val="20"/>
          <w:szCs w:val="20"/>
        </w:rPr>
      </w:pPr>
    </w:p>
    <w:p w:rsidR="00DD5F55" w:rsidRDefault="00D21E75">
      <w:pPr>
        <w:divId w:val="552692318"/>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to the Unified Registration System (MAP-21)</w:t>
        </w:r>
      </w:hyperlink>
    </w:p>
    <w:p w:rsidR="00DD5F55" w:rsidRDefault="00DD5F55">
      <w:pPr>
        <w:rPr>
          <w:rFonts w:ascii="Times" w:eastAsia="Times New Roman" w:hAnsi="Times" w:cs="Times"/>
          <w:sz w:val="20"/>
          <w:szCs w:val="20"/>
        </w:rPr>
      </w:pPr>
    </w:p>
    <w:p w:rsidR="00DD5F55" w:rsidRDefault="00D21E75">
      <w:pPr>
        <w:divId w:val="994577094"/>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DD5F55" w:rsidRDefault="00DD5F55">
      <w:pPr>
        <w:rPr>
          <w:rFonts w:ascii="Times" w:eastAsia="Times New Roman" w:hAnsi="Times" w:cs="Times"/>
          <w:sz w:val="20"/>
          <w:szCs w:val="20"/>
        </w:rPr>
      </w:pPr>
    </w:p>
    <w:p w:rsidR="00DD5F55" w:rsidRDefault="00D21E75">
      <w:pPr>
        <w:divId w:val="1567260251"/>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Federal Railroad Administration</w:t>
      </w:r>
    </w:p>
    <w:p w:rsidR="00DD5F55" w:rsidRDefault="00D21E75">
      <w:pPr>
        <w:divId w:val="165216557"/>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Training Standards for Railroad Employees</w:t>
        </w:r>
      </w:hyperlink>
    </w:p>
    <w:p w:rsidR="00DD5F55" w:rsidRDefault="00DD5F55">
      <w:pPr>
        <w:rPr>
          <w:rFonts w:ascii="Times" w:eastAsia="Times New Roman" w:hAnsi="Times" w:cs="Times"/>
          <w:sz w:val="20"/>
          <w:szCs w:val="20"/>
        </w:rPr>
      </w:pPr>
    </w:p>
    <w:p w:rsidR="00DD5F55" w:rsidRDefault="00D21E75">
      <w:pPr>
        <w:divId w:val="89871342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Alcohol and Controlled Substance Testing for Maintenance-of-Way Employees </w:t>
        </w:r>
      </w:hyperlink>
    </w:p>
    <w:p w:rsidR="00DD5F55" w:rsidRDefault="00DD5F55">
      <w:pPr>
        <w:rPr>
          <w:rFonts w:ascii="Times" w:eastAsia="Times New Roman" w:hAnsi="Times" w:cs="Times"/>
          <w:sz w:val="20"/>
          <w:szCs w:val="20"/>
        </w:rPr>
      </w:pPr>
    </w:p>
    <w:p w:rsidR="00DD5F55" w:rsidRDefault="00D21E75">
      <w:pPr>
        <w:divId w:val="1036079964"/>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Risk Reduction Program</w:t>
        </w:r>
      </w:hyperlink>
    </w:p>
    <w:p w:rsidR="00DD5F55" w:rsidRDefault="00DD5F55">
      <w:pPr>
        <w:rPr>
          <w:rFonts w:ascii="Times" w:eastAsia="Times New Roman" w:hAnsi="Times" w:cs="Times"/>
          <w:sz w:val="20"/>
          <w:szCs w:val="20"/>
        </w:rPr>
      </w:pPr>
    </w:p>
    <w:p w:rsidR="00DD5F55" w:rsidRDefault="00D21E75">
      <w:pPr>
        <w:divId w:val="265239676"/>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Emergency Escape Breathing Apparatus</w:t>
        </w:r>
      </w:hyperlink>
    </w:p>
    <w:p w:rsidR="00DD5F55" w:rsidRDefault="00DD5F55">
      <w:pPr>
        <w:rPr>
          <w:rFonts w:ascii="Times" w:eastAsia="Times New Roman" w:hAnsi="Times" w:cs="Times"/>
          <w:sz w:val="20"/>
          <w:szCs w:val="20"/>
        </w:rPr>
      </w:pPr>
    </w:p>
    <w:p w:rsidR="00DD5F55" w:rsidRDefault="00D21E75">
      <w:pPr>
        <w:divId w:val="201942994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High-Speed Rail Corridor Development and Capital Investment Grants to Support Intercity Passenger Rail Service</w:t>
        </w:r>
      </w:hyperlink>
    </w:p>
    <w:p w:rsidR="00DD5F55" w:rsidRDefault="00DD5F55">
      <w:pPr>
        <w:rPr>
          <w:rFonts w:ascii="Times" w:eastAsia="Times New Roman" w:hAnsi="Times" w:cs="Times"/>
          <w:sz w:val="20"/>
          <w:szCs w:val="20"/>
        </w:rPr>
      </w:pPr>
    </w:p>
    <w:p w:rsidR="00DD5F55" w:rsidRDefault="00D21E75">
      <w:pPr>
        <w:divId w:val="951127642"/>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Intercity Passenger Rail (HSIPR) Program; Buy America Program Requirements</w:t>
        </w:r>
      </w:hyperlink>
    </w:p>
    <w:p w:rsidR="00DD5F55" w:rsidRDefault="00DD5F55">
      <w:pPr>
        <w:rPr>
          <w:rFonts w:ascii="Times" w:eastAsia="Times New Roman" w:hAnsi="Times" w:cs="Times"/>
          <w:sz w:val="20"/>
          <w:szCs w:val="20"/>
        </w:rPr>
      </w:pPr>
    </w:p>
    <w:p w:rsidR="00DD5F55" w:rsidRDefault="00D21E75">
      <w:pPr>
        <w:divId w:val="438569932"/>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DD5F55" w:rsidRDefault="00DD5F55">
      <w:pPr>
        <w:rPr>
          <w:rFonts w:ascii="Times" w:eastAsia="Times New Roman" w:hAnsi="Times" w:cs="Times"/>
          <w:sz w:val="20"/>
          <w:szCs w:val="20"/>
        </w:rPr>
      </w:pPr>
    </w:p>
    <w:p w:rsidR="00DD5F55" w:rsidRDefault="00D21E75">
      <w:pPr>
        <w:divId w:val="40530407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Roadway Worker Protection; Adjacent-Track On-Track Safety - Response to Petitions for Reconsideration</w:t>
        </w:r>
      </w:hyperlink>
    </w:p>
    <w:p w:rsidR="00DD5F55" w:rsidRDefault="00DD5F55">
      <w:pPr>
        <w:rPr>
          <w:rFonts w:ascii="Times" w:eastAsia="Times New Roman" w:hAnsi="Times" w:cs="Times"/>
          <w:sz w:val="20"/>
          <w:szCs w:val="20"/>
        </w:rPr>
      </w:pPr>
    </w:p>
    <w:p w:rsidR="00DD5F55" w:rsidRDefault="00D21E75">
      <w:pPr>
        <w:divId w:val="2020113141"/>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Passenger Equipment Safety Standards; Standards for Alternative Compliance and High-Speed Trainsets</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Federal Transit Administration</w:t>
      </w:r>
    </w:p>
    <w:p w:rsidR="00DD5F55" w:rsidRDefault="00D21E75">
      <w:pPr>
        <w:divId w:val="97729908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Private Sector Participation</w:t>
        </w:r>
      </w:hyperlink>
    </w:p>
    <w:p w:rsidR="00DD5F55" w:rsidRDefault="00DD5F55">
      <w:pPr>
        <w:rPr>
          <w:rFonts w:ascii="Times" w:eastAsia="Times New Roman" w:hAnsi="Times" w:cs="Times"/>
          <w:sz w:val="20"/>
          <w:szCs w:val="20"/>
        </w:rPr>
      </w:pPr>
    </w:p>
    <w:p w:rsidR="00DD5F55" w:rsidRDefault="00D21E75">
      <w:pPr>
        <w:divId w:val="1924293290"/>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Transit Asset Management</w:t>
        </w:r>
      </w:hyperlink>
    </w:p>
    <w:p w:rsidR="00DD5F55" w:rsidRDefault="00DD5F55">
      <w:pPr>
        <w:rPr>
          <w:rFonts w:ascii="Times" w:eastAsia="Times New Roman" w:hAnsi="Times" w:cs="Times"/>
          <w:sz w:val="20"/>
          <w:szCs w:val="20"/>
        </w:rPr>
      </w:pPr>
    </w:p>
    <w:p w:rsidR="00DD5F55" w:rsidRDefault="00D21E75">
      <w:pPr>
        <w:divId w:val="85002774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Statewide and Nonmetropolitan Transportation Planning; Metropolitan Transportation Planning (MAP-21)</w:t>
        </w:r>
      </w:hyperlink>
    </w:p>
    <w:p w:rsidR="00DD5F55" w:rsidRDefault="00DD5F55">
      <w:pPr>
        <w:rPr>
          <w:rFonts w:ascii="Times" w:eastAsia="Times New Roman" w:hAnsi="Times" w:cs="Times"/>
          <w:sz w:val="20"/>
          <w:szCs w:val="20"/>
        </w:rPr>
      </w:pPr>
    </w:p>
    <w:p w:rsidR="00DD5F55" w:rsidRDefault="00D21E75">
      <w:pPr>
        <w:divId w:val="205345515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Bus Testing: Pass/Fail and Safety Criteria (MAP-21)</w:t>
        </w:r>
      </w:hyperlink>
    </w:p>
    <w:p w:rsidR="00DD5F55" w:rsidRDefault="00DD5F55">
      <w:pPr>
        <w:rPr>
          <w:rFonts w:ascii="Times" w:eastAsia="Times New Roman" w:hAnsi="Times" w:cs="Times"/>
          <w:sz w:val="20"/>
          <w:szCs w:val="20"/>
        </w:rPr>
      </w:pPr>
    </w:p>
    <w:p w:rsidR="00DD5F55" w:rsidRDefault="00D21E75">
      <w:pPr>
        <w:divId w:val="309485342"/>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Public Transportation Emergency Relief Program (MAP-21)</w:t>
        </w:r>
      </w:hyperlink>
    </w:p>
    <w:p w:rsidR="00DD5F55" w:rsidRDefault="00DD5F55">
      <w:pPr>
        <w:rPr>
          <w:rFonts w:ascii="Times" w:eastAsia="Times New Roman" w:hAnsi="Times" w:cs="Times"/>
          <w:sz w:val="20"/>
          <w:szCs w:val="20"/>
        </w:rPr>
      </w:pPr>
    </w:p>
    <w:p w:rsidR="00DD5F55" w:rsidRDefault="00D21E75">
      <w:pPr>
        <w:divId w:val="588972590"/>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Buy America: Amendments (MAP-21)</w:t>
        </w:r>
      </w:hyperlink>
    </w:p>
    <w:p w:rsidR="00DD5F55" w:rsidRDefault="00DD5F55">
      <w:pPr>
        <w:rPr>
          <w:rFonts w:ascii="Times" w:eastAsia="Times New Roman" w:hAnsi="Times" w:cs="Times"/>
          <w:sz w:val="20"/>
          <w:szCs w:val="20"/>
        </w:rPr>
      </w:pPr>
    </w:p>
    <w:p w:rsidR="00DD5F55" w:rsidRDefault="00D21E75">
      <w:pPr>
        <w:divId w:val="686055130"/>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Core Capacity Projects (MAP-21)</w:t>
        </w:r>
      </w:hyperlink>
    </w:p>
    <w:p w:rsidR="00DD5F55" w:rsidRDefault="00DD5F55">
      <w:pPr>
        <w:rPr>
          <w:rFonts w:ascii="Times" w:eastAsia="Times New Roman" w:hAnsi="Times" w:cs="Times"/>
          <w:sz w:val="20"/>
          <w:szCs w:val="20"/>
        </w:rPr>
      </w:pPr>
    </w:p>
    <w:p w:rsidR="00DD5F55" w:rsidRDefault="00D21E75">
      <w:pPr>
        <w:divId w:val="176646167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New and Small Start Projects (MAP-21)</w:t>
        </w:r>
      </w:hyperlink>
    </w:p>
    <w:p w:rsidR="00DD5F55" w:rsidRDefault="00DD5F55">
      <w:pPr>
        <w:rPr>
          <w:rFonts w:ascii="Times" w:eastAsia="Times New Roman" w:hAnsi="Times" w:cs="Times"/>
          <w:sz w:val="20"/>
          <w:szCs w:val="20"/>
        </w:rPr>
      </w:pPr>
    </w:p>
    <w:p w:rsidR="00DD5F55" w:rsidRDefault="00D21E75">
      <w:pPr>
        <w:divId w:val="130574405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State Safety Oversight (MAP-21)</w:t>
        </w:r>
      </w:hyperlink>
    </w:p>
    <w:p w:rsidR="00DD5F55" w:rsidRDefault="00DD5F55">
      <w:pPr>
        <w:rPr>
          <w:rFonts w:ascii="Times" w:eastAsia="Times New Roman" w:hAnsi="Times" w:cs="Times"/>
          <w:sz w:val="20"/>
          <w:szCs w:val="20"/>
        </w:rPr>
      </w:pPr>
    </w:p>
    <w:p w:rsidR="00DD5F55" w:rsidRDefault="00D21E75">
      <w:pPr>
        <w:divId w:val="171835656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National and Public Transportation Safety Plans (MAP-21) and Transit Asset Management</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Maritime Administration</w:t>
      </w:r>
    </w:p>
    <w:p w:rsidR="00DD5F55" w:rsidRDefault="00D21E75">
      <w:pPr>
        <w:divId w:val="166331796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DD5F55" w:rsidRDefault="00DD5F55">
      <w:pPr>
        <w:rPr>
          <w:rFonts w:ascii="Times" w:eastAsia="Times New Roman" w:hAnsi="Times" w:cs="Times"/>
          <w:sz w:val="20"/>
          <w:szCs w:val="20"/>
        </w:rPr>
      </w:pPr>
    </w:p>
    <w:p w:rsidR="00DD5F55" w:rsidRDefault="00D21E75">
      <w:pPr>
        <w:divId w:val="2144224722"/>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National Shipping Authority, Ship Manager Citizenship </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National Highway Traffic Safety Administration</w:t>
      </w:r>
    </w:p>
    <w:p w:rsidR="00DD5F55" w:rsidRDefault="00D21E75">
      <w:pPr>
        <w:divId w:val="92453546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Federal Motor Vehicle Safety Standard No. 111, Rearview Mirrors </w:t>
        </w:r>
      </w:hyperlink>
    </w:p>
    <w:p w:rsidR="00DD5F55" w:rsidRDefault="00DD5F55">
      <w:pPr>
        <w:rPr>
          <w:rFonts w:ascii="Times" w:eastAsia="Times New Roman" w:hAnsi="Times" w:cs="Times"/>
          <w:sz w:val="20"/>
          <w:szCs w:val="20"/>
        </w:rPr>
      </w:pPr>
    </w:p>
    <w:p w:rsidR="00DD5F55" w:rsidRDefault="00D21E75">
      <w:pPr>
        <w:divId w:val="872502498"/>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Require Installation of Seat Belts on Motorcoaches, FMVSS No. 208 (MAP-21)</w:t>
        </w:r>
      </w:hyperlink>
    </w:p>
    <w:p w:rsidR="00DD5F55" w:rsidRDefault="00DD5F55">
      <w:pPr>
        <w:rPr>
          <w:rFonts w:ascii="Times" w:eastAsia="Times New Roman" w:hAnsi="Times" w:cs="Times"/>
          <w:sz w:val="20"/>
          <w:szCs w:val="20"/>
        </w:rPr>
      </w:pPr>
    </w:p>
    <w:p w:rsidR="00DD5F55" w:rsidRDefault="00D21E75">
      <w:pPr>
        <w:divId w:val="13534262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Alternative Fuel Vehicle Badging and Fuel Compartment Labels on Alternative Fuel Usage</w:t>
        </w:r>
      </w:hyperlink>
    </w:p>
    <w:p w:rsidR="00DD5F55" w:rsidRDefault="00DD5F55">
      <w:pPr>
        <w:rPr>
          <w:rFonts w:ascii="Times" w:eastAsia="Times New Roman" w:hAnsi="Times" w:cs="Times"/>
          <w:sz w:val="20"/>
          <w:szCs w:val="20"/>
        </w:rPr>
      </w:pPr>
    </w:p>
    <w:p w:rsidR="00DD5F55" w:rsidRDefault="00D21E75">
      <w:pPr>
        <w:divId w:val="1734310491"/>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Tire Fuel Efficiency Consumer Information - Part 2</w:t>
        </w:r>
      </w:hyperlink>
    </w:p>
    <w:p w:rsidR="00DD5F55" w:rsidRDefault="00DD5F55">
      <w:pPr>
        <w:rPr>
          <w:rFonts w:ascii="Times" w:eastAsia="Times New Roman" w:hAnsi="Times" w:cs="Times"/>
          <w:sz w:val="20"/>
          <w:szCs w:val="20"/>
        </w:rPr>
      </w:pPr>
    </w:p>
    <w:p w:rsidR="00DD5F55" w:rsidRDefault="00D21E75">
      <w:pPr>
        <w:divId w:val="407574801"/>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Mandatory Event Data Recorder Requirements </w:t>
        </w:r>
      </w:hyperlink>
    </w:p>
    <w:p w:rsidR="00DD5F55" w:rsidRDefault="00DD5F55">
      <w:pPr>
        <w:rPr>
          <w:rFonts w:ascii="Times" w:eastAsia="Times New Roman" w:hAnsi="Times" w:cs="Times"/>
          <w:sz w:val="20"/>
          <w:szCs w:val="20"/>
        </w:rPr>
      </w:pPr>
    </w:p>
    <w:p w:rsidR="00DD5F55" w:rsidRDefault="00D21E75">
      <w:pPr>
        <w:divId w:val="85492760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Upgrade of Event Data Recorder Requirements</w:t>
        </w:r>
      </w:hyperlink>
    </w:p>
    <w:p w:rsidR="00DD5F55" w:rsidRDefault="00DD5F55">
      <w:pPr>
        <w:rPr>
          <w:rFonts w:ascii="Times" w:eastAsia="Times New Roman" w:hAnsi="Times" w:cs="Times"/>
          <w:sz w:val="20"/>
          <w:szCs w:val="20"/>
        </w:rPr>
      </w:pPr>
    </w:p>
    <w:p w:rsidR="00DD5F55" w:rsidRDefault="00D21E75">
      <w:pPr>
        <w:divId w:val="22676654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Heavy Vehicle Speed Limiters </w:t>
        </w:r>
      </w:hyperlink>
    </w:p>
    <w:p w:rsidR="00DD5F55" w:rsidRDefault="00DD5F55">
      <w:pPr>
        <w:rPr>
          <w:rFonts w:ascii="Times" w:eastAsia="Times New Roman" w:hAnsi="Times" w:cs="Times"/>
          <w:sz w:val="20"/>
          <w:szCs w:val="20"/>
        </w:rPr>
      </w:pPr>
    </w:p>
    <w:p w:rsidR="00DD5F55" w:rsidRDefault="00D21E75">
      <w:pPr>
        <w:divId w:val="1636183185"/>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Sound for Hybrid and Electric Vehicles </w:t>
        </w:r>
      </w:hyperlink>
    </w:p>
    <w:p w:rsidR="00DD5F55" w:rsidRDefault="00DD5F55">
      <w:pPr>
        <w:rPr>
          <w:rFonts w:ascii="Times" w:eastAsia="Times New Roman" w:hAnsi="Times" w:cs="Times"/>
          <w:sz w:val="20"/>
          <w:szCs w:val="20"/>
        </w:rPr>
      </w:pPr>
    </w:p>
    <w:p w:rsidR="00DD5F55" w:rsidRDefault="00D21E75">
      <w:pPr>
        <w:divId w:val="1141581183"/>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Establish Side Impact Performance Requirements for Child Restraint Systems (MAP-21) </w:t>
        </w:r>
      </w:hyperlink>
    </w:p>
    <w:p w:rsidR="00DD5F55" w:rsidRDefault="00DD5F55">
      <w:pPr>
        <w:rPr>
          <w:rFonts w:ascii="Times" w:eastAsia="Times New Roman" w:hAnsi="Times" w:cs="Times"/>
          <w:sz w:val="20"/>
          <w:szCs w:val="20"/>
        </w:rPr>
      </w:pPr>
    </w:p>
    <w:p w:rsidR="00DD5F55" w:rsidRDefault="00D21E75">
      <w:pPr>
        <w:divId w:val="214487940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Motorcoach Rollover Structural Integrity (MAP-21) </w:t>
        </w:r>
      </w:hyperlink>
    </w:p>
    <w:p w:rsidR="00DD5F55" w:rsidRDefault="00DD5F55">
      <w:pPr>
        <w:rPr>
          <w:rFonts w:ascii="Times" w:eastAsia="Times New Roman" w:hAnsi="Times" w:cs="Times"/>
          <w:sz w:val="20"/>
          <w:szCs w:val="20"/>
        </w:rPr>
      </w:pPr>
    </w:p>
    <w:p w:rsidR="00DD5F55" w:rsidRDefault="00D21E75">
      <w:pPr>
        <w:divId w:val="154891009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Electronic Stability Control Systems for Heavy Vehicles (MAP-21) </w:t>
        </w:r>
      </w:hyperlink>
    </w:p>
    <w:p w:rsidR="00DD5F55" w:rsidRDefault="00DD5F55">
      <w:pPr>
        <w:rPr>
          <w:rFonts w:ascii="Times" w:eastAsia="Times New Roman" w:hAnsi="Times" w:cs="Times"/>
          <w:sz w:val="20"/>
          <w:szCs w:val="20"/>
        </w:rPr>
      </w:pPr>
    </w:p>
    <w:p w:rsidR="00DD5F55" w:rsidRDefault="00D21E75">
      <w:pPr>
        <w:divId w:val="96974806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FMVSS No. 218 and Enforcement Policy Concerning Novelty Helmets</w:t>
        </w:r>
      </w:hyperlink>
    </w:p>
    <w:p w:rsidR="00DD5F55" w:rsidRDefault="00DD5F55">
      <w:pPr>
        <w:rPr>
          <w:rFonts w:ascii="Times" w:eastAsia="Times New Roman" w:hAnsi="Times" w:cs="Times"/>
          <w:sz w:val="20"/>
          <w:szCs w:val="20"/>
        </w:rPr>
      </w:pPr>
    </w:p>
    <w:p w:rsidR="00DD5F55" w:rsidRDefault="00D21E75">
      <w:pPr>
        <w:divId w:val="176568911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Amend Definition of 3-Wheeled Vehicles</w:t>
        </w:r>
      </w:hyperlink>
    </w:p>
    <w:p w:rsidR="00DD5F55" w:rsidRDefault="00DD5F55">
      <w:pPr>
        <w:rPr>
          <w:rFonts w:ascii="Times" w:eastAsia="Times New Roman" w:hAnsi="Times" w:cs="Times"/>
          <w:sz w:val="20"/>
          <w:szCs w:val="20"/>
        </w:rPr>
      </w:pPr>
    </w:p>
    <w:p w:rsidR="00DD5F55" w:rsidRDefault="00D21E75">
      <w:pPr>
        <w:divId w:val="125504614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Part 571 New FMVSS, Lamps and Reflective Devices for Agricultural Equipment (MAP-21)</w:t>
        </w:r>
      </w:hyperlink>
    </w:p>
    <w:p w:rsidR="00DD5F55" w:rsidRDefault="00DD5F55">
      <w:pPr>
        <w:rPr>
          <w:rFonts w:ascii="Times" w:eastAsia="Times New Roman" w:hAnsi="Times" w:cs="Times"/>
          <w:sz w:val="20"/>
          <w:szCs w:val="20"/>
        </w:rPr>
      </w:pPr>
    </w:p>
    <w:p w:rsidR="00DD5F55" w:rsidRDefault="00D21E75">
      <w:pPr>
        <w:divId w:val="1808665804"/>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Uniform Procedures for State Highway Safety Programs (MAP-21)</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lastRenderedPageBreak/>
        <w:t>Office of the Secretary</w:t>
      </w:r>
    </w:p>
    <w:p w:rsidR="00DD5F55" w:rsidRDefault="00D21E75">
      <w:pPr>
        <w:divId w:val="181517893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Protection of Sensitive Security Information</w:t>
        </w:r>
      </w:hyperlink>
    </w:p>
    <w:p w:rsidR="00DD5F55" w:rsidRDefault="00DD5F55">
      <w:pPr>
        <w:rPr>
          <w:rFonts w:ascii="Times" w:eastAsia="Times New Roman" w:hAnsi="Times" w:cs="Times"/>
          <w:sz w:val="20"/>
          <w:szCs w:val="20"/>
        </w:rPr>
      </w:pPr>
    </w:p>
    <w:p w:rsidR="00DD5F55" w:rsidRDefault="00D21E75">
      <w:pPr>
        <w:divId w:val="639384769"/>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Stowage of Wheelchairs, other Mobility Aids and other Assistive Devices </w:t>
        </w:r>
      </w:hyperlink>
    </w:p>
    <w:p w:rsidR="00DD5F55" w:rsidRDefault="00DD5F55">
      <w:pPr>
        <w:rPr>
          <w:rFonts w:ascii="Times" w:eastAsia="Times New Roman" w:hAnsi="Times" w:cs="Times"/>
          <w:sz w:val="20"/>
          <w:szCs w:val="20"/>
        </w:rPr>
      </w:pPr>
    </w:p>
    <w:p w:rsidR="00DD5F55" w:rsidRDefault="00D21E75">
      <w:pPr>
        <w:divId w:val="1639603843"/>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 xml:space="preserve">Accessibility of Airports </w:t>
        </w:r>
      </w:hyperlink>
    </w:p>
    <w:p w:rsidR="00DD5F55" w:rsidRDefault="00DD5F55">
      <w:pPr>
        <w:rPr>
          <w:rFonts w:ascii="Times" w:eastAsia="Times New Roman" w:hAnsi="Times" w:cs="Times"/>
          <w:sz w:val="20"/>
          <w:szCs w:val="20"/>
        </w:rPr>
      </w:pPr>
    </w:p>
    <w:p w:rsidR="00DD5F55" w:rsidRDefault="00D21E75">
      <w:pPr>
        <w:divId w:val="1640456128"/>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Smoking of Electronic Cigarettes On Commercial Aircraft</w:t>
        </w:r>
      </w:hyperlink>
    </w:p>
    <w:p w:rsidR="00DD5F55" w:rsidRDefault="00DD5F55">
      <w:pPr>
        <w:rPr>
          <w:rFonts w:ascii="Times" w:eastAsia="Times New Roman" w:hAnsi="Times" w:cs="Times"/>
          <w:sz w:val="20"/>
          <w:szCs w:val="20"/>
        </w:rPr>
      </w:pPr>
    </w:p>
    <w:p w:rsidR="00DD5F55" w:rsidRDefault="00D21E75">
      <w:pPr>
        <w:divId w:val="1693649255"/>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Disadvantaged Business Enterprise (DBE Program Improvements, Phase 2) (RRR)</w:t>
        </w:r>
      </w:hyperlink>
    </w:p>
    <w:p w:rsidR="00DD5F55" w:rsidRDefault="00DD5F55">
      <w:pPr>
        <w:rPr>
          <w:rFonts w:ascii="Times" w:eastAsia="Times New Roman" w:hAnsi="Times" w:cs="Times"/>
          <w:sz w:val="20"/>
          <w:szCs w:val="20"/>
        </w:rPr>
      </w:pPr>
    </w:p>
    <w:p w:rsidR="00DD5F55" w:rsidRDefault="00D21E75">
      <w:pPr>
        <w:divId w:val="77490356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Enhancing Airline Passenger Protections III</w:t>
        </w:r>
      </w:hyperlink>
    </w:p>
    <w:p w:rsidR="00DD5F55" w:rsidRDefault="00DD5F55">
      <w:pPr>
        <w:rPr>
          <w:rFonts w:ascii="Times" w:eastAsia="Times New Roman" w:hAnsi="Times" w:cs="Times"/>
          <w:sz w:val="20"/>
          <w:szCs w:val="20"/>
        </w:rPr>
      </w:pPr>
    </w:p>
    <w:p w:rsidR="00DD5F55" w:rsidRDefault="00D21E75">
      <w:pPr>
        <w:divId w:val="498346728"/>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DD5F55" w:rsidRDefault="00DD5F55">
      <w:pPr>
        <w:rPr>
          <w:rFonts w:ascii="Times" w:eastAsia="Times New Roman" w:hAnsi="Times" w:cs="Times"/>
          <w:sz w:val="20"/>
          <w:szCs w:val="20"/>
        </w:rPr>
      </w:pPr>
    </w:p>
    <w:p w:rsidR="00DD5F55" w:rsidRDefault="00D21E75">
      <w:pPr>
        <w:divId w:val="436953215"/>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Transportation for Individuals with Disabilities: Reasonable Modification</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Pipeline and Hazardous Materials Safety Administration</w:t>
      </w:r>
    </w:p>
    <w:p w:rsidR="00DD5F55" w:rsidRDefault="00D21E75">
      <w:pPr>
        <w:divId w:val="471949503"/>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 xml:space="preserve">Hazardous Materials: Bulk Loading and Unloading Operations </w:t>
        </w:r>
      </w:hyperlink>
    </w:p>
    <w:p w:rsidR="00DD5F55" w:rsidRDefault="00DD5F55">
      <w:pPr>
        <w:rPr>
          <w:rFonts w:ascii="Times" w:eastAsia="Times New Roman" w:hAnsi="Times" w:cs="Times"/>
          <w:sz w:val="20"/>
          <w:szCs w:val="20"/>
        </w:rPr>
      </w:pPr>
    </w:p>
    <w:p w:rsidR="00DD5F55" w:rsidRDefault="00D21E75">
      <w:pPr>
        <w:divId w:val="746810057"/>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Compatibility with the Regulations of the International Atomic Energy Agency (IAEA) (RRR)</w:t>
        </w:r>
      </w:hyperlink>
    </w:p>
    <w:p w:rsidR="00DD5F55" w:rsidRDefault="00DD5F55">
      <w:pPr>
        <w:rPr>
          <w:rFonts w:ascii="Times" w:eastAsia="Times New Roman" w:hAnsi="Times" w:cs="Times"/>
          <w:sz w:val="20"/>
          <w:szCs w:val="20"/>
        </w:rPr>
      </w:pPr>
    </w:p>
    <w:p w:rsidR="00DD5F55" w:rsidRDefault="00D21E75">
      <w:pPr>
        <w:divId w:val="1040935532"/>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Enforcement of State Excavation Damage Laws</w:t>
        </w:r>
      </w:hyperlink>
    </w:p>
    <w:p w:rsidR="00DD5F55" w:rsidRDefault="00DD5F55">
      <w:pPr>
        <w:rPr>
          <w:rFonts w:ascii="Times" w:eastAsia="Times New Roman" w:hAnsi="Times" w:cs="Times"/>
          <w:sz w:val="20"/>
          <w:szCs w:val="20"/>
        </w:rPr>
      </w:pPr>
    </w:p>
    <w:p w:rsidR="00DD5F55" w:rsidRDefault="00D21E75">
      <w:pPr>
        <w:divId w:val="1292176412"/>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Revisions to Requirements for the Transportation of Lithium Batteries</w:t>
        </w:r>
      </w:hyperlink>
    </w:p>
    <w:p w:rsidR="00DD5F55" w:rsidRDefault="00DD5F55">
      <w:pPr>
        <w:rPr>
          <w:rFonts w:ascii="Times" w:eastAsia="Times New Roman" w:hAnsi="Times" w:cs="Times"/>
          <w:sz w:val="20"/>
          <w:szCs w:val="20"/>
        </w:rPr>
      </w:pPr>
    </w:p>
    <w:p w:rsidR="00DD5F55" w:rsidRDefault="00D21E75">
      <w:pPr>
        <w:divId w:val="511646470"/>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DD5F55" w:rsidRDefault="00DD5F55">
      <w:pPr>
        <w:rPr>
          <w:rFonts w:ascii="Times" w:eastAsia="Times New Roman" w:hAnsi="Times" w:cs="Times"/>
          <w:sz w:val="20"/>
          <w:szCs w:val="20"/>
        </w:rPr>
      </w:pPr>
    </w:p>
    <w:p w:rsidR="00DD5F55" w:rsidRDefault="00D21E75">
      <w:pPr>
        <w:divId w:val="875314342"/>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Miscellaneous Amendments to the Pipeline Safety Regulations</w:t>
        </w:r>
      </w:hyperlink>
    </w:p>
    <w:p w:rsidR="00DD5F55" w:rsidRDefault="00DD5F55">
      <w:pPr>
        <w:rPr>
          <w:rFonts w:ascii="Times" w:eastAsia="Times New Roman" w:hAnsi="Times" w:cs="Times"/>
          <w:sz w:val="20"/>
          <w:szCs w:val="20"/>
        </w:rPr>
      </w:pPr>
    </w:p>
    <w:p w:rsidR="00DD5F55" w:rsidRDefault="00D21E75">
      <w:pPr>
        <w:divId w:val="1435204439"/>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Safety of On-Shore Liquid Hazardous Pipelines</w:t>
        </w:r>
      </w:hyperlink>
    </w:p>
    <w:p w:rsidR="00DD5F55" w:rsidRDefault="00DD5F55">
      <w:pPr>
        <w:rPr>
          <w:rFonts w:ascii="Times" w:eastAsia="Times New Roman" w:hAnsi="Times" w:cs="Times"/>
          <w:sz w:val="20"/>
          <w:szCs w:val="20"/>
        </w:rPr>
      </w:pPr>
    </w:p>
    <w:p w:rsidR="00DD5F55" w:rsidRDefault="00D21E75">
      <w:pPr>
        <w:divId w:val="1562790868"/>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Excess Flow Valves In Applications Other Than Single-Family Residences in Gas Distribution Systems</w:t>
        </w:r>
      </w:hyperlink>
    </w:p>
    <w:p w:rsidR="00DD5F55" w:rsidRDefault="00DD5F55">
      <w:pPr>
        <w:rPr>
          <w:rFonts w:ascii="Times" w:eastAsia="Times New Roman" w:hAnsi="Times" w:cs="Times"/>
          <w:sz w:val="20"/>
          <w:szCs w:val="20"/>
        </w:rPr>
      </w:pPr>
    </w:p>
    <w:p w:rsidR="00DD5F55" w:rsidRDefault="00D21E75">
      <w:pPr>
        <w:divId w:val="612319837"/>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Gas Transmission (RRR)</w:t>
        </w:r>
      </w:hyperlink>
    </w:p>
    <w:p w:rsidR="00DD5F55" w:rsidRDefault="00DD5F55">
      <w:pPr>
        <w:rPr>
          <w:rFonts w:ascii="Times" w:eastAsia="Times New Roman" w:hAnsi="Times" w:cs="Times"/>
          <w:sz w:val="20"/>
          <w:szCs w:val="20"/>
        </w:rPr>
      </w:pPr>
    </w:p>
    <w:p w:rsidR="00DD5F55" w:rsidRDefault="00D21E75">
      <w:pPr>
        <w:divId w:val="1972200137"/>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Hazardous Materials: Reverse Logistics (RRR)</w:t>
        </w:r>
      </w:hyperlink>
    </w:p>
    <w:p w:rsidR="00DD5F55" w:rsidRDefault="00DD5F55">
      <w:pPr>
        <w:rPr>
          <w:rFonts w:ascii="Times" w:eastAsia="Times New Roman" w:hAnsi="Times" w:cs="Times"/>
          <w:sz w:val="20"/>
          <w:szCs w:val="20"/>
        </w:rPr>
      </w:pPr>
    </w:p>
    <w:p w:rsidR="00DD5F55" w:rsidRDefault="00D21E75">
      <w:pPr>
        <w:divId w:val="1487550930"/>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Requirements for the Safe Transportation of Bulk Explosives (RRR)</w:t>
        </w:r>
      </w:hyperlink>
    </w:p>
    <w:p w:rsidR="00DD5F55" w:rsidRDefault="00DD5F55">
      <w:pPr>
        <w:rPr>
          <w:rFonts w:ascii="Times" w:eastAsia="Times New Roman" w:hAnsi="Times" w:cs="Times"/>
          <w:sz w:val="20"/>
          <w:szCs w:val="20"/>
        </w:rPr>
      </w:pPr>
    </w:p>
    <w:p w:rsidR="00DD5F55" w:rsidRDefault="00D21E75">
      <w:pPr>
        <w:divId w:val="1096053106"/>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Rail Petitions and Recommendations to Improve the Safety of Railroad Tank Car Transportation (RRR)</w:t>
        </w:r>
      </w:hyperlink>
    </w:p>
    <w:p w:rsidR="00DD5F55" w:rsidRDefault="00DD5F55">
      <w:pPr>
        <w:rPr>
          <w:rFonts w:ascii="Times" w:eastAsia="Times New Roman" w:hAnsi="Times" w:cs="Times"/>
          <w:sz w:val="20"/>
          <w:szCs w:val="20"/>
        </w:rPr>
      </w:pPr>
    </w:p>
    <w:p w:rsidR="00DD5F55" w:rsidRDefault="00D21E75">
      <w:pPr>
        <w:divId w:val="1002390140"/>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Special Permit SOP and Evaluation (MAP-21)</w:t>
        </w:r>
      </w:hyperlink>
    </w:p>
    <w:p w:rsidR="00DD5F55" w:rsidRDefault="00DD5F55">
      <w:pPr>
        <w:rPr>
          <w:rFonts w:ascii="Times" w:eastAsia="Times New Roman" w:hAnsi="Times" w:cs="Times"/>
          <w:sz w:val="20"/>
          <w:szCs w:val="20"/>
        </w:rPr>
      </w:pPr>
    </w:p>
    <w:p w:rsidR="00DD5F55" w:rsidRDefault="00D21E75">
      <w:pPr>
        <w:rPr>
          <w:rFonts w:ascii="Times" w:eastAsia="Times New Roman" w:hAnsi="Times" w:cs="Times"/>
        </w:rPr>
      </w:pPr>
      <w:r>
        <w:rPr>
          <w:rFonts w:ascii="Times" w:eastAsia="Times New Roman" w:hAnsi="Times" w:cs="Times"/>
          <w:b/>
          <w:bCs/>
        </w:rPr>
        <w:t>Research and Innovative Technology Administration</w:t>
      </w:r>
    </w:p>
    <w:p w:rsidR="00DD5F55" w:rsidRDefault="00D21E75">
      <w:pPr>
        <w:divId w:val="979263960"/>
        <w:rPr>
          <w:rFonts w:ascii="Times" w:eastAsia="Times New Roman" w:hAnsi="Times" w:cs="Times"/>
        </w:rPr>
      </w:pPr>
      <w:r>
        <w:rPr>
          <w:rFonts w:ascii="Times" w:eastAsia="Times New Roman" w:hAnsi="Times" w:cs="Times"/>
        </w:rPr>
        <w:lastRenderedPageBreak/>
        <w:t>107. </w:t>
      </w:r>
      <w:hyperlink w:anchor="107" w:history="1">
        <w:r>
          <w:rPr>
            <w:rStyle w:val="Hyperlink"/>
            <w:rFonts w:ascii="Times" w:eastAsia="Times New Roman" w:hAnsi="Times" w:cs="Times"/>
          </w:rPr>
          <w:t>Reporting Ancillary Airline Passenger Revenues</w:t>
        </w:r>
      </w:hyperlink>
    </w:p>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2120-AJ34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2120-AJ38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2120-AJ42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2120-AJ53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2120-AJ58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2120-AJ60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2120-AJ69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2120-AJ71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2120-AJ78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2120-AJ79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2120-AJ86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2120-AJ87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2120-AJ89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2120-AJ95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Disclosure of Seat Dimensions to Facilitate the Use of Child Restraint Systems on Aircraft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Dimensions Disclosure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2120-AK17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air carrier operating under part 121 to post on the Internet web site of the air carrier the maximum dimensions of a child restraint system that can be used on each aircraft operated by the air carrier. Section 412 of PL 112-95 directs the FAA to initiate a rulemaking not later than 1 year after the date of enactment (February 14, 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02/14/2013</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2120-AK20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requirements for certificating aeronautical products and articles. These changes are intended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This rulemaking replaces RIN 2120-AK04.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2120-AK22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2120-AK26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2120-AK31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2120-AK33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2120-AK39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2125-AF24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78 FR 46118</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2125-AF34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2125-AF49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2125-AF57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2125-AF63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2126-AA34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2126-AA35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2126-AA64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2126-AA70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2126-AA95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2126-AB01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A95614">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A95614">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A95614">
              <w:rPr>
                <w:rFonts w:ascii="Times" w:eastAsia="Times New Roman" w:hAnsi="Times" w:cs="Times"/>
                <w:sz w:val="20"/>
                <w:szCs w:val="20"/>
              </w:rPr>
              <w:t>Nation’s</w:t>
            </w:r>
            <w:r>
              <w:rPr>
                <w:rFonts w:ascii="Times" w:eastAsia="Times New Roman" w:hAnsi="Times" w:cs="Times"/>
                <w:sz w:val="20"/>
                <w:szCs w:val="20"/>
              </w:rPr>
              <w:t xml:space="preserve"> roadways.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2126-AB17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2126-AB18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2126-AB20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A95614">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A95614">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2126-AB44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78 FR 57822</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2126-AB46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ends 10/07/13.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2126-AB56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who must register with the Agency to operate in interstate commerce; 2) to implement several MAP-21 provisions that require changes to the URS regulations, the online Application for USDOT Number/Operating Authority Registration (Form MCSA-1) and MCSA-1 Instructions; 3) to prohibit transfers of operating authority registration; 4) and to make several technical amendments to the MCSA-1 Form and Instructions for purposes of clarification.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2126-AB57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This rulemaking would implement the statutory requirement to consider whether coercion of drivers is a concern when developing a rule.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2126-AB63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0" w:name="50"/>
            <w:r>
              <w:rPr>
                <w:rFonts w:ascii="Times" w:eastAsia="Times New Roman" w:hAnsi="Times" w:cs="Times"/>
                <w:b/>
                <w:bCs/>
                <w:sz w:val="20"/>
                <w:szCs w:val="20"/>
              </w:rPr>
              <w:lastRenderedPageBreak/>
              <w:t>Federal Railroad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2130-AC06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The FRA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2130-AC14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2130-AC17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2130-AC23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2130-AC32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2130-AC37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2130-AC46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59" w:name="59"/>
            <w:r>
              <w:rPr>
                <w:rFonts w:ascii="Times" w:eastAsia="Times New Roman" w:hAnsi="Times" w:cs="Times"/>
                <w:b/>
                <w:bCs/>
                <w:sz w:val="20"/>
                <w:szCs w:val="20"/>
              </w:rPr>
              <w:lastRenderedPageBreak/>
              <w:t>Federal Transit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9"/>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2132-AB06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A95614">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2132-AB07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2132-AB19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2132-AB20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61251</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69" w:name="69"/>
            <w:r>
              <w:rPr>
                <w:rFonts w:ascii="Times" w:eastAsia="Times New Roman" w:hAnsi="Times" w:cs="Times"/>
                <w:b/>
                <w:bCs/>
                <w:sz w:val="20"/>
                <w:szCs w:val="20"/>
              </w:rPr>
              <w:lastRenderedPageBreak/>
              <w:t>Maritime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9"/>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2133-AB74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and clarify the Cargo Preference rules that have not been revised substantially since 1971.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Maritime Administration</w:t>
            </w:r>
            <w:bookmarkEnd w:id="7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2133-AB87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National Highway Traffic Safety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1"/>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2127-AK43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2127-AK56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10/05/2013</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2127-AK75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2127-AK76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2127-AK86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2127-AK87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2127-AK92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2127-AK93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2127-AK95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2127-AK96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10/05/2014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2127-AK97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2127-AL01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DD5F55">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Yellow</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2127-AL15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DD5F55">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Yellow</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2127-AL28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10/06/2014</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2127-AL30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Office of the Secretary</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6"/>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2105-AD59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2105-AD90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2105-AD91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2105-AE06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2105-AE08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2105-AE11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2105-AE12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2105-AE15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4" w:name="94"/>
            <w:r>
              <w:rPr>
                <w:rFonts w:ascii="Times" w:eastAsia="Times New Roman" w:hAnsi="Times" w:cs="Times"/>
                <w:b/>
                <w:bCs/>
                <w:sz w:val="20"/>
                <w:szCs w:val="20"/>
              </w:rPr>
              <w:lastRenderedPageBreak/>
              <w:t>Pipeline and Hazardous Materials Safety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4"/>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2137-AE37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regulatory action is being withdrawn and replaced with a guidance document that will address safe loading and unloading practices. In addition to guidance, PHMSA plans to conduct research to evaluate the safety impacts of human factors on loading and unloading operations.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2137-AE38</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2137-AE43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2137-AE44</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2137-AE53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With the statutorily mandated GAO report expected to be completed in October 2013, at which point the agency will work toward developing a Final Rule if supported by the report.</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D5F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Black</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2137-AE59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2137-AE66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2137-AE71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2137-AE72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2137-AE81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DD5F55">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Yellow</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2137-AE86</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2137-AE91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54849</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D5F5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Green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2137-AE99</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D5F55" w:rsidRDefault="00D21E7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bookmarkStart w:id="107" w:name="107"/>
            <w:r>
              <w:rPr>
                <w:rFonts w:ascii="Times" w:eastAsia="Times New Roman" w:hAnsi="Times" w:cs="Times"/>
                <w:b/>
                <w:bCs/>
                <w:sz w:val="20"/>
                <w:szCs w:val="20"/>
              </w:rPr>
              <w:lastRenderedPageBreak/>
              <w:t>Research and Innovative Technology Administration</w:t>
            </w:r>
          </w:p>
        </w:tc>
      </w:tr>
      <w:tr w:rsidR="00DD5F55">
        <w:trPr>
          <w:tblCellSpacing w:w="20" w:type="dxa"/>
        </w:trPr>
        <w:tc>
          <w:tcPr>
            <w:tcW w:w="0" w:type="auto"/>
            <w:gridSpan w:val="2"/>
            <w:vAlign w:val="center"/>
            <w:hideMark/>
          </w:tcPr>
          <w:p w:rsidR="00DD5F55" w:rsidRDefault="00883B9E">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DD5F55">
        <w:trPr>
          <w:tblCellSpacing w:w="20" w:type="dxa"/>
        </w:trPr>
        <w:tc>
          <w:tcPr>
            <w:tcW w:w="0" w:type="auto"/>
            <w:gridSpan w:val="2"/>
            <w:vAlign w:val="center"/>
            <w:hideMark/>
          </w:tcPr>
          <w:p w:rsidR="00DD5F55" w:rsidRDefault="00D21E75">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07"/>
      <w:tr w:rsidR="00DD5F55">
        <w:trPr>
          <w:tblCellSpacing w:w="20" w:type="dxa"/>
        </w:trPr>
        <w:tc>
          <w:tcPr>
            <w:tcW w:w="360" w:type="dxa"/>
            <w:vAlign w:val="center"/>
            <w:hideMark/>
          </w:tcPr>
          <w:p w:rsidR="00DD5F55" w:rsidRDefault="00D21E75">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D5F5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DD5F55" w:rsidRDefault="00D21E75">
                  <w:pPr>
                    <w:rPr>
                      <w:rFonts w:ascii="Times" w:eastAsia="Times New Roman" w:hAnsi="Times" w:cs="Times"/>
                      <w:sz w:val="20"/>
                      <w:szCs w:val="20"/>
                    </w:rPr>
                  </w:pPr>
                  <w:r>
                    <w:rPr>
                      <w:rFonts w:ascii="Times" w:eastAsia="Times New Roman" w:hAnsi="Times" w:cs="Times"/>
                      <w:sz w:val="20"/>
                      <w:szCs w:val="20"/>
                    </w:rPr>
                    <w:t>Red</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RIN 2139-AA13</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D5F55">
              <w:trPr>
                <w:tblCellSpacing w:w="0" w:type="dxa"/>
              </w:trPr>
              <w:tc>
                <w:tcPr>
                  <w:tcW w:w="300" w:type="dxa"/>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D5F5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D5F55">
              <w:trPr>
                <w:tblCellSpacing w:w="0" w:type="dxa"/>
              </w:trPr>
              <w:tc>
                <w:tcPr>
                  <w:tcW w:w="0" w:type="auto"/>
                  <w:noWrap/>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D5F55" w:rsidRDefault="00DD5F55">
                  <w:pPr>
                    <w:framePr w:hSpace="30" w:wrap="around" w:vAnchor="text" w:hAnchor="text"/>
                    <w:rPr>
                      <w:rFonts w:ascii="Times" w:eastAsia="Times New Roman" w:hAnsi="Times" w:cs="Times"/>
                      <w:sz w:val="20"/>
                      <w:szCs w:val="20"/>
                    </w:rPr>
                  </w:pP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D5F5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D5F5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DD5F55" w:rsidRDefault="00D21E75" w:rsidP="00883B9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D5F55">
              <w:trPr>
                <w:tblCellSpacing w:w="15" w:type="dxa"/>
              </w:trPr>
              <w:tc>
                <w:tcPr>
                  <w:tcW w:w="0" w:type="auto"/>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D5F55" w:rsidRDefault="00D21E7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D5F55" w:rsidRDefault="00DD5F55">
            <w:pPr>
              <w:rPr>
                <w:rFonts w:ascii="Times" w:eastAsia="Times New Roman" w:hAnsi="Times" w:cs="Times"/>
                <w:sz w:val="20"/>
                <w:szCs w:val="20"/>
              </w:rPr>
            </w:pPr>
          </w:p>
        </w:tc>
      </w:tr>
      <w:tr w:rsidR="00DD5F55">
        <w:trPr>
          <w:tblCellSpacing w:w="20" w:type="dxa"/>
        </w:trPr>
        <w:tc>
          <w:tcPr>
            <w:tcW w:w="0" w:type="auto"/>
            <w:gridSpan w:val="2"/>
            <w:vAlign w:val="center"/>
            <w:hideMark/>
          </w:tcPr>
          <w:p w:rsidR="00DD5F55" w:rsidRDefault="00D21E7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21E75" w:rsidRDefault="00D21E75">
      <w:pPr>
        <w:rPr>
          <w:rFonts w:ascii="Times" w:eastAsia="Times New Roman" w:hAnsi="Times" w:cs="Times"/>
          <w:sz w:val="20"/>
          <w:szCs w:val="20"/>
        </w:rPr>
      </w:pPr>
      <w:r>
        <w:rPr>
          <w:rFonts w:ascii="Times" w:eastAsia="Times New Roman" w:hAnsi="Times" w:cs="Times"/>
          <w:sz w:val="20"/>
          <w:szCs w:val="20"/>
        </w:rPr>
        <w:br w:type="textWrapping" w:clear="all"/>
      </w:r>
    </w:p>
    <w:sectPr w:rsidR="00D21E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E75" w:rsidRDefault="00D21E75" w:rsidP="006526C2">
      <w:r>
        <w:separator/>
      </w:r>
    </w:p>
  </w:endnote>
  <w:endnote w:type="continuationSeparator" w:id="0">
    <w:p w:rsidR="00D21E75" w:rsidRDefault="00D21E75" w:rsidP="0065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329655"/>
      <w:docPartObj>
        <w:docPartGallery w:val="Page Numbers (Bottom of Page)"/>
        <w:docPartUnique/>
      </w:docPartObj>
    </w:sdtPr>
    <w:sdtEndPr>
      <w:rPr>
        <w:noProof/>
      </w:rPr>
    </w:sdtEndPr>
    <w:sdtContent>
      <w:p w:rsidR="00883B9E" w:rsidRDefault="00883B9E">
        <w:pPr>
          <w:pStyle w:val="Footer"/>
          <w:jc w:val="right"/>
        </w:pPr>
        <w:r>
          <w:t xml:space="preserve">DOT Significant Rulemakings Report for November 2013 – page </w:t>
        </w:r>
        <w:r>
          <w:fldChar w:fldCharType="begin"/>
        </w:r>
        <w:r>
          <w:instrText xml:space="preserve"> PAGE   \* MERGEFORMAT </w:instrText>
        </w:r>
        <w:r>
          <w:fldChar w:fldCharType="separate"/>
        </w:r>
        <w:r>
          <w:rPr>
            <w:noProof/>
          </w:rPr>
          <w:t>1</w:t>
        </w:r>
        <w:r>
          <w:rPr>
            <w:noProof/>
          </w:rPr>
          <w:fldChar w:fldCharType="end"/>
        </w:r>
      </w:p>
    </w:sdtContent>
  </w:sdt>
  <w:p w:rsidR="006526C2" w:rsidRDefault="00652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E75" w:rsidRDefault="00D21E75" w:rsidP="006526C2">
      <w:r>
        <w:separator/>
      </w:r>
    </w:p>
  </w:footnote>
  <w:footnote w:type="continuationSeparator" w:id="0">
    <w:p w:rsidR="00D21E75" w:rsidRDefault="00D21E75" w:rsidP="00652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9501CE"/>
    <w:rsid w:val="00011160"/>
    <w:rsid w:val="001A5046"/>
    <w:rsid w:val="006526C2"/>
    <w:rsid w:val="00883B9E"/>
    <w:rsid w:val="009501CE"/>
    <w:rsid w:val="00A95614"/>
    <w:rsid w:val="00D21E75"/>
    <w:rsid w:val="00DD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6526C2"/>
    <w:pPr>
      <w:tabs>
        <w:tab w:val="center" w:pos="4680"/>
        <w:tab w:val="right" w:pos="9360"/>
      </w:tabs>
    </w:pPr>
  </w:style>
  <w:style w:type="character" w:customStyle="1" w:styleId="HeaderChar">
    <w:name w:val="Header Char"/>
    <w:basedOn w:val="DefaultParagraphFont"/>
    <w:link w:val="Header"/>
    <w:uiPriority w:val="99"/>
    <w:rsid w:val="006526C2"/>
    <w:rPr>
      <w:rFonts w:eastAsiaTheme="minorEastAsia"/>
      <w:sz w:val="24"/>
      <w:szCs w:val="24"/>
    </w:rPr>
  </w:style>
  <w:style w:type="paragraph" w:styleId="Footer">
    <w:name w:val="footer"/>
    <w:basedOn w:val="Normal"/>
    <w:link w:val="FooterChar"/>
    <w:uiPriority w:val="99"/>
    <w:unhideWhenUsed/>
    <w:rsid w:val="006526C2"/>
    <w:pPr>
      <w:tabs>
        <w:tab w:val="center" w:pos="4680"/>
        <w:tab w:val="right" w:pos="9360"/>
      </w:tabs>
    </w:pPr>
  </w:style>
  <w:style w:type="character" w:customStyle="1" w:styleId="FooterChar">
    <w:name w:val="Footer Char"/>
    <w:basedOn w:val="DefaultParagraphFont"/>
    <w:link w:val="Footer"/>
    <w:uiPriority w:val="99"/>
    <w:rsid w:val="006526C2"/>
    <w:rPr>
      <w:rFonts w:eastAsiaTheme="minorEastAsia"/>
      <w:sz w:val="24"/>
      <w:szCs w:val="24"/>
    </w:rPr>
  </w:style>
  <w:style w:type="paragraph" w:styleId="BalloonText">
    <w:name w:val="Balloon Text"/>
    <w:basedOn w:val="Normal"/>
    <w:link w:val="BalloonTextChar"/>
    <w:uiPriority w:val="99"/>
    <w:semiHidden/>
    <w:unhideWhenUsed/>
    <w:rsid w:val="006526C2"/>
    <w:rPr>
      <w:rFonts w:ascii="Tahoma" w:hAnsi="Tahoma" w:cs="Tahoma"/>
      <w:sz w:val="16"/>
      <w:szCs w:val="16"/>
    </w:rPr>
  </w:style>
  <w:style w:type="character" w:customStyle="1" w:styleId="BalloonTextChar">
    <w:name w:val="Balloon Text Char"/>
    <w:basedOn w:val="DefaultParagraphFont"/>
    <w:link w:val="BalloonText"/>
    <w:uiPriority w:val="99"/>
    <w:semiHidden/>
    <w:rsid w:val="006526C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6526C2"/>
    <w:pPr>
      <w:tabs>
        <w:tab w:val="center" w:pos="4680"/>
        <w:tab w:val="right" w:pos="9360"/>
      </w:tabs>
    </w:pPr>
  </w:style>
  <w:style w:type="character" w:customStyle="1" w:styleId="HeaderChar">
    <w:name w:val="Header Char"/>
    <w:basedOn w:val="DefaultParagraphFont"/>
    <w:link w:val="Header"/>
    <w:uiPriority w:val="99"/>
    <w:rsid w:val="006526C2"/>
    <w:rPr>
      <w:rFonts w:eastAsiaTheme="minorEastAsia"/>
      <w:sz w:val="24"/>
      <w:szCs w:val="24"/>
    </w:rPr>
  </w:style>
  <w:style w:type="paragraph" w:styleId="Footer">
    <w:name w:val="footer"/>
    <w:basedOn w:val="Normal"/>
    <w:link w:val="FooterChar"/>
    <w:uiPriority w:val="99"/>
    <w:unhideWhenUsed/>
    <w:rsid w:val="006526C2"/>
    <w:pPr>
      <w:tabs>
        <w:tab w:val="center" w:pos="4680"/>
        <w:tab w:val="right" w:pos="9360"/>
      </w:tabs>
    </w:pPr>
  </w:style>
  <w:style w:type="character" w:customStyle="1" w:styleId="FooterChar">
    <w:name w:val="Footer Char"/>
    <w:basedOn w:val="DefaultParagraphFont"/>
    <w:link w:val="Footer"/>
    <w:uiPriority w:val="99"/>
    <w:rsid w:val="006526C2"/>
    <w:rPr>
      <w:rFonts w:eastAsiaTheme="minorEastAsia"/>
      <w:sz w:val="24"/>
      <w:szCs w:val="24"/>
    </w:rPr>
  </w:style>
  <w:style w:type="paragraph" w:styleId="BalloonText">
    <w:name w:val="Balloon Text"/>
    <w:basedOn w:val="Normal"/>
    <w:link w:val="BalloonTextChar"/>
    <w:uiPriority w:val="99"/>
    <w:semiHidden/>
    <w:unhideWhenUsed/>
    <w:rsid w:val="006526C2"/>
    <w:rPr>
      <w:rFonts w:ascii="Tahoma" w:hAnsi="Tahoma" w:cs="Tahoma"/>
      <w:sz w:val="16"/>
      <w:szCs w:val="16"/>
    </w:rPr>
  </w:style>
  <w:style w:type="character" w:customStyle="1" w:styleId="BalloonTextChar">
    <w:name w:val="Balloon Text Char"/>
    <w:basedOn w:val="DefaultParagraphFont"/>
    <w:link w:val="BalloonText"/>
    <w:uiPriority w:val="99"/>
    <w:semiHidden/>
    <w:rsid w:val="006526C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3995">
      <w:marLeft w:val="0"/>
      <w:marRight w:val="0"/>
      <w:marTop w:val="0"/>
      <w:marBottom w:val="0"/>
      <w:divBdr>
        <w:top w:val="none" w:sz="0" w:space="0" w:color="auto"/>
        <w:left w:val="none" w:sz="0" w:space="0" w:color="auto"/>
        <w:bottom w:val="none" w:sz="0" w:space="0" w:color="auto"/>
        <w:right w:val="none" w:sz="0" w:space="0" w:color="auto"/>
      </w:divBdr>
    </w:div>
    <w:div w:id="135342629">
      <w:marLeft w:val="0"/>
      <w:marRight w:val="0"/>
      <w:marTop w:val="0"/>
      <w:marBottom w:val="0"/>
      <w:divBdr>
        <w:top w:val="none" w:sz="0" w:space="0" w:color="auto"/>
        <w:left w:val="none" w:sz="0" w:space="0" w:color="auto"/>
        <w:bottom w:val="none" w:sz="0" w:space="0" w:color="auto"/>
        <w:right w:val="none" w:sz="0" w:space="0" w:color="auto"/>
      </w:divBdr>
    </w:div>
    <w:div w:id="165216557">
      <w:marLeft w:val="0"/>
      <w:marRight w:val="0"/>
      <w:marTop w:val="0"/>
      <w:marBottom w:val="0"/>
      <w:divBdr>
        <w:top w:val="none" w:sz="0" w:space="0" w:color="auto"/>
        <w:left w:val="none" w:sz="0" w:space="0" w:color="auto"/>
        <w:bottom w:val="none" w:sz="0" w:space="0" w:color="auto"/>
        <w:right w:val="none" w:sz="0" w:space="0" w:color="auto"/>
      </w:divBdr>
    </w:div>
    <w:div w:id="167908942">
      <w:marLeft w:val="0"/>
      <w:marRight w:val="0"/>
      <w:marTop w:val="0"/>
      <w:marBottom w:val="0"/>
      <w:divBdr>
        <w:top w:val="none" w:sz="0" w:space="0" w:color="auto"/>
        <w:left w:val="none" w:sz="0" w:space="0" w:color="auto"/>
        <w:bottom w:val="none" w:sz="0" w:space="0" w:color="auto"/>
        <w:right w:val="none" w:sz="0" w:space="0" w:color="auto"/>
      </w:divBdr>
    </w:div>
    <w:div w:id="193542292">
      <w:marLeft w:val="0"/>
      <w:marRight w:val="0"/>
      <w:marTop w:val="0"/>
      <w:marBottom w:val="0"/>
      <w:divBdr>
        <w:top w:val="none" w:sz="0" w:space="0" w:color="auto"/>
        <w:left w:val="none" w:sz="0" w:space="0" w:color="auto"/>
        <w:bottom w:val="none" w:sz="0" w:space="0" w:color="auto"/>
        <w:right w:val="none" w:sz="0" w:space="0" w:color="auto"/>
      </w:divBdr>
    </w:div>
    <w:div w:id="226766543">
      <w:marLeft w:val="0"/>
      <w:marRight w:val="0"/>
      <w:marTop w:val="0"/>
      <w:marBottom w:val="0"/>
      <w:divBdr>
        <w:top w:val="none" w:sz="0" w:space="0" w:color="auto"/>
        <w:left w:val="none" w:sz="0" w:space="0" w:color="auto"/>
        <w:bottom w:val="none" w:sz="0" w:space="0" w:color="auto"/>
        <w:right w:val="none" w:sz="0" w:space="0" w:color="auto"/>
      </w:divBdr>
    </w:div>
    <w:div w:id="236600358">
      <w:marLeft w:val="0"/>
      <w:marRight w:val="0"/>
      <w:marTop w:val="0"/>
      <w:marBottom w:val="0"/>
      <w:divBdr>
        <w:top w:val="none" w:sz="0" w:space="0" w:color="auto"/>
        <w:left w:val="none" w:sz="0" w:space="0" w:color="auto"/>
        <w:bottom w:val="none" w:sz="0" w:space="0" w:color="auto"/>
        <w:right w:val="none" w:sz="0" w:space="0" w:color="auto"/>
      </w:divBdr>
    </w:div>
    <w:div w:id="239297174">
      <w:marLeft w:val="0"/>
      <w:marRight w:val="0"/>
      <w:marTop w:val="0"/>
      <w:marBottom w:val="0"/>
      <w:divBdr>
        <w:top w:val="none" w:sz="0" w:space="0" w:color="auto"/>
        <w:left w:val="none" w:sz="0" w:space="0" w:color="auto"/>
        <w:bottom w:val="none" w:sz="0" w:space="0" w:color="auto"/>
        <w:right w:val="none" w:sz="0" w:space="0" w:color="auto"/>
      </w:divBdr>
    </w:div>
    <w:div w:id="265239676">
      <w:marLeft w:val="0"/>
      <w:marRight w:val="0"/>
      <w:marTop w:val="0"/>
      <w:marBottom w:val="0"/>
      <w:divBdr>
        <w:top w:val="none" w:sz="0" w:space="0" w:color="auto"/>
        <w:left w:val="none" w:sz="0" w:space="0" w:color="auto"/>
        <w:bottom w:val="none" w:sz="0" w:space="0" w:color="auto"/>
        <w:right w:val="none" w:sz="0" w:space="0" w:color="auto"/>
      </w:divBdr>
    </w:div>
    <w:div w:id="273833541">
      <w:marLeft w:val="0"/>
      <w:marRight w:val="0"/>
      <w:marTop w:val="0"/>
      <w:marBottom w:val="0"/>
      <w:divBdr>
        <w:top w:val="none" w:sz="0" w:space="0" w:color="auto"/>
        <w:left w:val="none" w:sz="0" w:space="0" w:color="auto"/>
        <w:bottom w:val="none" w:sz="0" w:space="0" w:color="auto"/>
        <w:right w:val="none" w:sz="0" w:space="0" w:color="auto"/>
      </w:divBdr>
    </w:div>
    <w:div w:id="309485342">
      <w:marLeft w:val="0"/>
      <w:marRight w:val="0"/>
      <w:marTop w:val="0"/>
      <w:marBottom w:val="0"/>
      <w:divBdr>
        <w:top w:val="none" w:sz="0" w:space="0" w:color="auto"/>
        <w:left w:val="none" w:sz="0" w:space="0" w:color="auto"/>
        <w:bottom w:val="none" w:sz="0" w:space="0" w:color="auto"/>
        <w:right w:val="none" w:sz="0" w:space="0" w:color="auto"/>
      </w:divBdr>
    </w:div>
    <w:div w:id="340860131">
      <w:marLeft w:val="0"/>
      <w:marRight w:val="0"/>
      <w:marTop w:val="0"/>
      <w:marBottom w:val="0"/>
      <w:divBdr>
        <w:top w:val="none" w:sz="0" w:space="0" w:color="auto"/>
        <w:left w:val="none" w:sz="0" w:space="0" w:color="auto"/>
        <w:bottom w:val="none" w:sz="0" w:space="0" w:color="auto"/>
        <w:right w:val="none" w:sz="0" w:space="0" w:color="auto"/>
      </w:divBdr>
    </w:div>
    <w:div w:id="341011175">
      <w:marLeft w:val="0"/>
      <w:marRight w:val="0"/>
      <w:marTop w:val="0"/>
      <w:marBottom w:val="0"/>
      <w:divBdr>
        <w:top w:val="none" w:sz="0" w:space="0" w:color="auto"/>
        <w:left w:val="none" w:sz="0" w:space="0" w:color="auto"/>
        <w:bottom w:val="none" w:sz="0" w:space="0" w:color="auto"/>
        <w:right w:val="none" w:sz="0" w:space="0" w:color="auto"/>
      </w:divBdr>
    </w:div>
    <w:div w:id="362748393">
      <w:marLeft w:val="0"/>
      <w:marRight w:val="0"/>
      <w:marTop w:val="0"/>
      <w:marBottom w:val="0"/>
      <w:divBdr>
        <w:top w:val="none" w:sz="0" w:space="0" w:color="auto"/>
        <w:left w:val="none" w:sz="0" w:space="0" w:color="auto"/>
        <w:bottom w:val="none" w:sz="0" w:space="0" w:color="auto"/>
        <w:right w:val="none" w:sz="0" w:space="0" w:color="auto"/>
      </w:divBdr>
    </w:div>
    <w:div w:id="405304078">
      <w:marLeft w:val="0"/>
      <w:marRight w:val="0"/>
      <w:marTop w:val="0"/>
      <w:marBottom w:val="0"/>
      <w:divBdr>
        <w:top w:val="none" w:sz="0" w:space="0" w:color="auto"/>
        <w:left w:val="none" w:sz="0" w:space="0" w:color="auto"/>
        <w:bottom w:val="none" w:sz="0" w:space="0" w:color="auto"/>
        <w:right w:val="none" w:sz="0" w:space="0" w:color="auto"/>
      </w:divBdr>
    </w:div>
    <w:div w:id="407574801">
      <w:marLeft w:val="0"/>
      <w:marRight w:val="0"/>
      <w:marTop w:val="0"/>
      <w:marBottom w:val="0"/>
      <w:divBdr>
        <w:top w:val="none" w:sz="0" w:space="0" w:color="auto"/>
        <w:left w:val="none" w:sz="0" w:space="0" w:color="auto"/>
        <w:bottom w:val="none" w:sz="0" w:space="0" w:color="auto"/>
        <w:right w:val="none" w:sz="0" w:space="0" w:color="auto"/>
      </w:divBdr>
    </w:div>
    <w:div w:id="409238631">
      <w:marLeft w:val="0"/>
      <w:marRight w:val="0"/>
      <w:marTop w:val="0"/>
      <w:marBottom w:val="0"/>
      <w:divBdr>
        <w:top w:val="none" w:sz="0" w:space="0" w:color="auto"/>
        <w:left w:val="none" w:sz="0" w:space="0" w:color="auto"/>
        <w:bottom w:val="none" w:sz="0" w:space="0" w:color="auto"/>
        <w:right w:val="none" w:sz="0" w:space="0" w:color="auto"/>
      </w:divBdr>
    </w:div>
    <w:div w:id="436953215">
      <w:marLeft w:val="0"/>
      <w:marRight w:val="0"/>
      <w:marTop w:val="0"/>
      <w:marBottom w:val="0"/>
      <w:divBdr>
        <w:top w:val="none" w:sz="0" w:space="0" w:color="auto"/>
        <w:left w:val="none" w:sz="0" w:space="0" w:color="auto"/>
        <w:bottom w:val="none" w:sz="0" w:space="0" w:color="auto"/>
        <w:right w:val="none" w:sz="0" w:space="0" w:color="auto"/>
      </w:divBdr>
    </w:div>
    <w:div w:id="438569932">
      <w:marLeft w:val="0"/>
      <w:marRight w:val="0"/>
      <w:marTop w:val="0"/>
      <w:marBottom w:val="0"/>
      <w:divBdr>
        <w:top w:val="none" w:sz="0" w:space="0" w:color="auto"/>
        <w:left w:val="none" w:sz="0" w:space="0" w:color="auto"/>
        <w:bottom w:val="none" w:sz="0" w:space="0" w:color="auto"/>
        <w:right w:val="none" w:sz="0" w:space="0" w:color="auto"/>
      </w:divBdr>
    </w:div>
    <w:div w:id="442388753">
      <w:marLeft w:val="0"/>
      <w:marRight w:val="0"/>
      <w:marTop w:val="0"/>
      <w:marBottom w:val="0"/>
      <w:divBdr>
        <w:top w:val="none" w:sz="0" w:space="0" w:color="auto"/>
        <w:left w:val="none" w:sz="0" w:space="0" w:color="auto"/>
        <w:bottom w:val="none" w:sz="0" w:space="0" w:color="auto"/>
        <w:right w:val="none" w:sz="0" w:space="0" w:color="auto"/>
      </w:divBdr>
    </w:div>
    <w:div w:id="471949503">
      <w:marLeft w:val="0"/>
      <w:marRight w:val="0"/>
      <w:marTop w:val="0"/>
      <w:marBottom w:val="0"/>
      <w:divBdr>
        <w:top w:val="none" w:sz="0" w:space="0" w:color="auto"/>
        <w:left w:val="none" w:sz="0" w:space="0" w:color="auto"/>
        <w:bottom w:val="none" w:sz="0" w:space="0" w:color="auto"/>
        <w:right w:val="none" w:sz="0" w:space="0" w:color="auto"/>
      </w:divBdr>
    </w:div>
    <w:div w:id="498346728">
      <w:marLeft w:val="0"/>
      <w:marRight w:val="0"/>
      <w:marTop w:val="0"/>
      <w:marBottom w:val="0"/>
      <w:divBdr>
        <w:top w:val="none" w:sz="0" w:space="0" w:color="auto"/>
        <w:left w:val="none" w:sz="0" w:space="0" w:color="auto"/>
        <w:bottom w:val="none" w:sz="0" w:space="0" w:color="auto"/>
        <w:right w:val="none" w:sz="0" w:space="0" w:color="auto"/>
      </w:divBdr>
    </w:div>
    <w:div w:id="499203138">
      <w:marLeft w:val="0"/>
      <w:marRight w:val="0"/>
      <w:marTop w:val="0"/>
      <w:marBottom w:val="0"/>
      <w:divBdr>
        <w:top w:val="none" w:sz="0" w:space="0" w:color="auto"/>
        <w:left w:val="none" w:sz="0" w:space="0" w:color="auto"/>
        <w:bottom w:val="none" w:sz="0" w:space="0" w:color="auto"/>
        <w:right w:val="none" w:sz="0" w:space="0" w:color="auto"/>
      </w:divBdr>
    </w:div>
    <w:div w:id="511646470">
      <w:marLeft w:val="0"/>
      <w:marRight w:val="0"/>
      <w:marTop w:val="0"/>
      <w:marBottom w:val="0"/>
      <w:divBdr>
        <w:top w:val="none" w:sz="0" w:space="0" w:color="auto"/>
        <w:left w:val="none" w:sz="0" w:space="0" w:color="auto"/>
        <w:bottom w:val="none" w:sz="0" w:space="0" w:color="auto"/>
        <w:right w:val="none" w:sz="0" w:space="0" w:color="auto"/>
      </w:divBdr>
    </w:div>
    <w:div w:id="528229003">
      <w:marLeft w:val="0"/>
      <w:marRight w:val="0"/>
      <w:marTop w:val="0"/>
      <w:marBottom w:val="0"/>
      <w:divBdr>
        <w:top w:val="none" w:sz="0" w:space="0" w:color="auto"/>
        <w:left w:val="none" w:sz="0" w:space="0" w:color="auto"/>
        <w:bottom w:val="none" w:sz="0" w:space="0" w:color="auto"/>
        <w:right w:val="none" w:sz="0" w:space="0" w:color="auto"/>
      </w:divBdr>
    </w:div>
    <w:div w:id="546331719">
      <w:marLeft w:val="0"/>
      <w:marRight w:val="0"/>
      <w:marTop w:val="0"/>
      <w:marBottom w:val="0"/>
      <w:divBdr>
        <w:top w:val="none" w:sz="0" w:space="0" w:color="auto"/>
        <w:left w:val="none" w:sz="0" w:space="0" w:color="auto"/>
        <w:bottom w:val="none" w:sz="0" w:space="0" w:color="auto"/>
        <w:right w:val="none" w:sz="0" w:space="0" w:color="auto"/>
      </w:divBdr>
    </w:div>
    <w:div w:id="552692318">
      <w:marLeft w:val="0"/>
      <w:marRight w:val="0"/>
      <w:marTop w:val="0"/>
      <w:marBottom w:val="0"/>
      <w:divBdr>
        <w:top w:val="none" w:sz="0" w:space="0" w:color="auto"/>
        <w:left w:val="none" w:sz="0" w:space="0" w:color="auto"/>
        <w:bottom w:val="none" w:sz="0" w:space="0" w:color="auto"/>
        <w:right w:val="none" w:sz="0" w:space="0" w:color="auto"/>
      </w:divBdr>
    </w:div>
    <w:div w:id="588972590">
      <w:marLeft w:val="0"/>
      <w:marRight w:val="0"/>
      <w:marTop w:val="0"/>
      <w:marBottom w:val="0"/>
      <w:divBdr>
        <w:top w:val="none" w:sz="0" w:space="0" w:color="auto"/>
        <w:left w:val="none" w:sz="0" w:space="0" w:color="auto"/>
        <w:bottom w:val="none" w:sz="0" w:space="0" w:color="auto"/>
        <w:right w:val="none" w:sz="0" w:space="0" w:color="auto"/>
      </w:divBdr>
    </w:div>
    <w:div w:id="604852552">
      <w:marLeft w:val="0"/>
      <w:marRight w:val="0"/>
      <w:marTop w:val="0"/>
      <w:marBottom w:val="0"/>
      <w:divBdr>
        <w:top w:val="none" w:sz="0" w:space="0" w:color="auto"/>
        <w:left w:val="none" w:sz="0" w:space="0" w:color="auto"/>
        <w:bottom w:val="none" w:sz="0" w:space="0" w:color="auto"/>
        <w:right w:val="none" w:sz="0" w:space="0" w:color="auto"/>
      </w:divBdr>
    </w:div>
    <w:div w:id="612319837">
      <w:marLeft w:val="0"/>
      <w:marRight w:val="0"/>
      <w:marTop w:val="0"/>
      <w:marBottom w:val="0"/>
      <w:divBdr>
        <w:top w:val="none" w:sz="0" w:space="0" w:color="auto"/>
        <w:left w:val="none" w:sz="0" w:space="0" w:color="auto"/>
        <w:bottom w:val="none" w:sz="0" w:space="0" w:color="auto"/>
        <w:right w:val="none" w:sz="0" w:space="0" w:color="auto"/>
      </w:divBdr>
    </w:div>
    <w:div w:id="620037093">
      <w:marLeft w:val="0"/>
      <w:marRight w:val="0"/>
      <w:marTop w:val="0"/>
      <w:marBottom w:val="0"/>
      <w:divBdr>
        <w:top w:val="none" w:sz="0" w:space="0" w:color="auto"/>
        <w:left w:val="none" w:sz="0" w:space="0" w:color="auto"/>
        <w:bottom w:val="none" w:sz="0" w:space="0" w:color="auto"/>
        <w:right w:val="none" w:sz="0" w:space="0" w:color="auto"/>
      </w:divBdr>
    </w:div>
    <w:div w:id="639384769">
      <w:marLeft w:val="0"/>
      <w:marRight w:val="0"/>
      <w:marTop w:val="0"/>
      <w:marBottom w:val="0"/>
      <w:divBdr>
        <w:top w:val="none" w:sz="0" w:space="0" w:color="auto"/>
        <w:left w:val="none" w:sz="0" w:space="0" w:color="auto"/>
        <w:bottom w:val="none" w:sz="0" w:space="0" w:color="auto"/>
        <w:right w:val="none" w:sz="0" w:space="0" w:color="auto"/>
      </w:divBdr>
    </w:div>
    <w:div w:id="668170256">
      <w:marLeft w:val="0"/>
      <w:marRight w:val="0"/>
      <w:marTop w:val="0"/>
      <w:marBottom w:val="0"/>
      <w:divBdr>
        <w:top w:val="none" w:sz="0" w:space="0" w:color="auto"/>
        <w:left w:val="none" w:sz="0" w:space="0" w:color="auto"/>
        <w:bottom w:val="none" w:sz="0" w:space="0" w:color="auto"/>
        <w:right w:val="none" w:sz="0" w:space="0" w:color="auto"/>
      </w:divBdr>
    </w:div>
    <w:div w:id="674964417">
      <w:marLeft w:val="0"/>
      <w:marRight w:val="0"/>
      <w:marTop w:val="0"/>
      <w:marBottom w:val="0"/>
      <w:divBdr>
        <w:top w:val="none" w:sz="0" w:space="0" w:color="auto"/>
        <w:left w:val="none" w:sz="0" w:space="0" w:color="auto"/>
        <w:bottom w:val="none" w:sz="0" w:space="0" w:color="auto"/>
        <w:right w:val="none" w:sz="0" w:space="0" w:color="auto"/>
      </w:divBdr>
    </w:div>
    <w:div w:id="676420715">
      <w:marLeft w:val="0"/>
      <w:marRight w:val="0"/>
      <w:marTop w:val="0"/>
      <w:marBottom w:val="0"/>
      <w:divBdr>
        <w:top w:val="none" w:sz="0" w:space="0" w:color="auto"/>
        <w:left w:val="none" w:sz="0" w:space="0" w:color="auto"/>
        <w:bottom w:val="none" w:sz="0" w:space="0" w:color="auto"/>
        <w:right w:val="none" w:sz="0" w:space="0" w:color="auto"/>
      </w:divBdr>
    </w:div>
    <w:div w:id="686055130">
      <w:marLeft w:val="0"/>
      <w:marRight w:val="0"/>
      <w:marTop w:val="0"/>
      <w:marBottom w:val="0"/>
      <w:divBdr>
        <w:top w:val="none" w:sz="0" w:space="0" w:color="auto"/>
        <w:left w:val="none" w:sz="0" w:space="0" w:color="auto"/>
        <w:bottom w:val="none" w:sz="0" w:space="0" w:color="auto"/>
        <w:right w:val="none" w:sz="0" w:space="0" w:color="auto"/>
      </w:divBdr>
    </w:div>
    <w:div w:id="746810057">
      <w:marLeft w:val="0"/>
      <w:marRight w:val="0"/>
      <w:marTop w:val="0"/>
      <w:marBottom w:val="0"/>
      <w:divBdr>
        <w:top w:val="none" w:sz="0" w:space="0" w:color="auto"/>
        <w:left w:val="none" w:sz="0" w:space="0" w:color="auto"/>
        <w:bottom w:val="none" w:sz="0" w:space="0" w:color="auto"/>
        <w:right w:val="none" w:sz="0" w:space="0" w:color="auto"/>
      </w:divBdr>
    </w:div>
    <w:div w:id="751119153">
      <w:marLeft w:val="0"/>
      <w:marRight w:val="0"/>
      <w:marTop w:val="0"/>
      <w:marBottom w:val="0"/>
      <w:divBdr>
        <w:top w:val="none" w:sz="0" w:space="0" w:color="auto"/>
        <w:left w:val="none" w:sz="0" w:space="0" w:color="auto"/>
        <w:bottom w:val="none" w:sz="0" w:space="0" w:color="auto"/>
        <w:right w:val="none" w:sz="0" w:space="0" w:color="auto"/>
      </w:divBdr>
    </w:div>
    <w:div w:id="774903563">
      <w:marLeft w:val="0"/>
      <w:marRight w:val="0"/>
      <w:marTop w:val="0"/>
      <w:marBottom w:val="0"/>
      <w:divBdr>
        <w:top w:val="none" w:sz="0" w:space="0" w:color="auto"/>
        <w:left w:val="none" w:sz="0" w:space="0" w:color="auto"/>
        <w:bottom w:val="none" w:sz="0" w:space="0" w:color="auto"/>
        <w:right w:val="none" w:sz="0" w:space="0" w:color="auto"/>
      </w:divBdr>
    </w:div>
    <w:div w:id="796725812">
      <w:marLeft w:val="0"/>
      <w:marRight w:val="0"/>
      <w:marTop w:val="0"/>
      <w:marBottom w:val="0"/>
      <w:divBdr>
        <w:top w:val="none" w:sz="0" w:space="0" w:color="auto"/>
        <w:left w:val="none" w:sz="0" w:space="0" w:color="auto"/>
        <w:bottom w:val="none" w:sz="0" w:space="0" w:color="auto"/>
        <w:right w:val="none" w:sz="0" w:space="0" w:color="auto"/>
      </w:divBdr>
    </w:div>
    <w:div w:id="799957987">
      <w:marLeft w:val="0"/>
      <w:marRight w:val="0"/>
      <w:marTop w:val="0"/>
      <w:marBottom w:val="0"/>
      <w:divBdr>
        <w:top w:val="none" w:sz="0" w:space="0" w:color="auto"/>
        <w:left w:val="none" w:sz="0" w:space="0" w:color="auto"/>
        <w:bottom w:val="none" w:sz="0" w:space="0" w:color="auto"/>
        <w:right w:val="none" w:sz="0" w:space="0" w:color="auto"/>
      </w:divBdr>
    </w:div>
    <w:div w:id="801193068">
      <w:marLeft w:val="0"/>
      <w:marRight w:val="0"/>
      <w:marTop w:val="0"/>
      <w:marBottom w:val="0"/>
      <w:divBdr>
        <w:top w:val="none" w:sz="0" w:space="0" w:color="auto"/>
        <w:left w:val="none" w:sz="0" w:space="0" w:color="auto"/>
        <w:bottom w:val="none" w:sz="0" w:space="0" w:color="auto"/>
        <w:right w:val="none" w:sz="0" w:space="0" w:color="auto"/>
      </w:divBdr>
    </w:div>
    <w:div w:id="830369390">
      <w:marLeft w:val="0"/>
      <w:marRight w:val="0"/>
      <w:marTop w:val="0"/>
      <w:marBottom w:val="0"/>
      <w:divBdr>
        <w:top w:val="none" w:sz="0" w:space="0" w:color="auto"/>
        <w:left w:val="none" w:sz="0" w:space="0" w:color="auto"/>
        <w:bottom w:val="none" w:sz="0" w:space="0" w:color="auto"/>
        <w:right w:val="none" w:sz="0" w:space="0" w:color="auto"/>
      </w:divBdr>
    </w:div>
    <w:div w:id="844323220">
      <w:marLeft w:val="0"/>
      <w:marRight w:val="0"/>
      <w:marTop w:val="0"/>
      <w:marBottom w:val="0"/>
      <w:divBdr>
        <w:top w:val="none" w:sz="0" w:space="0" w:color="auto"/>
        <w:left w:val="none" w:sz="0" w:space="0" w:color="auto"/>
        <w:bottom w:val="none" w:sz="0" w:space="0" w:color="auto"/>
        <w:right w:val="none" w:sz="0" w:space="0" w:color="auto"/>
      </w:divBdr>
    </w:div>
    <w:div w:id="850027744">
      <w:marLeft w:val="0"/>
      <w:marRight w:val="0"/>
      <w:marTop w:val="0"/>
      <w:marBottom w:val="0"/>
      <w:divBdr>
        <w:top w:val="none" w:sz="0" w:space="0" w:color="auto"/>
        <w:left w:val="none" w:sz="0" w:space="0" w:color="auto"/>
        <w:bottom w:val="none" w:sz="0" w:space="0" w:color="auto"/>
        <w:right w:val="none" w:sz="0" w:space="0" w:color="auto"/>
      </w:divBdr>
    </w:div>
    <w:div w:id="854927603">
      <w:marLeft w:val="0"/>
      <w:marRight w:val="0"/>
      <w:marTop w:val="0"/>
      <w:marBottom w:val="0"/>
      <w:divBdr>
        <w:top w:val="none" w:sz="0" w:space="0" w:color="auto"/>
        <w:left w:val="none" w:sz="0" w:space="0" w:color="auto"/>
        <w:bottom w:val="none" w:sz="0" w:space="0" w:color="auto"/>
        <w:right w:val="none" w:sz="0" w:space="0" w:color="auto"/>
      </w:divBdr>
    </w:div>
    <w:div w:id="872502498">
      <w:marLeft w:val="0"/>
      <w:marRight w:val="0"/>
      <w:marTop w:val="0"/>
      <w:marBottom w:val="0"/>
      <w:divBdr>
        <w:top w:val="none" w:sz="0" w:space="0" w:color="auto"/>
        <w:left w:val="none" w:sz="0" w:space="0" w:color="auto"/>
        <w:bottom w:val="none" w:sz="0" w:space="0" w:color="auto"/>
        <w:right w:val="none" w:sz="0" w:space="0" w:color="auto"/>
      </w:divBdr>
    </w:div>
    <w:div w:id="875314342">
      <w:marLeft w:val="0"/>
      <w:marRight w:val="0"/>
      <w:marTop w:val="0"/>
      <w:marBottom w:val="0"/>
      <w:divBdr>
        <w:top w:val="none" w:sz="0" w:space="0" w:color="auto"/>
        <w:left w:val="none" w:sz="0" w:space="0" w:color="auto"/>
        <w:bottom w:val="none" w:sz="0" w:space="0" w:color="auto"/>
        <w:right w:val="none" w:sz="0" w:space="0" w:color="auto"/>
      </w:divBdr>
    </w:div>
    <w:div w:id="890723941">
      <w:marLeft w:val="0"/>
      <w:marRight w:val="0"/>
      <w:marTop w:val="0"/>
      <w:marBottom w:val="0"/>
      <w:divBdr>
        <w:top w:val="none" w:sz="0" w:space="0" w:color="auto"/>
        <w:left w:val="none" w:sz="0" w:space="0" w:color="auto"/>
        <w:bottom w:val="none" w:sz="0" w:space="0" w:color="auto"/>
        <w:right w:val="none" w:sz="0" w:space="0" w:color="auto"/>
      </w:divBdr>
    </w:div>
    <w:div w:id="891574229">
      <w:marLeft w:val="0"/>
      <w:marRight w:val="0"/>
      <w:marTop w:val="0"/>
      <w:marBottom w:val="0"/>
      <w:divBdr>
        <w:top w:val="none" w:sz="0" w:space="0" w:color="auto"/>
        <w:left w:val="none" w:sz="0" w:space="0" w:color="auto"/>
        <w:bottom w:val="none" w:sz="0" w:space="0" w:color="auto"/>
        <w:right w:val="none" w:sz="0" w:space="0" w:color="auto"/>
      </w:divBdr>
    </w:div>
    <w:div w:id="898713420">
      <w:marLeft w:val="0"/>
      <w:marRight w:val="0"/>
      <w:marTop w:val="0"/>
      <w:marBottom w:val="0"/>
      <w:divBdr>
        <w:top w:val="none" w:sz="0" w:space="0" w:color="auto"/>
        <w:left w:val="none" w:sz="0" w:space="0" w:color="auto"/>
        <w:bottom w:val="none" w:sz="0" w:space="0" w:color="auto"/>
        <w:right w:val="none" w:sz="0" w:space="0" w:color="auto"/>
      </w:divBdr>
    </w:div>
    <w:div w:id="924535468">
      <w:marLeft w:val="0"/>
      <w:marRight w:val="0"/>
      <w:marTop w:val="0"/>
      <w:marBottom w:val="0"/>
      <w:divBdr>
        <w:top w:val="none" w:sz="0" w:space="0" w:color="auto"/>
        <w:left w:val="none" w:sz="0" w:space="0" w:color="auto"/>
        <w:bottom w:val="none" w:sz="0" w:space="0" w:color="auto"/>
        <w:right w:val="none" w:sz="0" w:space="0" w:color="auto"/>
      </w:divBdr>
    </w:div>
    <w:div w:id="941763616">
      <w:marLeft w:val="0"/>
      <w:marRight w:val="0"/>
      <w:marTop w:val="0"/>
      <w:marBottom w:val="0"/>
      <w:divBdr>
        <w:top w:val="none" w:sz="0" w:space="0" w:color="auto"/>
        <w:left w:val="none" w:sz="0" w:space="0" w:color="auto"/>
        <w:bottom w:val="none" w:sz="0" w:space="0" w:color="auto"/>
        <w:right w:val="none" w:sz="0" w:space="0" w:color="auto"/>
      </w:divBdr>
    </w:div>
    <w:div w:id="951127642">
      <w:marLeft w:val="0"/>
      <w:marRight w:val="0"/>
      <w:marTop w:val="0"/>
      <w:marBottom w:val="0"/>
      <w:divBdr>
        <w:top w:val="none" w:sz="0" w:space="0" w:color="auto"/>
        <w:left w:val="none" w:sz="0" w:space="0" w:color="auto"/>
        <w:bottom w:val="none" w:sz="0" w:space="0" w:color="auto"/>
        <w:right w:val="none" w:sz="0" w:space="0" w:color="auto"/>
      </w:divBdr>
    </w:div>
    <w:div w:id="969748062">
      <w:marLeft w:val="0"/>
      <w:marRight w:val="0"/>
      <w:marTop w:val="0"/>
      <w:marBottom w:val="0"/>
      <w:divBdr>
        <w:top w:val="none" w:sz="0" w:space="0" w:color="auto"/>
        <w:left w:val="none" w:sz="0" w:space="0" w:color="auto"/>
        <w:bottom w:val="none" w:sz="0" w:space="0" w:color="auto"/>
        <w:right w:val="none" w:sz="0" w:space="0" w:color="auto"/>
      </w:divBdr>
    </w:div>
    <w:div w:id="972977081">
      <w:marLeft w:val="0"/>
      <w:marRight w:val="0"/>
      <w:marTop w:val="0"/>
      <w:marBottom w:val="0"/>
      <w:divBdr>
        <w:top w:val="none" w:sz="0" w:space="0" w:color="auto"/>
        <w:left w:val="none" w:sz="0" w:space="0" w:color="auto"/>
        <w:bottom w:val="none" w:sz="0" w:space="0" w:color="auto"/>
        <w:right w:val="none" w:sz="0" w:space="0" w:color="auto"/>
      </w:divBdr>
    </w:div>
    <w:div w:id="977299082">
      <w:marLeft w:val="0"/>
      <w:marRight w:val="0"/>
      <w:marTop w:val="0"/>
      <w:marBottom w:val="0"/>
      <w:divBdr>
        <w:top w:val="none" w:sz="0" w:space="0" w:color="auto"/>
        <w:left w:val="none" w:sz="0" w:space="0" w:color="auto"/>
        <w:bottom w:val="none" w:sz="0" w:space="0" w:color="auto"/>
        <w:right w:val="none" w:sz="0" w:space="0" w:color="auto"/>
      </w:divBdr>
    </w:div>
    <w:div w:id="977687540">
      <w:marLeft w:val="0"/>
      <w:marRight w:val="0"/>
      <w:marTop w:val="0"/>
      <w:marBottom w:val="0"/>
      <w:divBdr>
        <w:top w:val="none" w:sz="0" w:space="0" w:color="auto"/>
        <w:left w:val="none" w:sz="0" w:space="0" w:color="auto"/>
        <w:bottom w:val="none" w:sz="0" w:space="0" w:color="auto"/>
        <w:right w:val="none" w:sz="0" w:space="0" w:color="auto"/>
      </w:divBdr>
    </w:div>
    <w:div w:id="979263960">
      <w:marLeft w:val="0"/>
      <w:marRight w:val="0"/>
      <w:marTop w:val="0"/>
      <w:marBottom w:val="0"/>
      <w:divBdr>
        <w:top w:val="none" w:sz="0" w:space="0" w:color="auto"/>
        <w:left w:val="none" w:sz="0" w:space="0" w:color="auto"/>
        <w:bottom w:val="none" w:sz="0" w:space="0" w:color="auto"/>
        <w:right w:val="none" w:sz="0" w:space="0" w:color="auto"/>
      </w:divBdr>
    </w:div>
    <w:div w:id="994452356">
      <w:marLeft w:val="0"/>
      <w:marRight w:val="0"/>
      <w:marTop w:val="0"/>
      <w:marBottom w:val="0"/>
      <w:divBdr>
        <w:top w:val="none" w:sz="0" w:space="0" w:color="auto"/>
        <w:left w:val="none" w:sz="0" w:space="0" w:color="auto"/>
        <w:bottom w:val="none" w:sz="0" w:space="0" w:color="auto"/>
        <w:right w:val="none" w:sz="0" w:space="0" w:color="auto"/>
      </w:divBdr>
    </w:div>
    <w:div w:id="994577094">
      <w:marLeft w:val="0"/>
      <w:marRight w:val="0"/>
      <w:marTop w:val="0"/>
      <w:marBottom w:val="0"/>
      <w:divBdr>
        <w:top w:val="none" w:sz="0" w:space="0" w:color="auto"/>
        <w:left w:val="none" w:sz="0" w:space="0" w:color="auto"/>
        <w:bottom w:val="none" w:sz="0" w:space="0" w:color="auto"/>
        <w:right w:val="none" w:sz="0" w:space="0" w:color="auto"/>
      </w:divBdr>
    </w:div>
    <w:div w:id="1002390140">
      <w:marLeft w:val="0"/>
      <w:marRight w:val="0"/>
      <w:marTop w:val="0"/>
      <w:marBottom w:val="0"/>
      <w:divBdr>
        <w:top w:val="none" w:sz="0" w:space="0" w:color="auto"/>
        <w:left w:val="none" w:sz="0" w:space="0" w:color="auto"/>
        <w:bottom w:val="none" w:sz="0" w:space="0" w:color="auto"/>
        <w:right w:val="none" w:sz="0" w:space="0" w:color="auto"/>
      </w:divBdr>
    </w:div>
    <w:div w:id="1036079964">
      <w:marLeft w:val="0"/>
      <w:marRight w:val="0"/>
      <w:marTop w:val="0"/>
      <w:marBottom w:val="0"/>
      <w:divBdr>
        <w:top w:val="none" w:sz="0" w:space="0" w:color="auto"/>
        <w:left w:val="none" w:sz="0" w:space="0" w:color="auto"/>
        <w:bottom w:val="none" w:sz="0" w:space="0" w:color="auto"/>
        <w:right w:val="none" w:sz="0" w:space="0" w:color="auto"/>
      </w:divBdr>
    </w:div>
    <w:div w:id="1040935532">
      <w:marLeft w:val="0"/>
      <w:marRight w:val="0"/>
      <w:marTop w:val="0"/>
      <w:marBottom w:val="0"/>
      <w:divBdr>
        <w:top w:val="none" w:sz="0" w:space="0" w:color="auto"/>
        <w:left w:val="none" w:sz="0" w:space="0" w:color="auto"/>
        <w:bottom w:val="none" w:sz="0" w:space="0" w:color="auto"/>
        <w:right w:val="none" w:sz="0" w:space="0" w:color="auto"/>
      </w:divBdr>
    </w:div>
    <w:div w:id="1061028213">
      <w:marLeft w:val="0"/>
      <w:marRight w:val="0"/>
      <w:marTop w:val="0"/>
      <w:marBottom w:val="0"/>
      <w:divBdr>
        <w:top w:val="none" w:sz="0" w:space="0" w:color="auto"/>
        <w:left w:val="none" w:sz="0" w:space="0" w:color="auto"/>
        <w:bottom w:val="none" w:sz="0" w:space="0" w:color="auto"/>
        <w:right w:val="none" w:sz="0" w:space="0" w:color="auto"/>
      </w:divBdr>
    </w:div>
    <w:div w:id="1096053106">
      <w:marLeft w:val="0"/>
      <w:marRight w:val="0"/>
      <w:marTop w:val="0"/>
      <w:marBottom w:val="0"/>
      <w:divBdr>
        <w:top w:val="none" w:sz="0" w:space="0" w:color="auto"/>
        <w:left w:val="none" w:sz="0" w:space="0" w:color="auto"/>
        <w:bottom w:val="none" w:sz="0" w:space="0" w:color="auto"/>
        <w:right w:val="none" w:sz="0" w:space="0" w:color="auto"/>
      </w:divBdr>
    </w:div>
    <w:div w:id="1141581183">
      <w:marLeft w:val="0"/>
      <w:marRight w:val="0"/>
      <w:marTop w:val="0"/>
      <w:marBottom w:val="0"/>
      <w:divBdr>
        <w:top w:val="none" w:sz="0" w:space="0" w:color="auto"/>
        <w:left w:val="none" w:sz="0" w:space="0" w:color="auto"/>
        <w:bottom w:val="none" w:sz="0" w:space="0" w:color="auto"/>
        <w:right w:val="none" w:sz="0" w:space="0" w:color="auto"/>
      </w:divBdr>
    </w:div>
    <w:div w:id="1159923980">
      <w:marLeft w:val="0"/>
      <w:marRight w:val="0"/>
      <w:marTop w:val="0"/>
      <w:marBottom w:val="0"/>
      <w:divBdr>
        <w:top w:val="none" w:sz="0" w:space="0" w:color="auto"/>
        <w:left w:val="none" w:sz="0" w:space="0" w:color="auto"/>
        <w:bottom w:val="none" w:sz="0" w:space="0" w:color="auto"/>
        <w:right w:val="none" w:sz="0" w:space="0" w:color="auto"/>
      </w:divBdr>
    </w:div>
    <w:div w:id="1182815984">
      <w:marLeft w:val="0"/>
      <w:marRight w:val="0"/>
      <w:marTop w:val="0"/>
      <w:marBottom w:val="0"/>
      <w:divBdr>
        <w:top w:val="none" w:sz="0" w:space="0" w:color="auto"/>
        <w:left w:val="none" w:sz="0" w:space="0" w:color="auto"/>
        <w:bottom w:val="none" w:sz="0" w:space="0" w:color="auto"/>
        <w:right w:val="none" w:sz="0" w:space="0" w:color="auto"/>
      </w:divBdr>
    </w:div>
    <w:div w:id="1253851169">
      <w:marLeft w:val="0"/>
      <w:marRight w:val="0"/>
      <w:marTop w:val="0"/>
      <w:marBottom w:val="0"/>
      <w:divBdr>
        <w:top w:val="none" w:sz="0" w:space="0" w:color="auto"/>
        <w:left w:val="none" w:sz="0" w:space="0" w:color="auto"/>
        <w:bottom w:val="none" w:sz="0" w:space="0" w:color="auto"/>
        <w:right w:val="none" w:sz="0" w:space="0" w:color="auto"/>
      </w:divBdr>
    </w:div>
    <w:div w:id="1255046149">
      <w:marLeft w:val="0"/>
      <w:marRight w:val="0"/>
      <w:marTop w:val="0"/>
      <w:marBottom w:val="0"/>
      <w:divBdr>
        <w:top w:val="none" w:sz="0" w:space="0" w:color="auto"/>
        <w:left w:val="none" w:sz="0" w:space="0" w:color="auto"/>
        <w:bottom w:val="none" w:sz="0" w:space="0" w:color="auto"/>
        <w:right w:val="none" w:sz="0" w:space="0" w:color="auto"/>
      </w:divBdr>
    </w:div>
    <w:div w:id="1273250061">
      <w:marLeft w:val="0"/>
      <w:marRight w:val="0"/>
      <w:marTop w:val="0"/>
      <w:marBottom w:val="0"/>
      <w:divBdr>
        <w:top w:val="none" w:sz="0" w:space="0" w:color="auto"/>
        <w:left w:val="none" w:sz="0" w:space="0" w:color="auto"/>
        <w:bottom w:val="none" w:sz="0" w:space="0" w:color="auto"/>
        <w:right w:val="none" w:sz="0" w:space="0" w:color="auto"/>
      </w:divBdr>
    </w:div>
    <w:div w:id="1292176412">
      <w:marLeft w:val="0"/>
      <w:marRight w:val="0"/>
      <w:marTop w:val="0"/>
      <w:marBottom w:val="0"/>
      <w:divBdr>
        <w:top w:val="none" w:sz="0" w:space="0" w:color="auto"/>
        <w:left w:val="none" w:sz="0" w:space="0" w:color="auto"/>
        <w:bottom w:val="none" w:sz="0" w:space="0" w:color="auto"/>
        <w:right w:val="none" w:sz="0" w:space="0" w:color="auto"/>
      </w:divBdr>
    </w:div>
    <w:div w:id="1305744058">
      <w:marLeft w:val="0"/>
      <w:marRight w:val="0"/>
      <w:marTop w:val="0"/>
      <w:marBottom w:val="0"/>
      <w:divBdr>
        <w:top w:val="none" w:sz="0" w:space="0" w:color="auto"/>
        <w:left w:val="none" w:sz="0" w:space="0" w:color="auto"/>
        <w:bottom w:val="none" w:sz="0" w:space="0" w:color="auto"/>
        <w:right w:val="none" w:sz="0" w:space="0" w:color="auto"/>
      </w:divBdr>
    </w:div>
    <w:div w:id="1428187398">
      <w:marLeft w:val="0"/>
      <w:marRight w:val="0"/>
      <w:marTop w:val="0"/>
      <w:marBottom w:val="0"/>
      <w:divBdr>
        <w:top w:val="none" w:sz="0" w:space="0" w:color="auto"/>
        <w:left w:val="none" w:sz="0" w:space="0" w:color="auto"/>
        <w:bottom w:val="none" w:sz="0" w:space="0" w:color="auto"/>
        <w:right w:val="none" w:sz="0" w:space="0" w:color="auto"/>
      </w:divBdr>
    </w:div>
    <w:div w:id="1435204439">
      <w:marLeft w:val="0"/>
      <w:marRight w:val="0"/>
      <w:marTop w:val="0"/>
      <w:marBottom w:val="0"/>
      <w:divBdr>
        <w:top w:val="none" w:sz="0" w:space="0" w:color="auto"/>
        <w:left w:val="none" w:sz="0" w:space="0" w:color="auto"/>
        <w:bottom w:val="none" w:sz="0" w:space="0" w:color="auto"/>
        <w:right w:val="none" w:sz="0" w:space="0" w:color="auto"/>
      </w:divBdr>
    </w:div>
    <w:div w:id="1487550930">
      <w:marLeft w:val="0"/>
      <w:marRight w:val="0"/>
      <w:marTop w:val="0"/>
      <w:marBottom w:val="0"/>
      <w:divBdr>
        <w:top w:val="none" w:sz="0" w:space="0" w:color="auto"/>
        <w:left w:val="none" w:sz="0" w:space="0" w:color="auto"/>
        <w:bottom w:val="none" w:sz="0" w:space="0" w:color="auto"/>
        <w:right w:val="none" w:sz="0" w:space="0" w:color="auto"/>
      </w:divBdr>
    </w:div>
    <w:div w:id="1491629729">
      <w:marLeft w:val="0"/>
      <w:marRight w:val="0"/>
      <w:marTop w:val="0"/>
      <w:marBottom w:val="0"/>
      <w:divBdr>
        <w:top w:val="none" w:sz="0" w:space="0" w:color="auto"/>
        <w:left w:val="none" w:sz="0" w:space="0" w:color="auto"/>
        <w:bottom w:val="none" w:sz="0" w:space="0" w:color="auto"/>
        <w:right w:val="none" w:sz="0" w:space="0" w:color="auto"/>
      </w:divBdr>
    </w:div>
    <w:div w:id="1499072463">
      <w:marLeft w:val="0"/>
      <w:marRight w:val="0"/>
      <w:marTop w:val="0"/>
      <w:marBottom w:val="0"/>
      <w:divBdr>
        <w:top w:val="none" w:sz="0" w:space="0" w:color="auto"/>
        <w:left w:val="none" w:sz="0" w:space="0" w:color="auto"/>
        <w:bottom w:val="none" w:sz="0" w:space="0" w:color="auto"/>
        <w:right w:val="none" w:sz="0" w:space="0" w:color="auto"/>
      </w:divBdr>
    </w:div>
    <w:div w:id="1548910092">
      <w:marLeft w:val="0"/>
      <w:marRight w:val="0"/>
      <w:marTop w:val="0"/>
      <w:marBottom w:val="0"/>
      <w:divBdr>
        <w:top w:val="none" w:sz="0" w:space="0" w:color="auto"/>
        <w:left w:val="none" w:sz="0" w:space="0" w:color="auto"/>
        <w:bottom w:val="none" w:sz="0" w:space="0" w:color="auto"/>
        <w:right w:val="none" w:sz="0" w:space="0" w:color="auto"/>
      </w:divBdr>
    </w:div>
    <w:div w:id="1562790868">
      <w:marLeft w:val="0"/>
      <w:marRight w:val="0"/>
      <w:marTop w:val="0"/>
      <w:marBottom w:val="0"/>
      <w:divBdr>
        <w:top w:val="none" w:sz="0" w:space="0" w:color="auto"/>
        <w:left w:val="none" w:sz="0" w:space="0" w:color="auto"/>
        <w:bottom w:val="none" w:sz="0" w:space="0" w:color="auto"/>
        <w:right w:val="none" w:sz="0" w:space="0" w:color="auto"/>
      </w:divBdr>
    </w:div>
    <w:div w:id="1567260251">
      <w:marLeft w:val="0"/>
      <w:marRight w:val="0"/>
      <w:marTop w:val="0"/>
      <w:marBottom w:val="0"/>
      <w:divBdr>
        <w:top w:val="none" w:sz="0" w:space="0" w:color="auto"/>
        <w:left w:val="none" w:sz="0" w:space="0" w:color="auto"/>
        <w:bottom w:val="none" w:sz="0" w:space="0" w:color="auto"/>
        <w:right w:val="none" w:sz="0" w:space="0" w:color="auto"/>
      </w:divBdr>
    </w:div>
    <w:div w:id="1615404394">
      <w:marLeft w:val="0"/>
      <w:marRight w:val="0"/>
      <w:marTop w:val="0"/>
      <w:marBottom w:val="0"/>
      <w:divBdr>
        <w:top w:val="none" w:sz="0" w:space="0" w:color="auto"/>
        <w:left w:val="none" w:sz="0" w:space="0" w:color="auto"/>
        <w:bottom w:val="none" w:sz="0" w:space="0" w:color="auto"/>
        <w:right w:val="none" w:sz="0" w:space="0" w:color="auto"/>
      </w:divBdr>
    </w:div>
    <w:div w:id="1636183185">
      <w:marLeft w:val="0"/>
      <w:marRight w:val="0"/>
      <w:marTop w:val="0"/>
      <w:marBottom w:val="0"/>
      <w:divBdr>
        <w:top w:val="none" w:sz="0" w:space="0" w:color="auto"/>
        <w:left w:val="none" w:sz="0" w:space="0" w:color="auto"/>
        <w:bottom w:val="none" w:sz="0" w:space="0" w:color="auto"/>
        <w:right w:val="none" w:sz="0" w:space="0" w:color="auto"/>
      </w:divBdr>
    </w:div>
    <w:div w:id="1639603843">
      <w:marLeft w:val="0"/>
      <w:marRight w:val="0"/>
      <w:marTop w:val="0"/>
      <w:marBottom w:val="0"/>
      <w:divBdr>
        <w:top w:val="none" w:sz="0" w:space="0" w:color="auto"/>
        <w:left w:val="none" w:sz="0" w:space="0" w:color="auto"/>
        <w:bottom w:val="none" w:sz="0" w:space="0" w:color="auto"/>
        <w:right w:val="none" w:sz="0" w:space="0" w:color="auto"/>
      </w:divBdr>
    </w:div>
    <w:div w:id="1640456128">
      <w:marLeft w:val="0"/>
      <w:marRight w:val="0"/>
      <w:marTop w:val="0"/>
      <w:marBottom w:val="0"/>
      <w:divBdr>
        <w:top w:val="none" w:sz="0" w:space="0" w:color="auto"/>
        <w:left w:val="none" w:sz="0" w:space="0" w:color="auto"/>
        <w:bottom w:val="none" w:sz="0" w:space="0" w:color="auto"/>
        <w:right w:val="none" w:sz="0" w:space="0" w:color="auto"/>
      </w:divBdr>
    </w:div>
    <w:div w:id="1663317966">
      <w:marLeft w:val="0"/>
      <w:marRight w:val="0"/>
      <w:marTop w:val="0"/>
      <w:marBottom w:val="0"/>
      <w:divBdr>
        <w:top w:val="none" w:sz="0" w:space="0" w:color="auto"/>
        <w:left w:val="none" w:sz="0" w:space="0" w:color="auto"/>
        <w:bottom w:val="none" w:sz="0" w:space="0" w:color="auto"/>
        <w:right w:val="none" w:sz="0" w:space="0" w:color="auto"/>
      </w:divBdr>
    </w:div>
    <w:div w:id="1693649255">
      <w:marLeft w:val="0"/>
      <w:marRight w:val="0"/>
      <w:marTop w:val="0"/>
      <w:marBottom w:val="0"/>
      <w:divBdr>
        <w:top w:val="none" w:sz="0" w:space="0" w:color="auto"/>
        <w:left w:val="none" w:sz="0" w:space="0" w:color="auto"/>
        <w:bottom w:val="none" w:sz="0" w:space="0" w:color="auto"/>
        <w:right w:val="none" w:sz="0" w:space="0" w:color="auto"/>
      </w:divBdr>
    </w:div>
    <w:div w:id="1706053639">
      <w:marLeft w:val="0"/>
      <w:marRight w:val="0"/>
      <w:marTop w:val="0"/>
      <w:marBottom w:val="0"/>
      <w:divBdr>
        <w:top w:val="none" w:sz="0" w:space="0" w:color="auto"/>
        <w:left w:val="none" w:sz="0" w:space="0" w:color="auto"/>
        <w:bottom w:val="none" w:sz="0" w:space="0" w:color="auto"/>
        <w:right w:val="none" w:sz="0" w:space="0" w:color="auto"/>
      </w:divBdr>
    </w:div>
    <w:div w:id="1718356565">
      <w:marLeft w:val="0"/>
      <w:marRight w:val="0"/>
      <w:marTop w:val="0"/>
      <w:marBottom w:val="0"/>
      <w:divBdr>
        <w:top w:val="none" w:sz="0" w:space="0" w:color="auto"/>
        <w:left w:val="none" w:sz="0" w:space="0" w:color="auto"/>
        <w:bottom w:val="none" w:sz="0" w:space="0" w:color="auto"/>
        <w:right w:val="none" w:sz="0" w:space="0" w:color="auto"/>
      </w:divBdr>
    </w:div>
    <w:div w:id="1734310491">
      <w:marLeft w:val="0"/>
      <w:marRight w:val="0"/>
      <w:marTop w:val="0"/>
      <w:marBottom w:val="0"/>
      <w:divBdr>
        <w:top w:val="none" w:sz="0" w:space="0" w:color="auto"/>
        <w:left w:val="none" w:sz="0" w:space="0" w:color="auto"/>
        <w:bottom w:val="none" w:sz="0" w:space="0" w:color="auto"/>
        <w:right w:val="none" w:sz="0" w:space="0" w:color="auto"/>
      </w:divBdr>
    </w:div>
    <w:div w:id="1765689117">
      <w:marLeft w:val="0"/>
      <w:marRight w:val="0"/>
      <w:marTop w:val="0"/>
      <w:marBottom w:val="0"/>
      <w:divBdr>
        <w:top w:val="none" w:sz="0" w:space="0" w:color="auto"/>
        <w:left w:val="none" w:sz="0" w:space="0" w:color="auto"/>
        <w:bottom w:val="none" w:sz="0" w:space="0" w:color="auto"/>
        <w:right w:val="none" w:sz="0" w:space="0" w:color="auto"/>
      </w:divBdr>
    </w:div>
    <w:div w:id="1766461670">
      <w:marLeft w:val="0"/>
      <w:marRight w:val="0"/>
      <w:marTop w:val="0"/>
      <w:marBottom w:val="0"/>
      <w:divBdr>
        <w:top w:val="none" w:sz="0" w:space="0" w:color="auto"/>
        <w:left w:val="none" w:sz="0" w:space="0" w:color="auto"/>
        <w:bottom w:val="none" w:sz="0" w:space="0" w:color="auto"/>
        <w:right w:val="none" w:sz="0" w:space="0" w:color="auto"/>
      </w:divBdr>
    </w:div>
    <w:div w:id="1777291044">
      <w:marLeft w:val="0"/>
      <w:marRight w:val="0"/>
      <w:marTop w:val="0"/>
      <w:marBottom w:val="0"/>
      <w:divBdr>
        <w:top w:val="none" w:sz="0" w:space="0" w:color="auto"/>
        <w:left w:val="none" w:sz="0" w:space="0" w:color="auto"/>
        <w:bottom w:val="none" w:sz="0" w:space="0" w:color="auto"/>
        <w:right w:val="none" w:sz="0" w:space="0" w:color="auto"/>
      </w:divBdr>
    </w:div>
    <w:div w:id="1808665804">
      <w:marLeft w:val="0"/>
      <w:marRight w:val="0"/>
      <w:marTop w:val="0"/>
      <w:marBottom w:val="0"/>
      <w:divBdr>
        <w:top w:val="none" w:sz="0" w:space="0" w:color="auto"/>
        <w:left w:val="none" w:sz="0" w:space="0" w:color="auto"/>
        <w:bottom w:val="none" w:sz="0" w:space="0" w:color="auto"/>
        <w:right w:val="none" w:sz="0" w:space="0" w:color="auto"/>
      </w:divBdr>
    </w:div>
    <w:div w:id="1815178932">
      <w:marLeft w:val="0"/>
      <w:marRight w:val="0"/>
      <w:marTop w:val="0"/>
      <w:marBottom w:val="0"/>
      <w:divBdr>
        <w:top w:val="none" w:sz="0" w:space="0" w:color="auto"/>
        <w:left w:val="none" w:sz="0" w:space="0" w:color="auto"/>
        <w:bottom w:val="none" w:sz="0" w:space="0" w:color="auto"/>
        <w:right w:val="none" w:sz="0" w:space="0" w:color="auto"/>
      </w:divBdr>
    </w:div>
    <w:div w:id="1839734236">
      <w:marLeft w:val="0"/>
      <w:marRight w:val="0"/>
      <w:marTop w:val="0"/>
      <w:marBottom w:val="0"/>
      <w:divBdr>
        <w:top w:val="none" w:sz="0" w:space="0" w:color="auto"/>
        <w:left w:val="none" w:sz="0" w:space="0" w:color="auto"/>
        <w:bottom w:val="none" w:sz="0" w:space="0" w:color="auto"/>
        <w:right w:val="none" w:sz="0" w:space="0" w:color="auto"/>
      </w:divBdr>
    </w:div>
    <w:div w:id="1924293290">
      <w:marLeft w:val="0"/>
      <w:marRight w:val="0"/>
      <w:marTop w:val="0"/>
      <w:marBottom w:val="0"/>
      <w:divBdr>
        <w:top w:val="none" w:sz="0" w:space="0" w:color="auto"/>
        <w:left w:val="none" w:sz="0" w:space="0" w:color="auto"/>
        <w:bottom w:val="none" w:sz="0" w:space="0" w:color="auto"/>
        <w:right w:val="none" w:sz="0" w:space="0" w:color="auto"/>
      </w:divBdr>
    </w:div>
    <w:div w:id="1972200137">
      <w:marLeft w:val="0"/>
      <w:marRight w:val="0"/>
      <w:marTop w:val="0"/>
      <w:marBottom w:val="0"/>
      <w:divBdr>
        <w:top w:val="none" w:sz="0" w:space="0" w:color="auto"/>
        <w:left w:val="none" w:sz="0" w:space="0" w:color="auto"/>
        <w:bottom w:val="none" w:sz="0" w:space="0" w:color="auto"/>
        <w:right w:val="none" w:sz="0" w:space="0" w:color="auto"/>
      </w:divBdr>
    </w:div>
    <w:div w:id="2019429942">
      <w:marLeft w:val="0"/>
      <w:marRight w:val="0"/>
      <w:marTop w:val="0"/>
      <w:marBottom w:val="0"/>
      <w:divBdr>
        <w:top w:val="none" w:sz="0" w:space="0" w:color="auto"/>
        <w:left w:val="none" w:sz="0" w:space="0" w:color="auto"/>
        <w:bottom w:val="none" w:sz="0" w:space="0" w:color="auto"/>
        <w:right w:val="none" w:sz="0" w:space="0" w:color="auto"/>
      </w:divBdr>
    </w:div>
    <w:div w:id="2020113141">
      <w:marLeft w:val="0"/>
      <w:marRight w:val="0"/>
      <w:marTop w:val="0"/>
      <w:marBottom w:val="0"/>
      <w:divBdr>
        <w:top w:val="none" w:sz="0" w:space="0" w:color="auto"/>
        <w:left w:val="none" w:sz="0" w:space="0" w:color="auto"/>
        <w:bottom w:val="none" w:sz="0" w:space="0" w:color="auto"/>
        <w:right w:val="none" w:sz="0" w:space="0" w:color="auto"/>
      </w:divBdr>
    </w:div>
    <w:div w:id="2020155319">
      <w:marLeft w:val="0"/>
      <w:marRight w:val="0"/>
      <w:marTop w:val="0"/>
      <w:marBottom w:val="0"/>
      <w:divBdr>
        <w:top w:val="none" w:sz="0" w:space="0" w:color="auto"/>
        <w:left w:val="none" w:sz="0" w:space="0" w:color="auto"/>
        <w:bottom w:val="none" w:sz="0" w:space="0" w:color="auto"/>
        <w:right w:val="none" w:sz="0" w:space="0" w:color="auto"/>
      </w:divBdr>
    </w:div>
    <w:div w:id="2053455153">
      <w:marLeft w:val="0"/>
      <w:marRight w:val="0"/>
      <w:marTop w:val="0"/>
      <w:marBottom w:val="0"/>
      <w:divBdr>
        <w:top w:val="none" w:sz="0" w:space="0" w:color="auto"/>
        <w:left w:val="none" w:sz="0" w:space="0" w:color="auto"/>
        <w:bottom w:val="none" w:sz="0" w:space="0" w:color="auto"/>
        <w:right w:val="none" w:sz="0" w:space="0" w:color="auto"/>
      </w:divBdr>
    </w:div>
    <w:div w:id="2080512533">
      <w:marLeft w:val="0"/>
      <w:marRight w:val="0"/>
      <w:marTop w:val="0"/>
      <w:marBottom w:val="0"/>
      <w:divBdr>
        <w:top w:val="none" w:sz="0" w:space="0" w:color="auto"/>
        <w:left w:val="none" w:sz="0" w:space="0" w:color="auto"/>
        <w:bottom w:val="none" w:sz="0" w:space="0" w:color="auto"/>
        <w:right w:val="none" w:sz="0" w:space="0" w:color="auto"/>
      </w:divBdr>
    </w:div>
    <w:div w:id="2101247295">
      <w:marLeft w:val="0"/>
      <w:marRight w:val="0"/>
      <w:marTop w:val="0"/>
      <w:marBottom w:val="0"/>
      <w:divBdr>
        <w:top w:val="none" w:sz="0" w:space="0" w:color="auto"/>
        <w:left w:val="none" w:sz="0" w:space="0" w:color="auto"/>
        <w:bottom w:val="none" w:sz="0" w:space="0" w:color="auto"/>
        <w:right w:val="none" w:sz="0" w:space="0" w:color="auto"/>
      </w:divBdr>
    </w:div>
    <w:div w:id="2144224722">
      <w:marLeft w:val="0"/>
      <w:marRight w:val="0"/>
      <w:marTop w:val="0"/>
      <w:marBottom w:val="0"/>
      <w:divBdr>
        <w:top w:val="none" w:sz="0" w:space="0" w:color="auto"/>
        <w:left w:val="none" w:sz="0" w:space="0" w:color="auto"/>
        <w:bottom w:val="none" w:sz="0" w:space="0" w:color="auto"/>
        <w:right w:val="none" w:sz="0" w:space="0" w:color="auto"/>
      </w:divBdr>
    </w:div>
    <w:div w:id="21448794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113</Pages>
  <Words>24724</Words>
  <Characters>140931</Characters>
  <Application>Microsoft Office Word</Application>
  <DocSecurity>4</DocSecurity>
  <Lines>1174</Lines>
  <Paragraphs>330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Jill Laptosky</cp:lastModifiedBy>
  <cp:revision>2</cp:revision>
  <dcterms:created xsi:type="dcterms:W3CDTF">2013-11-15T21:37:00Z</dcterms:created>
  <dcterms:modified xsi:type="dcterms:W3CDTF">2013-11-15T21:37:00Z</dcterms:modified>
</cp:coreProperties>
</file>