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6D397" w14:textId="77777777" w:rsidR="001A65DD" w:rsidRPr="001A65DD" w:rsidRDefault="001A65DD" w:rsidP="00387397">
      <w:pPr>
        <w:spacing w:line="480" w:lineRule="auto"/>
        <w:outlineLvl w:val="0"/>
        <w:rPr>
          <w:b/>
          <w:bCs/>
          <w:color w:val="000000" w:themeColor="text1"/>
        </w:rPr>
      </w:pPr>
      <w:r w:rsidRPr="001A65DD">
        <w:rPr>
          <w:b/>
          <w:bCs/>
          <w:color w:val="000000" w:themeColor="text1"/>
        </w:rPr>
        <w:t xml:space="preserve">Abstract </w:t>
      </w:r>
    </w:p>
    <w:p w14:paraId="513A1D12" w14:textId="47913CC3" w:rsidR="001A65DD" w:rsidRDefault="00D73EC6" w:rsidP="00387397">
      <w:pPr>
        <w:spacing w:line="480" w:lineRule="auto"/>
        <w:outlineLvl w:val="0"/>
        <w:rPr>
          <w:bCs/>
          <w:color w:val="000000" w:themeColor="text1"/>
        </w:rPr>
      </w:pPr>
      <w:del w:id="0" w:author="DJL" w:date="2019-03-06T05:18:00Z">
        <w:r w:rsidDel="00673F15">
          <w:rPr>
            <w:bCs/>
            <w:color w:val="000000" w:themeColor="text1"/>
          </w:rPr>
          <w:delText xml:space="preserve">Despite decades of scholarship on how private governance schemes, </w:delText>
        </w:r>
        <w:r w:rsidRPr="001A65DD" w:rsidDel="00673F15">
          <w:rPr>
            <w:bCs/>
            <w:color w:val="000000" w:themeColor="text1"/>
          </w:rPr>
          <w:delText>such as product certification standards,</w:delText>
        </w:r>
        <w:r w:rsidR="003D2A33" w:rsidDel="00673F15">
          <w:rPr>
            <w:bCs/>
            <w:color w:val="000000" w:themeColor="text1"/>
          </w:rPr>
          <w:delText xml:space="preserve"> gain power, we know little about what private regulations actually require of firms</w:delText>
        </w:r>
        <w:r w:rsidDel="00673F15">
          <w:rPr>
            <w:bCs/>
            <w:color w:val="000000" w:themeColor="text1"/>
          </w:rPr>
          <w:delText xml:space="preserve">. </w:delText>
        </w:r>
        <w:r w:rsidR="003D2A33" w:rsidDel="00673F15">
          <w:rPr>
            <w:bCs/>
            <w:color w:val="000000" w:themeColor="text1"/>
          </w:rPr>
          <w:delText>Moreover,</w:delText>
        </w:r>
        <w:r w:rsidRPr="001A65DD" w:rsidDel="00673F15">
          <w:rPr>
            <w:bCs/>
            <w:color w:val="000000" w:themeColor="text1"/>
          </w:rPr>
          <w:delText xml:space="preserve"> </w:delText>
        </w:r>
      </w:del>
      <w:ins w:id="1" w:author="DJL" w:date="2019-03-06T05:18:00Z">
        <w:r w:rsidR="00673F15">
          <w:rPr>
            <w:bCs/>
            <w:color w:val="000000" w:themeColor="text1"/>
          </w:rPr>
          <w:t>S</w:t>
        </w:r>
      </w:ins>
      <w:del w:id="2" w:author="DJL" w:date="2019-03-06T05:18:00Z">
        <w:r w:rsidR="003D2A33" w:rsidDel="00673F15">
          <w:rPr>
            <w:bCs/>
            <w:color w:val="000000" w:themeColor="text1"/>
          </w:rPr>
          <w:delText>s</w:delText>
        </w:r>
      </w:del>
      <w:r w:rsidR="001A65DD" w:rsidRPr="001A65DD">
        <w:rPr>
          <w:bCs/>
          <w:color w:val="000000" w:themeColor="text1"/>
        </w:rPr>
        <w:t>tudies offer contradictory accounts of how private regulations</w:t>
      </w:r>
      <w:r>
        <w:rPr>
          <w:bCs/>
          <w:color w:val="000000" w:themeColor="text1"/>
        </w:rPr>
        <w:t xml:space="preserve"> </w:t>
      </w:r>
      <w:r w:rsidR="001A65DD" w:rsidRPr="001A65DD">
        <w:rPr>
          <w:bCs/>
          <w:color w:val="000000" w:themeColor="text1"/>
        </w:rPr>
        <w:t xml:space="preserve">change over time. We find this to be a symptom of inconsistent measures of regulatory stringency that either focus on a few salient policy components or make sweeping generalizations. To remedy this, we offer a framework </w:t>
      </w:r>
      <w:r w:rsidR="00A14776">
        <w:rPr>
          <w:bCs/>
          <w:color w:val="000000" w:themeColor="text1"/>
        </w:rPr>
        <w:t>to disentangle</w:t>
      </w:r>
      <w:r w:rsidR="001A65DD" w:rsidRPr="001A65DD">
        <w:rPr>
          <w:bCs/>
          <w:color w:val="000000" w:themeColor="text1"/>
        </w:rPr>
        <w:t xml:space="preserve"> </w:t>
      </w:r>
      <w:r w:rsidR="00A14776">
        <w:rPr>
          <w:bCs/>
          <w:color w:val="000000" w:themeColor="text1"/>
        </w:rPr>
        <w:t xml:space="preserve">three </w:t>
      </w:r>
      <w:r w:rsidR="001A65DD" w:rsidRPr="001A65DD">
        <w:rPr>
          <w:bCs/>
          <w:color w:val="000000" w:themeColor="text1"/>
        </w:rPr>
        <w:t>often-conflated components</w:t>
      </w:r>
      <w:r w:rsidR="001E4B75">
        <w:rPr>
          <w:bCs/>
          <w:color w:val="000000" w:themeColor="text1"/>
        </w:rPr>
        <w:t xml:space="preserve"> of stringency</w:t>
      </w:r>
      <w:r w:rsidR="00A14776">
        <w:rPr>
          <w:bCs/>
          <w:color w:val="000000" w:themeColor="text1"/>
        </w:rPr>
        <w:t>—scope, prescriptiveness, and settings—and measure change in each over time</w:t>
      </w:r>
      <w:r w:rsidR="009101D7">
        <w:rPr>
          <w:bCs/>
          <w:color w:val="000000" w:themeColor="text1"/>
        </w:rPr>
        <w:t>.</w:t>
      </w:r>
      <w:r w:rsidR="001E4B75">
        <w:rPr>
          <w:bCs/>
          <w:color w:val="000000" w:themeColor="text1"/>
        </w:rPr>
        <w:t xml:space="preserve"> We hypothesize</w:t>
      </w:r>
      <w:r w:rsidR="00340FCC">
        <w:rPr>
          <w:bCs/>
          <w:color w:val="000000" w:themeColor="text1"/>
        </w:rPr>
        <w:t xml:space="preserve"> that patterns of change, such as racing to the bottom, ratcheting up, converging, </w:t>
      </w:r>
      <w:r w:rsidR="001E4B75">
        <w:rPr>
          <w:bCs/>
          <w:color w:val="000000" w:themeColor="text1"/>
        </w:rPr>
        <w:t xml:space="preserve">or </w:t>
      </w:r>
      <w:r w:rsidR="00340FCC">
        <w:rPr>
          <w:bCs/>
          <w:color w:val="000000" w:themeColor="text1"/>
        </w:rPr>
        <w:t xml:space="preserve">diverging, </w:t>
      </w:r>
      <w:r w:rsidR="001E4B75">
        <w:rPr>
          <w:bCs/>
          <w:color w:val="000000" w:themeColor="text1"/>
        </w:rPr>
        <w:t>vary across policy components with different costs and benefits.</w:t>
      </w:r>
      <w:r w:rsidR="009101D7">
        <w:rPr>
          <w:bCs/>
          <w:color w:val="000000" w:themeColor="text1"/>
        </w:rPr>
        <w:t xml:space="preserve"> We then apply</w:t>
      </w:r>
      <w:r w:rsidR="001A65DD" w:rsidRPr="001A65DD">
        <w:rPr>
          <w:bCs/>
          <w:color w:val="000000" w:themeColor="text1"/>
        </w:rPr>
        <w:t xml:space="preserve"> this framework to competing U.S. forestry certification programs</w:t>
      </w:r>
      <w:r w:rsidR="009101D7">
        <w:rPr>
          <w:bCs/>
          <w:color w:val="000000" w:themeColor="text1"/>
        </w:rPr>
        <w:t xml:space="preserve">, clarifying </w:t>
      </w:r>
      <w:r w:rsidR="00340FCC">
        <w:rPr>
          <w:bCs/>
          <w:color w:val="000000" w:themeColor="text1"/>
        </w:rPr>
        <w:t xml:space="preserve">an </w:t>
      </w:r>
      <w:r w:rsidR="009101D7">
        <w:rPr>
          <w:bCs/>
          <w:color w:val="000000" w:themeColor="text1"/>
        </w:rPr>
        <w:t>apparent debate over whether</w:t>
      </w:r>
      <w:r w:rsidR="00F65EBB">
        <w:rPr>
          <w:bCs/>
          <w:color w:val="000000" w:themeColor="text1"/>
        </w:rPr>
        <w:t xml:space="preserve"> their</w:t>
      </w:r>
      <w:r w:rsidR="009101D7">
        <w:rPr>
          <w:bCs/>
          <w:color w:val="000000" w:themeColor="text1"/>
        </w:rPr>
        <w:t xml:space="preserve"> requirements were </w:t>
      </w:r>
      <w:r w:rsidR="00F65EBB">
        <w:rPr>
          <w:bCs/>
          <w:color w:val="000000" w:themeColor="text1"/>
        </w:rPr>
        <w:t>converging</w:t>
      </w:r>
      <w:r w:rsidR="001A65DD" w:rsidRPr="001A65DD">
        <w:rPr>
          <w:bCs/>
          <w:color w:val="000000" w:themeColor="text1"/>
        </w:rPr>
        <w:t xml:space="preserve">. </w:t>
      </w:r>
      <w:r w:rsidR="009101D7">
        <w:rPr>
          <w:bCs/>
          <w:color w:val="000000" w:themeColor="text1"/>
        </w:rPr>
        <w:t>We find overall consistency in policy scope but</w:t>
      </w:r>
      <w:r w:rsidR="001A65DD" w:rsidRPr="001A65DD">
        <w:rPr>
          <w:bCs/>
          <w:color w:val="000000" w:themeColor="text1"/>
        </w:rPr>
        <w:t xml:space="preserve"> </w:t>
      </w:r>
      <w:r w:rsidR="009101D7">
        <w:rPr>
          <w:bCs/>
          <w:color w:val="000000" w:themeColor="text1"/>
        </w:rPr>
        <w:t xml:space="preserve">an </w:t>
      </w:r>
      <w:r w:rsidR="001A65DD" w:rsidRPr="001A65DD">
        <w:rPr>
          <w:bCs/>
          <w:color w:val="000000" w:themeColor="text1"/>
        </w:rPr>
        <w:t>‘upwardly diverging’ pattern in prescriptiveness—with the activist</w:t>
      </w:r>
      <w:r w:rsidR="009101D7">
        <w:rPr>
          <w:bCs/>
          <w:color w:val="000000" w:themeColor="text1"/>
        </w:rPr>
        <w:t>-backed</w:t>
      </w:r>
      <w:r w:rsidR="001A65DD" w:rsidRPr="001A65DD">
        <w:rPr>
          <w:bCs/>
          <w:color w:val="000000" w:themeColor="text1"/>
        </w:rPr>
        <w:t xml:space="preserve"> program targeting ecological problems and the industry</w:t>
      </w:r>
      <w:r w:rsidR="009101D7">
        <w:rPr>
          <w:bCs/>
          <w:color w:val="000000" w:themeColor="text1"/>
        </w:rPr>
        <w:t>-backed</w:t>
      </w:r>
      <w:r w:rsidR="001A65DD" w:rsidRPr="001A65DD">
        <w:rPr>
          <w:bCs/>
          <w:color w:val="000000" w:themeColor="text1"/>
        </w:rPr>
        <w:t xml:space="preserve"> competitor </w:t>
      </w:r>
      <w:r w:rsidR="00BB1E64">
        <w:rPr>
          <w:bCs/>
          <w:color w:val="000000" w:themeColor="text1"/>
        </w:rPr>
        <w:t xml:space="preserve">targeting the </w:t>
      </w:r>
      <w:r w:rsidR="001A65DD" w:rsidRPr="001A65DD">
        <w:rPr>
          <w:bCs/>
          <w:color w:val="000000" w:themeColor="text1"/>
        </w:rPr>
        <w:t>collective action problems</w:t>
      </w:r>
      <w:r w:rsidR="009A5362">
        <w:rPr>
          <w:bCs/>
          <w:color w:val="000000" w:themeColor="text1"/>
        </w:rPr>
        <w:t xml:space="preserve"> for the forest</w:t>
      </w:r>
      <w:r w:rsidR="00BB1E64">
        <w:rPr>
          <w:bCs/>
          <w:color w:val="000000" w:themeColor="text1"/>
        </w:rPr>
        <w:t xml:space="preserve"> products industry</w:t>
      </w:r>
      <w:r w:rsidR="001A65DD" w:rsidRPr="001A65DD">
        <w:rPr>
          <w:bCs/>
          <w:color w:val="000000" w:themeColor="text1"/>
        </w:rPr>
        <w:t>.</w:t>
      </w:r>
      <w:r w:rsidR="00F65EBB">
        <w:rPr>
          <w:bCs/>
          <w:color w:val="000000" w:themeColor="text1"/>
        </w:rPr>
        <w:t xml:space="preserve"> </w:t>
      </w:r>
    </w:p>
    <w:p w14:paraId="75EDE0E5" w14:textId="77777777" w:rsidR="001A65DD" w:rsidRPr="001A65DD" w:rsidRDefault="001A65D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3076C841" w14:textId="2AE0755F" w:rsidR="00372268" w:rsidRPr="00DA16B5" w:rsidRDefault="00512A9F" w:rsidP="00387397">
      <w:pPr>
        <w:spacing w:line="480" w:lineRule="auto"/>
        <w:rPr>
          <w:rFonts w:eastAsia="Times New Roman"/>
        </w:rPr>
      </w:pPr>
      <w:r w:rsidRPr="00387397">
        <w:rPr>
          <w:rFonts w:eastAsia="Times New Roman"/>
          <w:color w:val="000000" w:themeColor="text1"/>
        </w:rPr>
        <w:t xml:space="preserve">In the </w:t>
      </w:r>
      <w:r w:rsidR="007657C0" w:rsidRPr="00387397">
        <w:rPr>
          <w:rFonts w:eastAsia="Times New Roman"/>
          <w:color w:val="000000" w:themeColor="text1"/>
        </w:rPr>
        <w:t xml:space="preserve">last 30 </w:t>
      </w:r>
      <w:r w:rsidR="00EE1C85" w:rsidRPr="00387397">
        <w:rPr>
          <w:rFonts w:eastAsia="Times New Roman"/>
          <w:color w:val="000000" w:themeColor="text1"/>
        </w:rPr>
        <w:t>years</w:t>
      </w:r>
      <w:r w:rsidR="00390049" w:rsidRPr="00387397">
        <w:rPr>
          <w:rFonts w:eastAsia="Times New Roman"/>
          <w:color w:val="000000" w:themeColor="text1"/>
        </w:rPr>
        <w:t>,</w:t>
      </w:r>
      <w:r w:rsidR="00EE1C85" w:rsidRPr="00387397">
        <w:rPr>
          <w:rFonts w:eastAsia="Times New Roman"/>
          <w:color w:val="000000" w:themeColor="text1"/>
        </w:rPr>
        <w:t xml:space="preserve"> </w:t>
      </w:r>
      <w:r w:rsidR="00D7391C" w:rsidRPr="00387397">
        <w:rPr>
          <w:rFonts w:eastAsia="Times New Roman"/>
          <w:color w:val="000000" w:themeColor="text1"/>
        </w:rPr>
        <w:t xml:space="preserve">private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including </w:t>
      </w:r>
      <w:r w:rsidR="00844193" w:rsidRPr="00387397">
        <w:rPr>
          <w:rFonts w:eastAsia="Times New Roman"/>
          <w:color w:val="000000" w:themeColor="text1"/>
        </w:rPr>
        <w:t xml:space="preserve">eco-labels and </w:t>
      </w:r>
      <w:r w:rsidR="00045762" w:rsidRPr="00387397">
        <w:rPr>
          <w:rFonts w:eastAsia="Times New Roman"/>
          <w:color w:val="000000" w:themeColor="text1"/>
        </w:rPr>
        <w:t>“</w:t>
      </w:r>
      <w:r w:rsidR="00844193" w:rsidRPr="00387397">
        <w:rPr>
          <w:rFonts w:eastAsia="Times New Roman"/>
          <w:color w:val="000000" w:themeColor="text1"/>
        </w:rPr>
        <w:t>socially responsible</w:t>
      </w:r>
      <w:r w:rsidR="00045762" w:rsidRPr="00387397">
        <w:rPr>
          <w:rFonts w:eastAsia="Times New Roman"/>
          <w:color w:val="000000" w:themeColor="text1"/>
        </w:rPr>
        <w:t>”</w:t>
      </w:r>
      <w:r w:rsidR="00CC5245" w:rsidRPr="00387397">
        <w:rPr>
          <w:rFonts w:eastAsia="Times New Roman"/>
          <w:color w:val="000000" w:themeColor="text1"/>
        </w:rPr>
        <w:t xml:space="preserve"> product 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sidRPr="00387397">
        <w:rPr>
          <w:rFonts w:eastAsia="Times New Roman"/>
          <w:color w:val="000000" w:themeColor="text1"/>
        </w:rPr>
        <w:t xml:space="preserve">have emerged </w:t>
      </w:r>
      <w:r w:rsidR="00D7391C" w:rsidRPr="00387397">
        <w:rPr>
          <w:rFonts w:eastAsia="Times New Roman"/>
          <w:color w:val="000000" w:themeColor="text1"/>
        </w:rPr>
        <w:t xml:space="preserve">to address </w:t>
      </w:r>
      <w:r w:rsidR="007657C0" w:rsidRPr="00387397">
        <w:rPr>
          <w:rFonts w:eastAsia="Times New Roman"/>
          <w:color w:val="000000" w:themeColor="text1"/>
        </w:rPr>
        <w:t>goals such as</w:t>
      </w:r>
      <w:r w:rsidR="00713359" w:rsidRPr="00387397">
        <w:rPr>
          <w:rFonts w:eastAsia="Times New Roman"/>
          <w:color w:val="000000" w:themeColor="text1"/>
        </w:rPr>
        <w:t xml:space="preserve"> </w:t>
      </w:r>
      <w:r w:rsidR="00662C2C" w:rsidRPr="00387397">
        <w:rPr>
          <w:color w:val="000000" w:themeColor="text1"/>
        </w:rPr>
        <w:t>improving</w:t>
      </w:r>
      <w:r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controlling greenhouse gas emissions, </w:t>
      </w:r>
      <w:r w:rsidR="007657C0" w:rsidRPr="00387397">
        <w:rPr>
          <w:color w:val="000000" w:themeColor="text1"/>
        </w:rPr>
        <w:t>and</w:t>
      </w:r>
      <w:r w:rsidR="00FF3418" w:rsidRPr="00387397">
        <w:rPr>
          <w:color w:val="000000" w:themeColor="text1"/>
        </w:rPr>
        <w:t xml:space="preserve"> </w:t>
      </w:r>
      <w:r w:rsidR="0047000A" w:rsidRPr="00387397">
        <w:rPr>
          <w:color w:val="000000" w:themeColor="text1"/>
        </w:rPr>
        <w:t xml:space="preserve">managing </w:t>
      </w:r>
      <w:r w:rsidR="00FF3418" w:rsidRPr="00387397">
        <w:rPr>
          <w:color w:val="000000" w:themeColor="text1"/>
        </w:rPr>
        <w:t>fisher</w:t>
      </w:r>
      <w:r w:rsidR="009A5362">
        <w:rPr>
          <w:color w:val="000000" w:themeColor="text1"/>
        </w:rPr>
        <w:t xml:space="preserve">ies, mines, </w:t>
      </w:r>
      <w:r w:rsidR="00FF3418" w:rsidRPr="00387397">
        <w:rPr>
          <w:color w:val="000000" w:themeColor="text1"/>
        </w:rPr>
        <w:t>and forests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sidR="001A160D" w:rsidRPr="00387397">
        <w:rPr>
          <w:color w:val="000000" w:themeColor="text1"/>
        </w:rPr>
        <w:t xml:space="preserve"> </w:t>
      </w:r>
      <w:r w:rsidR="00684713" w:rsidRPr="00387397">
        <w:t>Many of these</w:t>
      </w:r>
      <w:r w:rsidR="00F84FF6" w:rsidRPr="00387397">
        <w:t xml:space="preserve"> initiatives</w:t>
      </w:r>
      <w:r w:rsidR="00684713" w:rsidRPr="00387397">
        <w:t xml:space="preserve"> are </w:t>
      </w:r>
      <w:r w:rsidR="00C102F6">
        <w:t>backed</w:t>
      </w:r>
      <w:r w:rsidR="00C102F6" w:rsidRPr="00387397">
        <w:t xml:space="preserve"> </w:t>
      </w:r>
      <w:r w:rsidR="00684713" w:rsidRPr="00387397">
        <w:t xml:space="preserve">by activists </w:t>
      </w:r>
      <w:r w:rsidR="00AE745E" w:rsidRPr="00387397">
        <w:t>who</w:t>
      </w:r>
      <w:r w:rsidR="008D71DE">
        <w:t xml:space="preserve"> aim to</w:t>
      </w:r>
      <w:r w:rsidR="008D71DE" w:rsidRPr="00387397">
        <w:t xml:space="preserve"> compel large companies to contractually require their suppliers </w:t>
      </w:r>
      <w:r w:rsidR="008D71DE">
        <w:t xml:space="preserve">to </w:t>
      </w:r>
      <w:r w:rsidR="008D71DE" w:rsidRPr="00387397">
        <w:t>meet standards</w:t>
      </w:r>
      <w:r w:rsidR="008D71DE">
        <w:t xml:space="preserve"> that</w:t>
      </w:r>
      <w:r w:rsidR="008D71DE" w:rsidRPr="00387397">
        <w:t xml:space="preserve"> are often more stringent than public regulations</w:t>
      </w:r>
      <w:r w:rsidR="008D71DE">
        <w:t>. To do so, activists</w:t>
      </w:r>
      <w:r w:rsidR="00AE745E" w:rsidRPr="00387397">
        <w:t xml:space="preserve"> </w:t>
      </w:r>
      <w:r w:rsidR="00742804" w:rsidRPr="00387397">
        <w:t>launch campaigns to</w:t>
      </w:r>
      <w:r w:rsidR="00AE745E" w:rsidRPr="00387397">
        <w:t xml:space="preserve"> </w:t>
      </w:r>
      <w:r w:rsidR="00742804" w:rsidRPr="00387397">
        <w:t xml:space="preserve">generate market demand for </w:t>
      </w:r>
      <w:r w:rsidR="00684713" w:rsidRPr="00387397">
        <w:t xml:space="preserve">certified </w:t>
      </w:r>
      <w:r w:rsidR="00742804" w:rsidRPr="00387397">
        <w:t xml:space="preserve">products and/or </w:t>
      </w:r>
      <w:r w:rsidR="00AE745E" w:rsidRPr="00387397">
        <w:t>use</w:t>
      </w:r>
      <w:r w:rsidR="00C102F6">
        <w:t xml:space="preserve"> </w:t>
      </w:r>
      <w:r w:rsidR="00C102F6">
        <w:lastRenderedPageBreak/>
        <w:t>pressure tactics like</w:t>
      </w:r>
      <w:r w:rsidR="00AE745E" w:rsidRPr="00387397">
        <w:t xml:space="preserve"> boycotts</w:t>
      </w:r>
      <w:r w:rsidR="008D71DE">
        <w:t xml:space="preserve"> </w:t>
      </w:r>
      <w:r w:rsidR="002F1DC9">
        <w:t>(</w:t>
      </w:r>
      <w:proofErr w:type="spellStart"/>
      <w:r w:rsidR="002F1DC9">
        <w:t>Cashore</w:t>
      </w:r>
      <w:proofErr w:type="spellEnd"/>
      <w:r w:rsidR="002F1DC9">
        <w:t xml:space="preserve"> et al., </w:t>
      </w:r>
      <w:r w:rsidR="008D71DE" w:rsidRPr="00387397">
        <w:t>2004)</w:t>
      </w:r>
      <w:r w:rsidR="00C102F6">
        <w:t>.</w:t>
      </w:r>
      <w:r w:rsidR="00AE745E" w:rsidRPr="00387397">
        <w:t xml:space="preserve"> </w:t>
      </w:r>
      <w:r w:rsidR="0032359F" w:rsidRPr="00387397">
        <w:t>C</w:t>
      </w:r>
      <w:r w:rsidR="00742804" w:rsidRPr="00387397">
        <w:t>ertification</w:t>
      </w:r>
      <w:r w:rsidR="00F84FF6" w:rsidRPr="00387397">
        <w:t xml:space="preserve"> </w:t>
      </w:r>
      <w:r w:rsidR="004004BE" w:rsidRPr="00387397">
        <w:t xml:space="preserve">programs are </w:t>
      </w:r>
      <w:r w:rsidR="0032359F" w:rsidRPr="00387397">
        <w:t xml:space="preserve">thus </w:t>
      </w:r>
      <w:r w:rsidR="004004BE" w:rsidRPr="00387397">
        <w:t>a</w:t>
      </w:r>
      <w:r w:rsidR="00F84FF6" w:rsidRPr="00387397">
        <w:t xml:space="preserve"> form </w:t>
      </w:r>
      <w:r w:rsidR="009D1FF1" w:rsidRPr="00387397">
        <w:t xml:space="preserve">of </w:t>
      </w:r>
      <w:r w:rsidR="00F84FF6" w:rsidRPr="00387397">
        <w:t>private regulation</w:t>
      </w:r>
      <w:r w:rsidR="004004BE" w:rsidRPr="00387397">
        <w:t>,</w:t>
      </w:r>
      <w:r w:rsidR="00684713" w:rsidRPr="00387397">
        <w:t xml:space="preserve"> </w:t>
      </w:r>
      <w:r w:rsidR="00E05CF0" w:rsidRPr="00387397">
        <w:t>with rulemaking</w:t>
      </w:r>
      <w:r w:rsidR="00C24866" w:rsidRPr="00387397">
        <w:t xml:space="preserve"> </w:t>
      </w:r>
      <w:r w:rsidR="00B96C15" w:rsidRPr="00387397">
        <w:t xml:space="preserve">authority </w:t>
      </w:r>
      <w:r w:rsidR="003012A5" w:rsidRPr="00387397">
        <w:t>deriving</w:t>
      </w:r>
      <w:r w:rsidR="00E05CF0" w:rsidRPr="00387397">
        <w:t xml:space="preserve"> from </w:t>
      </w:r>
      <w:r w:rsidR="00CC4E80" w:rsidRPr="00387397">
        <w:t>market</w:t>
      </w:r>
      <w:r w:rsidR="00E05CF0" w:rsidRPr="00387397">
        <w:t xml:space="preserve"> power</w:t>
      </w:r>
      <w:r w:rsidR="00B96C15" w:rsidRPr="00387397">
        <w:t xml:space="preserve"> </w:t>
      </w:r>
      <w:r w:rsidR="00CC4E80" w:rsidRPr="00387397">
        <w:t>rather than state</w:t>
      </w:r>
      <w:r w:rsidR="00E05CF0" w:rsidRPr="00387397">
        <w:t xml:space="preserve"> power</w:t>
      </w:r>
      <w:r w:rsidR="00B96C15" w:rsidRPr="00387397">
        <w:t xml:space="preserve"> </w:t>
      </w:r>
      <w:r w:rsidR="009C0F03" w:rsidRPr="00387397">
        <w:t>(</w:t>
      </w:r>
      <w:proofErr w:type="spellStart"/>
      <w:r w:rsidR="009C0F03" w:rsidRPr="00387397">
        <w:t>Cashore</w:t>
      </w:r>
      <w:proofErr w:type="spellEnd"/>
      <w:r w:rsidR="002F1DC9">
        <w:t>,</w:t>
      </w:r>
      <w:r w:rsidR="009C0F03" w:rsidRPr="00387397">
        <w:t xml:space="preserve"> 2001)</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FE677F" w:rsidRPr="00387397">
        <w:t xml:space="preserve">have </w:t>
      </w:r>
      <w:r w:rsidR="00742804" w:rsidRPr="00387397">
        <w:t xml:space="preserve">met </w:t>
      </w:r>
      <w:r w:rsidR="004F72EA" w:rsidRPr="00387397">
        <w:t>strong</w:t>
      </w:r>
      <w:r w:rsidR="009D1FF1" w:rsidRPr="00387397">
        <w:t xml:space="preserve"> </w:t>
      </w:r>
      <w:r w:rsidR="008D71DE">
        <w:t xml:space="preserve">industry </w:t>
      </w:r>
      <w:r w:rsidR="00742804" w:rsidRPr="00387397">
        <w:t>resistance</w:t>
      </w:r>
      <w:r w:rsidR="004004BE" w:rsidRPr="00387397">
        <w:t xml:space="preserve">, </w:t>
      </w:r>
      <w:r w:rsidR="00035944" w:rsidRPr="00387397">
        <w:t xml:space="preserve">resulting in </w:t>
      </w:r>
      <w:r w:rsidR="004004BE" w:rsidRPr="00387397">
        <w:t xml:space="preserve">industry-backed alternative programs </w:t>
      </w:r>
      <w:r w:rsidR="00E05CF0" w:rsidRPr="00387397">
        <w:t>emerging</w:t>
      </w:r>
      <w:r w:rsidR="00733A63" w:rsidRPr="00387397">
        <w:t xml:space="preserve"> </w:t>
      </w:r>
      <w:r w:rsidR="00E05CF0" w:rsidRPr="00387397">
        <w:t xml:space="preserve">to </w:t>
      </w:r>
      <w:r w:rsidR="004F72EA" w:rsidRPr="00387397">
        <w:t>compete</w:t>
      </w:r>
      <w:r w:rsidR="009D1FF1" w:rsidRPr="00387397">
        <w:t xml:space="preserve"> for legitimacy</w:t>
      </w:r>
      <w:r w:rsidR="00CC011C" w:rsidRPr="00387397">
        <w:t xml:space="preserve">. </w:t>
      </w:r>
      <w:r w:rsidR="00C82D01" w:rsidRPr="00387397">
        <w:rPr>
          <w:rFonts w:eastAsia="Times New Roman"/>
        </w:rPr>
        <w:t>The </w:t>
      </w:r>
      <w:r w:rsidR="00C82D01" w:rsidRPr="00387397">
        <w:rPr>
          <w:rFonts w:eastAsia="Times New Roman"/>
          <w:color w:val="222222"/>
          <w:shd w:val="clear" w:color="auto" w:fill="FFFFFF"/>
        </w:rPr>
        <w:t>relative stringency of each program is</w:t>
      </w:r>
      <w:r w:rsidR="008D71DE">
        <w:rPr>
          <w:rFonts w:eastAsia="Times New Roman"/>
          <w:color w:val="222222"/>
          <w:shd w:val="clear" w:color="auto" w:fill="FFFFFF"/>
        </w:rPr>
        <w:t xml:space="preserve"> often</w:t>
      </w:r>
      <w:r w:rsidR="00C82D01" w:rsidRPr="00387397">
        <w:rPr>
          <w:rFonts w:eastAsia="Times New Roman"/>
          <w:color w:val="222222"/>
          <w:shd w:val="clear" w:color="auto" w:fill="FFFFFF"/>
        </w:rPr>
        <w:t xml:space="preserve"> hotly contested among supporters of activist-backed </w:t>
      </w:r>
      <w:r w:rsidR="008D71DE" w:rsidRPr="00387397">
        <w:rPr>
          <w:rFonts w:eastAsia="Times New Roman"/>
          <w:color w:val="222222"/>
          <w:shd w:val="clear" w:color="auto" w:fill="FFFFFF"/>
        </w:rPr>
        <w:t>private regulations</w:t>
      </w:r>
      <w:r w:rsidR="008D71DE">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and industry-backed </w:t>
      </w:r>
      <w:r w:rsidR="008D71DE">
        <w:rPr>
          <w:rFonts w:eastAsia="Times New Roman"/>
          <w:color w:val="222222"/>
          <w:shd w:val="clear" w:color="auto" w:fill="FFFFFF"/>
        </w:rPr>
        <w:t>alternatives</w:t>
      </w:r>
      <w:r w:rsidR="0032359F" w:rsidRPr="00387397">
        <w:t>.</w:t>
      </w:r>
    </w:p>
    <w:p w14:paraId="1F1DB63C" w14:textId="77777777" w:rsidR="003E1A07" w:rsidRPr="00387397" w:rsidRDefault="003E1A07" w:rsidP="00387397">
      <w:pPr>
        <w:spacing w:line="480" w:lineRule="auto"/>
        <w:rPr>
          <w:lang w:eastAsia="zh-CN"/>
        </w:rPr>
      </w:pPr>
    </w:p>
    <w:p w14:paraId="1B860614" w14:textId="0D773C45"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patterns observed in public regulations, including 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4F72EA" w:rsidRPr="00387397">
        <w:rPr>
          <w:rFonts w:eastAsia="Times New Roman"/>
          <w:color w:val="000000" w:themeColor="text1"/>
          <w:lang w:eastAsia="zh-CN"/>
        </w:rPr>
        <w:t xml:space="preserve">markets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1F0035" w:rsidRPr="00387397">
        <w:rPr>
          <w:rFonts w:eastAsia="Times New Roman"/>
          <w:color w:val="000000" w:themeColor="text1"/>
          <w:lang w:eastAsia="zh-CN"/>
        </w:rPr>
        <w:t xml:space="preserve">social or </w:t>
      </w:r>
      <w:r w:rsidR="004F72EA" w:rsidRPr="00387397">
        <w:rPr>
          <w:rFonts w:eastAsia="Times New Roman"/>
          <w:color w:val="000000" w:themeColor="text1"/>
          <w:lang w:eastAsia="zh-CN"/>
        </w:rPr>
        <w:t>en</w:t>
      </w:r>
      <w:r w:rsidR="001F0035" w:rsidRPr="00387397">
        <w:rPr>
          <w:rFonts w:eastAsia="Times New Roman"/>
          <w:color w:val="000000" w:themeColor="text1"/>
          <w:lang w:eastAsia="zh-CN"/>
        </w:rPr>
        <w:t xml:space="preserve">vironmental </w:t>
      </w:r>
      <w:r w:rsidR="00772D87" w:rsidRPr="00387397">
        <w:rPr>
          <w:rFonts w:eastAsia="Times New Roman"/>
          <w:color w:val="000000" w:themeColor="text1"/>
          <w:lang w:eastAsia="zh-CN"/>
        </w:rPr>
        <w:t>regulations lobby to equalize requirements and costs 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2793271F"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great strides have been made on these questions, significant </w:t>
      </w:r>
      <w:r w:rsidR="003143D5" w:rsidRPr="00387397">
        <w:rPr>
          <w:rFonts w:eastAsia="Times New Roman"/>
          <w:color w:val="000000" w:themeColor="text1"/>
          <w:lang w:eastAsia="zh-CN"/>
        </w:rPr>
        <w:t>challenges remain</w:t>
      </w:r>
      <w:r w:rsidR="00283575">
        <w:rPr>
          <w:rFonts w:eastAsia="Times New Roman"/>
          <w:color w:val="000000" w:themeColor="text1"/>
          <w:lang w:eastAsia="zh-CN"/>
        </w:rPr>
        <w:t xml:space="preserve"> because of </w:t>
      </w:r>
      <w:r w:rsidR="009E2B31" w:rsidRPr="00387397">
        <w:rPr>
          <w:rFonts w:eastAsia="Times New Roman"/>
          <w:color w:val="000000" w:themeColor="text1"/>
          <w:lang w:eastAsia="zh-CN"/>
        </w:rPr>
        <w:t xml:space="preserve">relatively limited attention to </w:t>
      </w:r>
      <w:r w:rsidR="00844F6E" w:rsidRPr="00387397">
        <w:rPr>
          <w:rFonts w:eastAsia="Times New Roman"/>
          <w:color w:val="000000" w:themeColor="text1"/>
          <w:lang w:eastAsia="zh-CN"/>
        </w:rPr>
        <w:t>how</w:t>
      </w:r>
      <w:r w:rsidR="00ED7C6E" w:rsidRPr="00387397">
        <w:rPr>
          <w:rFonts w:eastAsia="Times New Roman"/>
          <w:color w:val="000000" w:themeColor="text1"/>
          <w:lang w:eastAsia="zh-CN"/>
        </w:rPr>
        <w:t xml:space="preserve"> </w:t>
      </w:r>
      <w:r w:rsidR="0047000A" w:rsidRPr="00387397">
        <w:rPr>
          <w:rFonts w:eastAsia="Times New Roman"/>
          <w:color w:val="000000" w:themeColor="text1"/>
          <w:lang w:eastAsia="zh-CN"/>
        </w:rPr>
        <w:t xml:space="preserve">stringency </w:t>
      </w:r>
      <w:r w:rsidR="00AD6F53" w:rsidRPr="00387397">
        <w:rPr>
          <w:rFonts w:eastAsia="Times New Roman"/>
          <w:color w:val="000000" w:themeColor="text1"/>
          <w:lang w:eastAsia="zh-CN"/>
        </w:rPr>
        <w:t>is</w:t>
      </w:r>
      <w:r w:rsidR="009E2B31" w:rsidRPr="00387397">
        <w:rPr>
          <w:rFonts w:eastAsia="Times New Roman"/>
          <w:color w:val="000000" w:themeColor="text1"/>
          <w:lang w:eastAsia="zh-CN"/>
        </w:rPr>
        <w:t xml:space="preserve"> measured.</w:t>
      </w:r>
      <w:r w:rsidRPr="00387397">
        <w:rPr>
          <w:rFonts w:eastAsia="Times New Roman"/>
          <w:color w:val="000000" w:themeColor="text1"/>
          <w:lang w:eastAsia="zh-CN"/>
        </w:rPr>
        <w:t xml:space="preserve"> </w:t>
      </w:r>
      <w:r w:rsidR="00772D87" w:rsidRPr="00387397">
        <w:rPr>
          <w:color w:val="000000" w:themeColor="text1"/>
        </w:rPr>
        <w:t xml:space="preserve">Often, </w:t>
      </w:r>
      <w:r w:rsidR="00283575">
        <w:rPr>
          <w:color w:val="000000" w:themeColor="text1"/>
        </w:rPr>
        <w:t xml:space="preserve">scholars make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precise definitions</w:t>
      </w:r>
      <w:r w:rsidR="001A05B2" w:rsidRPr="00387397">
        <w:rPr>
          <w:color w:val="000000" w:themeColor="text1"/>
        </w:rPr>
        <w:t xml:space="preserve"> or</w:t>
      </w:r>
      <w:r w:rsidR="006958FE" w:rsidRPr="00387397">
        <w:rPr>
          <w:color w:val="000000" w:themeColor="text1"/>
        </w:rPr>
        <w:t xml:space="preserve">, conversely, </w:t>
      </w:r>
      <w:r w:rsidR="00283575">
        <w:rPr>
          <w:color w:val="000000" w:themeColor="text1"/>
        </w:rPr>
        <w:t>make conclusions based only</w:t>
      </w:r>
      <w:r w:rsidR="006958FE" w:rsidRPr="00387397">
        <w:rPr>
          <w:color w:val="000000" w:themeColor="text1"/>
        </w:rPr>
        <w:t xml:space="preserve"> on</w:t>
      </w:r>
      <w:r w:rsidR="00F16042" w:rsidRPr="00387397">
        <w:rPr>
          <w:color w:val="000000" w:themeColor="text1"/>
        </w:rPr>
        <w:t xml:space="preserve"> </w:t>
      </w:r>
      <w:r w:rsidR="00EA4FBC" w:rsidRPr="00387397">
        <w:rPr>
          <w:color w:val="000000" w:themeColor="text1"/>
        </w:rPr>
        <w:t xml:space="preserve">a small subset of the issues </w:t>
      </w:r>
      <w:r w:rsidR="003D186E" w:rsidRPr="00387397">
        <w:rPr>
          <w:color w:val="000000" w:themeColor="text1"/>
        </w:rPr>
        <w:t>that</w:t>
      </w:r>
      <w:r w:rsidR="00EA4FBC" w:rsidRPr="00387397">
        <w:rPr>
          <w:color w:val="000000" w:themeColor="text1"/>
        </w:rPr>
        <w:t xml:space="preserve"> program</w:t>
      </w:r>
      <w:r w:rsidR="003D186E" w:rsidRPr="00387397">
        <w:rPr>
          <w:color w:val="000000" w:themeColor="text1"/>
        </w:rPr>
        <w:t>s</w:t>
      </w:r>
      <w:r w:rsidR="00EA4FBC" w:rsidRPr="00387397">
        <w:rPr>
          <w:color w:val="000000" w:themeColor="text1"/>
        </w:rPr>
        <w:t xml:space="preserve"> </w:t>
      </w:r>
      <w:r w:rsidR="003D186E" w:rsidRPr="00387397">
        <w:rPr>
          <w:color w:val="000000" w:themeColor="text1"/>
        </w:rPr>
        <w:t>address</w:t>
      </w:r>
      <w:r w:rsidR="00EA4FBC" w:rsidRPr="00387397">
        <w:rPr>
          <w:color w:val="000000" w:themeColor="text1"/>
        </w:rPr>
        <w:t>.</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D40112" w:rsidRPr="00387397">
        <w:rPr>
          <w:rFonts w:eastAsia="Times New Roman"/>
          <w:color w:val="000000" w:themeColor="text1"/>
          <w:lang w:eastAsia="zh-CN"/>
        </w:rPr>
        <w:t xml:space="preserve">The lack of common measures of </w:t>
      </w:r>
      <w:r w:rsidR="00D40112" w:rsidRPr="00387397">
        <w:rPr>
          <w:rFonts w:eastAsia="Times New Roman"/>
          <w:color w:val="000000" w:themeColor="text1"/>
          <w:lang w:eastAsia="zh-CN"/>
        </w:rPr>
        <w:lastRenderedPageBreak/>
        <w:t xml:space="preserve">stringency also fuels public debates over which </w:t>
      </w:r>
      <w:r w:rsidR="00B32DA0" w:rsidRPr="00387397">
        <w:rPr>
          <w:rFonts w:eastAsia="Times New Roman"/>
          <w:color w:val="000000" w:themeColor="text1"/>
          <w:lang w:eastAsia="zh-CN"/>
        </w:rPr>
        <w:t>programs</w:t>
      </w:r>
      <w:r w:rsidR="00D40112" w:rsidRPr="00387397">
        <w:rPr>
          <w:rFonts w:eastAsia="Times New Roman"/>
          <w:color w:val="000000" w:themeColor="text1"/>
          <w:lang w:eastAsia="zh-CN"/>
        </w:rPr>
        <w:t>, if any</w:t>
      </w:r>
      <w:r w:rsidR="00B32DA0" w:rsidRPr="00387397">
        <w:rPr>
          <w:rFonts w:eastAsia="Times New Roman"/>
          <w:color w:val="000000" w:themeColor="text1"/>
          <w:lang w:eastAsia="zh-CN"/>
        </w:rPr>
        <w:t>,</w:t>
      </w:r>
      <w:r w:rsidR="00D40112" w:rsidRPr="00387397">
        <w:rPr>
          <w:rFonts w:eastAsia="Times New Roman"/>
          <w:color w:val="000000" w:themeColor="text1"/>
          <w:lang w:eastAsia="zh-CN"/>
        </w:rPr>
        <w:t xml:space="preserve"> might advance various </w:t>
      </w:r>
      <w:r w:rsidR="00283575">
        <w:rPr>
          <w:rFonts w:eastAsia="Times New Roman"/>
          <w:color w:val="000000" w:themeColor="text1"/>
          <w:lang w:eastAsia="zh-CN"/>
        </w:rPr>
        <w:t xml:space="preserve">social and ecological </w:t>
      </w:r>
      <w:r w:rsidR="00D40112" w:rsidRPr="00387397">
        <w:rPr>
          <w:rFonts w:eastAsia="Times New Roman"/>
          <w:color w:val="000000" w:themeColor="text1"/>
          <w:lang w:eastAsia="zh-CN"/>
        </w:rPr>
        <w:t xml:space="preserve">goals. </w:t>
      </w:r>
      <w:r w:rsidR="001F0035" w:rsidRPr="00387397">
        <w:rPr>
          <w:color w:val="000000" w:themeColor="text1"/>
        </w:rPr>
        <w:t>Indeed,</w:t>
      </w:r>
      <w:r w:rsidR="00D84095" w:rsidRPr="00387397">
        <w:rPr>
          <w:color w:val="000000" w:themeColor="text1"/>
        </w:rPr>
        <w:t xml:space="preserve"> m</w:t>
      </w:r>
      <w:r w:rsidR="00735013" w:rsidRPr="00387397">
        <w:rPr>
          <w:color w:val="000000" w:themeColor="text1"/>
        </w:rPr>
        <w:t xml:space="preserve">easuring policy change is a long-recognized </w:t>
      </w:r>
      <w:r w:rsidR="001F0035" w:rsidRPr="00387397">
        <w:rPr>
          <w:color w:val="000000" w:themeColor="text1"/>
        </w:rPr>
        <w:t>challenge</w:t>
      </w:r>
      <w:r w:rsidR="00735013" w:rsidRPr="00387397">
        <w:rPr>
          <w:color w:val="000000" w:themeColor="text1"/>
        </w:rPr>
        <w:t xml:space="preserve"> in</w:t>
      </w:r>
      <w:r w:rsidR="00D255B0" w:rsidRPr="00387397">
        <w:rPr>
          <w:color w:val="000000" w:themeColor="text1"/>
        </w:rPr>
        <w:t xml:space="preserve"> the study of policy dynamics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"10.1093/0198297564.003.0014", "ISBN" : "0035-2969", "ISSN" : "00352969", "abstract" : "The advanced industrial democracies face mounting pressures to reform their welfare states at the same time that social programs generally continue to elicit substantial political support. Caught between the resilience of social programs and a context of permanent austerity, the politics of reform have generally centered on efforts to construct broad coalitions in support of restructuring rather than dismantling of mature welfare states. Understanding the dynamics of reform requires an appreciation for the distinct dimensions of reform (which I term cost containment, recommodification, and recalibration) and the distinctive political and policy configurations that operate in liberal, conservative, and social democratic welfare regimes.", "author" : [ { "dropping-particle" : "", "family" : "Pierson", "given" : "Paul", "non-dropping-particle" : "", "parse-names" : false, "suffix" : "" } ], "container-title" : "The New Politics of the Welfare State", "id" : "ITEM-1", "issued" : { "date-parts" : [ [ "2001" ] ] }, "page" : "410-456", "title" : "Coping With Permanent Austerity Welfare State Restructuring in Affluent Democracies", "type" : "chapter" }, "uris" : [ "http://www.mendeley.com/documents/?uuid=696b730f-ab6b-4f3c-b124-d1182f81cf27" ] } ], "mendeley" : { "formattedCitation" : "(Pierson, 2001)", "plainTextFormattedCitation" : "(Pierson, 2001)", "previouslyFormattedCitation" : "(Pierson, 2001)"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(Pierson, 2001)</w:t>
      </w:r>
      <w:r w:rsidR="00D255B0" w:rsidRPr="00387397">
        <w:rPr>
          <w:color w:val="000000" w:themeColor="text1"/>
        </w:rPr>
        <w:fldChar w:fldCharType="end"/>
      </w:r>
      <w:r w:rsidR="00D255B0" w:rsidRPr="00387397">
        <w:rPr>
          <w:color w:val="000000" w:themeColor="text1"/>
        </w:rPr>
        <w:t xml:space="preserve">. As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w:t>
      </w:r>
      <w:r w:rsidR="00D255B0" w:rsidRPr="00387397">
        <w:rPr>
          <w:color w:val="000000" w:themeColor="text1"/>
        </w:rPr>
        <w:fldChar w:fldCharType="end"/>
      </w:r>
      <w:r w:rsidR="00D255B0" w:rsidRPr="00387397">
        <w:rPr>
          <w:color w:val="000000" w:themeColor="text1"/>
        </w:rPr>
        <w:t xml:space="preserve"> argues “the debate about explanations of variations in [policy] cannot move</w:t>
      </w:r>
      <w:r w:rsidR="00D255B0" w:rsidRPr="00387397">
        <w:rPr>
          <w:rFonts w:eastAsia="MS Mincho"/>
          <w:color w:val="000000" w:themeColor="text1"/>
        </w:rPr>
        <w:t xml:space="preserve"> </w:t>
      </w:r>
      <w:r w:rsidR="00D255B0" w:rsidRPr="00387397">
        <w:rPr>
          <w:color w:val="000000" w:themeColor="text1"/>
        </w:rPr>
        <w:t>beyond the stage of hypotheses before the dependent variable problem has been</w:t>
      </w:r>
      <w:r w:rsidR="00D255B0" w:rsidRPr="00387397">
        <w:rPr>
          <w:rFonts w:eastAsia="MS Mincho"/>
          <w:color w:val="000000" w:themeColor="text1"/>
        </w:rPr>
        <w:t xml:space="preserve"> </w:t>
      </w:r>
      <w:r w:rsidR="00D255B0" w:rsidRPr="00387397">
        <w:rPr>
          <w:color w:val="000000" w:themeColor="text1"/>
        </w:rPr>
        <w:t xml:space="preserve">addressed”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A rich public policy scholarship has emerged to address the challenge of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(for a review, see Howlett &amp; Cashore, 2014)</w:t>
      </w:r>
      <w:r w:rsidR="00D255B0" w:rsidRPr="00387397">
        <w:rPr>
          <w:color w:val="000000" w:themeColor="text1"/>
        </w:rPr>
        <w:fldChar w:fldCharType="end"/>
      </w:r>
      <w:r w:rsidR="00D255B0" w:rsidRPr="00387397">
        <w:rPr>
          <w:color w:val="000000" w:themeColor="text1"/>
        </w:rPr>
        <w:t xml:space="preserve">. </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0243FFE7" w:rsidR="00A95CF9" w:rsidRPr="00387397" w:rsidRDefault="006E2BF5" w:rsidP="00387397">
      <w:pPr>
        <w:spacing w:line="480" w:lineRule="auto"/>
        <w:rPr>
          <w:color w:val="000000" w:themeColor="text1"/>
        </w:rPr>
      </w:pPr>
      <w:r w:rsidRPr="00387397">
        <w:rPr>
          <w:color w:val="000000" w:themeColor="text1"/>
        </w:rPr>
        <w:t>To address this gap</w:t>
      </w:r>
      <w:r w:rsidR="00B32DA0" w:rsidRPr="00387397">
        <w:rPr>
          <w:color w:val="000000" w:themeColor="text1"/>
        </w:rPr>
        <w:t xml:space="preserve"> in private governance scholarship</w:t>
      </w:r>
      <w:r w:rsidRPr="00387397">
        <w:rPr>
          <w:color w:val="000000" w:themeColor="text1"/>
        </w:rPr>
        <w:t xml:space="preserve">, we </w:t>
      </w:r>
      <w:r w:rsidR="00D255B0" w:rsidRPr="00387397">
        <w:rPr>
          <w:color w:val="000000" w:themeColor="text1"/>
        </w:rPr>
        <w:t xml:space="preserve">build on public policy </w:t>
      </w:r>
      <w:r w:rsidR="00B32DA0" w:rsidRPr="00387397">
        <w:rPr>
          <w:color w:val="000000" w:themeColor="text1"/>
        </w:rPr>
        <w:t>concepts</w:t>
      </w:r>
      <w:r w:rsidR="00D255B0" w:rsidRPr="00387397">
        <w:rPr>
          <w:color w:val="000000" w:themeColor="text1"/>
        </w:rPr>
        <w:t xml:space="preserve">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Pr="00387397">
        <w:rPr>
          <w:color w:val="000000" w:themeColor="text1"/>
        </w:rPr>
        <w:t xml:space="preserve">framework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BC4EF6" w:rsidRPr="00387397">
        <w:rPr>
          <w:color w:val="000000" w:themeColor="text1"/>
        </w:rPr>
        <w:t xml:space="preserve">disentangles three </w:t>
      </w:r>
      <w:r w:rsidR="00161EF7" w:rsidRPr="00387397">
        <w:rPr>
          <w:color w:val="000000" w:themeColor="text1"/>
        </w:rPr>
        <w:t xml:space="preserve">research questions </w:t>
      </w:r>
      <w:r w:rsidR="00BC4EF6" w:rsidRPr="00387397">
        <w:rPr>
          <w:color w:val="000000" w:themeColor="text1"/>
        </w:rPr>
        <w:t xml:space="preserve">that, together,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A3A57" w:rsidRPr="00387397">
        <w:rPr>
          <w:color w:val="000000" w:themeColor="text1"/>
        </w:rPr>
        <w:t xml:space="preserve"> for</w:t>
      </w:r>
      <w:r w:rsidR="00B32DA0" w:rsidRPr="00387397">
        <w:rPr>
          <w:color w:val="000000" w:themeColor="text1"/>
        </w:rPr>
        <w:t xml:space="preserve"> a given policy text</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E90242" w:rsidRPr="00387397">
        <w:rPr>
          <w:color w:val="000000" w:themeColor="text1"/>
        </w:rPr>
        <w:t xml:space="preserve">specific </w:t>
      </w:r>
      <w:r w:rsidR="00E90242" w:rsidRPr="00387397">
        <w:rPr>
          <w:bCs/>
          <w:iCs/>
          <w:color w:val="000000" w:themeColor="text1"/>
        </w:rPr>
        <w:t>policy settings</w:t>
      </w:r>
      <w:r w:rsidR="006958FE" w:rsidRPr="00387397">
        <w:rPr>
          <w:bCs/>
          <w:i/>
          <w:iCs/>
          <w:color w:val="000000" w:themeColor="text1"/>
        </w:rPr>
        <w:t xml:space="preserve"> </w:t>
      </w:r>
      <w:r w:rsidR="00F20F3C" w:rsidRPr="00387397">
        <w:rPr>
          <w:bCs/>
          <w:iCs/>
          <w:color w:val="000000" w:themeColor="text1"/>
        </w:rPr>
        <w:t>in terms of the</w:t>
      </w:r>
      <w:r w:rsidR="00E90242" w:rsidRPr="00387397">
        <w:rPr>
          <w:bCs/>
          <w:iCs/>
          <w:color w:val="000000" w:themeColor="text1"/>
        </w:rPr>
        <w:t xml:space="preserve"> qualitative and quantitative</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F20F3C" w:rsidRPr="00387397">
        <w:rPr>
          <w:bCs/>
          <w:iCs/>
          <w:color w:val="000000" w:themeColor="text1"/>
        </w:rPr>
        <w:t xml:space="preserve"> required</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possible patterns describing</w:t>
      </w:r>
      <w:r w:rsidR="00013F0A" w:rsidRPr="00387397">
        <w:rPr>
          <w:color w:val="000000" w:themeColor="text1"/>
        </w:rPr>
        <w:t xml:space="preserve"> both</w:t>
      </w:r>
      <w:r w:rsidR="00844F6E" w:rsidRPr="00387397">
        <w:rPr>
          <w:color w:val="000000" w:themeColor="text1"/>
        </w:rPr>
        <w:t xml:space="preserv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direction of 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2DE44476" w:rsidR="00DD7F8E" w:rsidRPr="00387397" w:rsidRDefault="005B375F" w:rsidP="00387397">
      <w:pPr>
        <w:spacing w:line="480" w:lineRule="auto"/>
        <w:rPr>
          <w:color w:val="000000" w:themeColor="text1"/>
        </w:rPr>
      </w:pPr>
      <w:r w:rsidRPr="00387397">
        <w:t xml:space="preserve">Applying </w:t>
      </w:r>
      <w:r w:rsidR="00013F0A" w:rsidRPr="00387397">
        <w:t>this</w:t>
      </w:r>
      <w:r w:rsidR="00DD7F8E" w:rsidRPr="00387397">
        <w:t xml:space="preserve"> framework</w:t>
      </w:r>
      <w:r w:rsidR="00A4707F" w:rsidRPr="00387397">
        <w:t xml:space="preserve"> resolves puzzling discrepancies</w:t>
      </w:r>
      <w:r w:rsidR="00DD7F8E" w:rsidRPr="00387397">
        <w:t xml:space="preserve"> in</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7A3743" w:rsidRPr="00387397">
        <w:t>For example, a</w:t>
      </w:r>
      <w:r w:rsidR="0015240E" w:rsidRPr="00387397">
        <w:t>s we show below,</w:t>
      </w:r>
      <w:r w:rsidR="00BD44E2" w:rsidRPr="00387397">
        <w:t xml:space="preserve"> </w:t>
      </w:r>
      <w:r w:rsidR="00DD7F8E" w:rsidRPr="00387397">
        <w:t xml:space="preserve">some scholars </w:t>
      </w:r>
      <w:r w:rsidR="00A4707F" w:rsidRPr="00387397">
        <w:t>theorize—</w:t>
      </w:r>
      <w:r w:rsidR="00DD7F8E" w:rsidRPr="00387397">
        <w:t>and</w:t>
      </w:r>
      <w:r w:rsidR="00D11324" w:rsidRPr="00387397">
        <w:t xml:space="preserve"> find empirical support </w:t>
      </w:r>
      <w:r w:rsidR="00D11324" w:rsidRPr="00387397">
        <w:lastRenderedPageBreak/>
        <w:t>for</w:t>
      </w:r>
      <w:r w:rsidR="00A4707F" w:rsidRPr="00387397">
        <w:t>—</w:t>
      </w:r>
      <w:r w:rsidR="00D11324" w:rsidRPr="00387397">
        <w:t xml:space="preserve">dynamics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ther scholars theorize—</w:t>
      </w:r>
      <w:r w:rsidR="00DD7F8E" w:rsidRPr="00387397">
        <w:t>and find empirical</w:t>
      </w:r>
      <w:r w:rsidR="00A4707F" w:rsidRPr="00387397">
        <w:t xml:space="preserve"> s</w:t>
      </w:r>
      <w:r w:rsidR="00013F0A" w:rsidRPr="00387397">
        <w:t>upport for—the opposite dynamic</w:t>
      </w:r>
      <w:r w:rsidR="00A4707F" w:rsidRPr="00387397">
        <w:t xml:space="preserve"> where</w:t>
      </w:r>
      <w:r w:rsidR="00DD7F8E" w:rsidRPr="00387397">
        <w:t xml:space="preserve"> competition pressures </w:t>
      </w:r>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E5492A" w:rsidRPr="00387397">
        <w:rPr>
          <w:color w:val="000000" w:themeColor="text1"/>
        </w:rPr>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theorize—and find empirical support for—dynamics where programs </w:t>
      </w:r>
      <w:r w:rsidR="00D11324" w:rsidRPr="00387397">
        <w:t>maintain different levels of stringency</w:t>
      </w:r>
      <w:r w:rsidR="007A3743" w:rsidRPr="00387397">
        <w:t>,</w:t>
      </w:r>
      <w:r w:rsidR="004D0D13" w:rsidRPr="00387397">
        <w:t xml:space="preserve"> i.e.</w:t>
      </w:r>
      <w:r w:rsidR="007A3743" w:rsidRPr="00387397">
        <w:t xml:space="preserve"> not converging to the “top” or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We </w:t>
      </w:r>
      <w:r w:rsidR="00735DC2" w:rsidRPr="00387397">
        <w:t>argue</w:t>
      </w:r>
      <w:r w:rsidR="00D11324" w:rsidRPr="00387397">
        <w:t xml:space="preserve"> that each set of findings is </w:t>
      </w:r>
      <w:r w:rsidR="00735DC2" w:rsidRPr="00387397">
        <w:t>correct</w:t>
      </w:r>
      <w:r w:rsidR="00D11324" w:rsidRPr="00387397">
        <w:t xml:space="preserve"> given the measurement strategy </w:t>
      </w:r>
      <w:r w:rsidR="004D0D13" w:rsidRPr="00387397">
        <w:t>employed</w:t>
      </w:r>
      <w:r w:rsidR="00A4707F" w:rsidRPr="00387397">
        <w:t xml:space="preserve">, but </w:t>
      </w:r>
      <w:r w:rsidR="00891DFE">
        <w:t>adjudicating among these claims</w:t>
      </w:r>
      <w:r w:rsidR="00D11324" w:rsidRPr="00387397">
        <w:t xml:space="preserve"> </w:t>
      </w:r>
      <w:r w:rsidR="00891DFE">
        <w:t>will</w:t>
      </w:r>
      <w:r w:rsidR="00A4707F" w:rsidRPr="00387397">
        <w:t xml:space="preserve"> </w:t>
      </w:r>
      <w:r w:rsidR="0031620D" w:rsidRPr="00387397">
        <w:t>require</w:t>
      </w:r>
      <w:r w:rsidR="00577DA3" w:rsidRPr="00387397">
        <w:t xml:space="preserve"> </w:t>
      </w:r>
      <w:r w:rsidR="00735013" w:rsidRPr="00387397">
        <w:t xml:space="preserve">further </w:t>
      </w:r>
      <w:r w:rsidR="00577DA3" w:rsidRPr="00387397">
        <w:t>refinement</w:t>
      </w:r>
      <w:r w:rsidR="0000243F" w:rsidRPr="00387397">
        <w:t>s</w:t>
      </w:r>
      <w:r w:rsidR="00577DA3" w:rsidRPr="00387397">
        <w:t xml:space="preserve"> in</w:t>
      </w:r>
      <w:r w:rsidR="00D11324" w:rsidRPr="00387397">
        <w:t xml:space="preserve"> both </w:t>
      </w:r>
      <w:r w:rsidR="0044706A" w:rsidRPr="00387397">
        <w:t xml:space="preserve">the </w:t>
      </w:r>
      <w:r w:rsidR="00D11324" w:rsidRPr="00387397">
        <w:t>measurement</w:t>
      </w:r>
      <w:r w:rsidR="00A4707F" w:rsidRPr="00387397">
        <w:t xml:space="preserve"> of regulatory stringency</w:t>
      </w:r>
      <w:r w:rsidR="004D0D13" w:rsidRPr="00387397">
        <w:t xml:space="preserve"> and theor</w:t>
      </w:r>
      <w:r w:rsidR="00891DFE">
        <w:t>ies</w:t>
      </w:r>
      <w:r w:rsidR="00596FA1">
        <w:t xml:space="preserve"> about</w:t>
      </w:r>
      <w:r w:rsidR="00891DFE">
        <w:t xml:space="preserve"> why</w:t>
      </w:r>
      <w:r w:rsidR="00596FA1" w:rsidRPr="00387397">
        <w:t xml:space="preserve"> private regulations change</w:t>
      </w:r>
      <w:r w:rsidR="00D11324" w:rsidRPr="00387397">
        <w:t>.</w:t>
      </w:r>
      <w:r w:rsidR="00A4707F" w:rsidRPr="00387397">
        <w:t xml:space="preserve"> </w:t>
      </w:r>
    </w:p>
    <w:p w14:paraId="33E4E4EF" w14:textId="77777777" w:rsidR="001F6B43" w:rsidRPr="00387397" w:rsidRDefault="001F6B43" w:rsidP="00387397">
      <w:pPr>
        <w:spacing w:line="480" w:lineRule="auto"/>
        <w:rPr>
          <w:color w:val="000000" w:themeColor="text1"/>
        </w:rPr>
      </w:pPr>
    </w:p>
    <w:p w14:paraId="4896F3AD" w14:textId="44B7E1A3" w:rsidR="000E1860" w:rsidRPr="00387397" w:rsidRDefault="001F6B43" w:rsidP="00387397">
      <w:pPr>
        <w:spacing w:line="480" w:lineRule="auto"/>
        <w:rPr>
          <w:color w:val="000000" w:themeColor="text1"/>
        </w:rPr>
      </w:pPr>
      <w:r w:rsidRPr="00387397">
        <w:rPr>
          <w:color w:val="000000" w:themeColor="text1"/>
        </w:rPr>
        <w:t xml:space="preserve">We proceed in the following steps. The next section highlights the importance of concepts of regulatory stringency for theories of private governance and then reviews conceptual and measurement approaches taken by scholars to date. We show how most studies employ </w:t>
      </w:r>
      <w:r w:rsidR="000E36A4" w:rsidRPr="00387397">
        <w:rPr>
          <w:color w:val="000000" w:themeColor="text1"/>
        </w:rPr>
        <w:t>abstract definitions or select</w:t>
      </w:r>
      <w:r w:rsidRPr="00387397">
        <w:rPr>
          <w:color w:val="000000" w:themeColor="text1"/>
        </w:rPr>
        <w:t xml:space="preserve"> evidence, </w:t>
      </w:r>
      <w:r w:rsidR="000E1860" w:rsidRPr="00387397">
        <w:rPr>
          <w:color w:val="000000" w:themeColor="text1"/>
        </w:rPr>
        <w:t xml:space="preserve">leading to seemingly contradictory conclusions and </w:t>
      </w:r>
      <w:r w:rsidRPr="00387397">
        <w:rPr>
          <w:color w:val="000000" w:themeColor="text1"/>
        </w:rPr>
        <w:t xml:space="preserve">frustrating efforts to assess theories. In response, section three presents </w:t>
      </w:r>
      <w:r w:rsidR="000E1860" w:rsidRPr="00387397">
        <w:rPr>
          <w:color w:val="000000" w:themeColor="text1"/>
        </w:rPr>
        <w:t>a</w:t>
      </w:r>
      <w:r w:rsidRPr="00387397">
        <w:rPr>
          <w:color w:val="000000" w:themeColor="text1"/>
        </w:rPr>
        <w:t xml:space="preserve"> two-part framework</w:t>
      </w:r>
      <w:r w:rsidR="000E1860" w:rsidRPr="00387397">
        <w:rPr>
          <w:color w:val="000000" w:themeColor="text1"/>
        </w:rPr>
        <w:t xml:space="preserve"> for measuring</w:t>
      </w:r>
      <w:r w:rsidR="000C4F48" w:rsidRPr="00387397">
        <w:rPr>
          <w:color w:val="000000" w:themeColor="text1"/>
        </w:rPr>
        <w:t xml:space="preserve"> </w:t>
      </w:r>
      <w:r w:rsidR="00D465EE" w:rsidRPr="00387397">
        <w:rPr>
          <w:color w:val="000000" w:themeColor="text1"/>
        </w:rPr>
        <w:t>scope</w:t>
      </w:r>
      <w:r w:rsidR="00285347" w:rsidRPr="00387397">
        <w:rPr>
          <w:color w:val="000000" w:themeColor="text1"/>
        </w:rPr>
        <w:t>, prescriptiveness</w:t>
      </w:r>
      <w:r w:rsidR="00E90242" w:rsidRPr="00387397">
        <w:rPr>
          <w:color w:val="000000" w:themeColor="text1"/>
        </w:rPr>
        <w:t>,</w:t>
      </w:r>
      <w:r w:rsidR="00285347" w:rsidRPr="00387397">
        <w:rPr>
          <w:color w:val="000000" w:themeColor="text1"/>
        </w:rPr>
        <w:t xml:space="preserve"> and </w:t>
      </w:r>
      <w:r w:rsidR="004D0D13" w:rsidRPr="00387397">
        <w:rPr>
          <w:color w:val="000000" w:themeColor="text1"/>
        </w:rPr>
        <w:t xml:space="preserve">policy settings </w:t>
      </w:r>
      <w:r w:rsidR="000E36A4" w:rsidRPr="00387397">
        <w:rPr>
          <w:color w:val="000000" w:themeColor="text1"/>
        </w:rPr>
        <w:t>and</w:t>
      </w:r>
      <w:r w:rsidR="007A3A57" w:rsidRPr="00387397">
        <w:rPr>
          <w:color w:val="000000" w:themeColor="text1"/>
        </w:rPr>
        <w:t xml:space="preserve"> </w:t>
      </w:r>
      <w:r w:rsidR="000E36A4" w:rsidRPr="00387397">
        <w:rPr>
          <w:color w:val="000000" w:themeColor="text1"/>
        </w:rPr>
        <w:t xml:space="preserve">the </w:t>
      </w:r>
      <w:r w:rsidR="00F4039A" w:rsidRPr="00387397">
        <w:rPr>
          <w:color w:val="000000" w:themeColor="text1"/>
        </w:rPr>
        <w:t>nine possible patter</w:t>
      </w:r>
      <w:r w:rsidR="00537C58" w:rsidRPr="00387397">
        <w:rPr>
          <w:color w:val="000000" w:themeColor="text1"/>
        </w:rPr>
        <w:t>n</w:t>
      </w:r>
      <w:r w:rsidR="00F4039A" w:rsidRPr="00387397">
        <w:rPr>
          <w:color w:val="000000" w:themeColor="text1"/>
        </w:rPr>
        <w:t xml:space="preserve">s of </w:t>
      </w:r>
      <w:r w:rsidR="000E1860" w:rsidRPr="00387397">
        <w:rPr>
          <w:color w:val="000000" w:themeColor="text1"/>
        </w:rPr>
        <w:t>relative</w:t>
      </w:r>
      <w:r w:rsidR="000C4F48" w:rsidRPr="00387397">
        <w:rPr>
          <w:color w:val="000000" w:themeColor="text1"/>
        </w:rPr>
        <w:t xml:space="preserve"> </w:t>
      </w:r>
      <w:r w:rsidR="00F4039A" w:rsidRPr="00387397">
        <w:rPr>
          <w:color w:val="000000" w:themeColor="text1"/>
        </w:rPr>
        <w:t>change.</w:t>
      </w:r>
      <w:r w:rsidR="003C5AC4" w:rsidRPr="00387397">
        <w:rPr>
          <w:color w:val="000000" w:themeColor="text1"/>
        </w:rPr>
        <w:t xml:space="preserve"> </w:t>
      </w:r>
      <w:r w:rsidR="00C76E44" w:rsidRPr="00387397">
        <w:t>While th</w:t>
      </w:r>
      <w:r w:rsidR="0085794B" w:rsidRPr="00387397">
        <w:t xml:space="preserve">is </w:t>
      </w:r>
      <w:r w:rsidR="007A3A57" w:rsidRPr="00387397">
        <w:t>two-part</w:t>
      </w:r>
      <w:r w:rsidR="0085794B" w:rsidRPr="00387397">
        <w:t xml:space="preserve"> framework </w:t>
      </w:r>
      <w:r w:rsidR="0085768A" w:rsidRPr="00387397">
        <w:t xml:space="preserve">can </w:t>
      </w:r>
      <w:r w:rsidR="000030A9" w:rsidRPr="00387397">
        <w:t xml:space="preserve">be applied </w:t>
      </w:r>
      <w:r w:rsidR="00F4039A" w:rsidRPr="00387397">
        <w:t xml:space="preserve">to any regulation, we </w:t>
      </w:r>
      <w:r w:rsidR="000E1860" w:rsidRPr="00387397">
        <w:t>focus</w:t>
      </w:r>
      <w:r w:rsidR="005F1131" w:rsidRPr="00387397">
        <w:t xml:space="preserve"> on </w:t>
      </w:r>
      <w:r w:rsidR="00F4039A" w:rsidRPr="00387397">
        <w:t>private governance</w:t>
      </w:r>
      <w:r w:rsidR="005F1131" w:rsidRPr="00387397">
        <w:t xml:space="preserve"> </w:t>
      </w:r>
      <w:r w:rsidRPr="00387397">
        <w:t>where</w:t>
      </w:r>
      <w:r w:rsidR="00E707B8" w:rsidRPr="00387397">
        <w:t xml:space="preserve">, compared to </w:t>
      </w:r>
      <w:r w:rsidR="00891DFE">
        <w:t>public policy scholarship</w:t>
      </w:r>
      <w:r w:rsidR="00E707B8" w:rsidRPr="00387397">
        <w:t>,</w:t>
      </w:r>
      <w:r w:rsidR="007A3A57" w:rsidRPr="00387397">
        <w:t xml:space="preserve"> policy content has </w:t>
      </w:r>
      <w:r w:rsidR="005F1131" w:rsidRPr="00387397">
        <w:t xml:space="preserve">been given </w:t>
      </w:r>
      <w:r w:rsidR="00E10B1A" w:rsidRPr="00387397">
        <w:t xml:space="preserve">relatively less </w:t>
      </w:r>
      <w:r w:rsidR="005F1131" w:rsidRPr="00387397">
        <w:t>sys</w:t>
      </w:r>
      <w:r w:rsidR="007A3A57" w:rsidRPr="00387397">
        <w:t>tematic attention</w:t>
      </w:r>
      <w:r w:rsidR="00F4039A" w:rsidRPr="00387397">
        <w:t>.</w:t>
      </w:r>
      <w:r w:rsidR="00E85DFF" w:rsidRPr="00387397">
        <w:rPr>
          <w:rStyle w:val="EndnoteReference"/>
        </w:rPr>
        <w:endnoteReference w:id="2"/>
      </w:r>
      <w:r w:rsidR="00F4039A" w:rsidRPr="00387397">
        <w:t xml:space="preserve"> </w:t>
      </w:r>
      <w:r w:rsidR="00167131" w:rsidRPr="00387397">
        <w:t xml:space="preserve"> </w:t>
      </w:r>
    </w:p>
    <w:p w14:paraId="76829C6A" w14:textId="77777777" w:rsidR="000E778E" w:rsidRPr="00387397" w:rsidRDefault="000E778E" w:rsidP="00387397">
      <w:pPr>
        <w:spacing w:line="480" w:lineRule="auto"/>
        <w:rPr>
          <w:color w:val="000000" w:themeColor="text1"/>
        </w:rPr>
      </w:pPr>
    </w:p>
    <w:p w14:paraId="1B8FA856" w14:textId="68BE52DD" w:rsidR="001A065A" w:rsidRPr="00387397" w:rsidRDefault="002253F7" w:rsidP="00387397">
      <w:pPr>
        <w:spacing w:line="480" w:lineRule="auto"/>
      </w:pPr>
      <w:r w:rsidRPr="00387397">
        <w:t>In section 4, w</w:t>
      </w:r>
      <w:r w:rsidR="000E778E" w:rsidRPr="00387397">
        <w:t xml:space="preserve">e apply our framework </w:t>
      </w:r>
      <w:r w:rsidR="00DC578C" w:rsidRPr="00387397">
        <w:t xml:space="preserve">to </w:t>
      </w:r>
      <w:r w:rsidR="000E778E" w:rsidRPr="00387397">
        <w:t xml:space="preserve">competing private regulations in </w:t>
      </w:r>
      <w:r w:rsidRPr="00387397">
        <w:t>the forestry sector</w:t>
      </w:r>
      <w:r w:rsidR="000E778E" w:rsidRPr="00387397">
        <w:t xml:space="preserve">. </w:t>
      </w:r>
      <w:r w:rsidR="00167131" w:rsidRPr="00387397">
        <w:t xml:space="preserve">We </w:t>
      </w:r>
      <w:r w:rsidR="00A542B9" w:rsidRPr="00387397">
        <w:t>select</w:t>
      </w:r>
      <w:r w:rsidR="00167131" w:rsidRPr="00387397">
        <w:t xml:space="preserve"> </w:t>
      </w:r>
      <w:r w:rsidR="000E778E" w:rsidRPr="00387397">
        <w:t>the case of forest certification</w:t>
      </w:r>
      <w:r w:rsidR="00167131" w:rsidRPr="00387397">
        <w:t xml:space="preserve"> because </w:t>
      </w:r>
      <w:r w:rsidR="000E778E" w:rsidRPr="00387397">
        <w:t>of its long</w:t>
      </w:r>
      <w:r w:rsidR="00167131" w:rsidRPr="00387397">
        <w:t xml:space="preserve"> history</w:t>
      </w:r>
      <w:r w:rsidR="000E778E" w:rsidRPr="00387397">
        <w:t xml:space="preserve"> of private governance </w:t>
      </w:r>
      <w:r w:rsidR="00167131" w:rsidRPr="00387397">
        <w:t xml:space="preserve">and often </w:t>
      </w:r>
      <w:r w:rsidR="00167131" w:rsidRPr="00387397">
        <w:lastRenderedPageBreak/>
        <w:t xml:space="preserve">highly polarized efforts among competing programs to achieve, or maintain, </w:t>
      </w:r>
      <w:r w:rsidR="000E778E" w:rsidRPr="00387397">
        <w:t>rulemaking</w:t>
      </w:r>
      <w:r w:rsidR="00167131" w:rsidRPr="00387397">
        <w:t xml:space="preserve"> authority.</w:t>
      </w:r>
      <w:r w:rsidR="00167131" w:rsidRPr="00387397">
        <w:rPr>
          <w:rStyle w:val="EndnoteReference"/>
          <w:color w:val="000000" w:themeColor="text1"/>
        </w:rPr>
        <w:endnoteReference w:id="3"/>
      </w:r>
      <w:r w:rsidRPr="00387397">
        <w:t xml:space="preserve"> </w:t>
      </w:r>
      <w:r w:rsidR="00BF70D3" w:rsidRPr="00387397">
        <w:rPr>
          <w:color w:val="000000" w:themeColor="text1"/>
        </w:rPr>
        <w:t xml:space="preserve">Applying </w:t>
      </w:r>
      <w:r w:rsidR="0085768A" w:rsidRPr="00387397">
        <w:rPr>
          <w:color w:val="000000" w:themeColor="text1"/>
        </w:rPr>
        <w:t xml:space="preserve">our </w:t>
      </w:r>
      <w:r w:rsidR="00BF70D3" w:rsidRPr="00387397">
        <w:rPr>
          <w:color w:val="000000" w:themeColor="text1"/>
        </w:rPr>
        <w:t>framework reveals a</w:t>
      </w:r>
      <w:r w:rsidR="000E778E" w:rsidRPr="00387397">
        <w:rPr>
          <w:color w:val="000000" w:themeColor="text1"/>
        </w:rPr>
        <w:t xml:space="preserve"> new</w:t>
      </w:r>
      <w:r w:rsidR="00BF70D3" w:rsidRPr="00387397">
        <w:rPr>
          <w:color w:val="000000" w:themeColor="text1"/>
        </w:rPr>
        <w:t xml:space="preserve"> puzzle that </w:t>
      </w:r>
      <w:r w:rsidR="00C75CF3" w:rsidRPr="00387397">
        <w:rPr>
          <w:color w:val="000000" w:themeColor="text1"/>
        </w:rPr>
        <w:t>no study of which we are aware</w:t>
      </w:r>
      <w:r w:rsidR="00BF70D3" w:rsidRPr="00387397">
        <w:rPr>
          <w:color w:val="000000" w:themeColor="text1"/>
        </w:rPr>
        <w:t xml:space="preserve"> had predicted: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when comparing </w:t>
      </w:r>
      <w:r w:rsidR="0085768A" w:rsidRPr="00387397">
        <w:rPr>
          <w:color w:val="000000" w:themeColor="text1"/>
        </w:rPr>
        <w:t xml:space="preserve">the two major </w:t>
      </w:r>
      <w:r w:rsidR="00A542B9" w:rsidRPr="00387397">
        <w:rPr>
          <w:color w:val="000000" w:themeColor="text1"/>
        </w:rPr>
        <w:t xml:space="preserve">U.S. </w:t>
      </w:r>
      <w:r w:rsidR="0085768A" w:rsidRPr="00387397">
        <w:rPr>
          <w:color w:val="000000" w:themeColor="text1"/>
        </w:rPr>
        <w:t>national-level</w:t>
      </w:r>
      <w:r w:rsidR="00C75CF3" w:rsidRPr="00387397">
        <w:rPr>
          <w:color w:val="000000" w:themeColor="text1"/>
        </w:rPr>
        <w:t xml:space="preserve"> forestry certification</w:t>
      </w:r>
      <w:r w:rsidR="0085768A" w:rsidRPr="00387397">
        <w:rPr>
          <w:color w:val="000000" w:themeColor="text1"/>
        </w:rPr>
        <w:t xml:space="preserve"> programs</w:t>
      </w:r>
      <w:r w:rsidR="00D40112" w:rsidRPr="00387397">
        <w:rPr>
          <w:color w:val="000000" w:themeColor="text1"/>
        </w:rPr>
        <w:t xml:space="preserve"> on prescriptiveness</w:t>
      </w:r>
      <w:r w:rsidR="00CE3111" w:rsidRPr="00387397">
        <w:rPr>
          <w:color w:val="000000" w:themeColor="text1"/>
        </w:rPr>
        <w:t xml:space="preserve"> between 2008 and 2016</w:t>
      </w:r>
      <w:r w:rsidR="00BF70D3" w:rsidRPr="00387397">
        <w:rPr>
          <w:color w:val="000000" w:themeColor="text1"/>
        </w:rPr>
        <w:t>. T</w:t>
      </w:r>
      <w:r w:rsidR="00267F40" w:rsidRPr="00387397">
        <w:rPr>
          <w:color w:val="000000" w:themeColor="text1"/>
        </w:rPr>
        <w:t xml:space="preserve">he </w:t>
      </w:r>
      <w:r w:rsidR="00D465EE" w:rsidRPr="00387397">
        <w:rPr>
          <w:color w:val="000000" w:themeColor="text1"/>
        </w:rPr>
        <w:t xml:space="preserve">activist-backed </w:t>
      </w:r>
      <w:r w:rsidR="00C76E44" w:rsidRPr="00387397">
        <w:rPr>
          <w:color w:val="000000" w:themeColor="text1"/>
        </w:rPr>
        <w:t>program</w:t>
      </w:r>
      <w:r w:rsidR="00D465EE" w:rsidRPr="00387397">
        <w:rPr>
          <w:color w:val="000000" w:themeColor="text1"/>
        </w:rPr>
        <w:t xml:space="preserve"> </w:t>
      </w:r>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the industry-backed program</w:t>
      </w:r>
      <w:r w:rsidR="00267F40" w:rsidRPr="00387397">
        <w:rPr>
          <w:color w:val="000000" w:themeColor="text1"/>
        </w:rPr>
        <w:t xml:space="preserve">, </w:t>
      </w:r>
      <w:r w:rsidR="001F18A6" w:rsidRPr="00387397">
        <w:rPr>
          <w:color w:val="000000" w:themeColor="text1"/>
        </w:rPr>
        <w:t>producing a pattern where</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A542B9" w:rsidRPr="00387397">
        <w:rPr>
          <w:color w:val="000000" w:themeColor="text1"/>
        </w:rPr>
        <w:t xml:space="preserve"> up”</w:t>
      </w:r>
      <w:r w:rsidR="00774B3B" w:rsidRPr="00387397">
        <w:rPr>
          <w:color w:val="000000" w:themeColor="text1"/>
        </w:rPr>
        <w:t xml:space="preserve"> but also diverge in prescriptiveness</w:t>
      </w:r>
      <w:r w:rsidR="00323C02" w:rsidRPr="00387397">
        <w:rPr>
          <w:color w:val="000000" w:themeColor="text1"/>
        </w:rPr>
        <w:t xml:space="preserve">. </w:t>
      </w:r>
      <w:r w:rsidR="008E51A4" w:rsidRPr="00387397">
        <w:rPr>
          <w:color w:val="000000" w:themeColor="text1"/>
        </w:rPr>
        <w:t xml:space="preserve">Through issue-by-issue </w:t>
      </w:r>
      <w:r w:rsidR="000E778E" w:rsidRPr="00387397">
        <w:rPr>
          <w:color w:val="000000" w:themeColor="text1"/>
        </w:rPr>
        <w:t xml:space="preserve">qualitative </w:t>
      </w:r>
      <w:r w:rsidR="008E51A4" w:rsidRPr="00387397">
        <w:rPr>
          <w:color w:val="000000" w:themeColor="text1"/>
        </w:rPr>
        <w:t>comparison</w:t>
      </w:r>
      <w:r w:rsidR="000E778E" w:rsidRPr="00387397">
        <w:rPr>
          <w:color w:val="000000" w:themeColor="text1"/>
        </w:rPr>
        <w:t xml:space="preserve"> of </w:t>
      </w:r>
      <w:r w:rsidR="00D025B1" w:rsidRPr="00387397">
        <w:rPr>
          <w:color w:val="000000" w:themeColor="text1"/>
        </w:rPr>
        <w:t>specific requirements</w:t>
      </w:r>
      <w:r w:rsidR="007F38C6" w:rsidRPr="00387397">
        <w:rPr>
          <w:color w:val="000000" w:themeColor="text1"/>
        </w:rPr>
        <w:t xml:space="preserve">, </w:t>
      </w:r>
      <w:r w:rsidR="000230CA" w:rsidRPr="00387397">
        <w:rPr>
          <w:color w:val="000000" w:themeColor="text1"/>
        </w:rPr>
        <w:t xml:space="preserve">we are </w:t>
      </w:r>
      <w:r w:rsidR="00994710" w:rsidRPr="00387397">
        <w:rPr>
          <w:color w:val="000000" w:themeColor="text1"/>
        </w:rPr>
        <w:t xml:space="preserve">also </w:t>
      </w:r>
      <w:r w:rsidR="000230CA" w:rsidRPr="00387397">
        <w:rPr>
          <w:color w:val="000000" w:themeColor="text1"/>
        </w:rPr>
        <w:t xml:space="preserve">able to reflect on </w:t>
      </w:r>
      <w:r w:rsidR="007E22AB" w:rsidRPr="00387397">
        <w:rPr>
          <w:color w:val="000000" w:themeColor="text1"/>
        </w:rPr>
        <w:t xml:space="preserve">the </w:t>
      </w:r>
      <w:r w:rsidR="00994710" w:rsidRPr="00387397">
        <w:rPr>
          <w:color w:val="000000" w:themeColor="text1"/>
        </w:rPr>
        <w:t>substantive nature</w:t>
      </w:r>
      <w:r w:rsidR="000230CA" w:rsidRPr="00387397">
        <w:rPr>
          <w:color w:val="000000" w:themeColor="text1"/>
        </w:rPr>
        <w:t xml:space="preserve"> of change over time.</w:t>
      </w:r>
      <w:r w:rsidR="00267F40" w:rsidRPr="00387397">
        <w:rPr>
          <w:color w:val="000000" w:themeColor="text1"/>
        </w:rPr>
        <w:t xml:space="preserve"> For example,</w:t>
      </w:r>
      <w:r w:rsidR="003A4075" w:rsidRPr="00387397">
        <w:rPr>
          <w:color w:val="000000" w:themeColor="text1"/>
        </w:rPr>
        <w:t xml:space="preserve"> </w:t>
      </w:r>
      <w:r w:rsidR="00735013" w:rsidRPr="00387397">
        <w:rPr>
          <w:color w:val="000000" w:themeColor="text1"/>
        </w:rPr>
        <w:t>in 2010, each program change</w:t>
      </w:r>
      <w:r w:rsidR="0012515D" w:rsidRPr="00387397">
        <w:rPr>
          <w:color w:val="000000" w:themeColor="text1"/>
        </w:rPr>
        <w:t>d</w:t>
      </w:r>
      <w:r w:rsidR="00735013" w:rsidRPr="00387397">
        <w:rPr>
          <w:color w:val="000000" w:themeColor="text1"/>
        </w:rPr>
        <w:t xml:space="preserve"> most on issues </w:t>
      </w:r>
      <w:r w:rsidR="0028639A" w:rsidRPr="00387397">
        <w:rPr>
          <w:color w:val="000000" w:themeColor="text1"/>
        </w:rPr>
        <w:t>where</w:t>
      </w:r>
      <w:r w:rsidR="00735013" w:rsidRPr="00387397">
        <w:rPr>
          <w:color w:val="000000" w:themeColor="text1"/>
        </w:rPr>
        <w:t xml:space="preserve"> </w:t>
      </w:r>
      <w:r w:rsidR="0028639A" w:rsidRPr="00387397">
        <w:rPr>
          <w:color w:val="000000" w:themeColor="text1"/>
        </w:rPr>
        <w:t>it</w:t>
      </w:r>
      <w:r w:rsidR="00735013" w:rsidRPr="00387397">
        <w:rPr>
          <w:color w:val="000000" w:themeColor="text1"/>
        </w:rPr>
        <w:t xml:space="preserve"> already had the more prescriptive requirements</w:t>
      </w:r>
      <w:r w:rsidR="00CE3111" w:rsidRPr="00387397">
        <w:rPr>
          <w:color w:val="000000" w:themeColor="text1"/>
        </w:rPr>
        <w:t xml:space="preserve"> (ecological issues for the activist-backed program and industry capacity issues for the industry-backed program)</w:t>
      </w:r>
      <w:r w:rsidR="00735013" w:rsidRPr="00387397">
        <w:rPr>
          <w:color w:val="000000" w:themeColor="text1"/>
        </w:rPr>
        <w:t xml:space="preserve">, but </w:t>
      </w:r>
      <w:r w:rsidR="003A4075" w:rsidRPr="00387397">
        <w:rPr>
          <w:color w:val="000000" w:themeColor="text1"/>
        </w:rPr>
        <w:t>in 2015,</w:t>
      </w:r>
      <w:r w:rsidR="00267F40" w:rsidRPr="00387397">
        <w:rPr>
          <w:color w:val="000000" w:themeColor="text1"/>
        </w:rPr>
        <w:t xml:space="preserve"> the industry-</w:t>
      </w:r>
      <w:r w:rsidR="000030A9" w:rsidRPr="00387397">
        <w:rPr>
          <w:color w:val="000000" w:themeColor="text1"/>
        </w:rPr>
        <w:t xml:space="preserve">backed </w:t>
      </w:r>
      <w:r w:rsidR="00267F40" w:rsidRPr="00387397">
        <w:rPr>
          <w:color w:val="000000" w:themeColor="text1"/>
        </w:rPr>
        <w:t>program adopted</w:t>
      </w:r>
      <w:r w:rsidR="003A4075" w:rsidRPr="00387397">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Pr="00387397">
        <w:rPr>
          <w:color w:val="000000" w:themeColor="text1"/>
        </w:rPr>
        <w:t xml:space="preserve">emphasized by </w:t>
      </w:r>
      <w:r w:rsidR="004F119A">
        <w:rPr>
          <w:color w:val="000000" w:themeColor="text1"/>
        </w:rPr>
        <w:t>its competitor</w:t>
      </w:r>
      <w:r w:rsidR="00267F40" w:rsidRPr="00387397">
        <w:rPr>
          <w:color w:val="000000" w:themeColor="text1"/>
        </w:rPr>
        <w:t>.</w:t>
      </w:r>
      <w:r w:rsidR="005C5C8F" w:rsidRPr="00387397">
        <w:rPr>
          <w:color w:val="000000" w:themeColor="text1"/>
        </w:rPr>
        <w:t xml:space="preserve"> </w:t>
      </w:r>
      <w:r w:rsidR="00994710" w:rsidRPr="00387397">
        <w:rPr>
          <w:color w:val="000000" w:themeColor="text1"/>
        </w:rPr>
        <w:t>T</w:t>
      </w:r>
      <w:r w:rsidR="009D314D" w:rsidRPr="00387397">
        <w:rPr>
          <w:color w:val="000000" w:themeColor="text1"/>
        </w:rPr>
        <w:t xml:space="preserve">hese findings </w:t>
      </w:r>
      <w:r w:rsidR="008E51A4" w:rsidRPr="00387397">
        <w:rPr>
          <w:color w:val="000000" w:themeColor="text1"/>
        </w:rPr>
        <w:t xml:space="preserve">and resulting </w:t>
      </w:r>
      <w:r w:rsidR="00CE3111" w:rsidRPr="00387397">
        <w:rPr>
          <w:color w:val="000000" w:themeColor="text1"/>
        </w:rPr>
        <w:t xml:space="preserve">new </w:t>
      </w:r>
      <w:r w:rsidR="008E51A4" w:rsidRPr="00387397">
        <w:rPr>
          <w:color w:val="000000" w:themeColor="text1"/>
        </w:rPr>
        <w:t xml:space="preserve">empirical puzzles </w:t>
      </w:r>
      <w:r w:rsidR="009D314D" w:rsidRPr="00387397">
        <w:rPr>
          <w:color w:val="000000" w:themeColor="text1"/>
        </w:rPr>
        <w:t xml:space="preserve">highlight the importance of </w:t>
      </w:r>
      <w:r w:rsidR="00EA721E" w:rsidRPr="00387397">
        <w:rPr>
          <w:color w:val="000000" w:themeColor="text1"/>
        </w:rPr>
        <w:t>careful</w:t>
      </w:r>
      <w:r w:rsidR="009D314D" w:rsidRPr="00387397">
        <w:rPr>
          <w:color w:val="000000" w:themeColor="text1"/>
        </w:rPr>
        <w:t xml:space="preserve"> </w:t>
      </w:r>
      <w:r w:rsidR="00267F40" w:rsidRPr="00387397">
        <w:rPr>
          <w:color w:val="000000" w:themeColor="text1"/>
        </w:rPr>
        <w:t>measurement</w:t>
      </w:r>
      <w:r w:rsidR="009D314D" w:rsidRPr="00387397">
        <w:rPr>
          <w:color w:val="000000" w:themeColor="text1"/>
        </w:rPr>
        <w:t xml:space="preserve"> </w:t>
      </w:r>
      <w:r w:rsidR="00056BDC" w:rsidRPr="00387397">
        <w:rPr>
          <w:color w:val="000000" w:themeColor="text1"/>
        </w:rPr>
        <w:t>and</w:t>
      </w:r>
      <w:r w:rsidR="009D314D" w:rsidRPr="00387397">
        <w:rPr>
          <w:color w:val="000000" w:themeColor="text1"/>
        </w:rPr>
        <w:t xml:space="preserve"> </w:t>
      </w:r>
      <w:r w:rsidR="00056BDC" w:rsidRPr="00387397">
        <w:rPr>
          <w:color w:val="000000" w:themeColor="text1"/>
        </w:rPr>
        <w:t>offer</w:t>
      </w:r>
      <w:r w:rsidR="009D314D" w:rsidRPr="00387397">
        <w:rPr>
          <w:color w:val="000000" w:themeColor="text1"/>
        </w:rPr>
        <w:t xml:space="preserve"> e</w:t>
      </w:r>
      <w:r w:rsidR="001A065A" w:rsidRPr="00387397">
        <w:rPr>
          <w:color w:val="000000" w:themeColor="text1"/>
        </w:rPr>
        <w:t>xciting avenues for future research</w:t>
      </w:r>
      <w:r w:rsidR="000E1860" w:rsidRPr="00387397">
        <w:rPr>
          <w:color w:val="000000" w:themeColor="text1"/>
        </w:rPr>
        <w:t xml:space="preserve">, which we outline in </w:t>
      </w:r>
      <w:r w:rsidRPr="00387397">
        <w:rPr>
          <w:color w:val="000000" w:themeColor="text1"/>
        </w:rPr>
        <w:t>section 5</w:t>
      </w:r>
      <w:r w:rsidR="009D314D" w:rsidRPr="00387397">
        <w:rPr>
          <w:color w:val="000000" w:themeColor="text1"/>
        </w:rPr>
        <w:t>.</w:t>
      </w:r>
      <w:r w:rsidR="009D314D" w:rsidRPr="00387397" w:rsidDel="009D314D">
        <w:rPr>
          <w:color w:val="000000" w:themeColor="text1"/>
        </w:rPr>
        <w:t xml:space="preserve"> </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proofErr w:type="gramStart"/>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roofErr w:type="gramEnd"/>
    </w:p>
    <w:p w14:paraId="5601DBF3" w14:textId="126C6960" w:rsidR="00A72CEF" w:rsidRPr="00387397" w:rsidRDefault="00E2063F" w:rsidP="00387397">
      <w:pPr>
        <w:pStyle w:val="NormalWeb"/>
        <w:spacing w:before="0" w:beforeAutospacing="0" w:after="0" w:afterAutospacing="0" w:line="480" w:lineRule="auto"/>
        <w:rPr>
          <w:color w:val="000000" w:themeColor="text1"/>
        </w:rPr>
      </w:pPr>
      <w:r w:rsidRPr="00387397">
        <w:rPr>
          <w:color w:val="000000" w:themeColor="text1"/>
        </w:rPr>
        <w:t xml:space="preserve">While traditional public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effects</w:t>
      </w:r>
      <w:r w:rsidRPr="00387397">
        <w:rPr>
          <w:color w:val="000000" w:themeColor="text1"/>
        </w:rPr>
        <w:t xml:space="preserve">, private governance </w:t>
      </w:r>
      <w:r w:rsidR="00AA2203" w:rsidRPr="00387397">
        <w:rPr>
          <w:color w:val="000000" w:themeColor="text1"/>
        </w:rPr>
        <w:t>scholars</w:t>
      </w:r>
      <w:r w:rsidRPr="00387397">
        <w:rPr>
          <w:color w:val="000000" w:themeColor="text1"/>
        </w:rPr>
        <w:t xml:space="preserve"> ha</w:t>
      </w:r>
      <w:r w:rsidR="00AA2203" w:rsidRPr="00387397">
        <w:rPr>
          <w:color w:val="000000" w:themeColor="text1"/>
        </w:rPr>
        <w:t>ve</w:t>
      </w:r>
      <w:r w:rsidRPr="00387397">
        <w:rPr>
          <w:color w:val="000000" w:themeColor="text1"/>
        </w:rPr>
        <w:t xml:space="preserve"> paid less attention to these questions. This </w:t>
      </w:r>
      <w:r w:rsidR="00AA2203" w:rsidRPr="00387397">
        <w:rPr>
          <w:color w:val="000000" w:themeColor="text1"/>
        </w:rPr>
        <w:t>is a problem</w:t>
      </w:r>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etical debates about the role of policy content as both 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 xml:space="preserve">market </w:t>
      </w:r>
      <w:r w:rsidR="00CE3111" w:rsidRPr="00387397">
        <w:rPr>
          <w:color w:val="000000" w:themeColor="text1"/>
        </w:rPr>
        <w:t>forces</w:t>
      </w:r>
      <w:r w:rsidR="001D4D15" w:rsidRPr="00387397">
        <w:rPr>
          <w:color w:val="000000" w:themeColor="text1"/>
        </w:rPr>
        <w:t xml:space="preserve">, activist campaigns,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w:t>
      </w:r>
      <w:r w:rsidR="00917B56" w:rsidRPr="00387397">
        <w:rPr>
          <w:color w:val="000000" w:themeColor="text1"/>
        </w:rPr>
        <w:lastRenderedPageBreak/>
        <w:t xml:space="preserve">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market adoption, activist support,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542E76F5" w:rsidR="0035127E" w:rsidRPr="00387397" w:rsidRDefault="008E51A4" w:rsidP="00387397">
      <w:pPr>
        <w:spacing w:line="480" w:lineRule="auto"/>
        <w:rPr>
          <w:color w:val="000000" w:themeColor="text1"/>
        </w:rPr>
      </w:pPr>
      <w:r w:rsidRPr="00387397">
        <w:rPr>
          <w:color w:val="000000" w:themeColor="text1"/>
        </w:rPr>
        <w:t xml:space="preserve">Regulatory stringency is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w:t>
      </w:r>
      <w:proofErr w:type="spellStart"/>
      <w:r w:rsidR="00D42075" w:rsidRPr="00387397">
        <w:rPr>
          <w:color w:val="000000" w:themeColor="text1"/>
        </w:rPr>
        <w:t>Cashore</w:t>
      </w:r>
      <w:proofErr w:type="spellEnd"/>
      <w:r w:rsidR="00D42075" w:rsidRPr="00387397">
        <w:rPr>
          <w:color w:val="000000" w:themeColor="text1"/>
        </w:rPr>
        <w:t>,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w:t>
      </w:r>
      <w:proofErr w:type="spellStart"/>
      <w:r w:rsidR="007250CA" w:rsidRPr="00387397">
        <w:rPr>
          <w:color w:val="000000" w:themeColor="text1"/>
        </w:rPr>
        <w:t>Burgoon</w:t>
      </w:r>
      <w:proofErr w:type="spellEnd"/>
      <w:r w:rsidR="007250CA" w:rsidRPr="00387397">
        <w:rPr>
          <w:color w:val="000000" w:themeColor="text1"/>
        </w:rPr>
        <w:t xml:space="preserve">,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lastRenderedPageBreak/>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69E57599"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3" w:name="bbib65"/>
      <w:r w:rsidR="00901C58" w:rsidRPr="00387397">
        <w:rPr>
          <w:color w:val="000000" w:themeColor="text1"/>
        </w:rPr>
        <w:t xml:space="preserve"> </w:t>
      </w:r>
      <w:proofErr w:type="spellStart"/>
      <w:r w:rsidR="00623B55" w:rsidRPr="00387397">
        <w:rPr>
          <w:color w:val="000000" w:themeColor="text1"/>
        </w:rPr>
        <w:t>Prakash</w:t>
      </w:r>
      <w:proofErr w:type="spellEnd"/>
      <w:r w:rsidR="00623B55" w:rsidRPr="00387397">
        <w:rPr>
          <w:color w:val="000000" w:themeColor="text1"/>
        </w:rPr>
        <w:t>, 2000</w:t>
      </w:r>
      <w:bookmarkEnd w:id="3"/>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w:t>
      </w:r>
      <w:r w:rsidR="0085768A" w:rsidRPr="00387397">
        <w:rPr>
          <w:color w:val="000000" w:themeColor="text1"/>
        </w:rPr>
        <w:lastRenderedPageBreak/>
        <w:t>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 or change in policy </w:t>
      </w:r>
      <w:r w:rsidR="00916679">
        <w:rPr>
          <w:color w:val="000000" w:themeColor="text1"/>
        </w:rPr>
        <w:t>choices</w:t>
      </w:r>
      <w:r w:rsidR="00D80E3C" w:rsidRPr="00387397">
        <w:rPr>
          <w:color w:val="000000" w:themeColor="text1"/>
        </w:rPr>
        <w:t xml:space="preserve">. </w:t>
      </w:r>
    </w:p>
    <w:p w14:paraId="23C0BD2C" w14:textId="77777777" w:rsidR="005549D1" w:rsidRPr="00387397" w:rsidRDefault="005549D1" w:rsidP="00387397">
      <w:pPr>
        <w:spacing w:line="480" w:lineRule="auto"/>
        <w:rPr>
          <w:color w:val="000000" w:themeColor="text1"/>
        </w:rPr>
      </w:pPr>
    </w:p>
    <w:p w14:paraId="728066EE" w14:textId="7FD001E4"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A56B1A" w:rsidRPr="00387397">
        <w:rPr>
          <w:color w:val="000000" w:themeColor="text1"/>
        </w:rPr>
        <w:t xml:space="preserve"> </w:t>
      </w:r>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conclude: “</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r w:rsidR="0085768A" w:rsidRPr="00387397">
        <w:rPr>
          <w:color w:val="000000" w:themeColor="text1"/>
        </w:rPr>
        <w:t xml:space="preserve"> </w:t>
      </w:r>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r w:rsidR="00C707ED" w:rsidRPr="00387397">
        <w:rPr>
          <w:color w:val="000000" w:themeColor="text1"/>
          <w:shd w:val="clear" w:color="auto" w:fill="FFFFFF"/>
        </w:rPr>
        <w:t>Taken together, this literature suggests that some r</w:t>
      </w:r>
      <w:r w:rsidR="001676BE" w:rsidRPr="00387397">
        <w:rPr>
          <w:color w:val="000000" w:themeColor="text1"/>
          <w:shd w:val="clear" w:color="auto" w:fill="FFFFFF"/>
        </w:rPr>
        <w:t xml:space="preserve">ules will be more stringent, </w:t>
      </w:r>
      <w:r w:rsidR="00C707ED" w:rsidRPr="00387397">
        <w:rPr>
          <w:color w:val="000000" w:themeColor="text1"/>
          <w:shd w:val="clear" w:color="auto" w:fill="FFFFFF"/>
        </w:rPr>
        <w:t>or more stringent on different issues, than others in the same policy space</w:t>
      </w:r>
      <w:r w:rsidR="009F69EA" w:rsidRPr="00387397">
        <w:rPr>
          <w:color w:val="000000" w:themeColor="text1"/>
          <w:shd w:val="clear" w:color="auto" w:fill="FFFFFF"/>
        </w:rPr>
        <w:t xml:space="preserve">, </w:t>
      </w:r>
      <w:r w:rsidR="00916679">
        <w:rPr>
          <w:color w:val="000000" w:themeColor="text1"/>
          <w:shd w:val="clear" w:color="auto" w:fill="FFFFFF"/>
        </w:rPr>
        <w:t>and</w:t>
      </w:r>
      <w:r w:rsidR="00916679" w:rsidRPr="00387397">
        <w:rPr>
          <w:color w:val="000000" w:themeColor="text1"/>
          <w:shd w:val="clear" w:color="auto" w:fill="FFFFFF"/>
        </w:rPr>
        <w:t xml:space="preserve"> </w:t>
      </w:r>
      <w:r w:rsidR="009F69EA" w:rsidRPr="00387397">
        <w:rPr>
          <w:color w:val="000000" w:themeColor="text1"/>
          <w:shd w:val="clear" w:color="auto" w:fill="FFFFFF"/>
        </w:rPr>
        <w:t>that requirements may vary over time</w:t>
      </w:r>
      <w:r w:rsidR="00C707ED" w:rsidRPr="00387397">
        <w:rPr>
          <w:color w:val="000000" w:themeColor="text1"/>
          <w:shd w:val="clear" w:color="auto" w:fill="FFFFFF"/>
        </w:rPr>
        <w:t>.</w:t>
      </w:r>
      <w:r w:rsidR="00DB5239" w:rsidRPr="00387397">
        <w:rPr>
          <w:color w:val="000000" w:themeColor="text1"/>
          <w:shd w:val="clear" w:color="auto" w:fill="FFFFFF"/>
        </w:rPr>
        <w:t xml:space="preserve"> </w:t>
      </w:r>
      <w:r w:rsidR="00DB5239" w:rsidRPr="00387397">
        <w:rPr>
          <w:color w:val="000000" w:themeColor="text1"/>
        </w:rPr>
        <w:t xml:space="preserve">Systematically testing </w:t>
      </w:r>
      <w:r w:rsidR="00916679">
        <w:rPr>
          <w:color w:val="000000" w:themeColor="text1"/>
        </w:rPr>
        <w:t>these propositions</w:t>
      </w:r>
      <w:r w:rsidR="00DB5239" w:rsidRPr="00387397">
        <w:rPr>
          <w:color w:val="000000" w:themeColor="text1"/>
        </w:rPr>
        <w:t xml:space="preserve"> </w:t>
      </w:r>
      <w:r w:rsidR="00916679">
        <w:rPr>
          <w:color w:val="000000" w:themeColor="text1"/>
        </w:rPr>
        <w:t xml:space="preserve">will </w:t>
      </w:r>
      <w:r w:rsidR="00DB5239" w:rsidRPr="00387397">
        <w:rPr>
          <w:color w:val="000000" w:themeColor="text1"/>
        </w:rPr>
        <w:t>require measures of regulatory stringency</w:t>
      </w:r>
      <w:r w:rsidR="009F69EA" w:rsidRPr="00387397">
        <w:rPr>
          <w:color w:val="000000" w:themeColor="text1"/>
        </w:rPr>
        <w:t xml:space="preserve"> that can be applied across programs and over time</w:t>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261D7A82"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lastRenderedPageBreak/>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proofErr w:type="spellStart"/>
      <w:r w:rsidR="009F69EA" w:rsidRPr="00387397">
        <w:rPr>
          <w:color w:val="000000" w:themeColor="text1"/>
          <w:lang w:val="da-DK"/>
        </w:rPr>
        <w:t>Cashore</w:t>
      </w:r>
      <w:proofErr w:type="spellEnd"/>
      <w:r w:rsidR="009F69EA" w:rsidRPr="00387397">
        <w:rPr>
          <w:color w:val="000000" w:themeColor="text1"/>
          <w:lang w:val="da-DK"/>
        </w:rPr>
        <w:t xml:space="preserv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w:t>
      </w:r>
      <w:proofErr w:type="gramStart"/>
      <w:r w:rsidR="009F69EA" w:rsidRPr="00387397">
        <w:rPr>
          <w:color w:val="000000" w:themeColor="text1"/>
        </w:rPr>
        <w:t>highlight</w:t>
      </w:r>
      <w:proofErr w:type="gramEnd"/>
      <w:r w:rsidR="009F69EA" w:rsidRPr="00387397">
        <w:rPr>
          <w:color w:val="000000" w:themeColor="text1"/>
        </w:rPr>
        <w:t xml:space="preserve">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3D711B" w:rsidRPr="00387397">
        <w:rPr>
          <w:color w:val="000000" w:themeColor="text1"/>
        </w:rPr>
        <w:t xml:space="preserve">While this </w:t>
      </w:r>
      <w:r w:rsidR="001676BE" w:rsidRPr="00387397">
        <w:rPr>
          <w:color w:val="000000" w:themeColor="text1"/>
        </w:rPr>
        <w:t>appears to be</w:t>
      </w:r>
      <w:r w:rsidR="003D711B" w:rsidRPr="00387397">
        <w:rPr>
          <w:color w:val="000000" w:themeColor="text1"/>
        </w:rPr>
        <w:t xml:space="preserve"> an empirical debate, </w:t>
      </w:r>
      <w:r w:rsidR="001676BE" w:rsidRPr="00387397">
        <w:rPr>
          <w:color w:val="000000" w:themeColor="text1"/>
        </w:rPr>
        <w:t xml:space="preserve">we show below that </w:t>
      </w:r>
      <w:r w:rsidR="003D711B" w:rsidRPr="00387397">
        <w:rPr>
          <w:color w:val="000000" w:themeColor="text1"/>
        </w:rPr>
        <w:t xml:space="preserve">it is </w:t>
      </w:r>
      <w:r w:rsidR="0096451E">
        <w:rPr>
          <w:color w:val="000000" w:themeColor="text1"/>
        </w:rPr>
        <w:t>largely</w:t>
      </w:r>
      <w:r w:rsidR="0096451E" w:rsidRPr="00387397">
        <w:rPr>
          <w:color w:val="000000" w:themeColor="text1"/>
        </w:rPr>
        <w:t xml:space="preserve"> </w:t>
      </w:r>
      <w:r w:rsidR="003D711B" w:rsidRPr="00387397">
        <w:rPr>
          <w:color w:val="000000" w:themeColor="text1"/>
        </w:rPr>
        <w:t>the result of different measurement strategies.</w:t>
      </w:r>
    </w:p>
    <w:p w14:paraId="35DBAEAE" w14:textId="77777777" w:rsidR="003D711B" w:rsidRPr="00387397" w:rsidRDefault="003D711B" w:rsidP="00387397">
      <w:pPr>
        <w:spacing w:line="480" w:lineRule="auto"/>
        <w:rPr>
          <w:color w:val="000000" w:themeColor="text1"/>
        </w:rPr>
      </w:pPr>
    </w:p>
    <w:p w14:paraId="7F2D4A3A" w14:textId="4DBE08A8"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theoretical 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r w:rsidR="00A5406B" w:rsidRPr="00387397">
        <w:rPr>
          <w:color w:val="000000" w:themeColor="text1"/>
        </w:rPr>
        <w:t xml:space="preserve"> T</w:t>
      </w:r>
      <w:r w:rsidR="001676BE" w:rsidRPr="00387397">
        <w:rPr>
          <w:color w:val="000000" w:themeColor="text1"/>
        </w:rPr>
        <w:t>esting this proposition requires concept</w:t>
      </w:r>
      <w:r w:rsidR="0043781A" w:rsidRPr="00387397">
        <w:rPr>
          <w:color w:val="000000" w:themeColor="text1"/>
        </w:rPr>
        <w:t>s</w:t>
      </w:r>
      <w:r w:rsidR="001676BE" w:rsidRPr="00387397">
        <w:rPr>
          <w:color w:val="000000" w:themeColor="text1"/>
        </w:rPr>
        <w:t xml:space="preserve"> of stringency that can be </w:t>
      </w:r>
      <w:r w:rsidR="0043781A" w:rsidRPr="00387397">
        <w:rPr>
          <w:color w:val="000000" w:themeColor="text1"/>
        </w:rPr>
        <w:t>operationalized</w:t>
      </w:r>
      <w:r w:rsidR="001676BE" w:rsidRPr="00387397">
        <w:rPr>
          <w:color w:val="000000" w:themeColor="text1"/>
        </w:rPr>
        <w:t xml:space="preserve"> </w:t>
      </w:r>
      <w:r w:rsidR="0096451E" w:rsidRPr="00387397">
        <w:rPr>
          <w:color w:val="000000" w:themeColor="text1"/>
        </w:rPr>
        <w:t xml:space="preserve">consistently </w:t>
      </w:r>
      <w:r w:rsidR="00A5406B" w:rsidRPr="00387397">
        <w:rPr>
          <w:color w:val="000000" w:themeColor="text1"/>
        </w:rPr>
        <w:t>within and across programs</w:t>
      </w:r>
      <w:r w:rsidR="000F3031" w:rsidRPr="00387397">
        <w:rPr>
          <w:color w:val="000000" w:themeColor="text1"/>
        </w:rPr>
        <w:t xml:space="preserve">. </w:t>
      </w:r>
    </w:p>
    <w:p w14:paraId="2ACBB20A" w14:textId="77777777" w:rsidR="0077660E" w:rsidRPr="00387397" w:rsidRDefault="0077660E" w:rsidP="00387397">
      <w:pPr>
        <w:spacing w:line="480" w:lineRule="auto"/>
        <w:rPr>
          <w:color w:val="000000" w:themeColor="text1"/>
        </w:rPr>
      </w:pPr>
    </w:p>
    <w:p w14:paraId="5B26E90E" w14:textId="681EB77B" w:rsidR="00F12FF2" w:rsidRPr="00387397" w:rsidRDefault="0043781A" w:rsidP="00387397">
      <w:pPr>
        <w:spacing w:line="480" w:lineRule="auto"/>
        <w:rPr>
          <w:color w:val="000000" w:themeColor="text1"/>
        </w:rPr>
      </w:pPr>
      <w:r w:rsidRPr="00387397">
        <w:rPr>
          <w:color w:val="000000" w:themeColor="text1"/>
        </w:rPr>
        <w:t xml:space="preserve">Different measures may yield different results. </w:t>
      </w:r>
      <w:r w:rsidR="000F3031" w:rsidRPr="00387397">
        <w:rPr>
          <w:color w:val="000000" w:themeColor="text1"/>
        </w:rPr>
        <w:t>For example, i</w:t>
      </w:r>
      <w:r w:rsidR="00D00707" w:rsidRPr="00387397">
        <w:rPr>
          <w:color w:val="000000" w:themeColor="text1"/>
        </w:rPr>
        <w:t xml:space="preserve">n the broadest study to date, van der </w:t>
      </w:r>
      <w:proofErr w:type="spellStart"/>
      <w:r w:rsidR="00D00707" w:rsidRPr="00387397">
        <w:rPr>
          <w:color w:val="000000" w:themeColor="text1"/>
        </w:rPr>
        <w:t>Ven</w:t>
      </w:r>
      <w:proofErr w:type="spellEnd"/>
      <w:r w:rsidR="00D00707" w:rsidRPr="00387397">
        <w:rPr>
          <w:color w:val="000000" w:themeColor="text1"/>
        </w:rPr>
        <w:t xml:space="preserve"> </w:t>
      </w:r>
      <w:r w:rsidR="00BC6091" w:rsidRPr="00387397">
        <w:rPr>
          <w:color w:val="000000" w:themeColor="text1"/>
        </w:rPr>
        <w:fldChar w:fldCharType="begin" w:fldLock="1"/>
      </w:r>
      <w:r w:rsidR="00B163DF"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BC6091" w:rsidRPr="00387397">
        <w:rPr>
          <w:color w:val="000000" w:themeColor="text1"/>
        </w:rPr>
        <w:fldChar w:fldCharType="separate"/>
      </w:r>
      <w:r w:rsidR="00BC6091" w:rsidRPr="00387397">
        <w:rPr>
          <w:noProof/>
          <w:color w:val="000000" w:themeColor="text1"/>
        </w:rPr>
        <w:t>(2015)</w:t>
      </w:r>
      <w:r w:rsidR="00BC6091" w:rsidRPr="00387397">
        <w:rPr>
          <w:color w:val="000000" w:themeColor="text1"/>
        </w:rPr>
        <w:fldChar w:fldCharType="end"/>
      </w:r>
      <w:r w:rsidR="00D00707" w:rsidRPr="00387397">
        <w:rPr>
          <w:color w:val="000000" w:themeColor="text1"/>
        </w:rPr>
        <w:t xml:space="preserve"> </w:t>
      </w:r>
      <w:r w:rsidR="003B7C42" w:rsidRPr="00387397">
        <w:rPr>
          <w:color w:val="000000" w:themeColor="text1"/>
        </w:rPr>
        <w:t xml:space="preserve">does </w:t>
      </w:r>
      <w:r w:rsidR="00DF2B45" w:rsidRPr="00387397">
        <w:rPr>
          <w:color w:val="000000" w:themeColor="text1"/>
        </w:rPr>
        <w:t>find</w:t>
      </w:r>
      <w:r w:rsidR="00D00707" w:rsidRPr="00387397">
        <w:rPr>
          <w:color w:val="000000" w:themeColor="text1"/>
        </w:rPr>
        <w:t xml:space="preserve"> support for the prediction</w:t>
      </w:r>
      <w:r w:rsidR="00A5406B" w:rsidRPr="00387397">
        <w:rPr>
          <w:color w:val="000000" w:themeColor="text1"/>
        </w:rPr>
        <w:t xml:space="preserve"> that </w:t>
      </w:r>
      <w:r w:rsidR="00D00707" w:rsidRPr="00387397">
        <w:rPr>
          <w:color w:val="000000" w:themeColor="text1"/>
        </w:rPr>
        <w:t xml:space="preserve">activist-backed </w:t>
      </w:r>
      <w:r w:rsidR="00DF2B45" w:rsidRPr="00387397">
        <w:rPr>
          <w:color w:val="000000" w:themeColor="text1"/>
        </w:rPr>
        <w:t xml:space="preserve">private </w:t>
      </w:r>
      <w:r w:rsidR="00C90959" w:rsidRPr="00387397">
        <w:rPr>
          <w:color w:val="000000" w:themeColor="text1"/>
        </w:rPr>
        <w:t>regulations</w:t>
      </w:r>
      <w:r w:rsidR="00D00707" w:rsidRPr="00387397">
        <w:rPr>
          <w:color w:val="000000" w:themeColor="text1"/>
        </w:rPr>
        <w:t xml:space="preserve"> are more </w:t>
      </w:r>
      <w:r w:rsidR="00DF2B45" w:rsidRPr="00387397">
        <w:rPr>
          <w:color w:val="000000" w:themeColor="text1"/>
        </w:rPr>
        <w:t xml:space="preserve">likely to </w:t>
      </w:r>
      <w:r w:rsidR="00A5406B" w:rsidRPr="00387397">
        <w:rPr>
          <w:color w:val="000000" w:themeColor="text1"/>
        </w:rPr>
        <w:t xml:space="preserve">align with “best practices” but does not find support for the prediction that industry-backed regulations are less likely to </w:t>
      </w:r>
      <w:r w:rsidR="00B26F1A" w:rsidRPr="00387397">
        <w:rPr>
          <w:color w:val="000000" w:themeColor="text1"/>
        </w:rPr>
        <w:t>do so.</w:t>
      </w:r>
      <w:r w:rsidR="003B7C42" w:rsidRPr="00387397">
        <w:rPr>
          <w:color w:val="000000" w:themeColor="text1"/>
        </w:rPr>
        <w:t xml:space="preserve"> </w:t>
      </w:r>
      <w:r w:rsidR="000F3031" w:rsidRPr="00387397">
        <w:rPr>
          <w:color w:val="000000" w:themeColor="text1"/>
        </w:rPr>
        <w:t>While the lat</w:t>
      </w:r>
      <w:r w:rsidR="007B7E54" w:rsidRPr="00387397">
        <w:rPr>
          <w:color w:val="000000" w:themeColor="text1"/>
        </w:rPr>
        <w:t>t</w:t>
      </w:r>
      <w:r w:rsidR="000F3031" w:rsidRPr="00387397">
        <w:rPr>
          <w:color w:val="000000" w:themeColor="text1"/>
        </w:rPr>
        <w:t xml:space="preserve">er </w:t>
      </w:r>
      <w:r w:rsidR="00B26F1A" w:rsidRPr="00387397">
        <w:rPr>
          <w:color w:val="000000" w:themeColor="text1"/>
        </w:rPr>
        <w:t xml:space="preserve">finding </w:t>
      </w:r>
      <w:r w:rsidR="000F3031" w:rsidRPr="00387397">
        <w:rPr>
          <w:color w:val="000000" w:themeColor="text1"/>
        </w:rPr>
        <w:t>seems to contradict</w:t>
      </w:r>
      <w:r w:rsidR="00A5406B" w:rsidRPr="00387397">
        <w:rPr>
          <w:color w:val="000000" w:themeColor="text1"/>
        </w:rPr>
        <w:t xml:space="preserve"> </w:t>
      </w:r>
      <w:r w:rsidR="000F3031" w:rsidRPr="00387397">
        <w:rPr>
          <w:color w:val="000000" w:themeColor="text1"/>
        </w:rPr>
        <w:t xml:space="preserve">findings by </w:t>
      </w:r>
      <w:proofErr w:type="spellStart"/>
      <w:r w:rsidR="000F3031" w:rsidRPr="00387397">
        <w:rPr>
          <w:color w:val="000000" w:themeColor="text1"/>
        </w:rPr>
        <w:t>Cashore</w:t>
      </w:r>
      <w:proofErr w:type="spellEnd"/>
      <w:r w:rsidR="000F3031" w:rsidRPr="00387397">
        <w:rPr>
          <w:color w:val="000000" w:themeColor="text1"/>
        </w:rPr>
        <w:t xml:space="preserve"> et al. (2004)</w:t>
      </w:r>
      <w:r w:rsidR="00A5406B" w:rsidRPr="00387397">
        <w:rPr>
          <w:color w:val="000000" w:themeColor="text1"/>
        </w:rPr>
        <w:t xml:space="preserve"> that industry-backed programs set less stringent requirements</w:t>
      </w:r>
      <w:r w:rsidR="00874A21" w:rsidRPr="00387397">
        <w:rPr>
          <w:color w:val="000000" w:themeColor="text1"/>
        </w:rPr>
        <w:t xml:space="preserve">, </w:t>
      </w:r>
      <w:r w:rsidR="0096451E">
        <w:rPr>
          <w:color w:val="000000" w:themeColor="text1"/>
        </w:rPr>
        <w:t>this is</w:t>
      </w:r>
      <w:r w:rsidR="00485338" w:rsidRPr="00387397">
        <w:rPr>
          <w:color w:val="000000" w:themeColor="text1"/>
        </w:rPr>
        <w:t xml:space="preserve"> due to differences in measurement</w:t>
      </w:r>
      <w:ins w:id="4" w:author="DJL" w:date="2019-03-06T05:20:00Z">
        <w:r w:rsidR="00673F15">
          <w:rPr>
            <w:color w:val="000000" w:themeColor="text1"/>
          </w:rPr>
          <w:t>;</w:t>
        </w:r>
      </w:ins>
      <w:del w:id="5" w:author="DJL" w:date="2019-03-06T05:20:00Z">
        <w:r w:rsidR="00485338" w:rsidRPr="00387397" w:rsidDel="00673F15">
          <w:rPr>
            <w:color w:val="000000" w:themeColor="text1"/>
          </w:rPr>
          <w:delText>.</w:delText>
        </w:r>
      </w:del>
      <w:r w:rsidR="00485338" w:rsidRPr="00387397">
        <w:rPr>
          <w:color w:val="000000" w:themeColor="text1"/>
        </w:rPr>
        <w:t xml:space="preserve"> </w:t>
      </w:r>
      <w:proofErr w:type="spellStart"/>
      <w:r w:rsidR="00A5406B" w:rsidRPr="00387397">
        <w:rPr>
          <w:color w:val="000000" w:themeColor="text1"/>
        </w:rPr>
        <w:t>Cashore</w:t>
      </w:r>
      <w:proofErr w:type="spellEnd"/>
      <w:r w:rsidR="00A5406B" w:rsidRPr="00387397">
        <w:rPr>
          <w:color w:val="000000" w:themeColor="text1"/>
        </w:rPr>
        <w:t xml:space="preserve"> </w:t>
      </w:r>
      <w:r w:rsidR="000F3031" w:rsidRPr="00387397">
        <w:rPr>
          <w:color w:val="000000" w:themeColor="text1"/>
        </w:rPr>
        <w:t>et al. focus on</w:t>
      </w:r>
      <w:r w:rsidR="00874A21" w:rsidRPr="00387397">
        <w:rPr>
          <w:color w:val="000000" w:themeColor="text1"/>
        </w:rPr>
        <w:t xml:space="preserve"> prescriptiveness</w:t>
      </w:r>
      <w:r w:rsidR="00A5406B" w:rsidRPr="00387397">
        <w:rPr>
          <w:color w:val="000000" w:themeColor="text1"/>
        </w:rPr>
        <w:t xml:space="preserve"> rather than “best practices.”</w:t>
      </w:r>
      <w:r w:rsidR="000F3031" w:rsidRPr="00387397">
        <w:rPr>
          <w:color w:val="000000" w:themeColor="text1"/>
        </w:rPr>
        <w:t xml:space="preserve"> We elaborate on this and other differences in measurement strategies in the next section. </w:t>
      </w:r>
    </w:p>
    <w:p w14:paraId="7440E2FA" w14:textId="77777777" w:rsidR="0038489B" w:rsidRPr="00387397" w:rsidRDefault="0038489B" w:rsidP="00387397">
      <w:pPr>
        <w:spacing w:line="480" w:lineRule="auto"/>
        <w:rPr>
          <w:color w:val="000000" w:themeColor="text1"/>
        </w:rPr>
      </w:pPr>
    </w:p>
    <w:p w14:paraId="6A2456DF" w14:textId="18385541" w:rsidR="000760C3" w:rsidRPr="00387397" w:rsidRDefault="00894FFA" w:rsidP="00387397">
      <w:pPr>
        <w:spacing w:line="480" w:lineRule="auto"/>
        <w:rPr>
          <w:color w:val="000000" w:themeColor="text1"/>
        </w:rPr>
      </w:pPr>
      <w:r w:rsidRPr="00387397">
        <w:rPr>
          <w:color w:val="000000" w:themeColor="text1"/>
        </w:rPr>
        <w:t xml:space="preserve">Having reviewed why </w:t>
      </w:r>
      <w:r w:rsidR="00834A97" w:rsidRPr="00387397">
        <w:rPr>
          <w:color w:val="000000" w:themeColor="text1"/>
        </w:rPr>
        <w:t>regulatory</w:t>
      </w:r>
      <w:r w:rsidR="00F10DAC" w:rsidRPr="00387397">
        <w:rPr>
          <w:color w:val="000000" w:themeColor="text1"/>
        </w:rPr>
        <w:t xml:space="preserve"> stringency</w:t>
      </w:r>
      <w:r w:rsidRPr="00387397">
        <w:rPr>
          <w:color w:val="000000" w:themeColor="text1"/>
        </w:rPr>
        <w:t xml:space="preserve"> is a key variable in </w:t>
      </w:r>
      <w:r w:rsidR="00B26F1A" w:rsidRPr="00387397">
        <w:rPr>
          <w:color w:val="000000" w:themeColor="text1"/>
        </w:rPr>
        <w:t>theories</w:t>
      </w:r>
      <w:r w:rsidRPr="00387397">
        <w:rPr>
          <w:color w:val="000000" w:themeColor="text1"/>
        </w:rPr>
        <w:t xml:space="preserve"> of private regulation,</w:t>
      </w:r>
      <w:r w:rsidR="00E74C06" w:rsidRPr="00387397">
        <w:rPr>
          <w:color w:val="000000" w:themeColor="text1"/>
        </w:rPr>
        <w:t xml:space="preserve"> we </w:t>
      </w:r>
      <w:r w:rsidRPr="00387397">
        <w:rPr>
          <w:color w:val="000000" w:themeColor="text1"/>
        </w:rPr>
        <w:t>now interrogate</w:t>
      </w:r>
      <w:r w:rsidR="00E74C06" w:rsidRPr="00387397">
        <w:rPr>
          <w:color w:val="000000" w:themeColor="text1"/>
        </w:rPr>
        <w:t xml:space="preserve"> the </w:t>
      </w:r>
      <w:r w:rsidRPr="00387397">
        <w:rPr>
          <w:color w:val="000000" w:themeColor="text1"/>
        </w:rPr>
        <w:t xml:space="preserve">various </w:t>
      </w:r>
      <w:r w:rsidR="00E74C06" w:rsidRPr="00387397">
        <w:rPr>
          <w:color w:val="000000" w:themeColor="text1"/>
        </w:rPr>
        <w:t>concept</w:t>
      </w:r>
      <w:r w:rsidRPr="00387397">
        <w:rPr>
          <w:color w:val="000000" w:themeColor="text1"/>
        </w:rPr>
        <w:t>s</w:t>
      </w:r>
      <w:r w:rsidR="00E74C06" w:rsidRPr="00387397">
        <w:rPr>
          <w:color w:val="000000" w:themeColor="text1"/>
        </w:rPr>
        <w:t xml:space="preserve"> </w:t>
      </w:r>
      <w:r w:rsidRPr="00387397">
        <w:rPr>
          <w:color w:val="000000" w:themeColor="text1"/>
        </w:rPr>
        <w:t xml:space="preserve">of </w:t>
      </w:r>
      <w:r w:rsidR="00326B17" w:rsidRPr="00387397">
        <w:rPr>
          <w:color w:val="000000" w:themeColor="text1"/>
        </w:rPr>
        <w:t>stringency</w:t>
      </w:r>
      <w:r w:rsidRPr="00387397">
        <w:rPr>
          <w:color w:val="000000" w:themeColor="text1"/>
        </w:rPr>
        <w:t xml:space="preserve"> that run through this literature</w:t>
      </w:r>
      <w:r w:rsidR="00E74C06" w:rsidRPr="00387397">
        <w:rPr>
          <w:color w:val="000000" w:themeColor="text1"/>
        </w:rPr>
        <w:t xml:space="preserve">. We then offer a framework to clarify </w:t>
      </w:r>
      <w:r w:rsidR="00821839" w:rsidRPr="00387397">
        <w:rPr>
          <w:color w:val="000000" w:themeColor="text1"/>
        </w:rPr>
        <w:t>these</w:t>
      </w:r>
      <w:r w:rsidR="00E74C06" w:rsidRPr="00387397">
        <w:rPr>
          <w:color w:val="000000" w:themeColor="text1"/>
        </w:rPr>
        <w:t xml:space="preserve"> yet muddled concept</w:t>
      </w:r>
      <w:r w:rsidR="00821839" w:rsidRPr="00387397">
        <w:rPr>
          <w:color w:val="000000" w:themeColor="text1"/>
        </w:rPr>
        <w:t>s</w:t>
      </w:r>
      <w:r w:rsidR="0096451E">
        <w:rPr>
          <w:color w:val="000000" w:themeColor="text1"/>
        </w:rPr>
        <w:t xml:space="preserve"> </w:t>
      </w:r>
      <w:r w:rsidR="00E74C06" w:rsidRPr="00387397">
        <w:rPr>
          <w:color w:val="000000" w:themeColor="text1"/>
        </w:rPr>
        <w:t>and</w:t>
      </w:r>
      <w:r w:rsidR="00821839" w:rsidRPr="00387397">
        <w:rPr>
          <w:color w:val="000000" w:themeColor="text1"/>
        </w:rPr>
        <w:t xml:space="preserve"> </w:t>
      </w:r>
      <w:r w:rsidR="00F10DAC" w:rsidRPr="00387397">
        <w:rPr>
          <w:color w:val="000000" w:themeColor="text1"/>
        </w:rPr>
        <w:t>guide more</w:t>
      </w:r>
      <w:r w:rsidR="00E74C06" w:rsidRPr="00387397">
        <w:rPr>
          <w:color w:val="000000" w:themeColor="text1"/>
        </w:rPr>
        <w:t xml:space="preserve"> systematic measurement </w:t>
      </w: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6531FAA3" w:rsidR="00326B17" w:rsidRPr="00387397" w:rsidRDefault="00104A05" w:rsidP="00387397">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38489B" w:rsidRPr="00387397">
        <w:rPr>
          <w:color w:val="000000" w:themeColor="text1"/>
        </w:rPr>
        <w:t xml:space="preserve">. </w:t>
      </w:r>
      <w:proofErr w:type="spellStart"/>
      <w:r w:rsidR="001C4FAE" w:rsidRPr="00387397">
        <w:rPr>
          <w:color w:val="000000" w:themeColor="text1"/>
        </w:rPr>
        <w:t>Cashore</w:t>
      </w:r>
      <w:proofErr w:type="spellEnd"/>
      <w:r w:rsidR="001C4FAE" w:rsidRPr="00387397">
        <w:rPr>
          <w:color w:val="000000" w:themeColor="text1"/>
        </w:rPr>
        <w:t xml:space="preserv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also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D7178E" w:rsidRPr="00387397">
        <w:rPr>
          <w:color w:val="000000" w:themeColor="text1"/>
        </w:rPr>
        <w:t>Furthermore, 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B37010" w:rsidRPr="00387397">
        <w:rPr>
          <w:color w:val="000000" w:themeColor="text1"/>
        </w:rPr>
        <w:t>T</w:t>
      </w:r>
      <w:r w:rsidRPr="00387397">
        <w:rPr>
          <w:color w:val="000000" w:themeColor="text1"/>
        </w:rPr>
        <w:t xml:space="preserve">hese notions </w:t>
      </w:r>
      <w:r w:rsidR="00B37010" w:rsidRPr="00387397">
        <w:rPr>
          <w:color w:val="000000" w:themeColor="text1"/>
        </w:rPr>
        <w:t xml:space="preserve">capture </w:t>
      </w:r>
      <w:r w:rsidR="00B26F1A" w:rsidRPr="00387397">
        <w:rPr>
          <w:color w:val="000000" w:themeColor="text1"/>
        </w:rPr>
        <w:t>important</w:t>
      </w:r>
      <w:r w:rsidR="00D546C8" w:rsidRPr="00387397">
        <w:rPr>
          <w:color w:val="000000" w:themeColor="text1"/>
        </w:rPr>
        <w:t>,</w:t>
      </w:r>
      <w:r w:rsidR="00B37010" w:rsidRPr="00387397">
        <w:rPr>
          <w:color w:val="000000" w:themeColor="text1"/>
        </w:rPr>
        <w:t xml:space="preserve"> but potentially orthogonal</w:t>
      </w:r>
      <w:r w:rsidR="00D546C8" w:rsidRPr="00387397">
        <w:rPr>
          <w:color w:val="000000" w:themeColor="text1"/>
        </w:rPr>
        <w:t>,</w:t>
      </w:r>
      <w:r w:rsidR="00B37010" w:rsidRPr="00387397">
        <w:rPr>
          <w:color w:val="000000" w:themeColor="text1"/>
        </w:rPr>
        <w:t xml:space="preserve"> dimension</w:t>
      </w:r>
      <w:r w:rsidR="007B7E54" w:rsidRPr="00387397">
        <w:rPr>
          <w:color w:val="000000" w:themeColor="text1"/>
        </w:rPr>
        <w:t>s</w:t>
      </w:r>
      <w:r w:rsidR="00B37010" w:rsidRPr="00387397">
        <w:rPr>
          <w:color w:val="000000" w:themeColor="text1"/>
        </w:rPr>
        <w:t xml:space="preserve"> of variation</w:t>
      </w:r>
      <w:r w:rsidRPr="00387397">
        <w:rPr>
          <w:color w:val="000000" w:themeColor="text1"/>
        </w:rPr>
        <w:t>.</w:t>
      </w:r>
    </w:p>
    <w:p w14:paraId="40C54590" w14:textId="77777777" w:rsidR="00326B17" w:rsidRPr="00387397" w:rsidRDefault="00326B17" w:rsidP="00387397">
      <w:pPr>
        <w:spacing w:line="480" w:lineRule="auto"/>
        <w:rPr>
          <w:color w:val="000000" w:themeColor="text1"/>
        </w:rPr>
      </w:pPr>
    </w:p>
    <w:p w14:paraId="7EB8C3A7" w14:textId="4F9F6F81" w:rsidR="001F51BC" w:rsidRPr="00387397" w:rsidRDefault="00B37010" w:rsidP="00387397">
      <w:pPr>
        <w:spacing w:line="480" w:lineRule="auto"/>
        <w:rPr>
          <w:color w:val="000000" w:themeColor="text1"/>
        </w:rPr>
      </w:pPr>
      <w:r w:rsidRPr="00387397">
        <w:rPr>
          <w:color w:val="000000" w:themeColor="text1"/>
        </w:rPr>
        <w:t>Furthermore, 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96451E">
        <w:rPr>
          <w:color w:val="000000" w:themeColor="text1"/>
        </w:rPr>
        <w:t>.</w:t>
      </w:r>
      <w:r w:rsidR="000C28CD" w:rsidRPr="00387397">
        <w:rPr>
          <w:color w:val="000000" w:themeColor="text1"/>
        </w:rPr>
        <w:t xml:space="preserve"> (</w:t>
      </w:r>
      <w:r w:rsidR="0096451E">
        <w:rPr>
          <w:color w:val="000000" w:themeColor="text1"/>
        </w:rPr>
        <w:t>Note the variety of approaches in</w:t>
      </w:r>
      <w:r w:rsidR="0096451E" w:rsidRPr="00387397">
        <w:rPr>
          <w:color w:val="000000" w:themeColor="text1"/>
        </w:rPr>
        <w:t xml:space="preserve"> </w:t>
      </w:r>
      <w:r w:rsidR="000C28CD" w:rsidRPr="00387397">
        <w:rPr>
          <w:color w:val="000000" w:themeColor="text1"/>
        </w:rPr>
        <w:t>Table 1</w:t>
      </w:r>
      <w:r w:rsidR="001527C2">
        <w:rPr>
          <w:color w:val="000000" w:themeColor="text1"/>
        </w:rPr>
        <w:t>.</w:t>
      </w:r>
      <w:r w:rsidR="000C28CD" w:rsidRPr="00387397">
        <w:rPr>
          <w:color w:val="000000" w:themeColor="text1"/>
        </w:rPr>
        <w:t>)</w:t>
      </w:r>
      <w:r w:rsidRPr="00387397">
        <w:rPr>
          <w:color w:val="000000" w:themeColor="text1"/>
        </w:rPr>
        <w:t xml:space="preserve"> For example, f</w:t>
      </w:r>
      <w:r w:rsidR="006158A2" w:rsidRPr="00387397">
        <w:rPr>
          <w:color w:val="000000" w:themeColor="text1"/>
        </w:rPr>
        <w:t xml:space="preserve">ormal models </w:t>
      </w:r>
      <w:r w:rsidR="00503C39" w:rsidRPr="00387397">
        <w:rPr>
          <w:color w:val="000000" w:themeColor="text1"/>
        </w:rPr>
        <w:t>often</w:t>
      </w:r>
      <w:r w:rsidR="006158A2" w:rsidRPr="00387397">
        <w:rPr>
          <w:color w:val="000000" w:themeColor="text1"/>
        </w:rPr>
        <w:t xml:space="preserve"> assign each program a single</w:t>
      </w:r>
      <w:r w:rsidRPr="00387397">
        <w:rPr>
          <w:color w:val="000000" w:themeColor="text1"/>
        </w:rPr>
        <w:t xml:space="preserve"> overall</w:t>
      </w:r>
      <w:r w:rsidR="006158A2" w:rsidRPr="00387397">
        <w:rPr>
          <w:color w:val="000000" w:themeColor="text1"/>
        </w:rPr>
        <w:t xml:space="preserve"> </w:t>
      </w:r>
      <w:r w:rsidR="00503C39" w:rsidRPr="00387397">
        <w:rPr>
          <w:color w:val="000000" w:themeColor="text1"/>
        </w:rPr>
        <w:t xml:space="preserve">quality or stringency </w:t>
      </w:r>
      <w:r w:rsidR="006158A2" w:rsidRPr="00387397">
        <w:rPr>
          <w:color w:val="000000" w:themeColor="text1"/>
        </w:rPr>
        <w:t xml:space="preserve">parameter </w:t>
      </w:r>
      <w:r w:rsidR="00326B17" w:rsidRPr="00387397">
        <w:rPr>
          <w:color w:val="000000" w:themeColor="text1"/>
        </w:rPr>
        <w:t xml:space="preserve">that could be measured multiple ways yielding different </w:t>
      </w:r>
      <w:r w:rsidRPr="00387397">
        <w:rPr>
          <w:color w:val="000000" w:themeColor="text1"/>
        </w:rPr>
        <w:t xml:space="preserve">empirical </w:t>
      </w:r>
      <w:r w:rsidR="00326B17" w:rsidRPr="00387397">
        <w:rPr>
          <w:color w:val="000000" w:themeColor="text1"/>
        </w:rPr>
        <w:t>results</w:t>
      </w:r>
      <w:r w:rsidR="006158A2" w:rsidRPr="00387397">
        <w:rPr>
          <w:color w:val="000000" w:themeColor="text1"/>
        </w:rPr>
        <w:t>.</w:t>
      </w:r>
      <w:r w:rsidR="00C94C63"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32859A21"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Pr="00387397">
        <w:rPr>
          <w:color w:val="000000" w:themeColor="text1"/>
        </w:rPr>
        <w:t>used</w:t>
      </w:r>
      <w:r w:rsidR="004A59BB" w:rsidRPr="00387397">
        <w:rPr>
          <w:color w:val="000000" w:themeColor="text1"/>
        </w:rPr>
        <w:t xml:space="preserve"> proximate</w:t>
      </w:r>
      <w:r w:rsidR="00B40191" w:rsidRPr="00387397">
        <w:rPr>
          <w:color w:val="000000" w:themeColor="text1"/>
        </w:rPr>
        <w:t xml:space="preserve"> features</w:t>
      </w:r>
      <w:r w:rsidR="009D1090" w:rsidRPr="00387397">
        <w:rPr>
          <w:color w:val="000000" w:themeColor="text1"/>
        </w:rPr>
        <w:t xml:space="preserve"> that are comparable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As noted, many studies also use compliance costs or perceived </w:t>
      </w:r>
      <w:r w:rsidR="0072282C" w:rsidRPr="00387397">
        <w:rPr>
          <w:color w:val="000000" w:themeColor="text1"/>
        </w:rPr>
        <w:t xml:space="preserve">stringency as proxies. Unfortunately, such measures do not allow one to examine relationships between stringency and these other important features of </w:t>
      </w:r>
      <w:r w:rsidR="001527C2">
        <w:rPr>
          <w:color w:val="000000" w:themeColor="text1"/>
        </w:rPr>
        <w:t>a regulation</w:t>
      </w:r>
      <w:r w:rsidR="0072282C" w:rsidRPr="00387397">
        <w:rPr>
          <w:color w:val="000000" w:themeColor="text1"/>
        </w:rPr>
        <w:t>.</w:t>
      </w:r>
    </w:p>
    <w:p w14:paraId="700425A0" w14:textId="77777777" w:rsidR="000760C3" w:rsidRPr="00387397" w:rsidRDefault="000760C3" w:rsidP="00387397">
      <w:pPr>
        <w:spacing w:line="480" w:lineRule="auto"/>
        <w:rPr>
          <w:color w:val="000000" w:themeColor="text1"/>
        </w:rPr>
      </w:pPr>
    </w:p>
    <w:p w14:paraId="52060C46" w14:textId="74E125AF" w:rsidR="00E00ADD" w:rsidRPr="00387397" w:rsidRDefault="00A677AD" w:rsidP="00387397">
      <w:pPr>
        <w:spacing w:line="480" w:lineRule="auto"/>
        <w:rPr>
          <w:rFonts w:eastAsia="Times New Roman"/>
          <w:color w:val="000000" w:themeColor="text1"/>
        </w:rPr>
      </w:pPr>
      <w:r w:rsidRPr="00387397">
        <w:rPr>
          <w:color w:val="000000" w:themeColor="text1"/>
        </w:rPr>
        <w:t>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Pr="00387397">
        <w:rPr>
          <w:color w:val="000000" w:themeColor="text1"/>
        </w:rPr>
        <w:t xml:space="preserve">ement strategies </w:t>
      </w:r>
      <w:r w:rsidR="00681883" w:rsidRPr="00387397">
        <w:rPr>
          <w:color w:val="000000" w:themeColor="text1"/>
        </w:rPr>
        <w:t xml:space="preserve">tend to focus on </w:t>
      </w:r>
      <w:r w:rsidR="00326B17" w:rsidRPr="00387397">
        <w:rPr>
          <w:color w:val="000000" w:themeColor="text1"/>
        </w:rPr>
        <w:t>a few salient components</w:t>
      </w:r>
      <w:r w:rsidR="00681883" w:rsidRPr="00387397">
        <w:rPr>
          <w:color w:val="000000" w:themeColor="text1"/>
        </w:rPr>
        <w:t xml:space="preserve">, rather than </w:t>
      </w:r>
      <w:r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38489B" w:rsidRPr="00387397">
        <w:rPr>
          <w:color w:val="000000" w:themeColor="text1"/>
        </w:rPr>
        <w:t xml:space="preserve">, </w:t>
      </w:r>
      <w:r w:rsidR="00681883" w:rsidRPr="00387397">
        <w:rPr>
          <w:color w:val="000000" w:themeColor="text1"/>
        </w:rPr>
        <w:t xml:space="preserve">causing </w:t>
      </w:r>
      <w:r w:rsidR="0038489B" w:rsidRPr="00387397">
        <w:rPr>
          <w:color w:val="000000" w:themeColor="text1"/>
        </w:rPr>
        <w:t xml:space="preserve">similar concepts to be measured in </w:t>
      </w:r>
      <w:r w:rsidR="00821839" w:rsidRPr="00387397">
        <w:rPr>
          <w:color w:val="000000" w:themeColor="text1"/>
        </w:rPr>
        <w:t xml:space="preserve">different </w:t>
      </w:r>
      <w:r w:rsidR="0038489B" w:rsidRPr="00387397">
        <w:rPr>
          <w:color w:val="000000" w:themeColor="text1"/>
        </w:rPr>
        <w:t>ways</w:t>
      </w:r>
      <w:r w:rsidR="00B37010" w:rsidRPr="00387397">
        <w:rPr>
          <w:color w:val="000000" w:themeColor="text1"/>
        </w:rPr>
        <w:t>,</w:t>
      </w:r>
      <w:r w:rsidR="0038489B" w:rsidRPr="00387397">
        <w:rPr>
          <w:color w:val="000000" w:themeColor="text1"/>
        </w:rPr>
        <w:t xml:space="preserve"> </w:t>
      </w:r>
      <w:r w:rsidR="00D7178E" w:rsidRPr="00387397">
        <w:rPr>
          <w:color w:val="000000" w:themeColor="text1"/>
        </w:rPr>
        <w:t xml:space="preserve">leading to different </w:t>
      </w:r>
      <w:r w:rsidR="004A6A03" w:rsidRPr="00387397">
        <w:rPr>
          <w:color w:val="000000" w:themeColor="text1"/>
        </w:rPr>
        <w:t xml:space="preserve">results. </w:t>
      </w:r>
      <w:r w:rsidR="00E6131C" w:rsidRPr="00387397">
        <w:rPr>
          <w:color w:val="000000" w:themeColor="text1"/>
        </w:rPr>
        <w:t xml:space="preserve">To illustrate this point, we </w:t>
      </w:r>
      <w:r w:rsidR="008F339C" w:rsidRPr="00387397">
        <w:rPr>
          <w:color w:val="000000" w:themeColor="text1"/>
        </w:rPr>
        <w:t>elaborate on</w:t>
      </w:r>
      <w:r w:rsidR="00E6131C" w:rsidRPr="00387397">
        <w:rPr>
          <w:color w:val="000000" w:themeColor="text1"/>
        </w:rPr>
        <w:t xml:space="preserve"> two studies</w:t>
      </w:r>
      <w:r w:rsidR="00236AD4" w:rsidRPr="00387397">
        <w:rPr>
          <w:color w:val="000000" w:themeColor="text1"/>
        </w:rPr>
        <w:t xml:space="preserve"> </w:t>
      </w:r>
      <w:r w:rsidR="00501F82" w:rsidRPr="00387397">
        <w:rPr>
          <w:color w:val="000000" w:themeColor="text1"/>
        </w:rPr>
        <w:t>comparing</w:t>
      </w:r>
      <w:r w:rsidR="001F51BC" w:rsidRPr="00387397">
        <w:rPr>
          <w:color w:val="000000" w:themeColor="text1"/>
        </w:rPr>
        <w:t xml:space="preserve"> </w:t>
      </w:r>
      <w:r w:rsidR="00E00ADD" w:rsidRPr="00387397">
        <w:rPr>
          <w:color w:val="000000" w:themeColor="text1"/>
        </w:rPr>
        <w:t xml:space="preserve">stringency between competing </w:t>
      </w:r>
      <w:r w:rsidR="00236AD4" w:rsidRPr="00387397">
        <w:rPr>
          <w:color w:val="000000" w:themeColor="text1"/>
        </w:rPr>
        <w:t>private</w:t>
      </w:r>
      <w:r w:rsidR="00E6131C" w:rsidRPr="00387397">
        <w:rPr>
          <w:color w:val="000000" w:themeColor="text1"/>
        </w:rPr>
        <w:t xml:space="preserve"> forestry regulations. </w:t>
      </w:r>
      <w:r w:rsidR="00E6131C" w:rsidRPr="00387397">
        <w:rPr>
          <w:noProof/>
          <w:color w:val="000000" w:themeColor="text1"/>
        </w:rPr>
        <w:t>Cashore et al. (2004)</w:t>
      </w:r>
      <w:r w:rsidR="00236AD4" w:rsidRPr="00387397">
        <w:rPr>
          <w:noProof/>
          <w:color w:val="000000" w:themeColor="text1"/>
        </w:rPr>
        <w:t xml:space="preserve"> examine prescriptive</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exotics, reserves, and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w:t>
      </w:r>
      <w:proofErr w:type="spellStart"/>
      <w:r w:rsidR="0038489B" w:rsidRPr="00387397">
        <w:rPr>
          <w:rFonts w:eastAsia="Times New Roman"/>
          <w:bCs/>
          <w:color w:val="000000" w:themeColor="text1"/>
        </w:rPr>
        <w:t>Zeitlin</w:t>
      </w:r>
      <w:proofErr w:type="spellEnd"/>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w:t>
      </w:r>
      <w:r w:rsidR="00501F82" w:rsidRPr="00387397">
        <w:rPr>
          <w:rFonts w:eastAsia="Times New Roman"/>
          <w:color w:val="000000" w:themeColor="text1"/>
        </w:rPr>
        <w:lastRenderedPageBreak/>
        <w:t xml:space="preserve">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862563" w:rsidRPr="00387397">
        <w:rPr>
          <w:rFonts w:eastAsia="Times New Roman"/>
          <w:color w:val="000000" w:themeColor="text1"/>
        </w:rPr>
        <w:t>T</w:t>
      </w:r>
      <w:r w:rsidR="0038489B" w:rsidRPr="00387397">
        <w:rPr>
          <w:rFonts w:eastAsia="Times New Roman"/>
          <w:color w:val="000000" w:themeColor="text1"/>
        </w:rPr>
        <w:t>h</w:t>
      </w:r>
      <w:r w:rsidR="001F51BC" w:rsidRPr="00387397">
        <w:rPr>
          <w:rFonts w:eastAsia="Times New Roman"/>
          <w:color w:val="000000" w:themeColor="text1"/>
        </w:rPr>
        <w:t>e</w:t>
      </w:r>
      <w:r w:rsidR="0038489B" w:rsidRPr="00387397">
        <w:rPr>
          <w:rFonts w:eastAsia="Times New Roman"/>
          <w:color w:val="000000" w:themeColor="text1"/>
        </w:rPr>
        <w:t xml:space="preserve"> </w:t>
      </w:r>
      <w:r w:rsidR="001F51BC" w:rsidRPr="00387397">
        <w:rPr>
          <w:rFonts w:eastAsia="Times New Roman"/>
          <w:color w:val="000000" w:themeColor="text1"/>
        </w:rPr>
        <w:t xml:space="preserve">different sets </w:t>
      </w:r>
      <w:r w:rsidR="004A6A03" w:rsidRPr="00387397">
        <w:rPr>
          <w:rFonts w:eastAsia="Times New Roman"/>
          <w:color w:val="000000" w:themeColor="text1"/>
        </w:rPr>
        <w:t>of issues</w:t>
      </w:r>
      <w:r w:rsidR="001F51BC" w:rsidRPr="00387397">
        <w:rPr>
          <w:rFonts w:eastAsia="Times New Roman"/>
          <w:color w:val="000000" w:themeColor="text1"/>
        </w:rPr>
        <w:t xml:space="preserve"> selected by these two studies</w:t>
      </w:r>
      <w:r w:rsidR="0038489B" w:rsidRPr="00387397">
        <w:rPr>
          <w:rFonts w:eastAsia="Times New Roman"/>
          <w:color w:val="000000" w:themeColor="text1"/>
        </w:rPr>
        <w:t xml:space="preserve"> illustrate </w:t>
      </w:r>
      <w:r w:rsidR="000C28CD" w:rsidRPr="00387397">
        <w:rPr>
          <w:rFonts w:eastAsia="Times New Roman"/>
          <w:color w:val="000000" w:themeColor="text1"/>
        </w:rPr>
        <w:t>only a few of the many</w:t>
      </w:r>
      <w:r w:rsidR="0038489B" w:rsidRPr="00387397">
        <w:rPr>
          <w:rFonts w:eastAsia="Times New Roman"/>
          <w:color w:val="000000" w:themeColor="text1"/>
        </w:rPr>
        <w:t xml:space="preserve"> different ways </w:t>
      </w:r>
      <w:r w:rsidR="00503C39" w:rsidRPr="00387397">
        <w:rPr>
          <w:rFonts w:eastAsia="Times New Roman"/>
          <w:color w:val="000000" w:themeColor="text1"/>
        </w:rPr>
        <w:t>private regulations</w:t>
      </w:r>
      <w:r w:rsidR="0038489B" w:rsidRPr="00387397">
        <w:rPr>
          <w:rFonts w:eastAsia="Times New Roman"/>
          <w:color w:val="000000" w:themeColor="text1"/>
        </w:rPr>
        <w:t xml:space="preserve"> may vary</w:t>
      </w:r>
      <w:r w:rsidR="00E00ADD" w:rsidRPr="00387397">
        <w:rPr>
          <w:rFonts w:eastAsia="Times New Roman"/>
          <w:color w:val="000000" w:themeColor="text1"/>
        </w:rPr>
        <w:t xml:space="preserve">. </w:t>
      </w:r>
    </w:p>
    <w:p w14:paraId="3A005C49" w14:textId="77777777" w:rsidR="00E00ADD" w:rsidRPr="00387397" w:rsidRDefault="00E00ADD" w:rsidP="00387397">
      <w:pPr>
        <w:spacing w:line="480" w:lineRule="auto"/>
        <w:rPr>
          <w:rFonts w:eastAsia="Times New Roman"/>
          <w:color w:val="000000" w:themeColor="text1"/>
        </w:rPr>
      </w:pPr>
    </w:p>
    <w:p w14:paraId="7F51C550" w14:textId="154F9F97" w:rsidR="00C80933" w:rsidRPr="00387397" w:rsidRDefault="00E00ADD" w:rsidP="00387397">
      <w:pPr>
        <w:spacing w:line="480" w:lineRule="auto"/>
        <w:rPr>
          <w:rFonts w:eastAsia="Times New Roman"/>
          <w:color w:val="000000" w:themeColor="text1"/>
        </w:rPr>
      </w:pPr>
      <w:r w:rsidRPr="00387397">
        <w:rPr>
          <w:rFonts w:eastAsia="Times New Roman"/>
          <w:color w:val="000000" w:themeColor="text1"/>
        </w:rPr>
        <w:t>The above example</w:t>
      </w:r>
      <w:r w:rsidR="00862563" w:rsidRPr="00387397">
        <w:rPr>
          <w:rFonts w:eastAsia="Times New Roman"/>
          <w:color w:val="000000" w:themeColor="text1"/>
        </w:rPr>
        <w:t xml:space="preserve"> also illustrates two common </w:t>
      </w:r>
      <w:r w:rsidR="00674894" w:rsidRPr="00387397">
        <w:rPr>
          <w:rFonts w:eastAsia="Times New Roman"/>
          <w:color w:val="000000" w:themeColor="text1"/>
        </w:rPr>
        <w:t>difficulties</w:t>
      </w:r>
      <w:r w:rsidR="00862563" w:rsidRPr="00387397">
        <w:rPr>
          <w:rFonts w:eastAsia="Times New Roman"/>
          <w:color w:val="000000" w:themeColor="text1"/>
        </w:rPr>
        <w:t xml:space="preserve"> in identifying patterns like convergence</w:t>
      </w:r>
      <w:r w:rsidR="0038489B" w:rsidRPr="00387397">
        <w:rPr>
          <w:rFonts w:eastAsia="Times New Roman"/>
          <w:color w:val="000000" w:themeColor="text1"/>
        </w:rPr>
        <w:t xml:space="preserve">. First, </w:t>
      </w:r>
      <w:r w:rsidR="00F10DAC" w:rsidRPr="00387397">
        <w:rPr>
          <w:rFonts w:eastAsia="Times New Roman"/>
          <w:color w:val="000000" w:themeColor="text1"/>
        </w:rPr>
        <w:t xml:space="preserve">conclusions may </w:t>
      </w:r>
      <w:r w:rsidR="005B1D92" w:rsidRPr="00387397">
        <w:rPr>
          <w:rFonts w:eastAsia="Times New Roman"/>
          <w:color w:val="000000" w:themeColor="text1"/>
        </w:rPr>
        <w:t>differ if drawn from a different set</w:t>
      </w:r>
      <w:r w:rsidR="0038489B" w:rsidRPr="00387397">
        <w:rPr>
          <w:rFonts w:eastAsia="Times New Roman"/>
          <w:color w:val="000000" w:themeColor="text1"/>
        </w:rPr>
        <w:t xml:space="preserve"> of known </w:t>
      </w:r>
      <w:r w:rsidR="000C28CD" w:rsidRPr="00387397">
        <w:rPr>
          <w:rFonts w:eastAsia="Times New Roman"/>
          <w:color w:val="000000" w:themeColor="text1"/>
        </w:rPr>
        <w:t>areas</w:t>
      </w:r>
      <w:r w:rsidR="0038489B" w:rsidRPr="00387397">
        <w:rPr>
          <w:rFonts w:eastAsia="Times New Roman"/>
          <w:color w:val="000000" w:themeColor="text1"/>
        </w:rPr>
        <w:t xml:space="preserve"> of</w:t>
      </w:r>
      <w:r w:rsidR="000C28CD" w:rsidRPr="00387397">
        <w:rPr>
          <w:rFonts w:eastAsia="Times New Roman"/>
          <w:color w:val="000000" w:themeColor="text1"/>
        </w:rPr>
        <w:t xml:space="preserve"> potential</w:t>
      </w:r>
      <w:r w:rsidR="0038489B" w:rsidRPr="00387397">
        <w:rPr>
          <w:rFonts w:eastAsia="Times New Roman"/>
          <w:color w:val="000000" w:themeColor="text1"/>
        </w:rPr>
        <w:t xml:space="preserve"> variation.</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w:t>
      </w:r>
      <w:proofErr w:type="spellStart"/>
      <w:r w:rsidR="00326B17" w:rsidRPr="00387397">
        <w:rPr>
          <w:rFonts w:eastAsia="Times New Roman"/>
          <w:bCs/>
          <w:color w:val="000000" w:themeColor="text1"/>
        </w:rPr>
        <w:t>Zeitli</w:t>
      </w:r>
      <w:r w:rsidR="00074F81" w:rsidRPr="00387397">
        <w:rPr>
          <w:rFonts w:eastAsia="Times New Roman"/>
          <w:bCs/>
          <w:color w:val="000000" w:themeColor="text1"/>
        </w:rPr>
        <w:t>n</w:t>
      </w:r>
      <w:proofErr w:type="spellEnd"/>
      <w:r w:rsidR="00326B17" w:rsidRPr="00387397">
        <w:rPr>
          <w:rFonts w:eastAsia="Times New Roman"/>
          <w:bCs/>
          <w:color w:val="000000" w:themeColor="text1"/>
        </w:rPr>
        <w:t xml:space="preserve"> had chosen </w:t>
      </w:r>
      <w:proofErr w:type="spellStart"/>
      <w:r w:rsidR="00A27349" w:rsidRPr="00387397">
        <w:rPr>
          <w:rFonts w:eastAsia="Times New Roman"/>
          <w:bCs/>
          <w:color w:val="000000" w:themeColor="text1"/>
        </w:rPr>
        <w:t>Cashore</w:t>
      </w:r>
      <w:proofErr w:type="spellEnd"/>
      <w:r w:rsidR="00A27349" w:rsidRPr="00387397">
        <w:rPr>
          <w:rFonts w:eastAsia="Times New Roman"/>
          <w:bCs/>
          <w:color w:val="000000" w:themeColor="text1"/>
        </w:rPr>
        <w:t xml:space="preserve"> et al.</w:t>
      </w:r>
      <w:r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Indeed, as we show in section</w:t>
      </w:r>
      <w:r w:rsidR="00FC4A9B" w:rsidRPr="00387397">
        <w:rPr>
          <w:rFonts w:eastAsia="Times New Roman"/>
          <w:bCs/>
          <w:color w:val="000000" w:themeColor="text1"/>
        </w:rPr>
        <w:t>s</w:t>
      </w:r>
      <w:r w:rsidR="001F51BC" w:rsidRPr="00387397">
        <w:rPr>
          <w:rFonts w:eastAsia="Times New Roman"/>
          <w:bCs/>
          <w:color w:val="000000" w:themeColor="text1"/>
        </w:rPr>
        <w:t xml:space="preserve"> 4</w:t>
      </w:r>
      <w:r w:rsidR="00FC4A9B" w:rsidRPr="00387397">
        <w:rPr>
          <w:rFonts w:eastAsia="Times New Roman"/>
          <w:bCs/>
          <w:color w:val="000000" w:themeColor="text1"/>
        </w:rPr>
        <w:t xml:space="preserve"> and 5</w:t>
      </w:r>
      <w:r w:rsidR="001F51BC" w:rsidRPr="00387397">
        <w:rPr>
          <w:rFonts w:eastAsia="Times New Roman"/>
          <w:bCs/>
          <w:color w:val="000000" w:themeColor="text1"/>
        </w:rPr>
        <w:t xml:space="preserve">, these </w:t>
      </w:r>
      <w:r w:rsidR="005B1D92" w:rsidRPr="00387397">
        <w:rPr>
          <w:rFonts w:eastAsia="Times New Roman"/>
          <w:bCs/>
          <w:color w:val="000000" w:themeColor="text1"/>
        </w:rPr>
        <w:t xml:space="preserve">forestry </w:t>
      </w:r>
      <w:r w:rsidR="00074F81" w:rsidRPr="00387397">
        <w:rPr>
          <w:rFonts w:eastAsia="Times New Roman"/>
          <w:bCs/>
          <w:color w:val="000000" w:themeColor="text1"/>
        </w:rPr>
        <w:t xml:space="preserve">certification </w:t>
      </w:r>
      <w:r w:rsidR="0072282C" w:rsidRPr="00387397">
        <w:rPr>
          <w:rFonts w:eastAsia="Times New Roman"/>
          <w:bCs/>
          <w:color w:val="000000" w:themeColor="text1"/>
        </w:rPr>
        <w:t>programs</w:t>
      </w:r>
      <w:r w:rsidR="005B1D92" w:rsidRPr="00387397">
        <w:rPr>
          <w:rFonts w:eastAsia="Times New Roman"/>
          <w:bCs/>
          <w:color w:val="000000" w:themeColor="text1"/>
        </w:rPr>
        <w:t xml:space="preserve"> </w:t>
      </w:r>
      <w:r w:rsidR="000C28CD" w:rsidRPr="00387397">
        <w:rPr>
          <w:i/>
          <w:color w:val="000000" w:themeColor="text1"/>
        </w:rPr>
        <w:t>do</w:t>
      </w:r>
      <w:r w:rsidR="000C28CD" w:rsidRPr="00387397">
        <w:rPr>
          <w:rFonts w:eastAsia="Times New Roman"/>
          <w:bCs/>
          <w:color w:val="000000" w:themeColor="text1"/>
        </w:rPr>
        <w:t xml:space="preserve"> </w:t>
      </w:r>
      <w:r w:rsidR="001F51BC" w:rsidRPr="00387397">
        <w:rPr>
          <w:rFonts w:eastAsia="Times New Roman"/>
          <w:bCs/>
          <w:color w:val="000000" w:themeColor="text1"/>
        </w:rPr>
        <w:t xml:space="preserve">have </w:t>
      </w:r>
      <w:r w:rsidR="005B2406" w:rsidRPr="00387397">
        <w:rPr>
          <w:rFonts w:eastAsia="Times New Roman"/>
          <w:bCs/>
          <w:color w:val="000000" w:themeColor="text1"/>
        </w:rPr>
        <w:t>common trajectories on</w:t>
      </w:r>
      <w:r w:rsidR="005B1D92" w:rsidRPr="00387397">
        <w:rPr>
          <w:rFonts w:eastAsia="Times New Roman"/>
          <w:bCs/>
          <w:color w:val="000000" w:themeColor="text1"/>
        </w:rPr>
        <w:t xml:space="preserve"> pro</w:t>
      </w:r>
      <w:r w:rsidR="005B2406" w:rsidRPr="00387397">
        <w:rPr>
          <w:rFonts w:eastAsia="Times New Roman"/>
          <w:bCs/>
          <w:color w:val="000000" w:themeColor="text1"/>
        </w:rPr>
        <w:t>cedural openness</w:t>
      </w:r>
      <w:r w:rsidR="00B40706" w:rsidRPr="00387397">
        <w:rPr>
          <w:rFonts w:eastAsia="Times New Roman"/>
          <w:bCs/>
          <w:color w:val="000000" w:themeColor="text1"/>
        </w:rPr>
        <w:t>,</w:t>
      </w:r>
      <w:r w:rsidR="005B2406" w:rsidRPr="00387397">
        <w:rPr>
          <w:rFonts w:eastAsia="Times New Roman"/>
          <w:bCs/>
          <w:color w:val="000000" w:themeColor="text1"/>
        </w:rPr>
        <w:t xml:space="preserve"> but </w:t>
      </w:r>
      <w:r w:rsidR="00B40706" w:rsidRPr="00387397">
        <w:rPr>
          <w:rFonts w:eastAsia="Times New Roman"/>
          <w:bCs/>
          <w:color w:val="000000" w:themeColor="text1"/>
        </w:rPr>
        <w:t xml:space="preserve">they </w:t>
      </w:r>
      <w:r w:rsidR="00F04715">
        <w:rPr>
          <w:rFonts w:eastAsia="Times New Roman"/>
          <w:bCs/>
          <w:color w:val="000000" w:themeColor="text1"/>
        </w:rPr>
        <w:t xml:space="preserve">also </w:t>
      </w:r>
      <w:r w:rsidR="00B40706" w:rsidRPr="00387397">
        <w:rPr>
          <w:rFonts w:eastAsia="Times New Roman"/>
          <w:bCs/>
          <w:color w:val="000000" w:themeColor="text1"/>
        </w:rPr>
        <w:t xml:space="preserve">have </w:t>
      </w:r>
      <w:r w:rsidR="005B2406" w:rsidRPr="00387397">
        <w:rPr>
          <w:rFonts w:eastAsia="Times New Roman"/>
          <w:bCs/>
          <w:color w:val="000000" w:themeColor="text1"/>
        </w:rPr>
        <w:t>divergent trajectories on</w:t>
      </w:r>
      <w:r w:rsidR="005B1D92" w:rsidRPr="00387397">
        <w:rPr>
          <w:rFonts w:eastAsia="Times New Roman"/>
          <w:bCs/>
          <w:color w:val="000000" w:themeColor="text1"/>
        </w:rPr>
        <w:t xml:space="preserve"> ecological protection.</w:t>
      </w:r>
    </w:p>
    <w:p w14:paraId="798016E5" w14:textId="77777777" w:rsidR="00C80933" w:rsidRPr="00387397" w:rsidRDefault="00C80933" w:rsidP="00387397">
      <w:pPr>
        <w:spacing w:line="480" w:lineRule="auto"/>
        <w:rPr>
          <w:rFonts w:eastAsia="Times New Roman"/>
          <w:bCs/>
          <w:color w:val="000000" w:themeColor="text1"/>
        </w:rPr>
      </w:pPr>
    </w:p>
    <w:p w14:paraId="4CE158F3" w14:textId="1431EDB4" w:rsidR="00522762" w:rsidRDefault="001F51BC" w:rsidP="00387397">
      <w:pPr>
        <w:spacing w:line="480" w:lineRule="auto"/>
        <w:rPr>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w:t>
      </w:r>
      <w:proofErr w:type="gramStart"/>
      <w:r w:rsidR="00F04715">
        <w:rPr>
          <w:rFonts w:eastAsia="Times New Roman"/>
          <w:color w:val="000000" w:themeColor="text1"/>
        </w:rPr>
        <w:t>fail</w:t>
      </w:r>
      <w:proofErr w:type="gramEnd"/>
      <w:r w:rsidR="00F04715">
        <w:rPr>
          <w:rFonts w:eastAsia="Times New Roman"/>
          <w:color w:val="000000" w:themeColor="text1"/>
        </w:rPr>
        <w:t xml:space="preserve">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Indeed, a</w:t>
      </w:r>
      <w:r w:rsidRPr="00387397">
        <w:rPr>
          <w:rFonts w:eastAsia="Times New Roman"/>
          <w:color w:val="000000" w:themeColor="text1"/>
        </w:rPr>
        <w:t>s we show in section</w:t>
      </w:r>
      <w:r w:rsidR="00FC4A9B" w:rsidRPr="00387397">
        <w:rPr>
          <w:rFonts w:eastAsia="Times New Roman"/>
          <w:color w:val="000000" w:themeColor="text1"/>
        </w:rPr>
        <w:t>s</w:t>
      </w:r>
      <w:r w:rsidRPr="00387397">
        <w:rPr>
          <w:rFonts w:eastAsia="Times New Roman"/>
          <w:color w:val="000000" w:themeColor="text1"/>
        </w:rPr>
        <w:t xml:space="preserve"> 4</w:t>
      </w:r>
      <w:r w:rsidR="00FC4A9B" w:rsidRPr="00387397">
        <w:rPr>
          <w:rFonts w:eastAsia="Times New Roman"/>
          <w:color w:val="000000" w:themeColor="text1"/>
        </w:rPr>
        <w:t xml:space="preserve"> and 5</w:t>
      </w:r>
      <w:r w:rsidRPr="00387397">
        <w:rPr>
          <w:rFonts w:eastAsia="Times New Roman"/>
          <w:color w:val="000000" w:themeColor="text1"/>
        </w:rPr>
        <w:t xml:space="preserve">, </w:t>
      </w:r>
      <w:r w:rsidR="00745275" w:rsidRPr="00387397">
        <w:rPr>
          <w:rFonts w:eastAsia="Times New Roman"/>
          <w:color w:val="000000" w:themeColor="text1"/>
        </w:rPr>
        <w:t>U.S.</w:t>
      </w:r>
      <w:r w:rsidRPr="00387397">
        <w:rPr>
          <w:rFonts w:eastAsia="Times New Roman"/>
          <w:color w:val="000000" w:themeColor="text1"/>
        </w:rPr>
        <w:t xml:space="preserve"> forest certification standards </w:t>
      </w:r>
      <w:r w:rsidR="005F4C03" w:rsidRPr="00387397">
        <w:rPr>
          <w:rFonts w:eastAsia="Times New Roman"/>
          <w:color w:val="000000" w:themeColor="text1"/>
        </w:rPr>
        <w:t xml:space="preserve">may have </w:t>
      </w:r>
      <w:r w:rsidRPr="00387397">
        <w:rPr>
          <w:rFonts w:eastAsia="Times New Roman"/>
          <w:color w:val="000000" w:themeColor="text1"/>
        </w:rPr>
        <w:t xml:space="preserve">slightly converged in scope but </w:t>
      </w:r>
      <w:r w:rsidR="005F4C03" w:rsidRPr="00387397">
        <w:rPr>
          <w:rFonts w:eastAsia="Times New Roman"/>
          <w:color w:val="000000" w:themeColor="text1"/>
        </w:rPr>
        <w:t xml:space="preserve">they </w:t>
      </w:r>
      <w:r w:rsidRPr="00387397">
        <w:rPr>
          <w:rFonts w:eastAsia="Times New Roman"/>
          <w:color w:val="000000" w:themeColor="text1"/>
        </w:rPr>
        <w:t xml:space="preserve">diverged in overall prescriptiveness and levels of performance required. </w:t>
      </w:r>
    </w:p>
    <w:p w14:paraId="3273145A" w14:textId="77777777" w:rsidR="00522762" w:rsidRPr="00387397" w:rsidRDefault="00522762" w:rsidP="00387397">
      <w:pPr>
        <w:spacing w:line="480" w:lineRule="auto"/>
        <w:rPr>
          <w:rFonts w:eastAsia="Times New Roman"/>
          <w:color w:val="000000" w:themeColor="text1"/>
        </w:rPr>
      </w:pPr>
    </w:p>
    <w:p w14:paraId="4F1EF73B" w14:textId="48C4A017" w:rsidR="00921C3C" w:rsidRPr="00387397" w:rsidRDefault="00F04715" w:rsidP="00387397">
      <w:pPr>
        <w:spacing w:line="480" w:lineRule="auto"/>
        <w:rPr>
          <w:rFonts w:eastAsia="Times New Roman"/>
          <w:color w:val="000000" w:themeColor="text1"/>
        </w:rPr>
      </w:pPr>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w:t>
      </w:r>
      <w:proofErr w:type="spellStart"/>
      <w:r w:rsidR="00A56879" w:rsidRPr="00387397">
        <w:rPr>
          <w:rFonts w:eastAsia="Times New Roman"/>
          <w:bCs/>
          <w:color w:val="000000" w:themeColor="text1"/>
        </w:rPr>
        <w:t>Zeitlin</w:t>
      </w:r>
      <w:proofErr w:type="spellEnd"/>
      <w:r w:rsidR="00A56879" w:rsidRPr="00387397">
        <w:rPr>
          <w:rFonts w:eastAsia="Times New Roman"/>
          <w:bCs/>
          <w:color w:val="000000" w:themeColor="text1"/>
        </w:rPr>
        <w:t xml:space="preserve"> </w:t>
      </w:r>
      <w:r w:rsidR="00FC4A9B" w:rsidRPr="00387397">
        <w:rPr>
          <w:rFonts w:eastAsia="Times New Roman"/>
          <w:bCs/>
          <w:color w:val="000000" w:themeColor="text1"/>
        </w:rPr>
        <w:t xml:space="preserve">(2014) </w:t>
      </w:r>
      <w:r w:rsidR="00C80933" w:rsidRPr="00387397">
        <w:rPr>
          <w:rFonts w:eastAsia="Times New Roman"/>
          <w:bCs/>
          <w:color w:val="000000" w:themeColor="text1"/>
        </w:rPr>
        <w:t>are correct 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stakeholder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proofErr w:type="spellStart"/>
      <w:r w:rsidR="00C80933" w:rsidRPr="00387397">
        <w:rPr>
          <w:rFonts w:eastAsia="Times New Roman"/>
          <w:bCs/>
          <w:color w:val="000000" w:themeColor="text1"/>
        </w:rPr>
        <w:t>Cashore</w:t>
      </w:r>
      <w:proofErr w:type="spellEnd"/>
      <w:r w:rsidR="00C80933" w:rsidRPr="00387397">
        <w:rPr>
          <w:rFonts w:eastAsia="Times New Roman"/>
          <w:bCs/>
          <w:color w:val="000000" w:themeColor="text1"/>
        </w:rPr>
        <w:t xml:space="preserv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5F4C03" w:rsidRPr="00387397">
        <w:rPr>
          <w:rFonts w:eastAsia="Times New Roman"/>
          <w:bCs/>
          <w:color w:val="000000" w:themeColor="text1"/>
        </w:rPr>
        <w:t>are</w:t>
      </w:r>
      <w:r w:rsidR="00C80933" w:rsidRPr="00387397">
        <w:rPr>
          <w:rFonts w:eastAsia="Times New Roman"/>
          <w:bCs/>
          <w:color w:val="000000" w:themeColor="text1"/>
        </w:rPr>
        <w:t xml:space="preserve"> also correct that they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r w:rsidR="00F21142" w:rsidRPr="00387397">
        <w:rPr>
          <w:rFonts w:eastAsia="Times New Roman"/>
          <w:bCs/>
          <w:color w:val="000000" w:themeColor="text1"/>
        </w:rPr>
        <w:t>This is not to say that</w:t>
      </w:r>
      <w:r w:rsidR="00E6131C" w:rsidRPr="00387397">
        <w:rPr>
          <w:rFonts w:eastAsia="Times New Roman"/>
          <w:bCs/>
          <w:color w:val="000000" w:themeColor="text1"/>
        </w:rPr>
        <w:t xml:space="preserve"> the different sets of issues chosen by </w:t>
      </w:r>
      <w:proofErr w:type="spellStart"/>
      <w:r w:rsidR="00E6131C" w:rsidRPr="00387397">
        <w:rPr>
          <w:rFonts w:eastAsia="Times New Roman"/>
          <w:bCs/>
          <w:color w:val="000000" w:themeColor="text1"/>
        </w:rPr>
        <w:t>Cashore</w:t>
      </w:r>
      <w:proofErr w:type="spellEnd"/>
      <w:r w:rsidR="00E6131C" w:rsidRPr="00387397">
        <w:rPr>
          <w:rFonts w:eastAsia="Times New Roman"/>
          <w:bCs/>
          <w:color w:val="000000" w:themeColor="text1"/>
        </w:rPr>
        <w:t xml:space="preserve"> et al. or by </w:t>
      </w:r>
      <w:proofErr w:type="spellStart"/>
      <w:r w:rsidR="00F21142" w:rsidRPr="00387397">
        <w:rPr>
          <w:rFonts w:eastAsia="Times New Roman"/>
          <w:bCs/>
          <w:color w:val="000000" w:themeColor="text1"/>
        </w:rPr>
        <w:t>Overdevest</w:t>
      </w:r>
      <w:proofErr w:type="spellEnd"/>
      <w:r w:rsidR="00F21142" w:rsidRPr="00387397">
        <w:rPr>
          <w:rFonts w:eastAsia="Times New Roman"/>
          <w:bCs/>
          <w:color w:val="000000" w:themeColor="text1"/>
        </w:rPr>
        <w:t xml:space="preserve"> and </w:t>
      </w:r>
      <w:proofErr w:type="spellStart"/>
      <w:r w:rsidR="00F21142" w:rsidRPr="00387397">
        <w:rPr>
          <w:rFonts w:eastAsia="Times New Roman"/>
          <w:bCs/>
          <w:color w:val="000000" w:themeColor="text1"/>
        </w:rPr>
        <w:t>Zeitlin</w:t>
      </w:r>
      <w:proofErr w:type="spellEnd"/>
      <w:r w:rsidR="00E6131C" w:rsidRPr="00387397">
        <w:rPr>
          <w:rFonts w:eastAsia="Times New Roman"/>
          <w:bCs/>
          <w:color w:val="000000" w:themeColor="text1"/>
        </w:rPr>
        <w:t xml:space="preserve"> are not important or that the authors</w:t>
      </w:r>
      <w:r w:rsidR="00F21142" w:rsidRPr="00387397">
        <w:rPr>
          <w:rFonts w:eastAsia="Times New Roman"/>
          <w:bCs/>
          <w:color w:val="000000" w:themeColor="text1"/>
        </w:rPr>
        <w:t xml:space="preserve"> were not clear about the scope of their stud</w:t>
      </w:r>
      <w:r w:rsidR="0085768A" w:rsidRPr="00387397">
        <w:rPr>
          <w:rFonts w:eastAsia="Times New Roman"/>
          <w:bCs/>
          <w:color w:val="000000" w:themeColor="text1"/>
        </w:rPr>
        <w:t>y</w:t>
      </w:r>
      <w:r w:rsidR="00F21142" w:rsidRPr="00387397">
        <w:rPr>
          <w:rFonts w:eastAsia="Times New Roman"/>
          <w:bCs/>
          <w:color w:val="000000" w:themeColor="text1"/>
        </w:rPr>
        <w:t xml:space="preserve">. </w:t>
      </w:r>
      <w:r w:rsidR="00FB51C0" w:rsidRPr="00387397">
        <w:rPr>
          <w:rFonts w:eastAsia="Times New Roman"/>
          <w:bCs/>
          <w:color w:val="000000" w:themeColor="text1"/>
        </w:rPr>
        <w:t>Rather, it is</w:t>
      </w:r>
      <w:r w:rsidR="00F21142" w:rsidRPr="00387397">
        <w:rPr>
          <w:rFonts w:eastAsia="Times New Roman"/>
          <w:bCs/>
          <w:color w:val="000000" w:themeColor="text1"/>
        </w:rPr>
        <w:t xml:space="preserve"> a call for caution among readers and practitioners about </w:t>
      </w:r>
      <w:r w:rsidR="0039606B" w:rsidRPr="00387397">
        <w:rPr>
          <w:rFonts w:eastAsia="Times New Roman"/>
          <w:bCs/>
          <w:color w:val="000000" w:themeColor="text1"/>
        </w:rPr>
        <w:t>over</w:t>
      </w:r>
      <w:r w:rsidR="00F21142" w:rsidRPr="00387397">
        <w:rPr>
          <w:rFonts w:eastAsia="Times New Roman"/>
          <w:bCs/>
          <w:color w:val="000000" w:themeColor="text1"/>
        </w:rPr>
        <w:t>generaliz</w:t>
      </w:r>
      <w:r w:rsidR="005F4C03" w:rsidRPr="00387397">
        <w:rPr>
          <w:rFonts w:eastAsia="Times New Roman"/>
          <w:bCs/>
          <w:color w:val="000000" w:themeColor="text1"/>
        </w:rPr>
        <w:t>ing</w:t>
      </w:r>
      <w:r w:rsidR="007E5A72" w:rsidRPr="00387397">
        <w:rPr>
          <w:rFonts w:eastAsia="Times New Roman"/>
          <w:bCs/>
          <w:color w:val="000000" w:themeColor="text1"/>
        </w:rPr>
        <w:t>,</w:t>
      </w:r>
      <w:r w:rsidR="00F21142" w:rsidRPr="00387397">
        <w:rPr>
          <w:rFonts w:eastAsia="Times New Roman"/>
          <w:bCs/>
          <w:color w:val="000000" w:themeColor="text1"/>
        </w:rPr>
        <w:t xml:space="preserve"> </w:t>
      </w:r>
      <w:r w:rsidR="002C24AA" w:rsidRPr="00387397">
        <w:rPr>
          <w:rFonts w:eastAsia="Times New Roman"/>
          <w:bCs/>
          <w:color w:val="000000" w:themeColor="text1"/>
        </w:rPr>
        <w:t xml:space="preserve">and for scholars to be </w:t>
      </w:r>
      <w:r w:rsidR="00ED725B" w:rsidRPr="00387397">
        <w:rPr>
          <w:rFonts w:eastAsia="Times New Roman"/>
          <w:bCs/>
          <w:color w:val="000000" w:themeColor="text1"/>
        </w:rPr>
        <w:t>extraordinar</w:t>
      </w:r>
      <w:r w:rsidR="003F0F68" w:rsidRPr="00387397">
        <w:rPr>
          <w:rFonts w:eastAsia="Times New Roman"/>
          <w:bCs/>
          <w:color w:val="000000" w:themeColor="text1"/>
        </w:rPr>
        <w:t>il</w:t>
      </w:r>
      <w:r w:rsidR="00ED725B" w:rsidRPr="00387397">
        <w:rPr>
          <w:rFonts w:eastAsia="Times New Roman"/>
          <w:bCs/>
          <w:color w:val="000000" w:themeColor="text1"/>
        </w:rPr>
        <w:t>y clear</w:t>
      </w:r>
      <w:r w:rsidR="00FB51C0" w:rsidRPr="00387397">
        <w:rPr>
          <w:rFonts w:eastAsia="Times New Roman"/>
          <w:bCs/>
          <w:color w:val="000000" w:themeColor="text1"/>
        </w:rPr>
        <w:t xml:space="preserve"> about concepts and measurement</w:t>
      </w:r>
      <w:r w:rsidR="00F21142" w:rsidRPr="00387397">
        <w:rPr>
          <w:rFonts w:eastAsia="Times New Roman"/>
          <w:bCs/>
          <w:color w:val="000000" w:themeColor="text1"/>
        </w:rPr>
        <w:t>.</w:t>
      </w:r>
      <w:r w:rsidR="00A91BFB" w:rsidRPr="00387397">
        <w:rPr>
          <w:rFonts w:eastAsia="Times New Roman"/>
          <w:bCs/>
          <w:color w:val="000000" w:themeColor="text1"/>
        </w:rPr>
        <w:t xml:space="preserve"> Such clarity is difficult without a framework to relate </w:t>
      </w:r>
      <w:r w:rsidR="00572BE5">
        <w:rPr>
          <w:rFonts w:eastAsia="Times New Roman"/>
          <w:bCs/>
          <w:color w:val="000000" w:themeColor="text1"/>
        </w:rPr>
        <w:t xml:space="preserve">different bits of </w:t>
      </w:r>
      <w:r w:rsidR="00A91BFB" w:rsidRPr="00387397">
        <w:rPr>
          <w:rFonts w:eastAsia="Times New Roman"/>
          <w:bCs/>
          <w:color w:val="000000" w:themeColor="text1"/>
        </w:rPr>
        <w:t xml:space="preserve">particular evidence to </w:t>
      </w:r>
      <w:r>
        <w:rPr>
          <w:rFonts w:eastAsia="Times New Roman"/>
          <w:bCs/>
          <w:color w:val="000000" w:themeColor="text1"/>
        </w:rPr>
        <w:t xml:space="preserve">shared </w:t>
      </w:r>
      <w:r w:rsidR="00A91BFB" w:rsidRPr="00387397">
        <w:rPr>
          <w:rFonts w:eastAsia="Times New Roman"/>
          <w:bCs/>
          <w:color w:val="000000" w:themeColor="text1"/>
        </w:rPr>
        <w:t>broader concepts of stringency.</w:t>
      </w:r>
      <w:r w:rsidR="00E85074" w:rsidRPr="00387397">
        <w:rPr>
          <w:rFonts w:eastAsia="Times New Roman"/>
          <w:bCs/>
          <w:color w:val="000000" w:themeColor="text1"/>
        </w:rPr>
        <w:t xml:space="preserve"> </w:t>
      </w:r>
      <w:r w:rsidR="009C57F6" w:rsidRPr="00387397">
        <w:rPr>
          <w:rFonts w:eastAsia="Times New Roman"/>
          <w:bCs/>
          <w:color w:val="000000" w:themeColor="text1"/>
        </w:rPr>
        <w:t>Indeed, g</w:t>
      </w:r>
      <w:r w:rsidR="00ED725B" w:rsidRPr="00387397">
        <w:rPr>
          <w:rFonts w:eastAsia="Times New Roman"/>
          <w:bCs/>
          <w:color w:val="000000" w:themeColor="text1"/>
        </w:rPr>
        <w:t xml:space="preserve">eneralizing from different </w:t>
      </w:r>
      <w:r w:rsidR="00FB51C0" w:rsidRPr="00387397">
        <w:rPr>
          <w:rFonts w:eastAsia="Times New Roman"/>
          <w:bCs/>
          <w:color w:val="000000" w:themeColor="text1"/>
        </w:rPr>
        <w:t>evidence—</w:t>
      </w:r>
      <w:r w:rsidR="00D546C8" w:rsidRPr="00387397">
        <w:rPr>
          <w:rFonts w:eastAsia="Times New Roman"/>
          <w:bCs/>
          <w:color w:val="000000" w:themeColor="text1"/>
        </w:rPr>
        <w:t xml:space="preserve">broad </w:t>
      </w:r>
      <w:r w:rsidR="00FB51C0" w:rsidRPr="00387397">
        <w:rPr>
          <w:rFonts w:eastAsia="Times New Roman"/>
          <w:bCs/>
          <w:color w:val="000000" w:themeColor="text1"/>
        </w:rPr>
        <w:t xml:space="preserve">in some cases, </w:t>
      </w:r>
      <w:r w:rsidR="00D546C8" w:rsidRPr="00387397">
        <w:rPr>
          <w:rFonts w:eastAsia="Times New Roman"/>
          <w:bCs/>
          <w:color w:val="000000" w:themeColor="text1"/>
        </w:rPr>
        <w:t xml:space="preserve">particular </w:t>
      </w:r>
      <w:r w:rsidR="00FB51C0" w:rsidRPr="00387397">
        <w:rPr>
          <w:rFonts w:eastAsia="Times New Roman"/>
          <w:bCs/>
          <w:color w:val="000000" w:themeColor="text1"/>
        </w:rPr>
        <w:t>in others—</w:t>
      </w:r>
      <w:r w:rsidR="00ED725B" w:rsidRPr="00387397">
        <w:rPr>
          <w:rFonts w:eastAsia="Times New Roman"/>
          <w:bCs/>
          <w:color w:val="000000" w:themeColor="text1"/>
        </w:rPr>
        <w:t>explains the seemingly contradictory results reviewed above.</w:t>
      </w:r>
    </w:p>
    <w:p w14:paraId="24C56AC5" w14:textId="77777777" w:rsidR="001B1297" w:rsidRPr="00387397" w:rsidRDefault="001B1297" w:rsidP="00387397">
      <w:pPr>
        <w:spacing w:line="480" w:lineRule="auto"/>
        <w:rPr>
          <w:rFonts w:eastAsia="Times New Roman"/>
          <w:color w:val="000000" w:themeColor="text1"/>
        </w:rPr>
      </w:pPr>
    </w:p>
    <w:p w14:paraId="7771B277" w14:textId="68AA4A9F" w:rsidR="00F00BF7" w:rsidRPr="00387397" w:rsidRDefault="0038489B" w:rsidP="00387397">
      <w:pPr>
        <w:spacing w:line="480" w:lineRule="auto"/>
        <w:rPr>
          <w:rFonts w:eastAsia="Times New Roman"/>
          <w:color w:val="000000" w:themeColor="text1"/>
        </w:rPr>
      </w:pPr>
      <w:r w:rsidRPr="00387397">
        <w:rPr>
          <w:rFonts w:eastAsia="Times New Roman"/>
          <w:color w:val="000000" w:themeColor="text1"/>
        </w:rPr>
        <w:t xml:space="preserve">Two challenges </w:t>
      </w:r>
      <w:r w:rsidR="005F0486" w:rsidRPr="00387397">
        <w:rPr>
          <w:rFonts w:eastAsia="Times New Roman"/>
          <w:color w:val="000000" w:themeColor="text1"/>
        </w:rPr>
        <w:t xml:space="preserve">appear to have </w:t>
      </w:r>
      <w:r w:rsidRPr="00387397">
        <w:rPr>
          <w:rFonts w:eastAsia="Times New Roman"/>
          <w:color w:val="000000" w:themeColor="text1"/>
        </w:rPr>
        <w:t>create</w:t>
      </w:r>
      <w:r w:rsidR="005F0486" w:rsidRPr="00387397">
        <w:rPr>
          <w:rFonts w:eastAsia="Times New Roman"/>
          <w:color w:val="000000" w:themeColor="text1"/>
        </w:rPr>
        <w:t>d</w:t>
      </w:r>
      <w:r w:rsidRPr="00387397">
        <w:rPr>
          <w:rFonts w:eastAsia="Times New Roman"/>
          <w:color w:val="000000" w:themeColor="text1"/>
        </w:rPr>
        <w:t xml:space="preserve"> </w:t>
      </w:r>
      <w:r w:rsidR="00572BE5">
        <w:rPr>
          <w:rFonts w:eastAsia="Times New Roman"/>
          <w:color w:val="000000" w:themeColor="text1"/>
        </w:rPr>
        <w:t>the</w:t>
      </w:r>
      <w:r w:rsidRPr="00387397">
        <w:rPr>
          <w:rFonts w:eastAsia="Times New Roman"/>
          <w:color w:val="000000" w:themeColor="text1"/>
        </w:rPr>
        <w:t xml:space="preserve"> breadth-depth tradeoff</w:t>
      </w:r>
      <w:r w:rsidR="001B1297" w:rsidRPr="00387397">
        <w:rPr>
          <w:rFonts w:eastAsia="Times New Roman"/>
          <w:color w:val="000000" w:themeColor="text1"/>
        </w:rPr>
        <w:t xml:space="preserve"> </w:t>
      </w:r>
      <w:r w:rsidR="00572BE5">
        <w:rPr>
          <w:rFonts w:eastAsia="Times New Roman"/>
          <w:color w:val="000000" w:themeColor="text1"/>
        </w:rPr>
        <w:t xml:space="preserve">shown in </w:t>
      </w:r>
      <w:r w:rsidR="001B1297" w:rsidRPr="00387397">
        <w:rPr>
          <w:rFonts w:eastAsia="Times New Roman"/>
          <w:color w:val="000000" w:themeColor="text1"/>
        </w:rPr>
        <w:t>Table 1</w:t>
      </w:r>
      <w:r w:rsidR="005F0486" w:rsidRPr="00387397">
        <w:rPr>
          <w:rFonts w:eastAsia="Times New Roman"/>
          <w:color w:val="000000" w:themeColor="text1"/>
        </w:rPr>
        <w:t>. First, to be both comprehensive and precise</w:t>
      </w:r>
      <w:r w:rsidRPr="00387397">
        <w:rPr>
          <w:rFonts w:eastAsia="Times New Roman"/>
          <w:color w:val="000000" w:themeColor="text1"/>
        </w:rPr>
        <w:t xml:space="preserve"> is costly</w:t>
      </w:r>
      <w:r w:rsidR="00F80416" w:rsidRPr="00387397">
        <w:rPr>
          <w:rFonts w:eastAsia="Times New Roman"/>
          <w:color w:val="000000" w:themeColor="text1"/>
        </w:rPr>
        <w:t xml:space="preserve"> for researchers</w:t>
      </w:r>
      <w:r w:rsidRPr="00387397">
        <w:rPr>
          <w:rFonts w:eastAsia="Times New Roman"/>
          <w:color w:val="000000" w:themeColor="text1"/>
        </w:rPr>
        <w:t xml:space="preserve">. Second, even if researchers conduct </w:t>
      </w:r>
      <w:r w:rsidR="00C94C63" w:rsidRPr="00387397">
        <w:rPr>
          <w:rFonts w:eastAsia="Times New Roman"/>
          <w:color w:val="000000" w:themeColor="text1"/>
        </w:rPr>
        <w:t xml:space="preserve">a </w:t>
      </w:r>
      <w:r w:rsidRPr="00387397">
        <w:rPr>
          <w:rFonts w:eastAsia="Times New Roman"/>
          <w:color w:val="000000" w:themeColor="text1"/>
        </w:rPr>
        <w:t xml:space="preserve">detailed analysis of a comprehensive set of policy issues, </w:t>
      </w:r>
      <w:r w:rsidR="005B1D92" w:rsidRPr="00387397">
        <w:rPr>
          <w:rFonts w:eastAsia="Times New Roman"/>
          <w:color w:val="000000" w:themeColor="text1"/>
        </w:rPr>
        <w:t xml:space="preserve">we lack consistent methods for </w:t>
      </w:r>
      <w:r w:rsidRPr="00387397">
        <w:rPr>
          <w:rFonts w:eastAsia="Times New Roman"/>
          <w:color w:val="000000" w:themeColor="text1"/>
        </w:rPr>
        <w:t xml:space="preserve">aggregating comparisons </w:t>
      </w:r>
      <w:r w:rsidR="005B1D92" w:rsidRPr="00387397">
        <w:rPr>
          <w:rFonts w:eastAsia="Times New Roman"/>
          <w:color w:val="000000" w:themeColor="text1"/>
        </w:rPr>
        <w:t xml:space="preserve">across </w:t>
      </w:r>
      <w:r w:rsidRPr="00387397">
        <w:rPr>
          <w:rFonts w:eastAsia="Times New Roman"/>
          <w:color w:val="000000" w:themeColor="text1"/>
        </w:rPr>
        <w:t xml:space="preserve">different issues to </w:t>
      </w:r>
      <w:r w:rsidR="005B1D92" w:rsidRPr="00387397">
        <w:rPr>
          <w:rFonts w:eastAsia="Times New Roman"/>
          <w:color w:val="000000" w:themeColor="text1"/>
        </w:rPr>
        <w:t>describe general trends</w:t>
      </w:r>
      <w:r w:rsidRPr="00387397">
        <w:rPr>
          <w:rFonts w:eastAsia="Times New Roman"/>
          <w:color w:val="000000" w:themeColor="text1"/>
        </w:rPr>
        <w:t xml:space="preserve">. Indeed, specific requirements are often incommensurable between programs and can only be </w:t>
      </w:r>
      <w:r w:rsidR="007B1BAF" w:rsidRPr="00387397">
        <w:rPr>
          <w:rFonts w:eastAsia="Times New Roman"/>
          <w:color w:val="000000" w:themeColor="text1"/>
        </w:rPr>
        <w:t xml:space="preserve">appropriately </w:t>
      </w:r>
      <w:r w:rsidRPr="00387397">
        <w:rPr>
          <w:rFonts w:eastAsia="Times New Roman"/>
          <w:color w:val="000000" w:themeColor="text1"/>
        </w:rPr>
        <w:t>compared through descriptive narratives.</w:t>
      </w:r>
    </w:p>
    <w:p w14:paraId="16EC0CFA" w14:textId="77777777" w:rsidR="009E45C0" w:rsidRPr="00387397" w:rsidRDefault="009E45C0" w:rsidP="00387397">
      <w:pPr>
        <w:spacing w:line="480" w:lineRule="auto"/>
        <w:rPr>
          <w:rFonts w:eastAsia="Times New Roman"/>
          <w:color w:val="000000" w:themeColor="text1"/>
        </w:rPr>
      </w:pPr>
    </w:p>
    <w:p w14:paraId="7390448B" w14:textId="5E44E3F3" w:rsidR="008B2888" w:rsidRPr="00387397" w:rsidRDefault="0038489B" w:rsidP="00387397">
      <w:pPr>
        <w:pStyle w:val="NormalWeb"/>
        <w:spacing w:before="0" w:beforeAutospacing="0" w:after="0" w:afterAutospacing="0" w:line="480" w:lineRule="auto"/>
        <w:rPr>
          <w:color w:val="000000" w:themeColor="text1"/>
        </w:rPr>
      </w:pPr>
      <w:r w:rsidRPr="00387397">
        <w:rPr>
          <w:rFonts w:eastAsia="Times New Roman"/>
          <w:color w:val="000000" w:themeColor="text1"/>
        </w:rPr>
        <w:t xml:space="preserve">We </w:t>
      </w:r>
      <w:r w:rsidR="00ED725B" w:rsidRPr="00387397">
        <w:rPr>
          <w:rFonts w:eastAsia="Times New Roman"/>
          <w:color w:val="000000" w:themeColor="text1"/>
        </w:rPr>
        <w:t xml:space="preserve">partially </w:t>
      </w:r>
      <w:r w:rsidR="005F0486" w:rsidRPr="00387397">
        <w:rPr>
          <w:rFonts w:eastAsia="Times New Roman"/>
          <w:color w:val="000000" w:themeColor="text1"/>
        </w:rPr>
        <w:t xml:space="preserve">overcome </w:t>
      </w:r>
      <w:r w:rsidR="00ED725B" w:rsidRPr="00387397">
        <w:rPr>
          <w:rFonts w:eastAsia="Times New Roman"/>
          <w:color w:val="000000" w:themeColor="text1"/>
        </w:rPr>
        <w:t xml:space="preserve">the second </w:t>
      </w:r>
      <w:r w:rsidR="005F0486" w:rsidRPr="00387397">
        <w:rPr>
          <w:rFonts w:eastAsia="Times New Roman"/>
          <w:color w:val="000000" w:themeColor="text1"/>
        </w:rPr>
        <w:t xml:space="preserve">dilemma </w:t>
      </w:r>
      <w:r w:rsidR="000230CA" w:rsidRPr="00387397">
        <w:rPr>
          <w:rFonts w:eastAsia="Times New Roman"/>
          <w:color w:val="000000" w:themeColor="text1"/>
        </w:rPr>
        <w:t>by</w:t>
      </w:r>
      <w:r w:rsidR="001C5A5A" w:rsidRPr="00387397">
        <w:rPr>
          <w:rFonts w:eastAsia="Times New Roman"/>
          <w:color w:val="000000" w:themeColor="text1"/>
        </w:rPr>
        <w:t>, in addition to</w:t>
      </w:r>
      <w:r w:rsidR="00ED725B" w:rsidRPr="00387397">
        <w:rPr>
          <w:rFonts w:eastAsia="Times New Roman"/>
          <w:color w:val="000000" w:themeColor="text1"/>
        </w:rPr>
        <w:t xml:space="preserve"> 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r w:rsidR="000230CA" w:rsidRPr="00387397">
        <w:rPr>
          <w:rFonts w:eastAsia="Times New Roman"/>
          <w:color w:val="000000" w:themeColor="text1"/>
        </w:rPr>
        <w:t xml:space="preserve">using </w:t>
      </w:r>
      <w:r w:rsidRPr="00387397">
        <w:rPr>
          <w:rFonts w:eastAsia="Times New Roman"/>
          <w:color w:val="000000" w:themeColor="text1"/>
        </w:rPr>
        <w:t xml:space="preserve">two measurement </w:t>
      </w:r>
      <w:r w:rsidR="0039606B" w:rsidRPr="00387397">
        <w:rPr>
          <w:rFonts w:eastAsia="Times New Roman"/>
          <w:color w:val="000000" w:themeColor="text1"/>
        </w:rPr>
        <w:t>concepts</w:t>
      </w:r>
      <w:r w:rsidRPr="00387397">
        <w:rPr>
          <w:rFonts w:eastAsia="Times New Roman"/>
          <w:color w:val="000000" w:themeColor="text1"/>
        </w:rPr>
        <w:t xml:space="preserve"> t</w:t>
      </w:r>
      <w:r w:rsidR="00E97E36" w:rsidRPr="00387397">
        <w:rPr>
          <w:rFonts w:eastAsia="Times New Roman"/>
          <w:color w:val="000000" w:themeColor="text1"/>
        </w:rPr>
        <w:t>hat can be applied to all</w:t>
      </w:r>
      <w:r w:rsidR="00102576" w:rsidRPr="00387397">
        <w:rPr>
          <w:rFonts w:eastAsia="Times New Roman"/>
          <w:color w:val="000000" w:themeColor="text1"/>
        </w:rPr>
        <w:t xml:space="preserve"> types </w:t>
      </w:r>
      <w:r w:rsidR="00102576" w:rsidRPr="00387397">
        <w:rPr>
          <w:rFonts w:eastAsia="Times New Roman"/>
          <w:color w:val="000000" w:themeColor="text1"/>
        </w:rPr>
        <w:lastRenderedPageBreak/>
        <w:t>of requirements</w:t>
      </w:r>
      <w:r w:rsidR="00FD5A64" w:rsidRPr="00387397">
        <w:rPr>
          <w:rFonts w:eastAsia="Times New Roman"/>
          <w:color w:val="000000" w:themeColor="text1"/>
        </w:rPr>
        <w:t>.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Pr="00387397">
        <w:rPr>
          <w:rFonts w:eastAsia="Times New Roman"/>
          <w:color w:val="000000" w:themeColor="text1"/>
        </w:rPr>
        <w:t>general trends.</w:t>
      </w:r>
      <w:r w:rsidR="005D4584" w:rsidRPr="00387397">
        <w:rPr>
          <w:rFonts w:eastAsia="Times New Roman"/>
          <w:color w:val="000000" w:themeColor="text1"/>
        </w:rPr>
        <w:t xml:space="preserve"> </w:t>
      </w:r>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D255B0" w:rsidP="00387397">
      <w:pPr>
        <w:pStyle w:val="NormalWeb"/>
        <w:spacing w:before="0" w:beforeAutospacing="0" w:after="0" w:afterAutospacing="0" w:line="480" w:lineRule="auto"/>
        <w:rPr>
          <w:b/>
          <w:color w:val="000000" w:themeColor="text1"/>
        </w:rPr>
      </w:pPr>
      <w:r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72F639FB" w:rsidR="0099356D" w:rsidRPr="00387397" w:rsidRDefault="0012750D" w:rsidP="00387397">
      <w:pPr>
        <w:pStyle w:val="NormalWeb"/>
        <w:spacing w:before="0" w:beforeAutospacing="0" w:after="0" w:afterAutospacing="0" w:line="480" w:lineRule="auto"/>
        <w:rPr>
          <w:color w:val="000000" w:themeColor="text1"/>
        </w:rPr>
      </w:pPr>
      <w:r w:rsidRPr="00387397">
        <w:rPr>
          <w:color w:val="000000" w:themeColor="text1"/>
        </w:rPr>
        <w:t xml:space="preserve">Thinking more carefully about different types of policy change allows more precise and testable hypotheses about </w:t>
      </w:r>
      <w:r w:rsidR="00572BE5">
        <w:rPr>
          <w:color w:val="000000" w:themeColor="text1"/>
        </w:rPr>
        <w:t>its</w:t>
      </w:r>
      <w:r w:rsidR="00572BE5" w:rsidRPr="00387397">
        <w:rPr>
          <w:color w:val="000000" w:themeColor="text1"/>
        </w:rPr>
        <w:t xml:space="preserve"> </w:t>
      </w:r>
      <w:r w:rsidRPr="00387397">
        <w:rPr>
          <w:color w:val="000000" w:themeColor="text1"/>
        </w:rPr>
        <w:t xml:space="preserve">causes and effects.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can </w:t>
      </w:r>
      <w:r w:rsidR="0053066D" w:rsidRPr="00387397">
        <w:rPr>
          <w:color w:val="000000" w:themeColor="text1"/>
        </w:rPr>
        <w:t xml:space="preserve">vary </w:t>
      </w:r>
      <w:r w:rsidR="0039606B" w:rsidRPr="00387397">
        <w:rPr>
          <w:color w:val="000000" w:themeColor="text1"/>
        </w:rPr>
        <w:t xml:space="preserve">independently, a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this light may reveal 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with respect to hypotheses rooted in compliance </w:t>
      </w:r>
      <w:r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387397" w:rsidRDefault="0099356D" w:rsidP="00387397">
      <w:pPr>
        <w:pStyle w:val="NormalWeb"/>
        <w:spacing w:before="0" w:beforeAutospacing="0" w:after="0" w:afterAutospacing="0" w:line="480" w:lineRule="auto"/>
        <w:rPr>
          <w:color w:val="000000" w:themeColor="text1"/>
          <w:shd w:val="clear" w:color="auto" w:fill="FFFFFF"/>
        </w:rPr>
      </w:pPr>
    </w:p>
    <w:p w14:paraId="338A2938" w14:textId="4FA11A70" w:rsidR="00D255B0" w:rsidRPr="00387397" w:rsidRDefault="00C37BC8" w:rsidP="00387397">
      <w:pPr>
        <w:spacing w:line="480" w:lineRule="auto"/>
        <w:rPr>
          <w:color w:val="000000" w:themeColor="text1"/>
        </w:rPr>
      </w:pPr>
      <w:r w:rsidRPr="00387397">
        <w:rPr>
          <w:b/>
          <w:color w:val="000000" w:themeColor="text1"/>
        </w:rPr>
        <w:t>Compliance costs</w:t>
      </w:r>
      <w:r w:rsidR="005756EA">
        <w:rPr>
          <w:b/>
          <w:color w:val="000000" w:themeColor="text1"/>
        </w:rPr>
        <w:t xml:space="preserve"> and market share</w:t>
      </w:r>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we can</w:t>
      </w:r>
      <w:r w:rsidR="00D255B0" w:rsidRPr="00387397">
        <w:rPr>
          <w:color w:val="000000" w:themeColor="text1"/>
        </w:rPr>
        <w:t xml:space="preserve"> </w:t>
      </w:r>
      <w:r w:rsidR="00BB2C6D" w:rsidRPr="00387397">
        <w:rPr>
          <w:color w:val="000000" w:themeColor="text1"/>
        </w:rPr>
        <w:t>probe deeper</w:t>
      </w:r>
      <w:r w:rsidR="00805F90" w:rsidRPr="00387397">
        <w:rPr>
          <w:color w:val="000000" w:themeColor="text1"/>
        </w:rPr>
        <w:t xml:space="preserve"> into </w:t>
      </w:r>
      <w:r w:rsidR="00784EB8">
        <w:rPr>
          <w:color w:val="000000" w:themeColor="text1"/>
        </w:rPr>
        <w:t xml:space="preserve">the </w:t>
      </w:r>
      <w:r w:rsidR="00BB2C6D" w:rsidRPr="00387397">
        <w:rPr>
          <w:color w:val="000000" w:themeColor="text1"/>
        </w:rPr>
        <w:t xml:space="preserve">proposition </w:t>
      </w:r>
      <w:r w:rsidR="00691C7F" w:rsidRPr="00387397">
        <w:rPr>
          <w:color w:val="000000" w:themeColor="text1"/>
        </w:rPr>
        <w:t>that</w:t>
      </w:r>
      <w:r w:rsidR="00923B7F" w:rsidRPr="00387397">
        <w:rPr>
          <w:color w:val="000000" w:themeColor="text1"/>
        </w:rPr>
        <w:t xml:space="preserve"> compliance costs cause competing programs to set different levels of stringency</w:t>
      </w:r>
      <w:r w:rsidR="005756EA">
        <w:rPr>
          <w:color w:val="000000" w:themeColor="text1"/>
        </w:rPr>
        <w:t xml:space="preserve"> in equilibrium but </w:t>
      </w:r>
      <w:r w:rsidR="00923B7F" w:rsidRPr="00387397">
        <w:rPr>
          <w:color w:val="000000" w:themeColor="text1"/>
        </w:rPr>
        <w:t>that programs change in response to changes by their competitor. One major theoretical claim is</w:t>
      </w:r>
      <w:r w:rsidR="00D910B4" w:rsidRPr="00387397">
        <w:rPr>
          <w:color w:val="000000" w:themeColor="text1"/>
        </w:rPr>
        <w:t xml:space="preserve"> that</w:t>
      </w:r>
      <w:r w:rsidR="00923B7F" w:rsidRPr="00387397">
        <w:rPr>
          <w:color w:val="000000" w:themeColor="text1"/>
        </w:rPr>
        <w:t xml:space="preserve"> </w:t>
      </w:r>
      <w:r w:rsidR="00691C7F" w:rsidRPr="00387397">
        <w:rPr>
          <w:color w:val="000000" w:themeColor="text1"/>
        </w:rPr>
        <w:t xml:space="preserve">industry-backed programs will set overall 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691C7F" w:rsidRPr="00387397">
        <w:rPr>
          <w:color w:val="000000" w:themeColor="text1"/>
        </w:rPr>
        <w:t xml:space="preserve"> </w:t>
      </w:r>
      <w:r w:rsidR="00D255B0" w:rsidRPr="00387397">
        <w:rPr>
          <w:color w:val="000000" w:themeColor="text1"/>
        </w:rPr>
        <w:t>(</w:t>
      </w:r>
      <w:proofErr w:type="spellStart"/>
      <w:r w:rsidR="00D255B0" w:rsidRPr="00387397">
        <w:rPr>
          <w:color w:val="000000" w:themeColor="text1"/>
        </w:rPr>
        <w:t>Cashore</w:t>
      </w:r>
      <w:proofErr w:type="spellEnd"/>
      <w:r w:rsidR="00D255B0" w:rsidRPr="00387397">
        <w:rPr>
          <w:color w:val="000000" w:themeColor="text1"/>
        </w:rPr>
        <w:t xml:space="preserve"> et al. 2004; Fischer &amp; Lyon, 2014)</w:t>
      </w:r>
      <w:r w:rsidR="00D7195F" w:rsidRPr="00387397">
        <w:rPr>
          <w:color w:val="000000" w:themeColor="text1"/>
        </w:rPr>
        <w:t>.</w:t>
      </w:r>
      <w:r w:rsidR="00691C7F" w:rsidRPr="00387397">
        <w:rPr>
          <w:color w:val="000000" w:themeColor="text1"/>
        </w:rPr>
        <w:t xml:space="preserve"> </w:t>
      </w:r>
      <w:r w:rsidR="00AE3733" w:rsidRPr="00387397">
        <w:rPr>
          <w:color w:val="000000" w:themeColor="text1"/>
        </w:rPr>
        <w:t xml:space="preserve"> </w:t>
      </w:r>
      <w:r w:rsidR="00923B7F" w:rsidRPr="00387397">
        <w:rPr>
          <w:color w:val="000000" w:themeColor="text1"/>
        </w:rPr>
        <w:t>Yet, e</w:t>
      </w:r>
      <w:r w:rsidR="00805F90" w:rsidRPr="00387397">
        <w:rPr>
          <w:color w:val="000000" w:themeColor="text1"/>
        </w:rPr>
        <w:t>xisting research is</w:t>
      </w:r>
      <w:r w:rsidR="00BB2C6D" w:rsidRPr="00387397">
        <w:rPr>
          <w:color w:val="000000" w:themeColor="text1"/>
        </w:rPr>
        <w:t xml:space="preserve"> </w:t>
      </w:r>
      <w:r w:rsidR="00805F90" w:rsidRPr="00387397">
        <w:rPr>
          <w:color w:val="000000" w:themeColor="text1"/>
        </w:rPr>
        <w:t>un</w:t>
      </w:r>
      <w:r w:rsidR="00BB2C6D" w:rsidRPr="00387397">
        <w:rPr>
          <w:color w:val="000000" w:themeColor="text1"/>
        </w:rPr>
        <w:t xml:space="preserve">clear </w:t>
      </w:r>
      <w:r w:rsidR="00805F90" w:rsidRPr="00387397">
        <w:rPr>
          <w:color w:val="000000" w:themeColor="text1"/>
        </w:rPr>
        <w:t>about which dimensions of stringency ought to be affected by compliance costs</w:t>
      </w:r>
      <w:r w:rsidR="00BF2CF0" w:rsidRPr="00387397">
        <w:rPr>
          <w:color w:val="000000" w:themeColor="text1"/>
        </w:rPr>
        <w:t xml:space="preserve"> </w:t>
      </w:r>
      <w:r w:rsidR="005756EA">
        <w:rPr>
          <w:color w:val="000000" w:themeColor="text1"/>
        </w:rPr>
        <w:t>and</w:t>
      </w:r>
      <w:r w:rsidR="005756EA" w:rsidRPr="00387397">
        <w:rPr>
          <w:color w:val="000000" w:themeColor="text1"/>
        </w:rPr>
        <w:t xml:space="preserve"> </w:t>
      </w:r>
      <w:r w:rsidR="00BF2CF0" w:rsidRPr="00387397">
        <w:rPr>
          <w:color w:val="000000" w:themeColor="text1"/>
        </w:rPr>
        <w:t xml:space="preserve">whether </w:t>
      </w:r>
      <w:r w:rsidR="00805F90" w:rsidRPr="00387397">
        <w:rPr>
          <w:color w:val="000000" w:themeColor="text1"/>
        </w:rPr>
        <w:t>incentives rooted</w:t>
      </w:r>
      <w:r w:rsidR="00D910B4" w:rsidRPr="00387397">
        <w:rPr>
          <w:color w:val="000000" w:themeColor="text1"/>
        </w:rPr>
        <w:t xml:space="preserve"> in</w:t>
      </w:r>
      <w:r w:rsidR="00805F90" w:rsidRPr="00387397">
        <w:rPr>
          <w:color w:val="000000" w:themeColor="text1"/>
        </w:rPr>
        <w:t xml:space="preserve"> compliance cost affect </w:t>
      </w:r>
      <w:r w:rsidR="00805F90" w:rsidRPr="00387397">
        <w:rPr>
          <w:color w:val="000000" w:themeColor="text1"/>
        </w:rPr>
        <w:lastRenderedPageBreak/>
        <w:t xml:space="preserve">each dimension in the same </w:t>
      </w:r>
      <w:r w:rsidR="005756EA">
        <w:rPr>
          <w:color w:val="000000" w:themeColor="text1"/>
        </w:rPr>
        <w:t>way</w:t>
      </w:r>
      <w:r w:rsidR="00BF2CF0" w:rsidRPr="00387397">
        <w:rPr>
          <w:color w:val="000000" w:themeColor="text1"/>
        </w:rPr>
        <w:t>. 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related theoretical claim that, when private authorities compete</w:t>
      </w:r>
      <w:r w:rsidR="005756EA">
        <w:rPr>
          <w:color w:val="000000" w:themeColor="text1"/>
        </w:rPr>
        <w:t xml:space="preserve"> for market share</w:t>
      </w:r>
      <w:r w:rsidR="00AE3733" w:rsidRPr="00387397">
        <w:rPr>
          <w:color w:val="000000" w:themeColor="text1"/>
        </w:rPr>
        <w:t xml:space="preserve">, if one changes its standard,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w:t>
      </w:r>
      <w:proofErr w:type="spellStart"/>
      <w:r w:rsidR="00AE3733" w:rsidRPr="00387397">
        <w:rPr>
          <w:color w:val="000000" w:themeColor="text1"/>
        </w:rPr>
        <w:t>Fischlein</w:t>
      </w:r>
      <w:proofErr w:type="spellEnd"/>
      <w:r w:rsidR="00AE3733" w:rsidRPr="00387397">
        <w:rPr>
          <w:color w:val="000000" w:themeColor="text1"/>
        </w:rPr>
        <w:t xml:space="preserve"> 2010). Disentangling scope, prescriptiveness, and policy settings suggests that more nuanced </w:t>
      </w:r>
      <w:r w:rsidR="00923B7F" w:rsidRPr="00387397">
        <w:rPr>
          <w:color w:val="000000" w:themeColor="text1"/>
        </w:rPr>
        <w:t>hypotheses</w:t>
      </w:r>
      <w:r w:rsidR="00AE3733" w:rsidRPr="00387397">
        <w:rPr>
          <w:color w:val="000000" w:themeColor="text1"/>
        </w:rPr>
        <w:t xml:space="preserve"> </w:t>
      </w:r>
      <w:r w:rsidR="003D2791" w:rsidRPr="00387397">
        <w:rPr>
          <w:color w:val="000000" w:themeColor="text1"/>
        </w:rPr>
        <w:t>are</w:t>
      </w:r>
      <w:r w:rsidR="00AE3733" w:rsidRPr="00387397">
        <w:rPr>
          <w:color w:val="000000" w:themeColor="text1"/>
        </w:rPr>
        <w:t xml:space="preserve"> required to assess these </w:t>
      </w:r>
      <w:r w:rsidR="00923B7F" w:rsidRPr="00387397">
        <w:rPr>
          <w:color w:val="000000" w:themeColor="text1"/>
        </w:rPr>
        <w:t>theories</w:t>
      </w:r>
      <w:r w:rsidR="00AE3733" w:rsidRPr="00387397">
        <w:rPr>
          <w:color w:val="000000" w:themeColor="text1"/>
        </w:rPr>
        <w:t xml:space="preserve">. Are </w:t>
      </w:r>
      <w:r w:rsidR="00923B7F" w:rsidRPr="00387397">
        <w:rPr>
          <w:color w:val="000000" w:themeColor="text1"/>
        </w:rPr>
        <w:t xml:space="preserve">competing programs </w:t>
      </w:r>
      <w:r w:rsidR="00AE3733" w:rsidRPr="00387397">
        <w:rPr>
          <w:color w:val="000000" w:themeColor="text1"/>
        </w:rPr>
        <w:t xml:space="preserve">more responsive to changes in the scope, prescriptiveness, or </w:t>
      </w:r>
      <w:r w:rsidR="005756EA">
        <w:rPr>
          <w:color w:val="000000" w:themeColor="text1"/>
        </w:rPr>
        <w:t>policy settings</w:t>
      </w:r>
      <w:r w:rsidR="00AE3733" w:rsidRPr="00387397">
        <w:rPr>
          <w:color w:val="000000" w:themeColor="text1"/>
        </w:rPr>
        <w:t xml:space="preserve"> of competing standards? </w:t>
      </w:r>
      <w:r w:rsidR="00BF2CF0" w:rsidRPr="00387397">
        <w:rPr>
          <w:color w:val="000000" w:themeColor="text1"/>
        </w:rPr>
        <w:t>For example,</w:t>
      </w:r>
      <w:r w:rsidR="0012750D" w:rsidRPr="00387397">
        <w:rPr>
          <w:color w:val="000000" w:themeColor="text1"/>
        </w:rPr>
        <w:t xml:space="preserve"> drawing on</w:t>
      </w:r>
      <w:r w:rsidR="00BF2CF0" w:rsidRPr="00387397">
        <w:rPr>
          <w:color w:val="000000" w:themeColor="text1"/>
        </w:rPr>
        <w:t xml:space="preserve"> theories </w:t>
      </w:r>
      <w:r w:rsidR="005756EA">
        <w:rPr>
          <w:color w:val="000000" w:themeColor="text1"/>
        </w:rPr>
        <w:t>rooted in</w:t>
      </w:r>
      <w:r w:rsidR="005756EA" w:rsidRPr="00387397">
        <w:rPr>
          <w:color w:val="000000" w:themeColor="text1"/>
        </w:rPr>
        <w:t xml:space="preserve"> </w:t>
      </w:r>
      <w:r w:rsidR="00BF2CF0" w:rsidRPr="00387397">
        <w:rPr>
          <w:color w:val="000000" w:themeColor="text1"/>
        </w:rPr>
        <w:t>compliance</w:t>
      </w:r>
      <w:r w:rsidR="005756EA">
        <w:rPr>
          <w:color w:val="000000" w:themeColor="text1"/>
        </w:rPr>
        <w:t xml:space="preserve"> cost</w:t>
      </w:r>
      <w:r w:rsidR="0012750D" w:rsidRPr="00387397">
        <w:rPr>
          <w:color w:val="000000" w:themeColor="text1"/>
        </w:rPr>
        <w:t xml:space="preserve"> and competition</w:t>
      </w:r>
      <w:r w:rsidR="00BF2CF0" w:rsidRPr="00387397">
        <w:rPr>
          <w:color w:val="000000" w:themeColor="text1"/>
        </w:rPr>
        <w:t xml:space="preserve">, we can develop more nuanced </w:t>
      </w:r>
      <w:r w:rsidR="00D910B4" w:rsidRPr="00387397">
        <w:rPr>
          <w:color w:val="000000" w:themeColor="text1"/>
        </w:rPr>
        <w:t>hypotheses</w:t>
      </w:r>
      <w:r w:rsidR="00BF2CF0" w:rsidRPr="00387397">
        <w:rPr>
          <w:color w:val="000000" w:themeColor="text1"/>
        </w:rPr>
        <w:t xml:space="preserve">:  </w:t>
      </w:r>
    </w:p>
    <w:p w14:paraId="6DBAA31A" w14:textId="77777777" w:rsidR="00387397" w:rsidRDefault="00387397" w:rsidP="00387397">
      <w:pPr>
        <w:spacing w:line="480" w:lineRule="auto"/>
        <w:rPr>
          <w:b/>
          <w:color w:val="000000" w:themeColor="text1"/>
        </w:rPr>
      </w:pPr>
    </w:p>
    <w:p w14:paraId="3F8BF1E8" w14:textId="03FA085A" w:rsidR="00AE3733" w:rsidRPr="00387397" w:rsidRDefault="00C37BC8" w:rsidP="00387397">
      <w:pPr>
        <w:spacing w:line="480" w:lineRule="auto"/>
        <w:rPr>
          <w:b/>
          <w:color w:val="000000" w:themeColor="text1"/>
        </w:rPr>
      </w:pPr>
      <w:r w:rsidRPr="00387397">
        <w:rPr>
          <w:b/>
          <w:color w:val="000000" w:themeColor="text1"/>
        </w:rPr>
        <w:t>Re</w:t>
      </w:r>
      <w:r w:rsidR="00BF2CF0" w:rsidRPr="00387397">
        <w:rPr>
          <w:b/>
          <w:color w:val="000000" w:themeColor="text1"/>
        </w:rPr>
        <w:t xml:space="preserve">vised </w:t>
      </w:r>
      <w:r w:rsidRPr="00387397">
        <w:rPr>
          <w:b/>
          <w:color w:val="000000" w:themeColor="text1"/>
        </w:rPr>
        <w:t>c</w:t>
      </w:r>
      <w:r w:rsidR="00AE3733" w:rsidRPr="00387397">
        <w:rPr>
          <w:b/>
          <w:color w:val="000000" w:themeColor="text1"/>
        </w:rPr>
        <w:t>ompliance cost h</w:t>
      </w:r>
      <w:r w:rsidR="0099356D" w:rsidRPr="00387397">
        <w:rPr>
          <w:b/>
          <w:color w:val="000000" w:themeColor="text1"/>
        </w:rPr>
        <w:t>ypothes</w:t>
      </w:r>
      <w:r w:rsidR="00AE3733" w:rsidRPr="00387397">
        <w:rPr>
          <w:b/>
          <w:color w:val="000000" w:themeColor="text1"/>
        </w:rPr>
        <w:t xml:space="preserve">es: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.1</w:t>
      </w:r>
      <w:r w:rsidRPr="00387397">
        <w:rPr>
          <w:b/>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66195721" w:rsidR="00D969AD"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.2</w:t>
      </w:r>
      <w:r w:rsidRPr="00387397">
        <w:rPr>
          <w:b/>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converge</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387397">
      <w:pPr>
        <w:spacing w:line="480" w:lineRule="auto"/>
        <w:rPr>
          <w:color w:val="000000" w:themeColor="text1"/>
        </w:rPr>
      </w:pPr>
    </w:p>
    <w:p w14:paraId="0E8C365A" w14:textId="755BEA41" w:rsidR="0099356D" w:rsidRDefault="00C37BC8" w:rsidP="00387397">
      <w:pPr>
        <w:spacing w:line="480" w:lineRule="auto"/>
        <w:rPr>
          <w:ins w:id="6" w:author="DJL" w:date="2019-03-06T05:24:00Z"/>
          <w:color w:val="000000" w:themeColor="text1"/>
        </w:rPr>
      </w:pPr>
      <w:r w:rsidRPr="00387397">
        <w:rPr>
          <w:b/>
          <w:color w:val="000000" w:themeColor="text1"/>
        </w:rPr>
        <w:t>Differentiation:</w:t>
      </w:r>
      <w:r w:rsidRPr="00387397">
        <w:rPr>
          <w:color w:val="000000" w:themeColor="text1"/>
        </w:rPr>
        <w:t xml:space="preserve"> </w:t>
      </w:r>
      <w:r w:rsidR="0099356D" w:rsidRPr="00387397">
        <w:rPr>
          <w:color w:val="000000" w:themeColor="text1"/>
        </w:rPr>
        <w:t xml:space="preserve">Another core theoretical prediction 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99356D" w:rsidRPr="00387397">
        <w:rPr>
          <w:color w:val="000000" w:themeColor="text1"/>
        </w:rPr>
        <w:fldChar w:fldCharType="begin" w:fldLock="1"/>
      </w:r>
      <w:r w:rsidR="0099356D"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99356D" w:rsidRPr="00387397">
        <w:rPr>
          <w:color w:val="000000" w:themeColor="text1"/>
        </w:rPr>
        <w:fldChar w:fldCharType="separate"/>
      </w:r>
      <w:r w:rsidR="0099356D" w:rsidRPr="00387397">
        <w:rPr>
          <w:noProof/>
          <w:color w:val="000000" w:themeColor="text1"/>
        </w:rPr>
        <w:t>(Botzem &amp; Dobusch, 2012;</w:t>
      </w:r>
      <w:r w:rsidR="0099356D" w:rsidRPr="00387397">
        <w:rPr>
          <w:color w:val="000000" w:themeColor="text1"/>
        </w:rPr>
        <w:t xml:space="preserve"> Hsueh and Prakash, 2012</w:t>
      </w:r>
      <w:r w:rsidR="0099356D" w:rsidRPr="00387397">
        <w:rPr>
          <w:noProof/>
          <w:color w:val="000000" w:themeColor="text1"/>
        </w:rPr>
        <w:t>)</w:t>
      </w:r>
      <w:r w:rsidR="0099356D" w:rsidRPr="00387397">
        <w:rPr>
          <w:color w:val="000000" w:themeColor="text1"/>
        </w:rPr>
        <w:fldChar w:fldCharType="end"/>
      </w:r>
      <w:r w:rsidR="0099356D" w:rsidRPr="00387397">
        <w:rPr>
          <w:color w:val="000000" w:themeColor="text1"/>
        </w:rPr>
        <w:t xml:space="preserve">. </w:t>
      </w:r>
      <w:r w:rsidR="00810524" w:rsidRPr="00387397">
        <w:rPr>
          <w:color w:val="000000" w:themeColor="text1"/>
        </w:rPr>
        <w:t>Focusing on</w:t>
      </w:r>
      <w:r w:rsidR="0099356D" w:rsidRPr="00387397">
        <w:rPr>
          <w:color w:val="000000" w:themeColor="text1"/>
        </w:rPr>
        <w:t xml:space="preserve"> a comprehensive rather than a l</w:t>
      </w:r>
      <w:r w:rsidR="00810524" w:rsidRPr="00387397">
        <w:rPr>
          <w:color w:val="000000" w:themeColor="text1"/>
        </w:rPr>
        <w:t xml:space="preserve">imited set of issues suggests </w:t>
      </w:r>
      <w:r w:rsidR="0099356D" w:rsidRPr="00387397">
        <w:rPr>
          <w:color w:val="000000" w:themeColor="text1"/>
        </w:rPr>
        <w:t>new version</w:t>
      </w:r>
      <w:r w:rsidR="00810524" w:rsidRPr="00387397">
        <w:rPr>
          <w:color w:val="000000" w:themeColor="text1"/>
        </w:rPr>
        <w:t>s</w:t>
      </w:r>
      <w:r w:rsidR="0099356D" w:rsidRPr="00387397">
        <w:rPr>
          <w:color w:val="000000" w:themeColor="text1"/>
        </w:rPr>
        <w:t xml:space="preserve"> of this question: On which types of issues will an activist-backed </w:t>
      </w:r>
      <w:r w:rsidR="00D910B4" w:rsidRPr="00387397">
        <w:rPr>
          <w:color w:val="000000" w:themeColor="text1"/>
        </w:rPr>
        <w:t xml:space="preserve">regulation </w:t>
      </w:r>
      <w:r w:rsidR="0099356D" w:rsidRPr="00387397">
        <w:rPr>
          <w:color w:val="000000" w:themeColor="text1"/>
        </w:rPr>
        <w:t xml:space="preserve">be more stringent than an industry-backed </w:t>
      </w:r>
      <w:r w:rsidR="00D910B4" w:rsidRPr="00387397">
        <w:rPr>
          <w:color w:val="000000" w:themeColor="text1"/>
        </w:rPr>
        <w:t>regulation</w:t>
      </w:r>
      <w:r w:rsidR="0099356D" w:rsidRPr="00387397">
        <w:rPr>
          <w:color w:val="000000" w:themeColor="text1"/>
        </w:rPr>
        <w:t xml:space="preserve">? On which types of issues will an industry-backed </w:t>
      </w:r>
      <w:r w:rsidR="00D910B4" w:rsidRPr="00387397">
        <w:rPr>
          <w:color w:val="000000" w:themeColor="text1"/>
        </w:rPr>
        <w:t xml:space="preserve">regulation </w:t>
      </w:r>
      <w:r w:rsidR="0099356D" w:rsidRPr="00387397">
        <w:rPr>
          <w:color w:val="000000" w:themeColor="text1"/>
        </w:rPr>
        <w:t xml:space="preserve">be more stringent than an activist-backed </w:t>
      </w:r>
      <w:r w:rsidR="00D910B4" w:rsidRPr="00387397">
        <w:rPr>
          <w:color w:val="000000" w:themeColor="text1"/>
        </w:rPr>
        <w:t>regulation</w:t>
      </w:r>
      <w:r w:rsidR="0099356D" w:rsidRPr="00387397">
        <w:rPr>
          <w:color w:val="000000" w:themeColor="text1"/>
        </w:rPr>
        <w:t>?</w:t>
      </w:r>
    </w:p>
    <w:p w14:paraId="4BB44E40" w14:textId="77777777" w:rsidR="0070156E" w:rsidRDefault="0070156E" w:rsidP="00387397">
      <w:pPr>
        <w:spacing w:line="480" w:lineRule="auto"/>
        <w:rPr>
          <w:ins w:id="7" w:author="DJL" w:date="2019-03-06T05:24:00Z"/>
          <w:color w:val="000000" w:themeColor="text1"/>
        </w:rPr>
      </w:pPr>
    </w:p>
    <w:p w14:paraId="16CD5310" w14:textId="302DAAF2" w:rsidR="008B6C5D" w:rsidRDefault="0070156E" w:rsidP="00387397">
      <w:pPr>
        <w:spacing w:line="480" w:lineRule="auto"/>
        <w:rPr>
          <w:ins w:id="8" w:author="DJL" w:date="2019-03-06T05:44:00Z"/>
          <w:color w:val="000000" w:themeColor="text1"/>
        </w:rPr>
      </w:pPr>
      <w:ins w:id="9" w:author="DJL" w:date="2019-03-06T05:29:00Z">
        <w:r>
          <w:rPr>
            <w:color w:val="000000" w:themeColor="text1"/>
          </w:rPr>
          <w:lastRenderedPageBreak/>
          <w:t xml:space="preserve">We suggest that </w:t>
        </w:r>
      </w:ins>
      <w:ins w:id="10" w:author="DJL" w:date="2019-03-06T05:31:00Z">
        <w:r>
          <w:rPr>
            <w:color w:val="000000" w:themeColor="text1"/>
          </w:rPr>
          <w:t xml:space="preserve">relative stringency on a given issue depends on whether the </w:t>
        </w:r>
      </w:ins>
      <w:ins w:id="11" w:author="DJL" w:date="2019-03-06T05:32:00Z">
        <w:r>
          <w:rPr>
            <w:color w:val="000000" w:themeColor="text1"/>
          </w:rPr>
          <w:t xml:space="preserve">specific requirements result in net costs or benefits to the industry. </w:t>
        </w:r>
      </w:ins>
      <w:ins w:id="12" w:author="DJL" w:date="2019-03-06T05:36:00Z">
        <w:r w:rsidR="008B6C5D">
          <w:rPr>
            <w:color w:val="000000" w:themeColor="text1"/>
          </w:rPr>
          <w:t xml:space="preserve">Activist-backed </w:t>
        </w:r>
      </w:ins>
      <w:ins w:id="13" w:author="DJL" w:date="2019-03-06T05:37:00Z">
        <w:r w:rsidR="008B6C5D">
          <w:rPr>
            <w:color w:val="000000" w:themeColor="text1"/>
          </w:rPr>
          <w:t>programs</w:t>
        </w:r>
      </w:ins>
      <w:ins w:id="14" w:author="DJL" w:date="2019-03-06T05:36:00Z">
        <w:r w:rsidR="008B6C5D">
          <w:rPr>
            <w:color w:val="000000" w:themeColor="text1"/>
          </w:rPr>
          <w:t xml:space="preserve"> drive stringency</w:t>
        </w:r>
      </w:ins>
      <w:ins w:id="15" w:author="DJL" w:date="2019-03-06T05:34:00Z">
        <w:r w:rsidR="008B6C5D">
          <w:rPr>
            <w:color w:val="000000" w:themeColor="text1"/>
          </w:rPr>
          <w:t xml:space="preserve"> </w:t>
        </w:r>
      </w:ins>
      <w:ins w:id="16" w:author="DJL" w:date="2019-03-06T05:38:00Z">
        <w:r w:rsidR="008B6C5D">
          <w:rPr>
            <w:color w:val="000000" w:themeColor="text1"/>
          </w:rPr>
          <w:t xml:space="preserve">on </w:t>
        </w:r>
      </w:ins>
      <w:ins w:id="17" w:author="DJL" w:date="2019-03-06T05:34:00Z">
        <w:r w:rsidR="008B6C5D">
          <w:rPr>
            <w:color w:val="000000" w:themeColor="text1"/>
          </w:rPr>
          <w:t>the first type of issue, where requirements impose costs in order to achieve social or ecological goals.</w:t>
        </w:r>
      </w:ins>
      <w:ins w:id="18" w:author="DJL" w:date="2019-03-06T07:43:00Z">
        <w:r w:rsidR="00830A1B">
          <w:rPr>
            <w:color w:val="000000" w:themeColor="text1"/>
          </w:rPr>
          <w:t xml:space="preserve"> We call these “</w:t>
        </w:r>
      </w:ins>
      <w:ins w:id="19" w:author="DJL" w:date="2019-03-06T07:44:00Z">
        <w:r w:rsidR="00830A1B">
          <w:rPr>
            <w:color w:val="000000" w:themeColor="text1"/>
          </w:rPr>
          <w:t>activist-driven issues.”</w:t>
        </w:r>
      </w:ins>
      <w:ins w:id="20" w:author="DJL" w:date="2019-03-06T05:34:00Z">
        <w:r w:rsidR="008B6C5D">
          <w:rPr>
            <w:color w:val="000000" w:themeColor="text1"/>
          </w:rPr>
          <w:t xml:space="preserve"> </w:t>
        </w:r>
      </w:ins>
      <w:ins w:id="21" w:author="DJL" w:date="2019-03-06T05:38:00Z">
        <w:r w:rsidR="008B6C5D">
          <w:rPr>
            <w:color w:val="000000" w:themeColor="text1"/>
          </w:rPr>
          <w:t xml:space="preserve">On these issues, an industry-backed must balance </w:t>
        </w:r>
      </w:ins>
      <w:ins w:id="22" w:author="DJL" w:date="2019-03-06T05:39:00Z">
        <w:r w:rsidR="008B6C5D">
          <w:rPr>
            <w:color w:val="000000" w:themeColor="text1"/>
          </w:rPr>
          <w:t>achieving</w:t>
        </w:r>
      </w:ins>
      <w:ins w:id="23" w:author="DJL" w:date="2019-03-06T05:38:00Z">
        <w:r w:rsidR="008B6C5D">
          <w:rPr>
            <w:color w:val="000000" w:themeColor="text1"/>
          </w:rPr>
          <w:t xml:space="preserve"> </w:t>
        </w:r>
      </w:ins>
      <w:ins w:id="24" w:author="DJL" w:date="2019-03-06T05:39:00Z">
        <w:r w:rsidR="008B6C5D">
          <w:rPr>
            <w:color w:val="000000" w:themeColor="text1"/>
          </w:rPr>
          <w:t xml:space="preserve">legitimacy through perceived stringency with minimizing costs of compliance. </w:t>
        </w:r>
      </w:ins>
      <w:ins w:id="25" w:author="DJL" w:date="2019-03-06T05:40:00Z">
        <w:r w:rsidR="008B6C5D">
          <w:rPr>
            <w:color w:val="000000" w:themeColor="text1"/>
          </w:rPr>
          <w:t>The</w:t>
        </w:r>
      </w:ins>
      <w:ins w:id="26" w:author="DJL" w:date="2019-03-06T05:39:00Z">
        <w:r w:rsidR="008B6C5D">
          <w:rPr>
            <w:color w:val="000000" w:themeColor="text1"/>
          </w:rPr>
          <w:t xml:space="preserve"> </w:t>
        </w:r>
      </w:ins>
      <w:ins w:id="27" w:author="DJL" w:date="2019-03-06T05:40:00Z">
        <w:r w:rsidR="008B6C5D">
          <w:rPr>
            <w:color w:val="000000" w:themeColor="text1"/>
          </w:rPr>
          <w:t xml:space="preserve">result is likely to be a lower level of stringency </w:t>
        </w:r>
      </w:ins>
      <w:ins w:id="28" w:author="DJL" w:date="2019-03-06T05:41:00Z">
        <w:r w:rsidR="008B6C5D">
          <w:rPr>
            <w:color w:val="000000" w:themeColor="text1"/>
          </w:rPr>
          <w:t xml:space="preserve">than </w:t>
        </w:r>
      </w:ins>
      <w:ins w:id="29" w:author="DJL" w:date="2019-03-06T05:42:00Z">
        <w:r w:rsidR="008B6C5D">
          <w:rPr>
            <w:color w:val="000000" w:themeColor="text1"/>
          </w:rPr>
          <w:t xml:space="preserve">that of </w:t>
        </w:r>
      </w:ins>
      <w:ins w:id="30" w:author="DJL" w:date="2019-03-06T05:41:00Z">
        <w:r w:rsidR="008B6C5D">
          <w:rPr>
            <w:color w:val="000000" w:themeColor="text1"/>
          </w:rPr>
          <w:t>activist-backed programs</w:t>
        </w:r>
      </w:ins>
      <w:ins w:id="31" w:author="DJL" w:date="2019-03-06T05:42:00Z">
        <w:r w:rsidR="008B6C5D">
          <w:rPr>
            <w:color w:val="000000" w:themeColor="text1"/>
          </w:rPr>
          <w:t xml:space="preserve">, especially where industry-backed programs </w:t>
        </w:r>
      </w:ins>
      <w:ins w:id="32" w:author="DJL" w:date="2019-03-06T05:43:00Z">
        <w:r w:rsidR="008B6C5D">
          <w:rPr>
            <w:color w:val="000000" w:themeColor="text1"/>
          </w:rPr>
          <w:t>can more easily create an impression of stringency or where compliance costs are high</w:t>
        </w:r>
      </w:ins>
      <w:ins w:id="33" w:author="DJL" w:date="2019-03-06T05:41:00Z">
        <w:r w:rsidR="008B6C5D">
          <w:rPr>
            <w:color w:val="000000" w:themeColor="text1"/>
          </w:rPr>
          <w:t>.</w:t>
        </w:r>
      </w:ins>
    </w:p>
    <w:p w14:paraId="6ECBA226" w14:textId="77777777" w:rsidR="00D422C1" w:rsidRDefault="00D422C1" w:rsidP="00387397">
      <w:pPr>
        <w:spacing w:line="480" w:lineRule="auto"/>
        <w:rPr>
          <w:ins w:id="34" w:author="DJL" w:date="2019-03-06T05:44:00Z"/>
          <w:color w:val="000000" w:themeColor="text1"/>
        </w:rPr>
      </w:pPr>
    </w:p>
    <w:p w14:paraId="5F2AD7CC" w14:textId="5067CA40" w:rsidR="0070156E" w:rsidRPr="00387397" w:rsidRDefault="00D422C1" w:rsidP="00387397">
      <w:pPr>
        <w:spacing w:line="480" w:lineRule="auto"/>
        <w:rPr>
          <w:color w:val="000000" w:themeColor="text1"/>
        </w:rPr>
      </w:pPr>
      <w:ins w:id="35" w:author="DJL" w:date="2019-03-06T05:44:00Z">
        <w:r>
          <w:rPr>
            <w:color w:val="000000" w:themeColor="text1"/>
          </w:rPr>
          <w:t xml:space="preserve">On the second type of issue, where requirements provide net benefits to the industry, they dynamic may be reversed. Here, activist-backed programs have little incentive to </w:t>
        </w:r>
      </w:ins>
      <w:ins w:id="36" w:author="DJL" w:date="2019-03-06T05:45:00Z">
        <w:r>
          <w:rPr>
            <w:color w:val="000000" w:themeColor="text1"/>
          </w:rPr>
          <w:t xml:space="preserve">develop stringent requirements because their pressure is not needed. </w:t>
        </w:r>
      </w:ins>
      <w:ins w:id="37" w:author="DJL" w:date="2019-03-06T07:44:00Z">
        <w:r w:rsidR="00830A1B">
          <w:rPr>
            <w:color w:val="000000" w:themeColor="text1"/>
          </w:rPr>
          <w:t xml:space="preserve">We call these “industry-driven issues.” </w:t>
        </w:r>
      </w:ins>
      <w:ins w:id="38" w:author="DJL" w:date="2019-03-06T05:45:00Z">
        <w:r>
          <w:rPr>
            <w:color w:val="000000" w:themeColor="text1"/>
          </w:rPr>
          <w:t>On these issues</w:t>
        </w:r>
      </w:ins>
      <w:ins w:id="39" w:author="DJL" w:date="2019-03-06T05:41:00Z">
        <w:r>
          <w:rPr>
            <w:color w:val="000000" w:themeColor="text1"/>
          </w:rPr>
          <w:t>, industry-backed programs may serve a similar function to industry associations</w:t>
        </w:r>
      </w:ins>
      <w:ins w:id="40" w:author="DJL" w:date="2019-03-06T05:48:00Z">
        <w:r>
          <w:rPr>
            <w:color w:val="000000" w:themeColor="text1"/>
          </w:rPr>
          <w:t>—</w:t>
        </w:r>
      </w:ins>
      <w:ins w:id="41" w:author="DJL" w:date="2019-03-06T05:41:00Z">
        <w:r>
          <w:rPr>
            <w:color w:val="000000" w:themeColor="text1"/>
          </w:rPr>
          <w:t xml:space="preserve">coordinating </w:t>
        </w:r>
      </w:ins>
      <w:ins w:id="42" w:author="DJL" w:date="2019-03-06T05:48:00Z">
        <w:r>
          <w:rPr>
            <w:color w:val="000000" w:themeColor="text1"/>
          </w:rPr>
          <w:t>resources and solving collective action problems related to industry reputation</w:t>
        </w:r>
      </w:ins>
      <w:ins w:id="43" w:author="DJL" w:date="2019-03-06T05:49:00Z">
        <w:r>
          <w:rPr>
            <w:color w:val="000000" w:themeColor="text1"/>
          </w:rPr>
          <w:t xml:space="preserve"> (e.g. through public image campaigns)</w:t>
        </w:r>
      </w:ins>
      <w:ins w:id="44" w:author="DJL" w:date="2019-03-06T05:48:00Z">
        <w:r>
          <w:rPr>
            <w:color w:val="000000" w:themeColor="text1"/>
          </w:rPr>
          <w:t xml:space="preserve"> and capacity (e.g. </w:t>
        </w:r>
      </w:ins>
      <w:ins w:id="45" w:author="DJL" w:date="2019-03-06T05:50:00Z">
        <w:r>
          <w:rPr>
            <w:color w:val="000000" w:themeColor="text1"/>
          </w:rPr>
          <w:t xml:space="preserve">by </w:t>
        </w:r>
      </w:ins>
      <w:ins w:id="46" w:author="DJL" w:date="2019-03-06T05:49:00Z">
        <w:r>
          <w:rPr>
            <w:color w:val="000000" w:themeColor="text1"/>
          </w:rPr>
          <w:t xml:space="preserve">developing collective goods like </w:t>
        </w:r>
      </w:ins>
      <w:ins w:id="47" w:author="DJL" w:date="2019-03-06T05:48:00Z">
        <w:r>
          <w:rPr>
            <w:color w:val="000000" w:themeColor="text1"/>
          </w:rPr>
          <w:t>a skilled workforce</w:t>
        </w:r>
      </w:ins>
      <w:ins w:id="48" w:author="DJL" w:date="2019-03-06T05:49:00Z">
        <w:r>
          <w:rPr>
            <w:color w:val="000000" w:themeColor="text1"/>
          </w:rPr>
          <w:t xml:space="preserve"> or technical knowledge</w:t>
        </w:r>
      </w:ins>
      <w:ins w:id="49" w:author="DJL" w:date="2019-03-06T05:48:00Z">
        <w:r>
          <w:rPr>
            <w:color w:val="000000" w:themeColor="text1"/>
          </w:rPr>
          <w:t>)</w:t>
        </w:r>
      </w:ins>
      <w:ins w:id="50" w:author="DJL" w:date="2019-03-06T05:49:00Z">
        <w:r>
          <w:rPr>
            <w:color w:val="000000" w:themeColor="text1"/>
          </w:rPr>
          <w:t>.</w:t>
        </w:r>
      </w:ins>
    </w:p>
    <w:p w14:paraId="4B0576CB" w14:textId="77777777" w:rsidR="00C37BC8" w:rsidRPr="00387397" w:rsidRDefault="00C37BC8" w:rsidP="00387397">
      <w:pPr>
        <w:spacing w:line="480" w:lineRule="auto"/>
        <w:rPr>
          <w:color w:val="000000" w:themeColor="text1"/>
        </w:rPr>
      </w:pPr>
    </w:p>
    <w:p w14:paraId="18F59712" w14:textId="6236BB2B" w:rsidR="00C37BC8" w:rsidRPr="00387397" w:rsidRDefault="00EB0B24" w:rsidP="00387397">
      <w:pPr>
        <w:spacing w:line="480" w:lineRule="auto"/>
        <w:rPr>
          <w:color w:val="000000" w:themeColor="text1"/>
        </w:rPr>
      </w:pPr>
      <w:r w:rsidRPr="00387397">
        <w:rPr>
          <w:b/>
          <w:color w:val="000000" w:themeColor="text1"/>
        </w:rPr>
        <w:t>Revised</w:t>
      </w:r>
      <w:r w:rsidR="00C37BC8" w:rsidRPr="00387397">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p>
    <w:p w14:paraId="113E989E" w14:textId="7FF672E3" w:rsidR="00C37BC8" w:rsidRPr="00387397" w:rsidRDefault="00C37BC8" w:rsidP="00387397">
      <w:pPr>
        <w:spacing w:line="480" w:lineRule="auto"/>
        <w:rPr>
          <w:color w:val="000000" w:themeColor="text1"/>
        </w:rPr>
      </w:pPr>
      <w:r w:rsidRPr="00387397">
        <w:rPr>
          <w:b/>
          <w:color w:val="000000" w:themeColor="text1"/>
        </w:rPr>
        <w:t>H2.1:</w:t>
      </w:r>
      <w:r w:rsidRPr="00387397">
        <w:rPr>
          <w:color w:val="000000" w:themeColor="text1"/>
        </w:rPr>
        <w:t xml:space="preserve"> Activist-backed private regulations will have more comprehensive </w:t>
      </w:r>
      <w:r w:rsidR="00023827" w:rsidRPr="00387397">
        <w:rPr>
          <w:color w:val="000000" w:themeColor="text1"/>
        </w:rPr>
        <w:t>regulation</w:t>
      </w:r>
      <w:r w:rsidRPr="00387397">
        <w:rPr>
          <w:color w:val="000000" w:themeColor="text1"/>
        </w:rPr>
        <w:t xml:space="preserve">, more prescriptive requirements, and higher performance thresholds on activist-driven issues. </w:t>
      </w:r>
    </w:p>
    <w:p w14:paraId="29719F18" w14:textId="2CA25EB5" w:rsidR="00C37BC8" w:rsidRPr="00387397" w:rsidRDefault="00C37BC8" w:rsidP="00387397">
      <w:pPr>
        <w:spacing w:line="480" w:lineRule="auto"/>
        <w:rPr>
          <w:color w:val="000000" w:themeColor="text1"/>
        </w:rPr>
      </w:pPr>
      <w:r w:rsidRPr="00387397">
        <w:rPr>
          <w:b/>
          <w:color w:val="000000" w:themeColor="text1"/>
        </w:rPr>
        <w:lastRenderedPageBreak/>
        <w:t>H2.2:</w:t>
      </w:r>
      <w:r w:rsidRPr="00387397">
        <w:rPr>
          <w:color w:val="000000" w:themeColor="text1"/>
        </w:rPr>
        <w:t xml:space="preserve"> Industry-backed private regulations will have more comprehensive </w:t>
      </w:r>
      <w:r w:rsidR="00023827" w:rsidRPr="00387397">
        <w:rPr>
          <w:color w:val="000000" w:themeColor="text1"/>
        </w:rPr>
        <w:t>regulation</w:t>
      </w:r>
      <w:r w:rsidRPr="00387397">
        <w:rPr>
          <w:color w:val="000000" w:themeColor="text1"/>
        </w:rPr>
        <w:t>, more prescriptive requirements, and higher performance thresholds on issues primarily related to industry collective action problems.</w:t>
      </w:r>
    </w:p>
    <w:p w14:paraId="6C18237D" w14:textId="7516552A" w:rsidR="00023827" w:rsidRPr="00387397" w:rsidRDefault="00023827" w:rsidP="00387397">
      <w:pPr>
        <w:spacing w:line="480" w:lineRule="auto"/>
        <w:rPr>
          <w:color w:val="000000" w:themeColor="text1"/>
        </w:rPr>
      </w:pPr>
    </w:p>
    <w:p w14:paraId="27EA13A0" w14:textId="035043BC" w:rsidR="00EC0360" w:rsidRPr="00387397" w:rsidRDefault="00023827" w:rsidP="00387397">
      <w:pPr>
        <w:spacing w:line="480" w:lineRule="auto"/>
        <w:rPr>
          <w:color w:val="000000" w:themeColor="text1"/>
        </w:rPr>
      </w:pPr>
      <w:r w:rsidRPr="00387397">
        <w:rPr>
          <w:color w:val="000000" w:themeColor="text1"/>
        </w:rPr>
        <w:t>The</w:t>
      </w:r>
      <w:r w:rsidR="009860CE" w:rsidRPr="00387397">
        <w:rPr>
          <w:color w:val="000000" w:themeColor="text1"/>
        </w:rPr>
        <w:t xml:space="preserve">se </w:t>
      </w:r>
      <w:r w:rsidRPr="00387397">
        <w:rPr>
          <w:color w:val="000000" w:themeColor="text1"/>
        </w:rPr>
        <w:t xml:space="preserve">hypotheses </w:t>
      </w:r>
      <w:r w:rsidR="009860CE" w:rsidRPr="00387397">
        <w:rPr>
          <w:color w:val="000000" w:themeColor="text1"/>
        </w:rPr>
        <w:t xml:space="preserve">illustrate </w:t>
      </w:r>
      <w:r w:rsidR="00202023" w:rsidRPr="00387397">
        <w:rPr>
          <w:color w:val="000000" w:themeColor="text1"/>
        </w:rPr>
        <w:t>how</w:t>
      </w:r>
      <w:r w:rsidR="009860CE" w:rsidRPr="00387397">
        <w:rPr>
          <w:color w:val="000000" w:themeColor="text1"/>
        </w:rPr>
        <w:t xml:space="preserve"> </w:t>
      </w:r>
      <w:r w:rsidR="0012750D" w:rsidRPr="00387397">
        <w:rPr>
          <w:color w:val="000000" w:themeColor="text1"/>
        </w:rPr>
        <w:t xml:space="preserve">many </w:t>
      </w:r>
      <w:r w:rsidR="009860CE" w:rsidRPr="00387397">
        <w:rPr>
          <w:color w:val="000000" w:themeColor="text1"/>
        </w:rPr>
        <w:t xml:space="preserve">of </w:t>
      </w:r>
      <w:r w:rsidR="0012750D" w:rsidRPr="00387397">
        <w:rPr>
          <w:color w:val="000000" w:themeColor="text1"/>
        </w:rPr>
        <w:t xml:space="preserve">the </w:t>
      </w:r>
      <w:r w:rsidR="009860CE" w:rsidRPr="00387397">
        <w:rPr>
          <w:color w:val="000000" w:themeColor="text1"/>
        </w:rPr>
        <w:t>theories reviewed above would need to</w:t>
      </w:r>
      <w:r w:rsidR="0012750D" w:rsidRPr="00387397">
        <w:rPr>
          <w:color w:val="000000" w:themeColor="text1"/>
        </w:rPr>
        <w:t xml:space="preserve"> be</w:t>
      </w:r>
      <w:r w:rsidR="009860CE" w:rsidRPr="00387397">
        <w:rPr>
          <w:color w:val="000000" w:themeColor="text1"/>
        </w:rPr>
        <w:t xml:space="preserve"> revise</w:t>
      </w:r>
      <w:r w:rsidR="0012750D" w:rsidRPr="00387397">
        <w:rPr>
          <w:color w:val="000000" w:themeColor="text1"/>
        </w:rPr>
        <w:t>d</w:t>
      </w:r>
      <w:r w:rsidR="009860CE" w:rsidRPr="00387397">
        <w:rPr>
          <w:color w:val="000000" w:themeColor="text1"/>
        </w:rPr>
        <w:t xml:space="preserve"> </w:t>
      </w:r>
      <w:r w:rsidR="00202023" w:rsidRPr="00387397">
        <w:rPr>
          <w:color w:val="000000" w:themeColor="text1"/>
        </w:rPr>
        <w:t xml:space="preserve">if </w:t>
      </w:r>
      <w:r w:rsidR="00EC0360" w:rsidRPr="00387397">
        <w:rPr>
          <w:color w:val="000000" w:themeColor="text1"/>
        </w:rPr>
        <w:t>our core methodological critique</w:t>
      </w:r>
      <w:r w:rsidR="00202023" w:rsidRPr="00387397">
        <w:rPr>
          <w:color w:val="000000" w:themeColor="text1"/>
        </w:rPr>
        <w:t xml:space="preserve"> (that </w:t>
      </w:r>
      <w:r w:rsidR="00EC0360" w:rsidRPr="00387397">
        <w:rPr>
          <w:color w:val="000000" w:themeColor="text1"/>
        </w:rPr>
        <w:t>different dimensions of stringency may exhibit different patterns for theoretically important reasons</w:t>
      </w:r>
      <w:r w:rsidR="00202023" w:rsidRPr="00387397">
        <w:rPr>
          <w:color w:val="000000" w:themeColor="text1"/>
        </w:rPr>
        <w:t>) has merit</w:t>
      </w:r>
      <w:r w:rsidR="00EC0360" w:rsidRPr="00387397">
        <w:rPr>
          <w:color w:val="000000" w:themeColor="text1"/>
        </w:rPr>
        <w:t xml:space="preserve">. </w:t>
      </w:r>
      <w:r w:rsidR="00202023" w:rsidRPr="00387397">
        <w:rPr>
          <w:color w:val="000000" w:themeColor="text1"/>
        </w:rPr>
        <w:t>T</w:t>
      </w:r>
      <w:r w:rsidR="009860CE" w:rsidRPr="00387397">
        <w:rPr>
          <w:color w:val="000000" w:themeColor="text1"/>
        </w:rPr>
        <w:t xml:space="preserve">here are two ways to assess whether our framework is useful: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C16A0D" w:rsidRPr="00387397">
        <w:rPr>
          <w:color w:val="000000" w:themeColor="text1"/>
        </w:rPr>
        <w:t xml:space="preserve">empirically </w:t>
      </w:r>
      <w:r w:rsidR="00202023" w:rsidRPr="00387397">
        <w:rPr>
          <w:color w:val="000000" w:themeColor="text1"/>
        </w:rPr>
        <w:t xml:space="preserve">uncover patterns of change that other methods failed to uncover? </w:t>
      </w:r>
      <w:r w:rsidR="001B3072" w:rsidRPr="00387397">
        <w:rPr>
          <w:color w:val="000000" w:themeColor="text1"/>
        </w:rPr>
        <w:t xml:space="preserve"> </w:t>
      </w:r>
      <w:r w:rsidR="00EC0360" w:rsidRPr="00387397">
        <w:rPr>
          <w:color w:val="000000" w:themeColor="text1"/>
        </w:rPr>
        <w:t>We show below in 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that this 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standards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w:t>
      </w:r>
      <w:r w:rsidR="007E5A72" w:rsidRPr="00387397">
        <w:rPr>
          <w:color w:val="000000" w:themeColor="text1"/>
        </w:rPr>
        <w:t>,</w:t>
      </w:r>
      <w:r w:rsidR="004C295D" w:rsidRPr="00387397">
        <w:rPr>
          <w:color w:val="000000" w:themeColor="text1"/>
        </w:rPr>
        <w:t xml:space="preserve"> </w:t>
      </w:r>
      <w:r w:rsidR="00EC0360" w:rsidRPr="00387397">
        <w:rPr>
          <w:color w:val="000000" w:themeColor="text1"/>
        </w:rPr>
        <w:t xml:space="preserve">and that extant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r w:rsidR="00EC0360" w:rsidRPr="00387397">
        <w:rPr>
          <w:color w:val="000000" w:themeColor="text1"/>
        </w:rPr>
        <w:t xml:space="preserve">The remainder of this paper </w:t>
      </w:r>
      <w:r w:rsidR="004C295D" w:rsidRPr="00387397">
        <w:rPr>
          <w:color w:val="000000" w:themeColor="text1"/>
        </w:rPr>
        <w:t>de</w:t>
      </w:r>
      <w:r w:rsidR="00EC0360" w:rsidRPr="00387397">
        <w:rPr>
          <w:color w:val="000000" w:themeColor="text1"/>
        </w:rPr>
        <w:t xml:space="preserve">tails </w:t>
      </w:r>
      <w:r w:rsidR="004C295D" w:rsidRPr="00387397">
        <w:rPr>
          <w:color w:val="000000" w:themeColor="text1"/>
        </w:rPr>
        <w:t xml:space="preserve">the </w:t>
      </w:r>
      <w:r w:rsidR="00EC0360" w:rsidRPr="00387397">
        <w:rPr>
          <w:color w:val="000000" w:themeColor="text1"/>
        </w:rPr>
        <w:t>framework</w:t>
      </w:r>
      <w:r w:rsidR="00D910B4" w:rsidRPr="00387397">
        <w:rPr>
          <w:color w:val="000000" w:themeColor="text1"/>
        </w:rPr>
        <w:t xml:space="preserve"> and </w:t>
      </w:r>
      <w:r w:rsidR="00EC0360" w:rsidRPr="00387397">
        <w:rPr>
          <w:color w:val="000000" w:themeColor="text1"/>
        </w:rPr>
        <w:t xml:space="preserve">its application, which permits us to reflect whether the above hypotheses are consistent with observed stringency on each dimension. This effort </w:t>
      </w:r>
      <w:r w:rsidR="00C22FE4" w:rsidRPr="00387397">
        <w:rPr>
          <w:color w:val="000000" w:themeColor="text1"/>
        </w:rPr>
        <w:t xml:space="preserve">allows us to reflect </w:t>
      </w:r>
      <w:r w:rsidR="00EC0360" w:rsidRPr="00387397">
        <w:rPr>
          <w:color w:val="000000" w:themeColor="text1"/>
        </w:rPr>
        <w:t>on the broader utility of our framework for theories o</w:t>
      </w:r>
      <w:r w:rsidR="00F54833" w:rsidRPr="00387397">
        <w:rPr>
          <w:color w:val="000000" w:themeColor="text1"/>
        </w:rPr>
        <w:t xml:space="preserve">f private governance </w:t>
      </w:r>
      <w:r w:rsidR="00EC0360" w:rsidRPr="00387397">
        <w:rPr>
          <w:color w:val="000000" w:themeColor="text1"/>
        </w:rPr>
        <w:t xml:space="preserve">and to identify </w:t>
      </w:r>
      <w:r w:rsidR="00F54833" w:rsidRPr="00387397">
        <w:rPr>
          <w:color w:val="000000" w:themeColor="text1"/>
        </w:rPr>
        <w:t>research</w:t>
      </w:r>
      <w:r w:rsidR="00EC0360" w:rsidRPr="00387397">
        <w:rPr>
          <w:color w:val="000000" w:themeColor="text1"/>
        </w:rPr>
        <w:t xml:space="preserve"> that should be undertaken as a result.</w:t>
      </w:r>
      <w:r w:rsidR="00F54833" w:rsidRPr="00387397">
        <w:rPr>
          <w:color w:val="000000" w:themeColor="text1"/>
        </w:rPr>
        <w:t xml:space="preserve"> First, we present our framework in more detail:</w:t>
      </w:r>
    </w:p>
    <w:p w14:paraId="318CC2E6" w14:textId="77777777" w:rsidR="00341AD2" w:rsidRPr="00387397" w:rsidRDefault="00341AD2" w:rsidP="00387397">
      <w:pPr>
        <w:pStyle w:val="NormalWeb"/>
        <w:spacing w:before="0" w:beforeAutospacing="0" w:after="0" w:afterAutospacing="0" w:line="480" w:lineRule="auto"/>
        <w:rPr>
          <w:color w:val="000000" w:themeColor="text1"/>
        </w:rPr>
      </w:pPr>
    </w:p>
    <w:p w14:paraId="70816D91" w14:textId="0660EEA2" w:rsidR="00EA59F6" w:rsidRPr="00387397" w:rsidRDefault="001210A6" w:rsidP="00387397">
      <w:pPr>
        <w:pStyle w:val="NormalWeb"/>
        <w:spacing w:before="0" w:beforeAutospacing="0" w:after="0" w:afterAutospacing="0" w:line="480" w:lineRule="auto"/>
        <w:outlineLvl w:val="0"/>
        <w:rPr>
          <w:rFonts w:eastAsia="Times New Roman"/>
          <w:b/>
          <w:bCs/>
          <w:color w:val="000000" w:themeColor="text1"/>
          <w:lang w:eastAsia="zh-CN"/>
        </w:rPr>
      </w:pPr>
      <w:r w:rsidRPr="00387397">
        <w:rPr>
          <w:b/>
          <w:bCs/>
          <w:color w:val="000000" w:themeColor="text1"/>
          <w:shd w:val="clear" w:color="auto" w:fill="FFFFFF"/>
        </w:rPr>
        <w:t>3</w:t>
      </w:r>
      <w:r w:rsidR="00F0740D" w:rsidRPr="00387397">
        <w:rPr>
          <w:b/>
          <w:bCs/>
          <w:color w:val="000000" w:themeColor="text1"/>
          <w:shd w:val="clear" w:color="auto" w:fill="FFFFFF"/>
        </w:rPr>
        <w:t xml:space="preserve"> </w:t>
      </w:r>
      <w:r w:rsidR="0038489B" w:rsidRPr="00387397">
        <w:rPr>
          <w:rFonts w:eastAsia="Times New Roman"/>
          <w:b/>
          <w:bCs/>
          <w:color w:val="000000" w:themeColor="text1"/>
          <w:lang w:eastAsia="zh-CN"/>
        </w:rPr>
        <w:t>A</w:t>
      </w:r>
      <w:r w:rsidR="00330078" w:rsidRPr="00387397">
        <w:rPr>
          <w:rFonts w:eastAsia="Times New Roman"/>
          <w:b/>
          <w:bCs/>
          <w:color w:val="000000" w:themeColor="text1"/>
          <w:lang w:eastAsia="zh-CN"/>
        </w:rPr>
        <w:t xml:space="preserve"> Framework to c</w:t>
      </w:r>
      <w:r w:rsidR="00727EED" w:rsidRPr="00387397">
        <w:rPr>
          <w:rFonts w:eastAsia="Times New Roman"/>
          <w:b/>
          <w:bCs/>
          <w:color w:val="000000" w:themeColor="text1"/>
          <w:lang w:eastAsia="zh-CN"/>
        </w:rPr>
        <w:t>lassify</w:t>
      </w:r>
      <w:r w:rsidR="00F26430" w:rsidRPr="00387397">
        <w:rPr>
          <w:rFonts w:eastAsia="Times New Roman"/>
          <w:b/>
          <w:bCs/>
          <w:color w:val="000000" w:themeColor="text1"/>
          <w:lang w:eastAsia="zh-CN"/>
        </w:rPr>
        <w:t xml:space="preserve"> </w:t>
      </w:r>
      <w:r w:rsidR="00330078" w:rsidRPr="00387397">
        <w:rPr>
          <w:rFonts w:eastAsia="Times New Roman"/>
          <w:b/>
          <w:bCs/>
          <w:color w:val="000000" w:themeColor="text1"/>
          <w:lang w:eastAsia="zh-CN"/>
        </w:rPr>
        <w:t>c</w:t>
      </w:r>
      <w:r w:rsidR="00727EED" w:rsidRPr="00387397">
        <w:rPr>
          <w:rFonts w:eastAsia="Times New Roman"/>
          <w:b/>
          <w:bCs/>
          <w:color w:val="000000" w:themeColor="text1"/>
          <w:lang w:eastAsia="zh-CN"/>
        </w:rPr>
        <w:t xml:space="preserve">hange </w:t>
      </w:r>
      <w:r w:rsidR="00330078" w:rsidRPr="00387397">
        <w:rPr>
          <w:rFonts w:eastAsia="Times New Roman"/>
          <w:b/>
          <w:bCs/>
          <w:color w:val="000000" w:themeColor="text1"/>
          <w:lang w:eastAsia="zh-CN"/>
        </w:rPr>
        <w:t>in private r</w:t>
      </w:r>
      <w:r w:rsidR="00727EED" w:rsidRPr="00387397">
        <w:rPr>
          <w:rFonts w:eastAsia="Times New Roman"/>
          <w:b/>
          <w:bCs/>
          <w:color w:val="000000" w:themeColor="text1"/>
          <w:lang w:eastAsia="zh-CN"/>
        </w:rPr>
        <w:t>egulations</w:t>
      </w:r>
      <w:r w:rsidR="00F26430" w:rsidRPr="00387397">
        <w:rPr>
          <w:rFonts w:eastAsia="Times New Roman"/>
          <w:b/>
          <w:bCs/>
          <w:color w:val="000000" w:themeColor="text1"/>
          <w:lang w:eastAsia="zh-CN"/>
        </w:rPr>
        <w:t xml:space="preserve"> </w:t>
      </w:r>
    </w:p>
    <w:p w14:paraId="165FFE7E" w14:textId="6DD3A8A9" w:rsidR="00254EA4" w:rsidRPr="00387397" w:rsidRDefault="001B3072" w:rsidP="00387397">
      <w:pPr>
        <w:spacing w:line="480" w:lineRule="auto"/>
        <w:rPr>
          <w:color w:val="000000" w:themeColor="text1"/>
        </w:rPr>
      </w:pPr>
      <w:r w:rsidRPr="00387397">
        <w:rPr>
          <w:color w:val="000000" w:themeColor="text1"/>
        </w:rPr>
        <w:t>Students of public policy have long recognized t</w:t>
      </w:r>
      <w:r w:rsidR="00180E69" w:rsidRPr="00387397">
        <w:rPr>
          <w:color w:val="000000" w:themeColor="text1"/>
        </w:rPr>
        <w:t xml:space="preserve">he need to better </w:t>
      </w:r>
      <w:r w:rsidR="00D910B4" w:rsidRPr="00387397">
        <w:rPr>
          <w:color w:val="000000" w:themeColor="text1"/>
        </w:rPr>
        <w:t xml:space="preserve">disentangle </w:t>
      </w:r>
      <w:r w:rsidR="00180E69" w:rsidRPr="00387397">
        <w:rPr>
          <w:color w:val="000000" w:themeColor="text1"/>
        </w:rPr>
        <w:t>polic</w:t>
      </w:r>
      <w:r w:rsidRPr="00387397">
        <w:rPr>
          <w:color w:val="000000" w:themeColor="text1"/>
        </w:rPr>
        <w:t>ies</w:t>
      </w:r>
      <w:r w:rsidR="00180E69" w:rsidRPr="00387397">
        <w:rPr>
          <w:color w:val="000000" w:themeColor="text1"/>
        </w:rPr>
        <w:t xml:space="preserve"> into </w:t>
      </w:r>
      <w:r w:rsidRPr="00387397">
        <w:rPr>
          <w:color w:val="000000" w:themeColor="text1"/>
        </w:rPr>
        <w:t xml:space="preserve">their </w:t>
      </w:r>
      <w:r w:rsidR="00180E69" w:rsidRPr="00387397">
        <w:rPr>
          <w:color w:val="000000" w:themeColor="text1"/>
        </w:rPr>
        <w:t>component parts</w:t>
      </w:r>
      <w:r w:rsidR="007E5A72" w:rsidRPr="00387397">
        <w:rPr>
          <w:color w:val="000000" w:themeColor="text1"/>
        </w:rPr>
        <w:t>,</w:t>
      </w:r>
      <w:r w:rsidR="00180E69" w:rsidRPr="00387397">
        <w:rPr>
          <w:color w:val="000000" w:themeColor="text1"/>
        </w:rPr>
        <w:t xml:space="preserve"> </w:t>
      </w:r>
      <w:r w:rsidRPr="00387397">
        <w:rPr>
          <w:color w:val="000000" w:themeColor="text1"/>
        </w:rPr>
        <w:t>and</w:t>
      </w:r>
      <w:r w:rsidR="00180E69" w:rsidRPr="00387397">
        <w:rPr>
          <w:color w:val="000000" w:themeColor="text1"/>
        </w:rPr>
        <w:t xml:space="preserve"> </w:t>
      </w:r>
      <w:r w:rsidR="00FA76FB" w:rsidRPr="00387397">
        <w:rPr>
          <w:color w:val="000000" w:themeColor="text1"/>
        </w:rPr>
        <w:t xml:space="preserve">have </w:t>
      </w:r>
      <w:r w:rsidR="00180E69" w:rsidRPr="00387397">
        <w:rPr>
          <w:color w:val="000000" w:themeColor="text1"/>
        </w:rPr>
        <w:t xml:space="preserve">found different explanations for change </w:t>
      </w:r>
      <w:r w:rsidR="00FA76FB" w:rsidRPr="00387397">
        <w:rPr>
          <w:color w:val="000000" w:themeColor="text1"/>
        </w:rPr>
        <w:t xml:space="preserve">regarding different end goals and </w:t>
      </w:r>
      <w:r w:rsidR="00180E69" w:rsidRPr="00387397">
        <w:rPr>
          <w:color w:val="000000" w:themeColor="text1"/>
        </w:rPr>
        <w:t xml:space="preserve">means </w:t>
      </w:r>
      <w:r w:rsidR="00FA76FB" w:rsidRPr="00387397">
        <w:rPr>
          <w:color w:val="000000" w:themeColor="text1"/>
        </w:rPr>
        <w:t>to achieve them</w:t>
      </w:r>
      <w:r w:rsidR="00180E69" w:rsidRPr="00387397">
        <w:rPr>
          <w:color w:val="000000" w:themeColor="text1"/>
        </w:rPr>
        <w:t xml:space="preserve"> </w:t>
      </w:r>
      <w:r w:rsidR="00514700" w:rsidRPr="00387397">
        <w:rPr>
          <w:color w:val="000000" w:themeColor="text1"/>
        </w:rPr>
        <w:fldChar w:fldCharType="begin" w:fldLock="1"/>
      </w:r>
      <w:r w:rsidR="003A18DB" w:rsidRPr="00387397">
        <w:rPr>
          <w:color w:val="000000" w:themeColor="text1"/>
        </w:rPr>
        <w:instrText>ADDIN CSL_CITATION { "citationItems" : [ { "id" : "ITEM-1", "itemData" : { "author" : [ { "dropping-particle" : "", "family" : "Cashore", "given" : "Benjamin", "non-dropping-particle" : "", "parse-names" : false, "suffix" : "" } ], "id" : "ITEM-1", "issued" : { "date-parts" : [ [ "1997" ] ] }, "publisher" : "University of Toronto", "title" : "Governing Forestry: Environmental Group Influence in British Columbia and the US Pacific Northwest", "type" : "thesis" }, "uris" : [ "http://www.mendeley.com/documents/?uuid=0f00abdd-d7de-3365-a35d-dc8304e86cbf" ] }, { "id" : "ITEM-2", "itemData" : { "DOI" : "10.2307/422246", "ISBN" : "00104159", "ISSN" : "00104159", "PMID" : "20545642", "abstract" : "This article examines the model of social learning often believed to confirm the autonomy of the state from social pressures, tests it against recent cases of change in British economic policies, and offers a fuller analysis of the role of ideas in policymaking, based on the concept of policy paradigms. A conventional model of social learning is found to fit some types of changes in policy well but not the movement from Keynesian to monetarist modes of policymaking. In cases of paradigm shift, policy responds to a wider social debate bound up with electoral competition that demands a reformulation of traditional conceptions of state-society relations.", "author" : [ { "dropping-particle" : "", "family" : "Hall", "given" : "Peter A.", "non-dropping-particle" : "", "parse-names" : false, "suffix" : "" } ], "container-title" : "Comparative Politics", "id" : "ITEM-2", "issue" : "3", "issued" : { "date-parts" : [ [ "1993" ] ] }, "page" : "275", "title" : "Policy Paradigms, Social Learning, and the State: The Case of Economic Policymaking in Britain", "type" : "article-journal", "volume" : "25" }, "uris" : [ "http://www.mendeley.com/documents/?uuid=2180e17d-9d46-4c91-97be-9e21daef9d31" ] }, { "id" : "ITEM-3", "itemData" : { "DOI" : "10.2307/3325122", "ISBN" : "0131830015", "ISSN" : "02768739", "PMID" : "2486205", "abstract" : "This book offers a very good framework for understanding when government needs to intervene and to what extent. It builds on economic analysis. The authors begin with identifying the conditions for not only market failures but also government failures. Each type of failure has its implications for social welfare as well as public policy. This book is for graduate students in public administration programs as well as practitioners. A good proportion of this book is devoted to hand-on cases.", "author" : [ { "dropping-particle" : "", "family" : "Weimer", "given" : "David L.", "non-dropping-particle" : "", "parse-names" : false, "suffix" : "" }, { "dropping-particle" : "", "family" : "Vining", "given" : "Aidan R.", "non-dropping-particle" : "", "parse-names" : false, "suffix" : "" } ], "id" : "ITEM-3", "issued" : { "date-parts" : [ [ "2005" ] ] }, "number-of-pages" : "3", "title" : "Policy Analysis: Concepts and Practice", "type" : "book", "volume" : "9" }, "uris" : [ "http://www.mendeley.com/documents/?uuid=2e5ee9a5-0f0b-4fd4-9939-0c24f1cb6867" ] } ], "mendeley" : { "formattedCitation" : "(Cashore, 1997; Hall, 1993; Weimer &amp; Vining, 2005)", "plainTextFormattedCitation" : "(Cashore, 1997; Hall, 1993; Weimer &amp; Vining, 2005)", "previouslyFormattedCitation" : "(Cashore, 1997; Hall, 1993; Weimer &amp; Vining, 2005)" }, "properties" : {  }, "schema" : "https://github.com/citation-style-language/schema/raw/master/csl-citation.json" }</w:instrText>
      </w:r>
      <w:r w:rsidR="00514700" w:rsidRPr="00387397">
        <w:rPr>
          <w:color w:val="000000" w:themeColor="text1"/>
        </w:rPr>
        <w:fldChar w:fldCharType="separate"/>
      </w:r>
      <w:r w:rsidR="003A18DB" w:rsidRPr="00387397">
        <w:rPr>
          <w:noProof/>
          <w:color w:val="000000" w:themeColor="text1"/>
        </w:rPr>
        <w:t>(Cashore, 1997; Hall, 1993; Weimer &amp; Vining, 2005)</w:t>
      </w:r>
      <w:r w:rsidR="00514700" w:rsidRPr="00387397">
        <w:rPr>
          <w:color w:val="000000" w:themeColor="text1"/>
        </w:rPr>
        <w:fldChar w:fldCharType="end"/>
      </w:r>
      <w:r w:rsidR="00530CA9" w:rsidRPr="00387397">
        <w:rPr>
          <w:rFonts w:eastAsia="Times New Roman"/>
          <w:b/>
          <w:color w:val="000000" w:themeColor="text1"/>
          <w:shd w:val="clear" w:color="auto" w:fill="FFFFFF"/>
        </w:rPr>
        <w:t>.</w:t>
      </w:r>
      <w:r w:rsidR="00530CA9" w:rsidRPr="00387397">
        <w:rPr>
          <w:rFonts w:eastAsia="Times New Roman"/>
          <w:color w:val="000000" w:themeColor="text1"/>
          <w:shd w:val="clear" w:color="auto" w:fill="FFFFFF"/>
        </w:rPr>
        <w:t xml:space="preserve"> </w:t>
      </w:r>
      <w:r w:rsidR="00180E69" w:rsidRPr="00387397">
        <w:rPr>
          <w:rFonts w:eastAsia="Times New Roman"/>
          <w:color w:val="000000" w:themeColor="text1"/>
          <w:shd w:val="clear" w:color="auto" w:fill="FFFFFF"/>
        </w:rPr>
        <w:t xml:space="preserve">While </w:t>
      </w:r>
      <w:r w:rsidR="00180E69" w:rsidRPr="00387397">
        <w:rPr>
          <w:color w:val="000000" w:themeColor="text1"/>
        </w:rPr>
        <w:t>p</w:t>
      </w:r>
      <w:r w:rsidR="00C03F90" w:rsidRPr="00387397">
        <w:rPr>
          <w:color w:val="000000" w:themeColor="text1"/>
        </w:rPr>
        <w:t xml:space="preserve">rivate </w:t>
      </w:r>
      <w:r w:rsidRPr="00387397">
        <w:rPr>
          <w:color w:val="000000" w:themeColor="text1"/>
        </w:rPr>
        <w:lastRenderedPageBreak/>
        <w:t>governance</w:t>
      </w:r>
      <w:r w:rsidR="00180E69" w:rsidRPr="00387397">
        <w:rPr>
          <w:color w:val="000000" w:themeColor="text1"/>
        </w:rPr>
        <w:t xml:space="preserve"> program </w:t>
      </w:r>
      <w:r w:rsidR="00C03F90" w:rsidRPr="00387397">
        <w:rPr>
          <w:color w:val="000000" w:themeColor="text1"/>
        </w:rPr>
        <w:t>regulations resemble</w:t>
      </w:r>
      <w:r w:rsidR="00EA59F6" w:rsidRPr="00387397">
        <w:rPr>
          <w:color w:val="000000" w:themeColor="text1"/>
        </w:rPr>
        <w:t xml:space="preserve"> a system of laws </w:t>
      </w:r>
      <w:r w:rsidR="00EA59F6" w:rsidRPr="00387397">
        <w:rPr>
          <w:color w:val="000000" w:themeColor="text1"/>
        </w:rPr>
        <w:fldChar w:fldCharType="begin" w:fldLock="1"/>
      </w:r>
      <w:r w:rsidR="003A18DB" w:rsidRPr="00387397">
        <w:rPr>
          <w:color w:val="000000" w:themeColor="text1"/>
        </w:rPr>
        <w:instrText>ADDIN CSL_CITATION { "citationItems" : [ { "id" : "ITEM-1", "itemData" : { "DOI" : "10.1093/ejil/chi168", "abstract" : "An important ensemble of transnational, transgovernmental regulatory institutions has emerged in the forestry sector over the past decade. These 'forest certification' programmes set global standards for proper forest management and apply them through institutionalized licensing and inspection programmes. Similar programmes are appearing in other sectors. Developed largely by environmental NGOs and industry associations rather than governments, forest certification programmes are nominally voluntary, but are becoming increasingly mandatory in practice. They are also gradually linking with government regulatory and management programmes in various ways, while remaining in tension both with each other and with government programmes. The overall regulatory system is thus highly dynamic, as the programmes compete with each other for business and also with government regulatory programmes for public acceptance. This paper describes and assesses the administrative law \u2013 i.e., the requirements for rule-making and rule application \u2013 of the emerging global forest regulatory system. It finds that while the certification programmes are becoming increasingly transparent and participatory, often comparing favourably with government programmes, some of them still need considerable improvement and all of them face serious challenges. It concludes with a discussion of the problem of accountability,", "author" : [ { "dropping-particle" : "", "family" : "Meidinger", "given" : "Errol", "non-dropping-particle" : "", "parse-names" : false, "suffix" : "" } ], "container-title" : "The European Journal of International Law", "id" : "ITEM-1", "issue" : "1", "issued" : { "date-parts" : [ [ "2006" ] ] }, "page" : "47-87", "title" : "The Administrative Law of Global Private-Public Regulation: the Case of Forestry", "type" : "article-journal", "volume" : "17" }, "uris" : [ "http://www.mendeley.com/documents/?uuid=187d2580-e3b9-389f-a778-83f82d75f56f" ] }, { "id" : "ITEM-2",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"ITEM-2",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2006)", "plainTextFormattedCitation" : "(Errol Meidinger, 2003, 2006)", "previouslyFormattedCitation" : "(Errol Meidinger, 2003, 2006)" }, "properties" : {  }, "schema" : "https://github.com/citation-style-language/schema/raw/master/csl-citation.json" }</w:instrText>
      </w:r>
      <w:r w:rsidR="00EA59F6" w:rsidRPr="00387397">
        <w:rPr>
          <w:color w:val="000000" w:themeColor="text1"/>
        </w:rPr>
        <w:fldChar w:fldCharType="separate"/>
      </w:r>
      <w:r w:rsidR="003A18DB" w:rsidRPr="00387397">
        <w:rPr>
          <w:noProof/>
          <w:color w:val="000000" w:themeColor="text1"/>
        </w:rPr>
        <w:t>(Meidinger, 2003, 2006)</w:t>
      </w:r>
      <w:r w:rsidR="00EA59F6" w:rsidRPr="00387397">
        <w:rPr>
          <w:color w:val="000000" w:themeColor="text1"/>
        </w:rPr>
        <w:fldChar w:fldCharType="end"/>
      </w:r>
      <w:r w:rsidR="00180E69" w:rsidRPr="00387397">
        <w:rPr>
          <w:color w:val="000000" w:themeColor="text1"/>
        </w:rPr>
        <w:t xml:space="preserve">, </w:t>
      </w:r>
      <w:r w:rsidR="00FA76FB" w:rsidRPr="00387397">
        <w:rPr>
          <w:color w:val="000000" w:themeColor="text1"/>
        </w:rPr>
        <w:t xml:space="preserve">private regulation scholarship has paid </w:t>
      </w:r>
      <w:r w:rsidR="00180E69" w:rsidRPr="00387397">
        <w:rPr>
          <w:color w:val="000000" w:themeColor="text1"/>
        </w:rPr>
        <w:t xml:space="preserve">less attention to distinctions </w:t>
      </w:r>
      <w:r w:rsidR="00FA76FB" w:rsidRPr="00387397">
        <w:rPr>
          <w:color w:val="000000" w:themeColor="text1"/>
        </w:rPr>
        <w:t xml:space="preserve">between policy means and ends. Similarly, </w:t>
      </w:r>
      <w:r w:rsidR="00EA59F6" w:rsidRPr="00387397">
        <w:rPr>
          <w:color w:val="000000" w:themeColor="text1"/>
        </w:rPr>
        <w:t>policy change, a core concept in public policy scholarship</w:t>
      </w:r>
      <w:r w:rsidR="0045252B" w:rsidRPr="00387397">
        <w:rPr>
          <w:color w:val="000000" w:themeColor="text1"/>
        </w:rPr>
        <w:t>,</w:t>
      </w:r>
      <w:r w:rsidR="00EA59F6" w:rsidRPr="00387397">
        <w:rPr>
          <w:color w:val="000000" w:themeColor="text1"/>
        </w:rPr>
        <w:t xml:space="preserve"> </w:t>
      </w:r>
      <w:r w:rsidR="00251C49" w:rsidRPr="00387397">
        <w:rPr>
          <w:color w:val="000000" w:themeColor="text1"/>
        </w:rPr>
        <w:t>remains underdeveloped</w:t>
      </w:r>
      <w:r w:rsidR="00EA59F6" w:rsidRPr="00387397">
        <w:rPr>
          <w:color w:val="000000" w:themeColor="text1"/>
        </w:rPr>
        <w:t xml:space="preserve"> in </w:t>
      </w:r>
      <w:r w:rsidR="00D7195F" w:rsidRPr="00387397">
        <w:rPr>
          <w:color w:val="000000" w:themeColor="text1"/>
        </w:rPr>
        <w:t>research</w:t>
      </w:r>
      <w:r w:rsidR="00EA59F6" w:rsidRPr="00387397">
        <w:rPr>
          <w:color w:val="000000" w:themeColor="text1"/>
        </w:rPr>
        <w:t xml:space="preserve"> on private regulation. </w:t>
      </w:r>
      <w:r w:rsidR="00FA76FB" w:rsidRPr="00387397">
        <w:rPr>
          <w:color w:val="000000" w:themeColor="text1"/>
        </w:rPr>
        <w:t>We thus draw on public policy scholarship to address these gaps.</w:t>
      </w:r>
    </w:p>
    <w:p w14:paraId="67869C4C" w14:textId="32270FAA" w:rsidR="00921DD9" w:rsidRPr="00387397" w:rsidRDefault="00921DD9" w:rsidP="00387397">
      <w:pPr>
        <w:spacing w:line="480" w:lineRule="auto"/>
        <w:rPr>
          <w:color w:val="000000" w:themeColor="text1"/>
        </w:rPr>
      </w:pPr>
    </w:p>
    <w:p w14:paraId="2753FC45" w14:textId="77777777" w:rsidR="00EA59F6" w:rsidRPr="00387397" w:rsidRDefault="00EA59F6" w:rsidP="00387397">
      <w:pPr>
        <w:spacing w:line="480" w:lineRule="auto"/>
        <w:rPr>
          <w:rFonts w:eastAsia="Times New Roman"/>
          <w:color w:val="000000" w:themeColor="text1"/>
          <w:shd w:val="clear" w:color="auto" w:fill="FFFFFF"/>
        </w:rPr>
      </w:pPr>
    </w:p>
    <w:p w14:paraId="43734EFF" w14:textId="72D33DA8" w:rsidR="002B4DAA" w:rsidRPr="00387397" w:rsidRDefault="002B4DAA" w:rsidP="00387397">
      <w:pPr>
        <w:spacing w:line="480" w:lineRule="auto"/>
        <w:rPr>
          <w:b/>
          <w:bCs/>
          <w:color w:val="000000" w:themeColor="text1"/>
        </w:rPr>
      </w:pPr>
      <w:r w:rsidRPr="00387397">
        <w:rPr>
          <w:b/>
          <w:bCs/>
          <w:color w:val="000000" w:themeColor="text1"/>
        </w:rPr>
        <w:t xml:space="preserve">3.1 Step 1: Measuring scope, prescriptiveness, and </w:t>
      </w:r>
      <w:r w:rsidR="0036152C" w:rsidRPr="00387397">
        <w:rPr>
          <w:b/>
          <w:bCs/>
          <w:color w:val="000000" w:themeColor="text1"/>
        </w:rPr>
        <w:t xml:space="preserve">policy </w:t>
      </w:r>
      <w:r w:rsidRPr="00387397">
        <w:rPr>
          <w:b/>
          <w:bCs/>
          <w:color w:val="000000" w:themeColor="text1"/>
        </w:rPr>
        <w:t>settings</w:t>
      </w:r>
    </w:p>
    <w:p w14:paraId="6D8B8CDB" w14:textId="75307A3B" w:rsidR="005D4584" w:rsidRPr="00387397" w:rsidRDefault="00E50E95" w:rsidP="00387397">
      <w:pPr>
        <w:spacing w:line="480" w:lineRule="auto"/>
        <w:rPr>
          <w:color w:val="000000" w:themeColor="text1"/>
        </w:rPr>
      </w:pPr>
      <w:r w:rsidRPr="00387397">
        <w:rPr>
          <w:rFonts w:eastAsia="Times New Roman"/>
          <w:color w:val="000000" w:themeColor="text1"/>
          <w:shd w:val="clear" w:color="auto" w:fill="FFFFFF"/>
        </w:rPr>
        <w:t>To disaggregate regulat</w:t>
      </w:r>
      <w:r w:rsidR="00251C49" w:rsidRPr="00387397">
        <w:rPr>
          <w:rFonts w:eastAsia="Times New Roman"/>
          <w:color w:val="000000" w:themeColor="text1"/>
          <w:shd w:val="clear" w:color="auto" w:fill="FFFFFF"/>
        </w:rPr>
        <w:t>ory stringency</w:t>
      </w:r>
      <w:r w:rsidRPr="00387397">
        <w:rPr>
          <w:rFonts w:eastAsia="Times New Roman"/>
          <w:color w:val="000000" w:themeColor="text1"/>
          <w:shd w:val="clear" w:color="auto" w:fill="FFFFFF"/>
        </w:rPr>
        <w:t>,</w:t>
      </w:r>
      <w:r w:rsidR="00E17E24" w:rsidRPr="00387397">
        <w:rPr>
          <w:rFonts w:eastAsia="Times New Roman"/>
          <w:color w:val="000000" w:themeColor="text1"/>
          <w:shd w:val="clear" w:color="auto" w:fill="FFFFFF"/>
        </w:rPr>
        <w:t xml:space="preserve"> </w:t>
      </w:r>
      <w:r w:rsidRPr="00387397">
        <w:rPr>
          <w:rFonts w:eastAsia="Times New Roman"/>
          <w:color w:val="000000" w:themeColor="text1"/>
          <w:shd w:val="clear" w:color="auto" w:fill="FFFFFF"/>
        </w:rPr>
        <w:t xml:space="preserve">we </w:t>
      </w:r>
      <w:r w:rsidR="00E17E24" w:rsidRPr="00387397">
        <w:rPr>
          <w:rFonts w:eastAsia="Times New Roman"/>
          <w:color w:val="000000" w:themeColor="text1"/>
          <w:shd w:val="clear" w:color="auto" w:fill="FFFFFF"/>
        </w:rPr>
        <w:t>focus on</w:t>
      </w:r>
      <w:r w:rsidR="00171AE3" w:rsidRPr="00387397">
        <w:rPr>
          <w:rFonts w:eastAsia="Times New Roman"/>
          <w:color w:val="000000" w:themeColor="text1"/>
          <w:shd w:val="clear" w:color="auto" w:fill="FFFFFF"/>
        </w:rPr>
        <w:t xml:space="preserve"> three </w:t>
      </w:r>
      <w:r w:rsidR="00746DF8" w:rsidRPr="00387397">
        <w:rPr>
          <w:rFonts w:eastAsia="Times New Roman"/>
          <w:color w:val="000000" w:themeColor="text1"/>
          <w:shd w:val="clear" w:color="auto" w:fill="FFFFFF"/>
        </w:rPr>
        <w:t>dimensions of variation</w:t>
      </w:r>
      <w:r w:rsidR="00171AE3" w:rsidRPr="00387397">
        <w:rPr>
          <w:rFonts w:eastAsia="Times New Roman"/>
          <w:color w:val="000000" w:themeColor="text1"/>
          <w:shd w:val="clear" w:color="auto" w:fill="FFFFFF"/>
        </w:rPr>
        <w:t>: (1) the comprehensiveness of a regulation</w:t>
      </w:r>
      <w:r w:rsidR="00251C49"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xml:space="preserve">s scope </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i.e. which policy problems are addressed</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(2)</w:t>
      </w:r>
      <w:r w:rsidR="00E17E24" w:rsidRPr="00387397">
        <w:rPr>
          <w:rFonts w:eastAsia="Times New Roman"/>
          <w:color w:val="000000" w:themeColor="text1"/>
          <w:shd w:val="clear" w:color="auto" w:fill="FFFFFF"/>
        </w:rPr>
        <w:t xml:space="preserve"> the extent to which requirements are prescriptive</w:t>
      </w:r>
      <w:r w:rsidR="00251C49" w:rsidRPr="00387397">
        <w:rPr>
          <w:rFonts w:eastAsia="Times New Roman"/>
          <w:color w:val="000000" w:themeColor="text1"/>
          <w:shd w:val="clear" w:color="auto" w:fill="FFFFFF"/>
        </w:rPr>
        <w:t xml:space="preserve"> versus flexible</w:t>
      </w:r>
      <w:r w:rsidR="0032607F" w:rsidRPr="00387397">
        <w:rPr>
          <w:rFonts w:eastAsia="Times New Roman"/>
          <w:color w:val="000000" w:themeColor="text1"/>
          <w:shd w:val="clear" w:color="auto" w:fill="FFFFFF"/>
        </w:rPr>
        <w:t xml:space="preserve"> (</w:t>
      </w:r>
      <w:r w:rsidR="00E17E24" w:rsidRPr="00387397">
        <w:rPr>
          <w:rFonts w:eastAsia="Times New Roman"/>
          <w:color w:val="000000" w:themeColor="text1"/>
          <w:shd w:val="clear" w:color="auto" w:fill="FFFFFF"/>
        </w:rPr>
        <w:t>i.e.</w:t>
      </w:r>
      <w:r w:rsidR="0032607F" w:rsidRPr="00387397">
        <w:rPr>
          <w:rFonts w:eastAsia="Times New Roman"/>
          <w:color w:val="000000" w:themeColor="text1"/>
          <w:shd w:val="clear" w:color="auto" w:fill="FFFFFF"/>
        </w:rPr>
        <w:t xml:space="preserve"> they</w:t>
      </w:r>
      <w:r w:rsidR="00E17E24" w:rsidRPr="00387397">
        <w:rPr>
          <w:rFonts w:eastAsia="Times New Roman"/>
          <w:color w:val="000000" w:themeColor="text1"/>
          <w:shd w:val="clear" w:color="auto" w:fill="FFFFFF"/>
        </w:rPr>
        <w:t xml:space="preserve"> use mandatory and substantive thresholds</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and (3) the levels of those thresholds or similarly specific policy setting</w:t>
      </w:r>
      <w:r w:rsidR="00D84D5D" w:rsidRPr="00387397">
        <w:rPr>
          <w:rFonts w:eastAsia="Times New Roman"/>
          <w:color w:val="000000" w:themeColor="text1"/>
          <w:shd w:val="clear" w:color="auto" w:fill="FFFFFF"/>
        </w:rPr>
        <w:t>s</w:t>
      </w:r>
      <w:r w:rsidR="00746DF8" w:rsidRPr="00387397">
        <w:rPr>
          <w:rFonts w:eastAsia="Times New Roman"/>
          <w:color w:val="000000" w:themeColor="text1"/>
          <w:shd w:val="clear" w:color="auto" w:fill="FFFFFF"/>
        </w:rPr>
        <w:t xml:space="preserve"> (see Table 2)</w:t>
      </w:r>
      <w:r w:rsidR="00EE76E2" w:rsidRPr="00387397">
        <w:rPr>
          <w:rFonts w:eastAsia="Times New Roman"/>
          <w:color w:val="000000" w:themeColor="text1"/>
          <w:shd w:val="clear" w:color="auto" w:fill="FFFFFF"/>
        </w:rPr>
        <w:t>.</w:t>
      </w:r>
      <w:r w:rsidR="00254EA4" w:rsidRPr="00387397">
        <w:rPr>
          <w:rFonts w:eastAsia="Times New Roman"/>
          <w:color w:val="000000" w:themeColor="text1"/>
          <w:shd w:val="clear" w:color="auto" w:fill="FFFFFF"/>
        </w:rPr>
        <w:t xml:space="preserve"> </w:t>
      </w:r>
      <w:r w:rsidR="00254EA4" w:rsidRPr="00387397">
        <w:rPr>
          <w:color w:val="000000" w:themeColor="text1"/>
        </w:rPr>
        <w:t xml:space="preserve">We thus suggest that the first step for scholars who wish to make claims about the stringency or direction of change in private regulations </w:t>
      </w:r>
      <w:r w:rsidR="007E5A72" w:rsidRPr="00387397">
        <w:rPr>
          <w:color w:val="000000" w:themeColor="text1"/>
        </w:rPr>
        <w:t xml:space="preserve">involves </w:t>
      </w:r>
      <w:r w:rsidR="00254EA4" w:rsidRPr="00387397">
        <w:rPr>
          <w:color w:val="000000" w:themeColor="text1"/>
        </w:rPr>
        <w:t>three related tasks: describing policy content according to scope, prescriptiveness, and specific policy settings. Those who are also curious about how competing programs change have a second step: measuring programs’ relative positions and change on each dimension (see table 3). First, we elaborate on step one.</w:t>
      </w:r>
    </w:p>
    <w:p w14:paraId="44A524E1" w14:textId="77777777" w:rsidR="005D4584" w:rsidRPr="00387397" w:rsidRDefault="005D4584" w:rsidP="00387397">
      <w:pPr>
        <w:spacing w:line="480" w:lineRule="auto"/>
        <w:rPr>
          <w:rFonts w:eastAsia="Times New Roman"/>
          <w:color w:val="000000" w:themeColor="text1"/>
          <w:shd w:val="clear" w:color="auto" w:fill="FFFFFF"/>
        </w:rPr>
      </w:pPr>
    </w:p>
    <w:p w14:paraId="63754D76" w14:textId="0DB7DC3E" w:rsidR="003A13CF" w:rsidRPr="00387397" w:rsidRDefault="005D4584" w:rsidP="00387397">
      <w:pPr>
        <w:spacing w:line="480" w:lineRule="auto"/>
        <w:rPr>
          <w:color w:val="000000" w:themeColor="text1"/>
        </w:rPr>
      </w:pPr>
      <w:r w:rsidRPr="00387397">
        <w:rPr>
          <w:color w:val="000000" w:themeColor="text1"/>
        </w:rPr>
        <w:t>[T</w:t>
      </w:r>
      <w:r w:rsidR="00B15838">
        <w:rPr>
          <w:color w:val="000000" w:themeColor="text1"/>
        </w:rPr>
        <w:t>able</w:t>
      </w:r>
      <w:r w:rsidRPr="00387397">
        <w:rPr>
          <w:color w:val="000000" w:themeColor="text1"/>
        </w:rPr>
        <w:t xml:space="preserve"> 2] </w:t>
      </w:r>
    </w:p>
    <w:p w14:paraId="2B47BB82" w14:textId="77777777" w:rsidR="003A13CF" w:rsidRPr="00387397" w:rsidRDefault="003A13CF" w:rsidP="00387397">
      <w:pPr>
        <w:spacing w:line="480" w:lineRule="auto"/>
        <w:rPr>
          <w:color w:val="000000" w:themeColor="text1"/>
        </w:rPr>
      </w:pPr>
    </w:p>
    <w:p w14:paraId="235C173A" w14:textId="0801BE4E" w:rsidR="00592EE2" w:rsidRPr="00387397" w:rsidRDefault="00A82409" w:rsidP="00387397">
      <w:pPr>
        <w:spacing w:line="480" w:lineRule="auto"/>
        <w:rPr>
          <w:color w:val="000000" w:themeColor="text1"/>
        </w:rPr>
      </w:pPr>
      <w:r w:rsidRPr="00387397">
        <w:rPr>
          <w:color w:val="000000" w:themeColor="text1"/>
        </w:rPr>
        <w:t>Defining a compreh</w:t>
      </w:r>
      <w:r w:rsidR="00254EA4" w:rsidRPr="00387397">
        <w:rPr>
          <w:color w:val="000000" w:themeColor="text1"/>
        </w:rPr>
        <w:t>ensive scope requires inductively deriving a set of</w:t>
      </w:r>
      <w:r w:rsidR="007F1904" w:rsidRPr="00387397">
        <w:rPr>
          <w:color w:val="000000" w:themeColor="text1"/>
        </w:rPr>
        <w:t xml:space="preserve"> distinct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regulatory texts in a defined policy domain</w:t>
      </w:r>
      <w:r w:rsidR="007F1904" w:rsidRPr="00387397">
        <w:rPr>
          <w:color w:val="000000" w:themeColor="text1"/>
        </w:rPr>
        <w:t>.</w:t>
      </w:r>
      <w:r w:rsidR="00E32DD3" w:rsidRPr="00387397">
        <w:rPr>
          <w:color w:val="000000" w:themeColor="text1"/>
        </w:rPr>
        <w:t xml:space="preserve"> </w:t>
      </w:r>
      <w:r w:rsidR="005B1D92" w:rsidRPr="00387397">
        <w:rPr>
          <w:rFonts w:eastAsia="Times New Roman"/>
          <w:color w:val="000000" w:themeColor="text1"/>
        </w:rPr>
        <w:t xml:space="preserve">The comprehensiveness of each regulation’s scope can then be measured by asking which, and how many of the full set of key issues it addresses. </w:t>
      </w:r>
      <w:r w:rsidR="00E85074" w:rsidRPr="00387397">
        <w:rPr>
          <w:color w:val="000000" w:themeColor="text1"/>
        </w:rPr>
        <w:t>While this</w:t>
      </w:r>
      <w:r w:rsidR="00E32DD3" w:rsidRPr="00387397">
        <w:rPr>
          <w:color w:val="000000" w:themeColor="text1"/>
        </w:rPr>
        <w:t xml:space="preserve"> approach </w:t>
      </w:r>
      <w:r w:rsidR="00251C49" w:rsidRPr="00387397">
        <w:rPr>
          <w:color w:val="000000" w:themeColor="text1"/>
        </w:rPr>
        <w:t>minimizes</w:t>
      </w:r>
      <w:r w:rsidR="00E32DD3" w:rsidRPr="00387397">
        <w:rPr>
          <w:color w:val="000000" w:themeColor="text1"/>
        </w:rPr>
        <w:t xml:space="preserve"> risks of omitting key </w:t>
      </w:r>
      <w:r w:rsidR="00E85074" w:rsidRPr="00387397">
        <w:rPr>
          <w:color w:val="000000" w:themeColor="text1"/>
        </w:rPr>
        <w:t xml:space="preserve">issues on which </w:t>
      </w:r>
      <w:r w:rsidR="00E85074" w:rsidRPr="00387397">
        <w:rPr>
          <w:color w:val="000000" w:themeColor="text1"/>
        </w:rPr>
        <w:lastRenderedPageBreak/>
        <w:t>regulations may vary</w:t>
      </w:r>
      <w:r w:rsidR="00E32DD3" w:rsidRPr="00387397">
        <w:rPr>
          <w:color w:val="000000" w:themeColor="text1"/>
        </w:rPr>
        <w:t xml:space="preserve"> and thus having to justify such omissions</w:t>
      </w:r>
      <w:r w:rsidR="00E85074" w:rsidRPr="00387397">
        <w:rPr>
          <w:color w:val="000000" w:themeColor="text1"/>
        </w:rPr>
        <w:t>,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 xml:space="preserve">costly and scholars may yet choose </w:t>
      </w:r>
      <w:r w:rsidR="000E60EC" w:rsidRPr="00387397">
        <w:rPr>
          <w:color w:val="000000" w:themeColor="text1"/>
        </w:rPr>
        <w:t>a limited scope of comparisons</w:t>
      </w:r>
      <w:r w:rsidR="00E85074" w:rsidRPr="00387397">
        <w:rPr>
          <w:color w:val="000000" w:themeColor="text1"/>
        </w:rPr>
        <w:t>. S</w:t>
      </w:r>
      <w:r w:rsidR="00251C49" w:rsidRPr="00387397">
        <w:rPr>
          <w:color w:val="000000" w:themeColor="text1"/>
        </w:rPr>
        <w:t xml:space="preserve">uch studies must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 xml:space="preserve">to assess arguments about the scope of regulations, which </w:t>
      </w:r>
      <w:r w:rsidR="00E85074" w:rsidRPr="00387397">
        <w:rPr>
          <w:color w:val="000000" w:themeColor="text1"/>
        </w:rPr>
        <w:t>is theorized to influence</w:t>
      </w:r>
      <w:r w:rsidR="00592EE2" w:rsidRPr="00387397">
        <w:rPr>
          <w:color w:val="000000" w:themeColor="text1"/>
        </w:rPr>
        <w:t xml:space="preserve"> uptake both negatively and positively.</w:t>
      </w:r>
      <w:r w:rsidR="00332C55" w:rsidRPr="00387397">
        <w:rPr>
          <w:color w:val="000000" w:themeColor="text1"/>
        </w:rPr>
        <w:t xml:space="preserve"> Scope can be assessed in an absolute sense (how many iss</w:t>
      </w:r>
      <w:r w:rsidR="00254EA4" w:rsidRPr="00387397">
        <w:rPr>
          <w:color w:val="000000" w:themeColor="text1"/>
        </w:rPr>
        <w:t xml:space="preserve">ues are addressed), </w:t>
      </w:r>
      <w:r w:rsidR="00332C55" w:rsidRPr="00387397">
        <w:rPr>
          <w:color w:val="000000" w:themeColor="text1"/>
        </w:rPr>
        <w:t>a relative sense (how many more issues are addressed), and regarding change over time (</w:t>
      </w:r>
      <w:r w:rsidR="008B45A8" w:rsidRPr="00387397">
        <w:rPr>
          <w:color w:val="000000" w:themeColor="text1"/>
        </w:rPr>
        <w:t xml:space="preserve">on </w:t>
      </w:r>
      <w:r w:rsidR="00332C55" w:rsidRPr="00387397">
        <w:rPr>
          <w:color w:val="000000" w:themeColor="text1"/>
        </w:rPr>
        <w:t>how many issues were</w:t>
      </w:r>
      <w:r w:rsidR="008B45A8" w:rsidRPr="00387397">
        <w:rPr>
          <w:color w:val="000000" w:themeColor="text1"/>
        </w:rPr>
        <w:t xml:space="preserve"> requirements</w:t>
      </w:r>
      <w:r w:rsidR="00332C55" w:rsidRPr="00387397">
        <w:rPr>
          <w:color w:val="000000" w:themeColor="text1"/>
        </w:rPr>
        <w:t xml:space="preserve"> added or subtracted).</w:t>
      </w:r>
    </w:p>
    <w:p w14:paraId="37CD5BBA" w14:textId="77777777" w:rsidR="003A13CF" w:rsidRPr="00387397" w:rsidRDefault="003A13CF" w:rsidP="00387397">
      <w:pPr>
        <w:spacing w:line="480" w:lineRule="auto"/>
        <w:rPr>
          <w:color w:val="000000" w:themeColor="text1"/>
        </w:rPr>
      </w:pPr>
    </w:p>
    <w:p w14:paraId="06681147" w14:textId="498898C0" w:rsidR="00494530" w:rsidRPr="00387397" w:rsidRDefault="00761175" w:rsidP="00387397">
      <w:pPr>
        <w:spacing w:line="480" w:lineRule="auto"/>
        <w:rPr>
          <w:color w:val="000000" w:themeColor="text1"/>
        </w:rPr>
      </w:pPr>
      <w:r w:rsidRPr="00387397">
        <w:rPr>
          <w:rFonts w:eastAsia="Times New Roman"/>
          <w:color w:val="000000" w:themeColor="text1"/>
        </w:rPr>
        <w:t xml:space="preserve">Second, we measure the extent to which each requirement is prescriptive, i.e. uses mandatory and substantive thresholds. Because </w:t>
      </w:r>
      <w:r w:rsidR="00E85074" w:rsidRPr="00387397">
        <w:rPr>
          <w:rFonts w:eastAsia="Times New Roman"/>
          <w:color w:val="000000" w:themeColor="text1"/>
        </w:rPr>
        <w:t>prescriptive versus flexible</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Pr="00387397">
        <w:rPr>
          <w:rFonts w:eastAsia="Times New Roman"/>
          <w:color w:val="000000" w:themeColor="text1"/>
        </w:rPr>
        <w:t>the means by which each issue is addressed, not the ends of the policy, it can be answered for any substantive requirement.</w:t>
      </w:r>
      <w:r w:rsidRPr="00387397">
        <w:rPr>
          <w:rStyle w:val="EndnoteReference"/>
          <w:rFonts w:eastAsia="Times New Roman"/>
          <w:color w:val="000000" w:themeColor="text1"/>
        </w:rPr>
        <w:endnoteReference w:id="4"/>
      </w:r>
      <w:r w:rsidRPr="00387397">
        <w:rPr>
          <w:rFonts w:eastAsia="Times New Roman"/>
          <w:color w:val="000000" w:themeColor="text1"/>
        </w:rPr>
        <w:t xml:space="preserve"> </w:t>
      </w:r>
      <w:r w:rsidR="00E85074" w:rsidRPr="00387397">
        <w:rPr>
          <w:color w:val="000000" w:themeColor="text1"/>
        </w:rPr>
        <w:t>Drawing</w:t>
      </w:r>
      <w:r w:rsidR="004A4831" w:rsidRPr="00387397">
        <w:rPr>
          <w:color w:val="000000" w:themeColor="text1"/>
        </w:rPr>
        <w:t xml:space="preserve"> on </w:t>
      </w:r>
      <w:proofErr w:type="spellStart"/>
      <w:r w:rsidR="004A4831" w:rsidRPr="00387397">
        <w:rPr>
          <w:color w:val="000000" w:themeColor="text1"/>
        </w:rPr>
        <w:t>Cashore</w:t>
      </w:r>
      <w:proofErr w:type="spellEnd"/>
      <w:r w:rsidR="004A4831" w:rsidRPr="00387397">
        <w:rPr>
          <w:color w:val="000000" w:themeColor="text1"/>
        </w:rPr>
        <w:t xml:space="preserve"> </w:t>
      </w:r>
      <w:r w:rsidR="00105178" w:rsidRPr="00387397">
        <w:rPr>
          <w:color w:val="000000" w:themeColor="text1"/>
        </w:rPr>
        <w:t>(2007)</w:t>
      </w:r>
      <w:r w:rsidR="00C01240" w:rsidRPr="00387397">
        <w:rPr>
          <w:color w:val="000000" w:themeColor="text1"/>
        </w:rPr>
        <w:t xml:space="preserve"> and</w:t>
      </w:r>
      <w:r w:rsidR="004A4831" w:rsidRPr="00387397">
        <w:rPr>
          <w:color w:val="000000" w:themeColor="text1"/>
        </w:rPr>
        <w:t xml:space="preserve"> McDermott et al. </w:t>
      </w:r>
      <w:r w:rsidR="004A4831" w:rsidRPr="00387397">
        <w:rPr>
          <w:color w:val="000000" w:themeColor="text1"/>
        </w:rPr>
        <w:fldChar w:fldCharType="begin" w:fldLock="1"/>
      </w:r>
      <w:r w:rsidR="004A4831"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4A4831" w:rsidRPr="00387397">
        <w:rPr>
          <w:color w:val="000000" w:themeColor="text1"/>
        </w:rPr>
        <w:fldChar w:fldCharType="separate"/>
      </w:r>
      <w:r w:rsidR="004A4831" w:rsidRPr="00387397">
        <w:rPr>
          <w:noProof/>
          <w:color w:val="000000" w:themeColor="text1"/>
        </w:rPr>
        <w:t>(2010)</w:t>
      </w:r>
      <w:r w:rsidR="004A4831" w:rsidRPr="00387397">
        <w:rPr>
          <w:color w:val="000000" w:themeColor="text1"/>
        </w:rPr>
        <w:fldChar w:fldCharType="end"/>
      </w:r>
      <w:r w:rsidR="004A4831" w:rsidRPr="00387397">
        <w:rPr>
          <w:color w:val="000000" w:themeColor="text1"/>
        </w:rPr>
        <w:t xml:space="preserve">, </w:t>
      </w:r>
      <w:r w:rsidR="00E85074" w:rsidRPr="00387397">
        <w:rPr>
          <w:color w:val="000000" w:themeColor="text1"/>
        </w:rPr>
        <w:t xml:space="preserve">we </w:t>
      </w:r>
      <w:r w:rsidR="00332C55" w:rsidRPr="00387397">
        <w:rPr>
          <w:color w:val="000000" w:themeColor="text1"/>
        </w:rPr>
        <w:t xml:space="preserve">define </w:t>
      </w:r>
      <w:r w:rsidR="004A4831" w:rsidRPr="00387397">
        <w:rPr>
          <w:color w:val="000000" w:themeColor="text1"/>
        </w:rPr>
        <w:t xml:space="preserve">prescriptiveness </w:t>
      </w:r>
      <w:r w:rsidR="00E85074" w:rsidRPr="00387397">
        <w:rPr>
          <w:color w:val="000000" w:themeColor="text1"/>
        </w:rPr>
        <w:t xml:space="preserve">by the use </w:t>
      </w:r>
      <w:r w:rsidR="003F0F68" w:rsidRPr="00387397">
        <w:rPr>
          <w:color w:val="000000" w:themeColor="text1"/>
        </w:rPr>
        <w:t>of</w:t>
      </w:r>
      <w:r w:rsidR="00C01240" w:rsidRPr="00387397">
        <w:rPr>
          <w:color w:val="000000" w:themeColor="text1"/>
        </w:rPr>
        <w:t xml:space="preserve"> </w:t>
      </w:r>
      <w:r w:rsidR="003A13CF" w:rsidRPr="00387397">
        <w:rPr>
          <w:color w:val="000000" w:themeColor="text1"/>
        </w:rPr>
        <w:t xml:space="preserve">substantive and mandatory </w:t>
      </w:r>
      <w:r w:rsidR="004A4831" w:rsidRPr="00387397">
        <w:rPr>
          <w:color w:val="000000" w:themeColor="text1"/>
        </w:rPr>
        <w:t>features</w:t>
      </w:r>
      <w:r w:rsidR="00B27A36" w:rsidRPr="00387397">
        <w:rPr>
          <w:color w:val="000000" w:themeColor="text1"/>
        </w:rPr>
        <w:t xml:space="preserve"> (</w:t>
      </w:r>
      <w:r w:rsidR="00E85074" w:rsidRPr="00387397">
        <w:rPr>
          <w:color w:val="000000" w:themeColor="text1"/>
        </w:rPr>
        <w:t>T</w:t>
      </w:r>
      <w:r w:rsidR="00B27A36" w:rsidRPr="00387397">
        <w:rPr>
          <w:color w:val="000000" w:themeColor="text1"/>
        </w:rPr>
        <w:t>able 3)</w:t>
      </w:r>
      <w:r w:rsidR="004A4831" w:rsidRPr="00387397">
        <w:rPr>
          <w:color w:val="000000" w:themeColor="text1"/>
        </w:rPr>
        <w:t xml:space="preserve">.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w:t>
      </w:r>
      <w:r w:rsidR="00181E49" w:rsidRPr="00387397">
        <w:rPr>
          <w:color w:val="000000" w:themeColor="text1"/>
        </w:rPr>
        <w:t xml:space="preserve">non-discretionary (i.e. </w:t>
      </w:r>
      <w:r w:rsidR="003A13CF" w:rsidRPr="00387397">
        <w:rPr>
          <w:color w:val="000000" w:themeColor="text1"/>
        </w:rPr>
        <w:t>mandatory</w:t>
      </w:r>
      <w:r w:rsidR="00181E49" w:rsidRPr="00387397">
        <w:rPr>
          <w:color w:val="000000" w:themeColor="text1"/>
        </w:rPr>
        <w:t>)</w:t>
      </w:r>
      <w:r w:rsidR="003A13CF" w:rsidRPr="00387397">
        <w:rPr>
          <w:color w:val="000000" w:themeColor="text1"/>
        </w:rPr>
        <w:t xml:space="preserve"> 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non-discretionary requirements to follow local best management practices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considered even less prescriptive.</w:t>
      </w:r>
      <w:r w:rsidR="003B40F4" w:rsidRPr="00387397">
        <w:rPr>
          <w:color w:val="000000" w:themeColor="text1"/>
        </w:rPr>
        <w:t xml:space="preserve"> </w:t>
      </w:r>
      <w:r w:rsidR="003A13CF" w:rsidRPr="00387397">
        <w:rPr>
          <w:color w:val="000000" w:themeColor="text1"/>
        </w:rPr>
        <w:t xml:space="preserve">On each issue, requirements </w:t>
      </w:r>
      <w:r w:rsidR="008B45A8" w:rsidRPr="00387397">
        <w:rPr>
          <w:color w:val="000000" w:themeColor="text1"/>
        </w:rPr>
        <w:t>can be</w:t>
      </w:r>
      <w:r w:rsidR="00C01240" w:rsidRPr="00387397">
        <w:rPr>
          <w:color w:val="000000" w:themeColor="text1"/>
        </w:rPr>
        <w:t xml:space="preserve"> coded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“most prescriptive” (requiring as much as or more than any other </w:t>
      </w:r>
      <w:r w:rsidR="00C01240" w:rsidRPr="00387397">
        <w:rPr>
          <w:color w:val="000000" w:themeColor="text1"/>
        </w:rPr>
        <w:t>program</w:t>
      </w:r>
      <w:r w:rsidR="003A13CF" w:rsidRPr="00387397">
        <w:rPr>
          <w:color w:val="000000" w:themeColor="text1"/>
        </w:rPr>
        <w:t>)</w:t>
      </w:r>
      <w:r w:rsidR="001F3BA1" w:rsidRPr="00387397">
        <w:rPr>
          <w:color w:val="000000" w:themeColor="text1"/>
        </w:rPr>
        <w:t>.</w:t>
      </w:r>
      <w:r w:rsidR="00332C55" w:rsidRPr="00387397">
        <w:rPr>
          <w:color w:val="000000" w:themeColor="text1"/>
        </w:rPr>
        <w:t xml:space="preserve"> This </w:t>
      </w:r>
      <w:r w:rsidR="008B45A8" w:rsidRPr="00387397">
        <w:rPr>
          <w:color w:val="000000" w:themeColor="text1"/>
        </w:rPr>
        <w:t>creates</w:t>
      </w:r>
      <w:r w:rsidR="00332C55" w:rsidRPr="00387397">
        <w:rPr>
          <w:color w:val="000000" w:themeColor="text1"/>
        </w:rPr>
        <w:t xml:space="preserve"> </w:t>
      </w:r>
      <w:r w:rsidRPr="00387397">
        <w:rPr>
          <w:color w:val="000000" w:themeColor="text1"/>
        </w:rPr>
        <w:t>a more meaningful</w:t>
      </w:r>
      <w:r w:rsidR="001F3BA1" w:rsidRPr="00387397">
        <w:rPr>
          <w:color w:val="000000" w:themeColor="text1"/>
        </w:rPr>
        <w:t xml:space="preserve"> measure </w:t>
      </w:r>
      <w:r w:rsidRPr="00387397">
        <w:rPr>
          <w:color w:val="000000" w:themeColor="text1"/>
        </w:rPr>
        <w:t xml:space="preserve">of policy </w:t>
      </w:r>
      <w:r w:rsidR="001F3BA1" w:rsidRPr="00387397">
        <w:rPr>
          <w:color w:val="000000" w:themeColor="text1"/>
          <w:u w:val="single"/>
        </w:rPr>
        <w:t>scope</w:t>
      </w:r>
      <w:r w:rsidR="001F3BA1" w:rsidRPr="00387397">
        <w:rPr>
          <w:color w:val="000000" w:themeColor="text1"/>
        </w:rPr>
        <w:t xml:space="preserve">—i.e. how </w:t>
      </w:r>
      <w:r w:rsidR="001F3BA1" w:rsidRPr="00387397">
        <w:rPr>
          <w:color w:val="000000" w:themeColor="text1"/>
        </w:rPr>
        <w:lastRenderedPageBreak/>
        <w:t xml:space="preserve">many </w:t>
      </w:r>
      <w:r w:rsidR="00332C55" w:rsidRPr="00387397">
        <w:rPr>
          <w:color w:val="000000" w:themeColor="text1"/>
        </w:rPr>
        <w:t xml:space="preserve">key issues </w:t>
      </w:r>
      <w:r w:rsidR="001F3BA1" w:rsidRPr="00387397">
        <w:rPr>
          <w:color w:val="000000" w:themeColor="text1"/>
        </w:rPr>
        <w:t>have “some prescriptive standards”—</w:t>
      </w:r>
      <w:r w:rsidR="004E20A5" w:rsidRPr="00387397">
        <w:rPr>
          <w:color w:val="000000" w:themeColor="text1"/>
        </w:rPr>
        <w:t xml:space="preserve">and </w:t>
      </w:r>
      <w:r w:rsidR="00332C55" w:rsidRPr="00387397">
        <w:rPr>
          <w:color w:val="000000" w:themeColor="text1"/>
        </w:rPr>
        <w:t xml:space="preserve">relative </w:t>
      </w:r>
      <w:r w:rsidR="00332C55" w:rsidRPr="00387397">
        <w:rPr>
          <w:color w:val="000000" w:themeColor="text1"/>
          <w:u w:val="single"/>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each change </w:t>
      </w:r>
      <w:r w:rsidR="008B45A8" w:rsidRPr="00387397">
        <w:rPr>
          <w:color w:val="000000" w:themeColor="text1"/>
        </w:rPr>
        <w:t>can be</w:t>
      </w:r>
      <w:r w:rsidR="003A13CF" w:rsidRPr="00387397">
        <w:rPr>
          <w:color w:val="000000" w:themeColor="text1"/>
        </w:rPr>
        <w:t xml:space="preserve"> </w:t>
      </w:r>
      <w:r w:rsidR="00251C49" w:rsidRPr="00387397">
        <w:rPr>
          <w:color w:val="000000" w:themeColor="text1"/>
        </w:rPr>
        <w:t>classified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allowing one to measure the </w:t>
      </w:r>
      <w:r w:rsidR="00332C55" w:rsidRPr="00387397">
        <w:rPr>
          <w:color w:val="000000" w:themeColor="text1"/>
          <w:u w:val="single"/>
        </w:rPr>
        <w:t>direction</w:t>
      </w:r>
      <w:r w:rsidR="00332C55" w:rsidRPr="00387397">
        <w:rPr>
          <w:color w:val="000000" w:themeColor="text1"/>
        </w:rPr>
        <w:t xml:space="preserve"> of change in prescriptiveness.</w:t>
      </w:r>
    </w:p>
    <w:p w14:paraId="7964769A" w14:textId="77777777" w:rsidR="00FA76FB" w:rsidRPr="00387397" w:rsidRDefault="00FA76FB" w:rsidP="00387397">
      <w:pPr>
        <w:spacing w:line="480" w:lineRule="auto"/>
        <w:rPr>
          <w:color w:val="000000" w:themeColor="text1"/>
        </w:rPr>
      </w:pPr>
    </w:p>
    <w:p w14:paraId="21C93039" w14:textId="1E26FCDD" w:rsidR="005D4584" w:rsidRPr="00387397" w:rsidRDefault="00FE1D21" w:rsidP="00387397">
      <w:pPr>
        <w:spacing w:line="480" w:lineRule="auto"/>
        <w:rPr>
          <w:color w:val="000000" w:themeColor="text1"/>
        </w:rPr>
      </w:pPr>
      <w:r w:rsidRPr="00387397">
        <w:rPr>
          <w:color w:val="000000" w:themeColor="text1"/>
        </w:rPr>
        <w:t>[Table 3]</w:t>
      </w:r>
    </w:p>
    <w:p w14:paraId="58BF7B22" w14:textId="77777777" w:rsidR="00FA76FB" w:rsidRPr="00387397" w:rsidRDefault="00FA76FB" w:rsidP="00387397">
      <w:pPr>
        <w:spacing w:line="480" w:lineRule="auto"/>
        <w:rPr>
          <w:color w:val="000000" w:themeColor="text1"/>
        </w:rPr>
      </w:pPr>
    </w:p>
    <w:p w14:paraId="502CD4E9" w14:textId="39432697" w:rsidR="00332C55" w:rsidRPr="00387397" w:rsidRDefault="004A4831" w:rsidP="00387397">
      <w:pPr>
        <w:spacing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61175" w:rsidRPr="00387397">
        <w:rPr>
          <w:color w:val="000000" w:themeColor="text1"/>
        </w:rPr>
        <w:t xml:space="preserve">, </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 xml:space="preserve">”) </w:t>
      </w:r>
      <w:r w:rsidR="00472A85" w:rsidRPr="00387397">
        <w:rPr>
          <w:color w:val="000000" w:themeColor="text1"/>
        </w:rPr>
        <w:t>is</w:t>
      </w:r>
      <w:r w:rsidRPr="00387397">
        <w:rPr>
          <w:color w:val="000000" w:themeColor="text1"/>
        </w:rPr>
        <w:t xml:space="preserve"> also </w:t>
      </w:r>
      <w:r w:rsidR="008B45A8" w:rsidRPr="00387397">
        <w:rPr>
          <w:color w:val="000000" w:themeColor="text1"/>
        </w:rPr>
        <w:t>important</w:t>
      </w:r>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would be considered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D12C0A" w:rsidRPr="00387397">
        <w:rPr>
          <w:color w:val="000000" w:themeColor="text1"/>
        </w:rPr>
        <w:t xml:space="preserve">an important type of variation. </w:t>
      </w:r>
      <w:r w:rsidR="00CD1E1C" w:rsidRPr="00387397">
        <w:rPr>
          <w:color w:val="000000" w:themeColor="text1"/>
        </w:rPr>
        <w:t>Unfortunately</w:t>
      </w:r>
      <w:r w:rsidR="00D12C0A" w:rsidRPr="00387397">
        <w:rPr>
          <w:color w:val="000000" w:themeColor="text1"/>
        </w:rPr>
        <w:t xml:space="preserve">, most specific policy settings, even prescriptive ones, are not quantifiable and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apply 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the</w:t>
      </w:r>
      <w:r w:rsidR="00FF02EB" w:rsidRPr="00387397">
        <w:rPr>
          <w:color w:val="000000" w:themeColor="text1"/>
        </w:rPr>
        <w:t xml:space="preserve"> slope</w:t>
      </w:r>
      <w:r w:rsidR="00161B0D" w:rsidRPr="00387397">
        <w:rPr>
          <w:color w:val="000000" w:themeColor="text1"/>
        </w:rPr>
        <w:t xml:space="preserve"> of the river bank</w:t>
      </w:r>
      <w:r w:rsidR="00FF02EB" w:rsidRPr="00387397">
        <w:rPr>
          <w:color w:val="000000" w:themeColor="text1"/>
        </w:rPr>
        <w:t xml:space="preserve">, presence of fish, etc. </w:t>
      </w:r>
      <w:r w:rsidR="00D12C0A" w:rsidRPr="00387397">
        <w:rPr>
          <w:color w:val="000000" w:themeColor="text1"/>
        </w:rPr>
        <w:t xml:space="preserve">(see </w:t>
      </w:r>
      <w:r w:rsidR="005E6C40" w:rsidRPr="00387397">
        <w:rPr>
          <w:color w:val="000000" w:themeColor="text1"/>
        </w:rPr>
        <w:t xml:space="preserve">online </w:t>
      </w:r>
      <w:r w:rsidR="00D12C0A" w:rsidRPr="00387397">
        <w:rPr>
          <w:color w:val="000000" w:themeColor="text1"/>
        </w:rPr>
        <w:t xml:space="preserve">appendix E). </w:t>
      </w:r>
      <w:r w:rsidR="00181E49" w:rsidRPr="00387397">
        <w:rPr>
          <w:rFonts w:eastAsia="Times New Roman"/>
          <w:color w:val="000000" w:themeColor="text1"/>
        </w:rPr>
        <w:t xml:space="preserve">Measurement strategies that allow program-level aggregation should not replace issue-specific qualitative comparison. </w:t>
      </w:r>
      <w:r w:rsidR="00E85074" w:rsidRPr="00387397">
        <w:rPr>
          <w:rFonts w:eastAsia="Times New Roman"/>
          <w:color w:val="000000"/>
          <w:shd w:val="clear" w:color="auto" w:fill="FFFFFF"/>
        </w:rPr>
        <w:t>It is important to</w:t>
      </w:r>
      <w:r w:rsidR="007F35D8" w:rsidRPr="00387397">
        <w:rPr>
          <w:rFonts w:eastAsia="Times New Roman"/>
          <w:color w:val="000000"/>
          <w:shd w:val="clear" w:color="auto" w:fill="FFFFFF"/>
        </w:rPr>
        <w:t xml:space="preserve"> both </w:t>
      </w:r>
      <w:r w:rsidR="007F35D8" w:rsidRPr="00387397">
        <w:rPr>
          <w:rFonts w:eastAsia="Times New Roman"/>
          <w:i/>
          <w:color w:val="000000"/>
          <w:shd w:val="clear" w:color="auto" w:fill="FFFFFF"/>
        </w:rPr>
        <w:t>quantify</w:t>
      </w:r>
      <w:r w:rsidR="007F35D8" w:rsidRPr="00387397">
        <w:rPr>
          <w:rFonts w:eastAsia="Times New Roman"/>
          <w:color w:val="000000"/>
          <w:shd w:val="clear" w:color="auto" w:fill="FFFFFF"/>
        </w:rPr>
        <w:t xml:space="preserve"> absolute and relative change and </w:t>
      </w:r>
      <w:r w:rsidR="007F35D8" w:rsidRPr="00387397">
        <w:rPr>
          <w:rFonts w:eastAsia="Times New Roman"/>
          <w:i/>
          <w:color w:val="000000"/>
          <w:shd w:val="clear" w:color="auto" w:fill="FFFFFF"/>
        </w:rPr>
        <w:t>describe</w:t>
      </w:r>
      <w:r w:rsidR="007F35D8" w:rsidRPr="00387397">
        <w:rPr>
          <w:rFonts w:eastAsia="Times New Roman"/>
          <w:color w:val="000000"/>
          <w:shd w:val="clear" w:color="auto" w:fill="FFFFFF"/>
        </w:rPr>
        <w:t xml:space="preserve"> the nature of the most important changes that capture the overall trend</w:t>
      </w:r>
      <w:r w:rsidR="00761175" w:rsidRPr="00387397">
        <w:rPr>
          <w:rFonts w:eastAsia="Times New Roman"/>
          <w:color w:val="000000"/>
          <w:shd w:val="clear" w:color="auto" w:fill="FFFFFF"/>
        </w:rPr>
        <w:t>s</w:t>
      </w:r>
      <w:r w:rsidR="007F35D8" w:rsidRPr="00387397">
        <w:rPr>
          <w:rFonts w:eastAsia="Times New Roman"/>
          <w:color w:val="000000"/>
          <w:shd w:val="clear" w:color="auto" w:fill="FFFFFF"/>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complement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of trends with descriptive comparisons of </w:t>
      </w:r>
      <w:r w:rsidR="009E7178" w:rsidRPr="00387397">
        <w:rPr>
          <w:rFonts w:eastAsia="Times New Roman"/>
          <w:color w:val="000000" w:themeColor="text1"/>
        </w:rPr>
        <w:t>key</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by how</w:t>
      </w:r>
      <w:r w:rsidR="00161B0D" w:rsidRPr="00387397">
        <w:rPr>
          <w:rFonts w:eastAsia="Times New Roman"/>
          <w:color w:val="000000" w:themeColor="text1"/>
        </w:rPr>
        <w:t xml:space="preserve"> the required level of performance may have c</w:t>
      </w:r>
      <w:r w:rsidR="00172525" w:rsidRPr="00387397">
        <w:rPr>
          <w:rFonts w:eastAsia="Times New Roman"/>
          <w:color w:val="000000" w:themeColor="text1"/>
        </w:rPr>
        <w:t>hanged.</w:t>
      </w:r>
    </w:p>
    <w:p w14:paraId="4C75B5A1" w14:textId="77777777" w:rsidR="00332C55" w:rsidRPr="00387397" w:rsidRDefault="00332C55" w:rsidP="00387397">
      <w:pPr>
        <w:spacing w:line="480" w:lineRule="auto"/>
        <w:rPr>
          <w:rFonts w:eastAsia="Times New Roman"/>
          <w:color w:val="000000" w:themeColor="text1"/>
        </w:rPr>
      </w:pPr>
    </w:p>
    <w:p w14:paraId="22DFF0A2" w14:textId="3A8F4EF7" w:rsidR="00ED1CE6" w:rsidRPr="00387397" w:rsidRDefault="00ED1CE6" w:rsidP="00387397">
      <w:pPr>
        <w:spacing w:line="480" w:lineRule="auto"/>
        <w:rPr>
          <w:rFonts w:eastAsia="Times New Roman"/>
          <w:color w:val="000000" w:themeColor="text1"/>
        </w:rPr>
      </w:pPr>
      <w:r w:rsidRPr="00387397">
        <w:rPr>
          <w:rFonts w:eastAsia="Times New Roman"/>
          <w:color w:val="000000" w:themeColor="text1"/>
        </w:rPr>
        <w:lastRenderedPageBreak/>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w:t>
      </w:r>
      <w:proofErr w:type="gramStart"/>
      <w:r w:rsidR="009B53E4" w:rsidRPr="00387397">
        <w:rPr>
          <w:rFonts w:eastAsia="Times New Roman"/>
          <w:color w:val="000000" w:themeColor="text1"/>
        </w:rPr>
        <w:t>A</w:t>
      </w:r>
      <w:proofErr w:type="gramEnd"/>
      <w:r w:rsidR="009B53E4" w:rsidRPr="00387397">
        <w:rPr>
          <w:rFonts w:eastAsia="Times New Roman"/>
          <w:color w:val="000000" w:themeColor="text1"/>
        </w:rPr>
        <w:t xml:space="preserve">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 whereas Program B bans “hazardous” levels which may be interpreted in several ways, so Program A is more prescriptive</w:t>
      </w:r>
      <w:r w:rsidR="00CD1E1C" w:rsidRPr="00387397">
        <w:rPr>
          <w:rFonts w:eastAsia="Times New Roman"/>
          <w:color w:val="000000" w:themeColor="text1"/>
        </w:rPr>
        <w:t xml:space="preserve"> on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focusing on those most harmful to humans, so 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9B53E4" w:rsidRPr="00387397">
        <w:rPr>
          <w:rFonts w:eastAsia="Times New Roman"/>
          <w:color w:val="000000" w:themeColor="text1"/>
        </w:rPr>
        <w:t xml:space="preserve">can </w:t>
      </w:r>
      <w:r w:rsidR="00F658B8" w:rsidRPr="00387397">
        <w:rPr>
          <w:rFonts w:eastAsia="Times New Roman"/>
          <w:color w:val="000000" w:themeColor="text1"/>
        </w:rPr>
        <w:t>only</w:t>
      </w:r>
      <w:r w:rsidR="009B53E4" w:rsidRPr="00387397">
        <w:rPr>
          <w:rFonts w:eastAsia="Times New Roman"/>
          <w:color w:val="000000" w:themeColor="text1"/>
        </w:rPr>
        <w:t xml:space="preserve"> be compared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training programs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They both have slightly different lists of topics of training</w:t>
      </w:r>
      <w:r w:rsidR="00950983" w:rsidRPr="00387397">
        <w:rPr>
          <w:rFonts w:eastAsia="Times New Roman"/>
          <w:color w:val="000000" w:themeColor="text1"/>
        </w:rPr>
        <w:t xml:space="preserve"> that programs should offer but are not mandated to. Program A focuses</w:t>
      </w:r>
      <w:r w:rsidR="00F658B8" w:rsidRPr="00387397">
        <w:rPr>
          <w:rFonts w:eastAsia="Times New Roman"/>
          <w:color w:val="000000" w:themeColor="text1"/>
        </w:rPr>
        <w:t xml:space="preserve"> more on skills needed to avoid ecological harm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can </w:t>
      </w:r>
      <w:r w:rsidR="00950983" w:rsidRPr="00387397">
        <w:rPr>
          <w:rFonts w:eastAsia="Times New Roman"/>
          <w:color w:val="000000" w:themeColor="text1"/>
        </w:rPr>
        <w:t xml:space="preserve">again </w:t>
      </w:r>
      <w:r w:rsidR="00F658B8" w:rsidRPr="00387397">
        <w:rPr>
          <w:rFonts w:eastAsia="Times New Roman"/>
          <w:color w:val="000000" w:themeColor="text1"/>
        </w:rPr>
        <w:t xml:space="preserve">only be compared </w:t>
      </w:r>
      <w:r w:rsidR="00950983" w:rsidRPr="00387397">
        <w:rPr>
          <w:rFonts w:eastAsia="Times New Roman"/>
          <w:color w:val="000000" w:themeColor="text1"/>
        </w:rPr>
        <w:t>qualitatively</w:t>
      </w:r>
      <w:r w:rsidR="00F658B8" w:rsidRPr="00387397">
        <w:rPr>
          <w:rFonts w:eastAsia="Times New Roman"/>
          <w:color w:val="000000" w:themeColor="text1"/>
        </w:rPr>
        <w:t xml:space="preserve">, but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groups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 xml:space="preserve">, possibly </w:t>
      </w:r>
      <w:r w:rsidR="00FF02EB" w:rsidRPr="00387397">
        <w:rPr>
          <w:rFonts w:eastAsia="Times New Roman"/>
          <w:color w:val="000000" w:themeColor="text1"/>
        </w:rPr>
        <w:t xml:space="preserve">due to </w:t>
      </w:r>
      <w:r w:rsidR="00161B0D" w:rsidRPr="00387397">
        <w:rPr>
          <w:rFonts w:eastAsia="Times New Roman"/>
          <w:color w:val="000000" w:themeColor="text1"/>
        </w:rPr>
        <w:t xml:space="preserve">a greater influence of labor groups or business stakeholders seeking 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387397">
      <w:pPr>
        <w:spacing w:line="480" w:lineRule="auto"/>
        <w:rPr>
          <w:rFonts w:eastAsia="Times New Roman"/>
          <w:color w:val="000000" w:themeColor="text1"/>
        </w:rPr>
      </w:pPr>
    </w:p>
    <w:p w14:paraId="3EBAFCA8" w14:textId="1BDB0DBC" w:rsidR="00172525" w:rsidRPr="00387397" w:rsidRDefault="00BF7F4F" w:rsidP="00387397">
      <w:pPr>
        <w:spacing w:line="480" w:lineRule="auto"/>
        <w:rPr>
          <w:rFonts w:eastAsia="Times New Roman"/>
          <w:color w:val="000000" w:themeColor="text1"/>
        </w:rPr>
      </w:pPr>
      <w:r w:rsidRPr="00387397">
        <w:rPr>
          <w:rFonts w:eastAsia="Times New Roman"/>
          <w:color w:val="000000" w:themeColor="text1"/>
        </w:rPr>
        <w:t>Our combination of</w:t>
      </w:r>
      <w:r w:rsidRPr="00387397">
        <w:rPr>
          <w:rFonts w:eastAsia="Times New Roman"/>
          <w:i/>
          <w:iCs/>
          <w:color w:val="000000" w:themeColor="text1"/>
        </w:rPr>
        <w:t xml:space="preserve"> </w:t>
      </w:r>
      <w:r w:rsidRPr="00387397">
        <w:rPr>
          <w:rFonts w:eastAsia="Times New Roman"/>
          <w:color w:val="000000" w:themeColor="text1"/>
        </w:rPr>
        <w:t xml:space="preserve">precise </w:t>
      </w:r>
      <w:r w:rsidRPr="00387397">
        <w:rPr>
          <w:rFonts w:eastAsia="Times New Roman"/>
          <w:i/>
          <w:color w:val="000000" w:themeColor="text1"/>
        </w:rPr>
        <w:t xml:space="preserve">and </w:t>
      </w:r>
      <w:r w:rsidRPr="00387397">
        <w:rPr>
          <w:rFonts w:eastAsia="Times New Roman"/>
          <w:color w:val="000000" w:themeColor="text1"/>
        </w:rPr>
        <w:t xml:space="preserve">comprehensive measurement </w:t>
      </w:r>
      <w:r w:rsidR="00C36AE7" w:rsidRPr="00387397">
        <w:rPr>
          <w:rFonts w:eastAsia="Times New Roman"/>
          <w:color w:val="000000" w:themeColor="text1"/>
        </w:rPr>
        <w:t xml:space="preserve">thus </w:t>
      </w:r>
      <w:r w:rsidRPr="00387397">
        <w:rPr>
          <w:rFonts w:eastAsia="Times New Roman"/>
          <w:color w:val="000000" w:themeColor="text1"/>
        </w:rPr>
        <w:t xml:space="preserve">reveals potential problems in using </w:t>
      </w:r>
      <w:r w:rsidR="00354956" w:rsidRPr="00387397">
        <w:rPr>
          <w:rFonts w:eastAsia="Times New Roman"/>
          <w:color w:val="000000" w:themeColor="text1"/>
        </w:rPr>
        <w:t>any on</w:t>
      </w:r>
      <w:r w:rsidR="004E20A5" w:rsidRPr="00387397">
        <w:rPr>
          <w:rFonts w:eastAsia="Times New Roman"/>
          <w:color w:val="000000" w:themeColor="text1"/>
        </w:rPr>
        <w:t>e</w:t>
      </w:r>
      <w:r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387397">
        <w:rPr>
          <w:b/>
          <w:color w:val="000000" w:themeColor="text1"/>
        </w:rPr>
        <w:t>scope</w:t>
      </w:r>
      <w:r w:rsidR="00172525" w:rsidRPr="00387397">
        <w:rPr>
          <w:rFonts w:eastAsia="Times New Roman"/>
          <w:color w:val="000000" w:themeColor="text1"/>
        </w:rPr>
        <w:t xml:space="preserve"> alone risks overlooking </w:t>
      </w:r>
      <w:r w:rsidRPr="00387397">
        <w:rPr>
          <w:rFonts w:eastAsia="Times New Roman"/>
          <w:color w:val="000000" w:themeColor="text1"/>
        </w:rPr>
        <w:t>variation in</w:t>
      </w:r>
      <w:r w:rsidR="00AD4347" w:rsidRPr="00387397">
        <w:rPr>
          <w:rFonts w:eastAsia="Times New Roman"/>
          <w:color w:val="000000" w:themeColor="text1"/>
        </w:rPr>
        <w:t xml:space="preserve"> prescriptive</w:t>
      </w:r>
      <w:r w:rsidRPr="00387397">
        <w:rPr>
          <w:rFonts w:eastAsia="Times New Roman"/>
          <w:color w:val="000000" w:themeColor="text1"/>
        </w:rPr>
        <w:t>ness</w:t>
      </w:r>
      <w:r w:rsidR="00AD4347" w:rsidRPr="00387397">
        <w:rPr>
          <w:rFonts w:eastAsia="Times New Roman"/>
          <w:color w:val="000000" w:themeColor="text1"/>
        </w:rPr>
        <w:t xml:space="preserve"> </w:t>
      </w:r>
      <w:del w:id="51" w:author="DJL" w:date="2019-03-06T07:41:00Z">
        <w:r w:rsidR="007E0405" w:rsidRPr="00387397" w:rsidDel="00830A1B">
          <w:rPr>
            <w:rFonts w:eastAsia="Times New Roman"/>
            <w:color w:val="000000" w:themeColor="text1"/>
          </w:rPr>
          <w:delText>as well as</w:delText>
        </w:r>
        <w:r w:rsidR="00172525" w:rsidRPr="00387397" w:rsidDel="00830A1B">
          <w:rPr>
            <w:rFonts w:eastAsia="Times New Roman"/>
            <w:color w:val="000000" w:themeColor="text1"/>
          </w:rPr>
          <w:delText xml:space="preserve"> </w:delText>
        </w:r>
        <w:r w:rsidRPr="00387397" w:rsidDel="00830A1B">
          <w:rPr>
            <w:rFonts w:eastAsia="Times New Roman"/>
            <w:color w:val="000000" w:themeColor="text1"/>
          </w:rPr>
          <w:delText>variation in</w:delText>
        </w:r>
      </w:del>
      <w:ins w:id="52" w:author="DJL" w:date="2019-03-06T07:41:00Z">
        <w:r w:rsidR="00830A1B">
          <w:rPr>
            <w:rFonts w:eastAsia="Times New Roman"/>
            <w:color w:val="000000" w:themeColor="text1"/>
          </w:rPr>
          <w:t>and</w:t>
        </w:r>
      </w:ins>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387397">
        <w:rPr>
          <w:rFonts w:eastAsia="Times New Roman"/>
          <w:b/>
          <w:color w:val="000000" w:themeColor="text1"/>
        </w:rPr>
        <w:t>prescriptiveness</w:t>
      </w:r>
      <w:r w:rsidR="00172525" w:rsidRPr="00387397">
        <w:rPr>
          <w:rFonts w:eastAsia="Times New Roman"/>
          <w:color w:val="000000" w:themeColor="text1"/>
        </w:rPr>
        <w:t xml:space="preserve"> alone risks </w:t>
      </w:r>
      <w:r w:rsidR="00172525" w:rsidRPr="00387397">
        <w:rPr>
          <w:rFonts w:eastAsia="Times New Roman"/>
          <w:color w:val="000000" w:themeColor="text1"/>
        </w:rPr>
        <w:lastRenderedPageBreak/>
        <w:t xml:space="preserve">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387397">
        <w:rPr>
          <w:b/>
          <w:color w:val="000000" w:themeColor="text1"/>
        </w:rPr>
        <w:t>specific</w:t>
      </w:r>
      <w:r w:rsidR="009B7489" w:rsidRPr="00387397">
        <w:rPr>
          <w:rFonts w:eastAsia="Times New Roman"/>
          <w:color w:val="000000" w:themeColor="text1"/>
        </w:rPr>
        <w:t xml:space="preserve"> </w:t>
      </w:r>
      <w:r w:rsidR="004740E3" w:rsidRPr="00387397">
        <w:rPr>
          <w:rFonts w:eastAsia="Times New Roman"/>
          <w:b/>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387397">
      <w:pPr>
        <w:pStyle w:val="NormalWeb"/>
        <w:spacing w:before="0" w:beforeAutospacing="0" w:after="0" w:afterAutospacing="0" w:line="480" w:lineRule="auto"/>
        <w:rPr>
          <w:color w:val="000000" w:themeColor="text1"/>
        </w:rPr>
      </w:pPr>
    </w:p>
    <w:p w14:paraId="26B6DD1D" w14:textId="728E271C" w:rsidR="003E7A2F" w:rsidRPr="00387397" w:rsidRDefault="003E7A2F" w:rsidP="00387397">
      <w:pPr>
        <w:pStyle w:val="NormalWeb"/>
        <w:spacing w:before="0" w:beforeAutospacing="0" w:after="0" w:afterAutospacing="0" w:line="480" w:lineRule="auto"/>
        <w:rPr>
          <w:b/>
          <w:bCs/>
          <w:color w:val="000000" w:themeColor="text1"/>
        </w:rPr>
      </w:pPr>
      <w:r w:rsidRPr="00387397">
        <w:rPr>
          <w:b/>
          <w:bCs/>
          <w:color w:val="000000" w:themeColor="text1"/>
        </w:rPr>
        <w:t xml:space="preserve">3.2 </w:t>
      </w:r>
      <w:r w:rsidR="000F3ED1" w:rsidRPr="00387397">
        <w:rPr>
          <w:b/>
          <w:bCs/>
          <w:color w:val="000000" w:themeColor="text1"/>
        </w:rPr>
        <w:t xml:space="preserve">Step 2: </w:t>
      </w:r>
      <w:r w:rsidR="00AB5202" w:rsidRPr="00387397">
        <w:rPr>
          <w:b/>
          <w:bCs/>
          <w:color w:val="000000" w:themeColor="text1"/>
        </w:rPr>
        <w:t xml:space="preserve">Classifying </w:t>
      </w:r>
      <w:r w:rsidRPr="00387397">
        <w:rPr>
          <w:b/>
          <w:bCs/>
          <w:color w:val="000000" w:themeColor="text1"/>
        </w:rPr>
        <w:t>Patterns of Change</w:t>
      </w:r>
    </w:p>
    <w:p w14:paraId="515FFC1B" w14:textId="2A014CEE" w:rsidR="00B15838" w:rsidRDefault="006F0DF8" w:rsidP="00387397">
      <w:pPr>
        <w:spacing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5E1008" w:rsidRPr="00387397">
        <w:rPr>
          <w:color w:val="000000" w:themeColor="text1"/>
        </w:rPr>
        <w:fldChar w:fldCharType="begin" w:fldLock="1"/>
      </w:r>
      <w:r w:rsidR="005E1008" w:rsidRPr="00387397">
        <w:rPr>
          <w:color w:val="000000" w:themeColor="text1"/>
        </w:rPr>
        <w:instrText>ADDIN CSL_CITATION { "citationItems" : [ { "id" : "ITEM-1", "itemData" : { "ISBN" : "0-226-03940-4\r0-226-03941-2", "author" : [ { "dropping-particle" : "", "family" : "Baumgartner", "given" : "Frank R", "non-dropping-particle" : "", "parse-names" : false, "suffix" : "" }, { "dropping-particle" : "", "family" : "Jones", "given" : "Bryan D", "non-dropping-particle" : "", "parse-names" : false, "suffix" : "" } ], "id" : "ITEM-1", "issued" : { "date-parts" : [ [ "2002" ] ] }, "note" : "Gordon -- Duplicate removed \n\nChapter 13 especially punctuated equilibrium and path dependency\n\nBook description from amazon.com\nWhile governmental policies and institutions may remain more or less the same for years, they can also change suddenly and unpredictably in response to new political agendas and crises. What causes stability or change in the political system? What role do political institutions play in this process?\n\nTo investigate these questions, Policy Dynamics draws on the most extensive data set yet compiled for public policy issues in the United States. Spanning the past half-century, these data make it possible to trace policies and legislation, public and media attention to them, and governmental decisions over time and across institutions. Some chapters analyze particular policy areas, such as health care, national security, and immigration, while others focus on institutional questions such as congressional procedures and agendas and the differing responses by Congress and the Supreme Court to new issues.\n\nPolicy Dynamics presents a radical vision of how the federal government evolves in response to new challenges-and the research tools that others may use to critique or extend that vision.", "page" : "360", "publisher" : "University of Chicago Press", "publisher-place" : "Chicago", "title" : "Policy Dynamics", "type" : "article" }, "suppress-author" : 1, "uris" : [ "http://www.mendeley.com/documents/?uuid=747115da-c60b-484d-b847-1dcff1e47c11" ] } ], "mendeley" : { "formattedCitation" : "(2002)", "plainTextFormattedCitation" : "(2002)", "previouslyFormattedCitation" : "(2002)" }, "properties" : {  }, "schema" : "https://github.com/citation-style-language/schema/raw/master/csl-citation.json" }</w:instrText>
      </w:r>
      <w:r w:rsidR="005E1008" w:rsidRPr="00387397">
        <w:rPr>
          <w:color w:val="000000" w:themeColor="text1"/>
        </w:rPr>
        <w:fldChar w:fldCharType="separate"/>
      </w:r>
      <w:r w:rsidR="005E1008" w:rsidRPr="00387397">
        <w:rPr>
          <w:noProof/>
          <w:color w:val="000000" w:themeColor="text1"/>
        </w:rPr>
        <w:t>(2002)</w:t>
      </w:r>
      <w:r w:rsidR="005E1008" w:rsidRPr="00387397">
        <w:rPr>
          <w:color w:val="000000" w:themeColor="text1"/>
        </w:rPr>
        <w:fldChar w:fldCharType="end"/>
      </w:r>
      <w:r w:rsidR="005E1008" w:rsidRPr="00387397">
        <w:rPr>
          <w:color w:val="000000" w:themeColor="text1"/>
        </w:rPr>
        <w:t xml:space="preserve"> and </w:t>
      </w:r>
      <w:proofErr w:type="spellStart"/>
      <w:r w:rsidR="00B27A36" w:rsidRPr="00387397">
        <w:rPr>
          <w:color w:val="000000" w:themeColor="text1"/>
        </w:rPr>
        <w:t>Howlett</w:t>
      </w:r>
      <w:proofErr w:type="spellEnd"/>
      <w:r w:rsidR="00B27A36" w:rsidRPr="00387397">
        <w:rPr>
          <w:color w:val="000000" w:themeColor="text1"/>
        </w:rPr>
        <w:t xml:space="preserve"> and </w:t>
      </w:r>
      <w:proofErr w:type="spellStart"/>
      <w:r w:rsidR="00105178" w:rsidRPr="00387397">
        <w:rPr>
          <w:color w:val="000000" w:themeColor="text1"/>
        </w:rPr>
        <w:t>Cashore</w:t>
      </w:r>
      <w:proofErr w:type="spellEnd"/>
      <w:r w:rsidR="00105178" w:rsidRPr="00387397">
        <w:rPr>
          <w:color w:val="000000" w:themeColor="text1"/>
        </w:rPr>
        <w:t xml:space="preserve"> </w:t>
      </w:r>
      <w:r w:rsidR="00105178" w:rsidRPr="00387397">
        <w:rPr>
          <w:color w:val="000000" w:themeColor="text1"/>
        </w:rPr>
        <w:fldChar w:fldCharType="begin" w:fldLock="1"/>
      </w:r>
      <w:r w:rsidR="00105178" w:rsidRPr="00387397">
        <w:rPr>
          <w:color w:val="000000" w:themeColor="text1"/>
        </w:rPr>
        <w:instrText>ADDIN CSL_CITATION { "citationItems" : [ { "id" : "ITEM-1", "itemData" : { "author" : [ { "dropping-particle" : "", "family" : "Cashore", "given" : "Benjamin", "non-dropping-particle" : "", "parse-names" : false, "suffix" : "" }, { "dropping-particle" : "", "family" : "Howlett", "given" : "Michael", "non-dropping-particle" : "", "parse-names" : false, "suffix" : "" } ], "container-title" : "American Journal of Political Science", "id" : "ITEM-1", "issue" : "3", "issued" : { "date-parts" : [ [ "2007" ] ] }, "page" : "532-551", "title" : "Punctuating Which Equilibrium? Understanding Thermostatic Policy Dynamics In Pacific Northwest Forestry", "type" : "article-journal", "volume" : "51" }, "suppress-author" : 1, "uris" : [ "http://www.mendeley.com/documents/?uuid=c34908ad-966c-41d5-b3a1-cc49319c590a" ] } ], "mendeley" : { "formattedCitation" : "(2007)", "plainTextFormattedCitation" : "(2007)", "previouslyFormattedCitation" : "(2007)" }, "properties" : {  }, "schema" : "https://github.com/citation-style-language/schema/raw/master/csl-citation.json" }</w:instrText>
      </w:r>
      <w:r w:rsidR="00105178" w:rsidRPr="00387397">
        <w:rPr>
          <w:color w:val="000000" w:themeColor="text1"/>
        </w:rPr>
        <w:fldChar w:fldCharType="separate"/>
      </w:r>
      <w:r w:rsidR="00105178" w:rsidRPr="00387397">
        <w:rPr>
          <w:noProof/>
          <w:color w:val="000000" w:themeColor="text1"/>
        </w:rPr>
        <w:t>(2007)</w:t>
      </w:r>
      <w:r w:rsidR="00105178" w:rsidRPr="00387397">
        <w:rPr>
          <w:color w:val="000000" w:themeColor="text1"/>
        </w:rPr>
        <w:fldChar w:fldCharType="end"/>
      </w:r>
      <w:r w:rsidR="005E1008" w:rsidRPr="00387397">
        <w:rPr>
          <w:color w:val="000000" w:themeColor="text1"/>
        </w:rPr>
        <w:t>,</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9768A3" w:rsidRPr="00387397">
        <w:rPr>
          <w:color w:val="000000" w:themeColor="text1"/>
        </w:rPr>
        <w:t>,</w:t>
      </w:r>
      <w:r w:rsidR="00B27A36" w:rsidRPr="00387397">
        <w:rPr>
          <w:rFonts w:eastAsia="Times New Roman"/>
          <w:color w:val="000000" w:themeColor="text1"/>
        </w:rPr>
        <w:t xml:space="preserve"> not </w:t>
      </w:r>
      <w:r w:rsidRPr="00387397">
        <w:rPr>
          <w:rFonts w:eastAsia="Times New Roman"/>
          <w:color w:val="000000" w:themeColor="text1"/>
        </w:rPr>
        <w:t>only “</w:t>
      </w:r>
      <w:r w:rsidR="00B27A36" w:rsidRPr="00387397">
        <w:rPr>
          <w:rFonts w:eastAsia="Times New Roman"/>
          <w:color w:val="000000" w:themeColor="text1"/>
        </w:rPr>
        <w:t>in terms of the ‘size’ of moves away from the status quo, but whether these changes are cumulative, i.e., leading away from an existing equilibrium toward another, or whether they represent a fluctuation consistent with an existing policy equilibrium</w:t>
      </w:r>
      <w:r w:rsidR="00B27A36" w:rsidRPr="00387397">
        <w:rPr>
          <w:color w:val="000000" w:themeColor="text1"/>
        </w:rPr>
        <w:t xml:space="preserve">” (p. 537). </w:t>
      </w:r>
      <w:r w:rsidR="009768A3" w:rsidRPr="00387397">
        <w:rPr>
          <w:color w:val="000000" w:themeColor="text1"/>
        </w:rPr>
        <w:t>Assessing</w:t>
      </w:r>
      <w:r w:rsidR="00803AC2" w:rsidRPr="00387397">
        <w:rPr>
          <w:color w:val="000000" w:themeColor="text1"/>
        </w:rPr>
        <w:t xml:space="preserve"> punctuation or equilibrium </w:t>
      </w:r>
      <w:r w:rsidR="009768A3" w:rsidRPr="00387397">
        <w:rPr>
          <w:color w:val="000000" w:themeColor="text1"/>
        </w:rPr>
        <w:t xml:space="preserve">requires characterizing change </w:t>
      </w:r>
      <w:r w:rsidR="00B419C5" w:rsidRPr="00387397">
        <w:rPr>
          <w:color w:val="000000" w:themeColor="text1"/>
        </w:rPr>
        <w:t xml:space="preserve">on each dimension. </w:t>
      </w:r>
      <w:r w:rsidR="004B1457" w:rsidRPr="00387397">
        <w:rPr>
          <w:color w:val="000000" w:themeColor="text1"/>
        </w:rPr>
        <w:t xml:space="preserve">That is,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9768A3" w:rsidRPr="00387397">
        <w:rPr>
          <w:color w:val="000000" w:themeColor="text1"/>
        </w:rPr>
        <w:t xml:space="preserve">In aggregate, </w:t>
      </w:r>
      <w:r w:rsidR="006C6B32" w:rsidRPr="00387397">
        <w:rPr>
          <w:color w:val="000000" w:themeColor="text1"/>
        </w:rPr>
        <w:t xml:space="preserve">nine </w:t>
      </w:r>
      <w:r w:rsidR="00746DF8" w:rsidRPr="00387397">
        <w:rPr>
          <w:color w:val="000000" w:themeColor="text1"/>
        </w:rPr>
        <w:t>relationships</w:t>
      </w:r>
      <w:r w:rsidR="00846AC6" w:rsidRPr="00387397">
        <w:rPr>
          <w:color w:val="000000" w:themeColor="text1"/>
        </w:rPr>
        <w:t xml:space="preserve"> fully capture the possible </w:t>
      </w:r>
      <w:r w:rsidR="00746DF8" w:rsidRPr="00387397">
        <w:rPr>
          <w:color w:val="000000" w:themeColor="text1"/>
        </w:rPr>
        <w:t>dynamics</w:t>
      </w:r>
      <w:r w:rsidR="00A41646" w:rsidRPr="00387397">
        <w:rPr>
          <w:color w:val="000000" w:themeColor="text1"/>
        </w:rPr>
        <w:t xml:space="preserve"> for</w:t>
      </w:r>
      <w:r w:rsidR="00846AC6" w:rsidRPr="00387397">
        <w:rPr>
          <w:color w:val="000000" w:themeColor="text1"/>
        </w:rPr>
        <w:t xml:space="preserve"> each </w:t>
      </w:r>
      <w:r w:rsidR="006C6B32" w:rsidRPr="00387397">
        <w:rPr>
          <w:color w:val="000000" w:themeColor="text1"/>
        </w:rPr>
        <w:t>dimension</w:t>
      </w:r>
      <w:r w:rsidR="00846AC6" w:rsidRPr="00387397">
        <w:rPr>
          <w:color w:val="000000" w:themeColor="text1"/>
        </w:rPr>
        <w:t xml:space="preserve"> of change</w:t>
      </w:r>
      <w:r w:rsidR="009160A7" w:rsidRPr="00387397">
        <w:rPr>
          <w:color w:val="000000" w:themeColor="text1"/>
        </w:rPr>
        <w:t>.</w:t>
      </w:r>
      <w:r w:rsidR="009768A3" w:rsidRPr="00387397">
        <w:rPr>
          <w:rStyle w:val="EndnoteReference"/>
          <w:color w:val="000000" w:themeColor="text1"/>
        </w:rPr>
        <w:endnoteReference w:id="5"/>
      </w:r>
      <w:r w:rsidR="009E1FB5" w:rsidRPr="00387397">
        <w:rPr>
          <w:color w:val="000000" w:themeColor="text1"/>
        </w:rPr>
        <w:t xml:space="preserve"> </w:t>
      </w:r>
      <w:r w:rsidR="00A41646" w:rsidRPr="00387397">
        <w:rPr>
          <w:color w:val="000000" w:themeColor="text1"/>
        </w:rPr>
        <w:t xml:space="preserve">Requirements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 xml:space="preserve">over any given period. </w:t>
      </w:r>
      <w:r w:rsidR="006C6B32" w:rsidRPr="00387397">
        <w:rPr>
          <w:color w:val="000000" w:themeColor="text1"/>
        </w:rPr>
        <w:t xml:space="preserve">All of the diverse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 and the direction</w:t>
      </w:r>
      <w:r w:rsidR="00A41646" w:rsidRPr="00387397">
        <w:rPr>
          <w:color w:val="000000" w:themeColor="text1"/>
        </w:rPr>
        <w:t>s</w:t>
      </w:r>
      <w:r w:rsidR="006C6B32" w:rsidRPr="00387397">
        <w:rPr>
          <w:color w:val="000000" w:themeColor="text1"/>
        </w:rPr>
        <w:t xml:space="preserve"> and relationship</w:t>
      </w:r>
      <w:r w:rsidR="00A41646" w:rsidRPr="00387397">
        <w:rPr>
          <w:color w:val="000000" w:themeColor="text1"/>
        </w:rPr>
        <w:t>s</w:t>
      </w:r>
      <w:r w:rsidR="006C6B32" w:rsidRPr="00387397">
        <w:rPr>
          <w:color w:val="000000" w:themeColor="text1"/>
        </w:rPr>
        <w:t xml:space="preserve"> it predicts.</w:t>
      </w:r>
    </w:p>
    <w:p w14:paraId="6A577278" w14:textId="77777777" w:rsidR="00B15838" w:rsidRDefault="00B15838" w:rsidP="00387397">
      <w:pPr>
        <w:spacing w:line="480" w:lineRule="auto"/>
        <w:rPr>
          <w:color w:val="000000" w:themeColor="text1"/>
        </w:rPr>
      </w:pPr>
    </w:p>
    <w:p w14:paraId="23B26691" w14:textId="51491479" w:rsidR="00FA76FB" w:rsidRPr="00387397" w:rsidRDefault="00B15838" w:rsidP="00B15838">
      <w:pPr>
        <w:pStyle w:val="NormalWeb"/>
        <w:spacing w:before="0" w:beforeAutospacing="0" w:after="0" w:afterAutospacing="0" w:line="480" w:lineRule="auto"/>
      </w:pPr>
      <w:r w:rsidRPr="00387397">
        <w:rPr>
          <w:color w:val="000000" w:themeColor="text1"/>
        </w:rPr>
        <w:t xml:space="preserve">[TABLE </w:t>
      </w:r>
      <w:r>
        <w:rPr>
          <w:color w:val="000000" w:themeColor="text1"/>
        </w:rPr>
        <w:t>3</w:t>
      </w:r>
      <w:r w:rsidRPr="00387397">
        <w:rPr>
          <w:color w:val="000000" w:themeColor="text1"/>
        </w:rPr>
        <w:t>]</w:t>
      </w:r>
    </w:p>
    <w:p w14:paraId="58AC4AA1" w14:textId="77777777" w:rsidR="00D00707" w:rsidRPr="00387397" w:rsidRDefault="00D00707" w:rsidP="00387397">
      <w:pPr>
        <w:spacing w:line="480" w:lineRule="auto"/>
        <w:rPr>
          <w:color w:val="000000" w:themeColor="text1"/>
        </w:rPr>
      </w:pPr>
    </w:p>
    <w:p w14:paraId="4B5B123B" w14:textId="5E9952DD" w:rsidR="00D00707" w:rsidRPr="00387397" w:rsidRDefault="001210A6"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 </w:t>
      </w:r>
      <w:proofErr w:type="gramStart"/>
      <w:r w:rsidRPr="00387397">
        <w:rPr>
          <w:b/>
          <w:bCs/>
          <w:color w:val="000000" w:themeColor="text1"/>
        </w:rPr>
        <w:t>Application</w:t>
      </w:r>
      <w:proofErr w:type="gramEnd"/>
      <w:r w:rsidRPr="00387397">
        <w:rPr>
          <w:b/>
          <w:bCs/>
          <w:color w:val="000000" w:themeColor="text1"/>
        </w:rPr>
        <w:t xml:space="preserve">: Competing US </w:t>
      </w:r>
      <w:r w:rsidR="00EB336C" w:rsidRPr="00387397">
        <w:rPr>
          <w:b/>
          <w:bCs/>
          <w:color w:val="000000" w:themeColor="text1"/>
        </w:rPr>
        <w:t>Forest</w:t>
      </w:r>
      <w:r w:rsidRPr="00387397">
        <w:rPr>
          <w:b/>
          <w:bCs/>
          <w:color w:val="000000" w:themeColor="text1"/>
        </w:rPr>
        <w:t xml:space="preserve"> Certification Programs</w:t>
      </w:r>
    </w:p>
    <w:p w14:paraId="52D51FB2" w14:textId="58B0AE02" w:rsidR="00D00707" w:rsidRPr="00387397" w:rsidRDefault="00093435" w:rsidP="00387397">
      <w:pPr>
        <w:spacing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the</w:t>
      </w:r>
      <w:r w:rsidRPr="00387397">
        <w:rPr>
          <w:color w:val="000000" w:themeColor="text1"/>
        </w:rPr>
        <w:t xml:space="preserve"> </w:t>
      </w:r>
      <w:r w:rsidR="00E55C8A" w:rsidRPr="00387397">
        <w:rPr>
          <w:color w:val="000000" w:themeColor="text1"/>
        </w:rPr>
        <w:t xml:space="preserve">case </w:t>
      </w:r>
      <w:r w:rsidRPr="00387397">
        <w:rPr>
          <w:color w:val="000000" w:themeColor="text1"/>
        </w:rPr>
        <w:t>of forestry 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w:t>
      </w:r>
      <w:r w:rsidR="00D00707" w:rsidRPr="00387397">
        <w:rPr>
          <w:color w:val="000000" w:themeColor="text1"/>
        </w:rPr>
        <w:lastRenderedPageBreak/>
        <w:t xml:space="preserve">domains,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many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are able to</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387397">
      <w:pPr>
        <w:spacing w:line="480" w:lineRule="auto"/>
        <w:rPr>
          <w:color w:val="000000" w:themeColor="text1"/>
        </w:rPr>
      </w:pPr>
    </w:p>
    <w:p w14:paraId="0664062B" w14:textId="4724CCA2" w:rsidR="0038489B" w:rsidRPr="00387397" w:rsidRDefault="005C1FAE" w:rsidP="00387397">
      <w:pPr>
        <w:spacing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market-based authority, contracts may depend on an auditor’s assessment of compliance with hundreds of requirements</w:t>
      </w:r>
      <w:r w:rsidR="000A3097" w:rsidRPr="00387397">
        <w:rPr>
          <w:color w:val="000000" w:themeColor="text1"/>
        </w:rPr>
        <w:t xml:space="preserve"> and </w:t>
      </w:r>
      <w:r w:rsidR="00D734DC" w:rsidRPr="00387397">
        <w:rPr>
          <w:color w:val="000000" w:themeColor="text1"/>
        </w:rPr>
        <w:t>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 xml:space="preserve">For example, </w:t>
      </w:r>
      <w:r w:rsidR="000A3097" w:rsidRPr="00387397">
        <w:rPr>
          <w:color w:val="000000" w:themeColor="text1"/>
        </w:rPr>
        <w:t xml:space="preserve">in court filings,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38489B" w:rsidRPr="00387397">
        <w:rPr>
          <w:color w:val="000000" w:themeColor="text1"/>
        </w:rPr>
        <w:t>While</w:t>
      </w:r>
      <w:r w:rsidR="00406A6A" w:rsidRPr="00387397">
        <w:rPr>
          <w:color w:val="000000" w:themeColor="text1"/>
        </w:rPr>
        <w:t xml:space="preserve"> this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13321A" w:rsidRPr="00387397">
        <w:rPr>
          <w:color w:val="000000" w:themeColor="text1"/>
        </w:rPr>
        <w:t>,</w:t>
      </w:r>
      <w:r w:rsidR="00406A6A" w:rsidRPr="00387397">
        <w:rPr>
          <w:color w:val="000000" w:themeColor="text1"/>
        </w:rPr>
        <w:t xml:space="preserve"> and the level of</w:t>
      </w:r>
      <w:r w:rsidR="0038489B" w:rsidRPr="00387397">
        <w:rPr>
          <w:color w:val="000000" w:themeColor="text1"/>
        </w:rPr>
        <w:t xml:space="preserve"> institutionalization enables </w:t>
      </w:r>
      <w:r w:rsidR="00BD4FF2" w:rsidRPr="00387397">
        <w:rPr>
          <w:color w:val="000000" w:themeColor="text1"/>
        </w:rPr>
        <w:t>detailed</w:t>
      </w:r>
      <w:r w:rsidR="0038489B" w:rsidRPr="00387397">
        <w:rPr>
          <w:color w:val="000000" w:themeColor="text1"/>
        </w:rPr>
        <w:t xml:space="preserve"> study </w:t>
      </w:r>
      <w:r w:rsidR="00BD4FF2" w:rsidRPr="00387397">
        <w:rPr>
          <w:color w:val="000000" w:themeColor="text1"/>
        </w:rPr>
        <w:t>of this type of private regulation</w:t>
      </w:r>
      <w:r w:rsidR="0038489B" w:rsidRPr="00387397">
        <w:rPr>
          <w:color w:val="000000" w:themeColor="text1"/>
        </w:rPr>
        <w:t>, the associated complexity make</w:t>
      </w:r>
      <w:r w:rsidR="00725A62" w:rsidRPr="00387397">
        <w:rPr>
          <w:color w:val="000000" w:themeColor="text1"/>
        </w:rPr>
        <w:t>s</w:t>
      </w:r>
      <w:r w:rsidR="0038489B" w:rsidRPr="00387397">
        <w:rPr>
          <w:color w:val="000000" w:themeColor="text1"/>
        </w:rPr>
        <w:t xml:space="preserve"> it </w:t>
      </w:r>
      <w:r w:rsidR="00BD4FF2" w:rsidRPr="00387397">
        <w:rPr>
          <w:color w:val="000000" w:themeColor="text1"/>
        </w:rPr>
        <w:t xml:space="preserve">especially </w:t>
      </w:r>
      <w:r w:rsidR="0038489B" w:rsidRPr="00387397">
        <w:rPr>
          <w:color w:val="000000" w:themeColor="text1"/>
        </w:rPr>
        <w:t xml:space="preserve">challenging to capture </w:t>
      </w:r>
      <w:r w:rsidRPr="00387397">
        <w:rPr>
          <w:color w:val="000000" w:themeColor="text1"/>
        </w:rPr>
        <w:t xml:space="preserve">its </w:t>
      </w:r>
      <w:r w:rsidR="0038489B" w:rsidRPr="00387397">
        <w:rPr>
          <w:color w:val="000000" w:themeColor="text1"/>
        </w:rPr>
        <w:t>many moving parts.</w:t>
      </w:r>
    </w:p>
    <w:p w14:paraId="5148F9BF" w14:textId="77777777" w:rsidR="005A088A" w:rsidRPr="00387397" w:rsidRDefault="005A088A" w:rsidP="00387397">
      <w:pPr>
        <w:spacing w:line="480" w:lineRule="auto"/>
        <w:rPr>
          <w:color w:val="000000" w:themeColor="text1"/>
        </w:rPr>
      </w:pPr>
    </w:p>
    <w:p w14:paraId="596BE069" w14:textId="4459DE2C" w:rsidR="0013321A" w:rsidRPr="00387397" w:rsidRDefault="00EE0D54" w:rsidP="00387397">
      <w:pPr>
        <w:spacing w:line="480" w:lineRule="auto"/>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covering a third of </w:t>
      </w:r>
      <w:proofErr w:type="gramStart"/>
      <w:r w:rsidR="0013321A" w:rsidRPr="00387397">
        <w:rPr>
          <w:color w:val="000000" w:themeColor="text1"/>
        </w:rPr>
        <w:t>commercially-harvested</w:t>
      </w:r>
      <w:proofErr w:type="gramEnd"/>
      <w:r w:rsidR="0013321A" w:rsidRPr="00387397">
        <w:rPr>
          <w:color w:val="000000" w:themeColor="text1"/>
        </w:rPr>
        <w:t xml:space="preserve"> timberland, </w:t>
      </w:r>
      <w:r w:rsidR="00767A1C" w:rsidRPr="00387397">
        <w:rPr>
          <w:color w:val="000000" w:themeColor="text1"/>
        </w:rPr>
        <w:t>and</w:t>
      </w:r>
      <w:r w:rsidR="0013321A" w:rsidRPr="00387397">
        <w:rPr>
          <w:color w:val="000000" w:themeColor="text1"/>
        </w:rPr>
        <w:t xml:space="preserve"> regulating </w:t>
      </w:r>
      <w:r w:rsidR="00767A1C" w:rsidRPr="00387397">
        <w:rPr>
          <w:color w:val="000000" w:themeColor="text1"/>
        </w:rPr>
        <w:t xml:space="preserve">a large </w:t>
      </w:r>
      <w:r w:rsidR="0025485F" w:rsidRPr="00387397">
        <w:rPr>
          <w:color w:val="000000" w:themeColor="text1"/>
        </w:rPr>
        <w:t>share</w:t>
      </w:r>
      <w:r w:rsidR="00767A1C" w:rsidRPr="00387397">
        <w:rPr>
          <w:color w:val="000000" w:themeColor="text1"/>
        </w:rPr>
        <w:t xml:space="preserve"> of</w:t>
      </w:r>
      <w:r w:rsidR="0013321A" w:rsidRPr="00387397">
        <w:rPr>
          <w:color w:val="000000" w:themeColor="text1"/>
        </w:rPr>
        <w:t xml:space="preserve"> corporate-owned timberland (see Figure </w:t>
      </w:r>
      <w:r w:rsidR="009E2BA4">
        <w:rPr>
          <w:color w:val="000000" w:themeColor="text1"/>
        </w:rPr>
        <w:lastRenderedPageBreak/>
        <w:t>2</w:t>
      </w:r>
      <w:r w:rsidR="0013321A" w:rsidRPr="00387397">
        <w:rPr>
          <w:color w:val="000000" w:themeColor="text1"/>
        </w:rPr>
        <w:t>).</w:t>
      </w:r>
      <w:r w:rsidR="0013321A" w:rsidRPr="00387397">
        <w:rPr>
          <w:rStyle w:val="EndnoteReference"/>
          <w:color w:val="000000" w:themeColor="text1"/>
        </w:rPr>
        <w:endnoteReference w:id="6"/>
      </w:r>
      <w:r w:rsidR="0013321A" w:rsidRPr="00387397">
        <w:rPr>
          <w:color w:val="000000" w:themeColor="text1"/>
        </w:rPr>
        <w:t xml:space="preserve"> </w:t>
      </w:r>
      <w:r w:rsidR="0013321A" w:rsidRPr="00387397">
        <w:t>Many states support certification as a compl</w:t>
      </w:r>
      <w:r w:rsidR="004E20A5" w:rsidRPr="00387397">
        <w:t>e</w:t>
      </w:r>
      <w:r w:rsidR="0013321A" w:rsidRPr="00387397">
        <w:t>ment or alternative to public regulation. For example, in some states, regulators forgo inspections of FSC-certified forests as they are already being audited for legal compliance and more</w:t>
      </w:r>
      <w:r w:rsidR="00220A0E" w:rsidRPr="00387397">
        <w:t xml:space="preserve"> (Judge-Lord, 2013)</w:t>
      </w:r>
      <w:r w:rsidR="0013321A" w:rsidRPr="00387397">
        <w:t xml:space="preserve">. </w:t>
      </w:r>
    </w:p>
    <w:p w14:paraId="1A8CFCF4" w14:textId="77777777" w:rsidR="0013321A" w:rsidRPr="00387397" w:rsidRDefault="0013321A" w:rsidP="00387397">
      <w:pPr>
        <w:spacing w:line="480" w:lineRule="auto"/>
        <w:rPr>
          <w:color w:val="000000" w:themeColor="text1"/>
        </w:rPr>
      </w:pPr>
    </w:p>
    <w:p w14:paraId="2DD0EA31" w14:textId="46AD21B7" w:rsidR="0013321A" w:rsidRPr="00387397" w:rsidRDefault="0013321A" w:rsidP="00387397">
      <w:pPr>
        <w:spacing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42B53391" w14:textId="77777777" w:rsidR="0013321A" w:rsidRPr="00387397" w:rsidRDefault="0013321A" w:rsidP="00387397">
      <w:pPr>
        <w:spacing w:line="480" w:lineRule="auto"/>
        <w:jc w:val="center"/>
        <w:rPr>
          <w:color w:val="000000" w:themeColor="text1"/>
        </w:rPr>
      </w:pPr>
    </w:p>
    <w:p w14:paraId="5745ABB8" w14:textId="4F96E18B" w:rsidR="005C1FAE" w:rsidRPr="00387397" w:rsidRDefault="005C1FAE" w:rsidP="00387397">
      <w:pPr>
        <w:spacing w:line="480" w:lineRule="auto"/>
        <w:rPr>
          <w:color w:val="000000" w:themeColor="text1"/>
        </w:rPr>
      </w:pPr>
    </w:p>
    <w:p w14:paraId="0479F71C" w14:textId="77777777" w:rsidR="005C1FAE" w:rsidRPr="00387397" w:rsidRDefault="005C1FAE" w:rsidP="00387397">
      <w:pPr>
        <w:spacing w:line="480" w:lineRule="auto"/>
        <w:rPr>
          <w:color w:val="000000" w:themeColor="text1"/>
        </w:rPr>
      </w:pPr>
    </w:p>
    <w:p w14:paraId="54720B62" w14:textId="668F106A" w:rsidR="006C586F" w:rsidRPr="00387397" w:rsidRDefault="005C1FAE" w:rsidP="00387397">
      <w:pPr>
        <w:spacing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4214BC" w:rsidRPr="00387397">
        <w:rPr>
          <w:color w:val="000000" w:themeColor="text1"/>
        </w:rPr>
        <w:t xml:space="preserve">FSC </w:t>
      </w:r>
      <w:r w:rsidR="009D3EE7" w:rsidRPr="00387397">
        <w:rPr>
          <w:color w:val="000000" w:themeColor="text1"/>
        </w:rPr>
        <w:t>rule</w:t>
      </w:r>
      <w:r w:rsidR="004214BC" w:rsidRPr="00387397">
        <w:rPr>
          <w:color w:val="000000" w:themeColor="text1"/>
        </w:rPr>
        <w:t xml:space="preserve">making has </w:t>
      </w:r>
      <w:r w:rsidR="00613BEB" w:rsidRPr="00387397">
        <w:rPr>
          <w:color w:val="000000" w:themeColor="text1"/>
        </w:rPr>
        <w:t xml:space="preserve">been </w:t>
      </w:r>
      <w:r w:rsidR="009D3EE7" w:rsidRPr="00387397">
        <w:rPr>
          <w:color w:val="000000" w:themeColor="text1"/>
        </w:rPr>
        <w:t>designed as a</w:t>
      </w:r>
      <w:r w:rsidR="00B45D1A" w:rsidRPr="00387397">
        <w:rPr>
          <w:color w:val="000000" w:themeColor="text1"/>
        </w:rPr>
        <w:t xml:space="preserve"> </w:t>
      </w:r>
      <w:r w:rsidR="00B45D1A" w:rsidRPr="00387397">
        <w:rPr>
          <w:rFonts w:eastAsia="Times New Roman"/>
          <w:color w:val="000000" w:themeColor="text1"/>
          <w:shd w:val="clear" w:color="auto" w:fill="FFFFFF"/>
        </w:rPr>
        <w:t xml:space="preserve">“democratic” </w:t>
      </w:r>
      <w:r w:rsidR="009D3EE7" w:rsidRPr="00387397">
        <w:rPr>
          <w:rFonts w:eastAsia="Times New Roman"/>
          <w:color w:val="000000" w:themeColor="text1"/>
          <w:shd w:val="clear" w:color="auto" w:fill="FFFFFF"/>
        </w:rPr>
        <w:t>process</w:t>
      </w:r>
      <w:r w:rsidR="00C236EE" w:rsidRPr="00387397">
        <w:rPr>
          <w:rFonts w:eastAsia="Times New Roman"/>
          <w:color w:val="000000" w:themeColor="text1"/>
          <w:shd w:val="clear" w:color="auto" w:fill="FFFFFF"/>
        </w:rPr>
        <w:t xml:space="preserve"> </w:t>
      </w:r>
      <w:r w:rsidR="00C236EE" w:rsidRPr="00387397">
        <w:rPr>
          <w:color w:val="000000" w:themeColor="text1"/>
        </w:rPr>
        <w:t>where members vote on</w:t>
      </w:r>
      <w:r w:rsidR="00E420F3" w:rsidRPr="00387397">
        <w:rPr>
          <w:color w:val="000000" w:themeColor="text1"/>
        </w:rPr>
        <w:t xml:space="preserve"> decision-making procedures as well as</w:t>
      </w:r>
      <w:r w:rsidR="00C236EE" w:rsidRPr="00387397">
        <w:rPr>
          <w:color w:val="000000" w:themeColor="text1"/>
        </w:rPr>
        <w:t xml:space="preserve"> </w:t>
      </w:r>
      <w:r w:rsidR="00E420F3" w:rsidRPr="00387397">
        <w:rPr>
          <w:color w:val="000000" w:themeColor="text1"/>
        </w:rPr>
        <w:t>substantive requirements</w:t>
      </w:r>
      <w:r w:rsidR="00C236EE" w:rsidRPr="00387397">
        <w:rPr>
          <w:color w:val="000000" w:themeColor="text1"/>
        </w:rPr>
        <w:t xml:space="preserve"> </w:t>
      </w:r>
      <w:r w:rsidR="00D947D2" w:rsidRPr="00387397">
        <w:rPr>
          <w:rFonts w:eastAsia="Times New Roman"/>
          <w:color w:val="000000" w:themeColor="text1"/>
          <w:shd w:val="clear" w:color="auto" w:fill="FFFFFF"/>
        </w:rPr>
        <w:fldChar w:fldCharType="begin" w:fldLock="1"/>
      </w:r>
      <w:r w:rsidR="003A18DB" w:rsidRPr="00387397">
        <w:rPr>
          <w:rFonts w:eastAsia="Times New Roman"/>
          <w:color w:val="000000" w:themeColor="text1"/>
          <w:shd w:val="clear" w:color="auto" w:fill="FFFFFF"/>
        </w:rPr>
        <w:instrText>ADDIN CSL_CITATION { "citationItems" : [ { "id" : "ITEM-1",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"ITEM-1",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"plainTextFormattedCitation" : "(Errol Meidinger, 2003)", "previouslyFormattedCitation" : "(Errol Meidinger, 2003)" }, "properties" : {  }, "schema" : "https://github.com/citation-style-language/schema/raw/master/csl-citation.json" }</w:instrText>
      </w:r>
      <w:r w:rsidR="00D947D2" w:rsidRPr="00387397">
        <w:rPr>
          <w:rFonts w:eastAsia="Times New Roman"/>
          <w:color w:val="000000" w:themeColor="text1"/>
          <w:shd w:val="clear" w:color="auto" w:fill="FFFFFF"/>
        </w:rPr>
        <w:fldChar w:fldCharType="separate"/>
      </w:r>
      <w:r w:rsidR="00CC1FD0" w:rsidRPr="00387397">
        <w:rPr>
          <w:rFonts w:eastAsia="Times New Roman"/>
          <w:noProof/>
          <w:color w:val="000000" w:themeColor="text1"/>
          <w:shd w:val="clear" w:color="auto" w:fill="FFFFFF"/>
        </w:rPr>
        <w:t>(</w:t>
      </w:r>
      <w:r w:rsidR="003A18DB" w:rsidRPr="00387397">
        <w:rPr>
          <w:rFonts w:eastAsia="Times New Roman"/>
          <w:noProof/>
          <w:color w:val="000000" w:themeColor="text1"/>
          <w:shd w:val="clear" w:color="auto" w:fill="FFFFFF"/>
        </w:rPr>
        <w:t>Meidinger, 2003)</w:t>
      </w:r>
      <w:r w:rsidR="00D947D2" w:rsidRPr="00387397">
        <w:rPr>
          <w:rFonts w:eastAsia="Times New Roman"/>
          <w:color w:val="000000" w:themeColor="text1"/>
          <w:shd w:val="clear" w:color="auto" w:fill="FFFFFF"/>
        </w:rPr>
        <w:fldChar w:fldCharType="end"/>
      </w:r>
      <w:r w:rsidR="00E420F3" w:rsidRPr="00387397">
        <w:rPr>
          <w:color w:val="000000" w:themeColor="text1"/>
        </w:rPr>
        <w:t xml:space="preserve">, but </w:t>
      </w:r>
      <w:r w:rsidR="00FB3EB3" w:rsidRPr="00387397">
        <w:rPr>
          <w:color w:val="000000" w:themeColor="text1"/>
        </w:rPr>
        <w:t xml:space="preserve">the auditing of firms to those </w:t>
      </w:r>
      <w:r w:rsidR="00E420F3" w:rsidRPr="00387397">
        <w:rPr>
          <w:color w:val="000000" w:themeColor="text1"/>
        </w:rPr>
        <w:t>requirements</w:t>
      </w:r>
      <w:r w:rsidR="00FB3EB3" w:rsidRPr="00387397">
        <w:rPr>
          <w:color w:val="000000" w:themeColor="text1"/>
        </w:rPr>
        <w:t xml:space="preserve"> is conducted by</w:t>
      </w:r>
      <w:r w:rsidR="00CB7A94" w:rsidRPr="00387397">
        <w:rPr>
          <w:color w:val="000000" w:themeColor="text1"/>
        </w:rPr>
        <w:t xml:space="preserve"> third-party </w:t>
      </w:r>
      <w:r w:rsidR="005A3592" w:rsidRPr="00387397">
        <w:rPr>
          <w:color w:val="000000" w:themeColor="text1"/>
        </w:rPr>
        <w:t>contractors</w:t>
      </w:r>
      <w:r w:rsidR="00FB3EB3" w:rsidRPr="00387397">
        <w:rPr>
          <w:color w:val="000000" w:themeColor="text1"/>
        </w:rPr>
        <w:t xml:space="preserve">. </w:t>
      </w:r>
      <w:r w:rsidR="00CB7A94" w:rsidRPr="00387397">
        <w:rPr>
          <w:color w:val="000000" w:themeColor="text1"/>
        </w:rPr>
        <w:t xml:space="preserve">The FSC standards are organized around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13BEB" w:rsidRPr="00387397">
        <w:rPr>
          <w:color w:val="000000" w:themeColor="text1"/>
        </w:rPr>
        <w:t xml:space="preserve">operationalized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that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7"/>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387397">
      <w:pPr>
        <w:spacing w:line="480" w:lineRule="auto"/>
        <w:rPr>
          <w:color w:val="000000" w:themeColor="text1"/>
        </w:rPr>
      </w:pPr>
    </w:p>
    <w:p w14:paraId="7B8EF2CF" w14:textId="719B28C1" w:rsidR="009E3860" w:rsidRPr="00387397" w:rsidRDefault="005C1FAE" w:rsidP="00387397">
      <w:pPr>
        <w:spacing w:line="480" w:lineRule="auto"/>
        <w:rPr>
          <w:color w:val="000000" w:themeColor="text1"/>
        </w:rPr>
      </w:pPr>
      <w:r w:rsidRPr="00387397">
        <w:rPr>
          <w:b/>
          <w:color w:val="000000" w:themeColor="text1"/>
        </w:rPr>
        <w:t>Origin of the SFI</w:t>
      </w:r>
      <w:r w:rsidR="00406A6A" w:rsidRPr="00387397">
        <w:rPr>
          <w:b/>
          <w:color w:val="000000" w:themeColor="text1"/>
        </w:rPr>
        <w:t xml:space="preserve"> &amp; PEFC</w:t>
      </w:r>
      <w:r w:rsidRPr="00387397">
        <w:rPr>
          <w:b/>
          <w:color w:val="000000" w:themeColor="text1"/>
        </w:rPr>
        <w:t>:</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proofErr w:type="gramStart"/>
      <w:r w:rsidR="00AF0F46" w:rsidRPr="00387397">
        <w:rPr>
          <w:color w:val="000000" w:themeColor="text1"/>
        </w:rPr>
        <w:t>third-party</w:t>
      </w:r>
      <w:proofErr w:type="gramEnd"/>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legally distinct entity with independent rulemaking authority</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w:t>
      </w:r>
      <w:proofErr w:type="gramStart"/>
      <w:r w:rsidR="006C586F" w:rsidRPr="00387397">
        <w:rPr>
          <w:color w:val="000000" w:themeColor="text1"/>
        </w:rPr>
        <w:t>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w:t>
      </w:r>
      <w:r w:rsidR="001A68C5" w:rsidRPr="00387397">
        <w:rPr>
          <w:color w:val="000000" w:themeColor="text1"/>
        </w:rPr>
        <w:lastRenderedPageBreak/>
        <w:t>endorsed by the global Program</w:t>
      </w:r>
      <w:proofErr w:type="gramEnd"/>
      <w:r w:rsidR="001A68C5" w:rsidRPr="00387397">
        <w:rPr>
          <w:color w:val="000000" w:themeColor="text1"/>
        </w:rPr>
        <w:t xml:space="preserve">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benchmarks verbatim. Rather</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387397">
      <w:pPr>
        <w:spacing w:line="480" w:lineRule="auto"/>
        <w:rPr>
          <w:color w:val="000000" w:themeColor="text1"/>
        </w:rPr>
      </w:pPr>
    </w:p>
    <w:p w14:paraId="614F1161" w14:textId="7EF68050" w:rsidR="00C600BF" w:rsidRPr="00387397" w:rsidRDefault="005C1FAE" w:rsidP="00387397">
      <w:pPr>
        <w:spacing w:line="480" w:lineRule="auto"/>
        <w:rPr>
          <w:color w:val="000000" w:themeColor="text1"/>
        </w:rPr>
      </w:pPr>
      <w:r w:rsidRPr="00387397">
        <w:rPr>
          <w:b/>
          <w:color w:val="000000" w:themeColor="text1"/>
        </w:rPr>
        <w:t>“Sustainable” Forestry:</w:t>
      </w:r>
      <w:r w:rsidRPr="00387397">
        <w:rPr>
          <w:color w:val="000000" w:themeColor="text1"/>
        </w:rPr>
        <w:t xml:space="preserve"> </w:t>
      </w:r>
      <w:r w:rsidR="001A68C5" w:rsidRPr="00387397">
        <w:rPr>
          <w:color w:val="000000" w:themeColor="text1"/>
        </w:rPr>
        <w:t xml:space="preserve">Forest management and the appropriate role of </w:t>
      </w:r>
      <w:r w:rsidR="00406A6A" w:rsidRPr="00387397">
        <w:rPr>
          <w:color w:val="000000" w:themeColor="text1"/>
        </w:rPr>
        <w:t>public and private regulation</w:t>
      </w:r>
      <w:r w:rsidR="001A68C5" w:rsidRPr="00387397">
        <w:rPr>
          <w:color w:val="000000" w:themeColor="text1"/>
        </w:rPr>
        <w:t xml:space="preserve"> are contested. As in many sectors, “sustainable”</w:t>
      </w:r>
      <w:r w:rsidR="00EB7D03" w:rsidRPr="00387397">
        <w:rPr>
          <w:color w:val="000000" w:themeColor="text1"/>
        </w:rPr>
        <w:t xml:space="preserve"> 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AE7A7F" w:rsidRPr="00387397">
        <w:rPr>
          <w:color w:val="000000" w:themeColor="text1"/>
        </w:rPr>
        <w:fldChar w:fldCharType="begin" w:fldLock="1"/>
      </w:r>
      <w:r w:rsidR="009F38DB"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"suppress-author" : 1, "uris" : [ "http://www.mendeley.com/documents/?uuid=53ed00b1-8e83-4847-977a-eee251d053c2" ] } ], "mendeley" : { "formattedCitation" : "(2012)", "plainTextFormattedCitation" : "(2012)", "previouslyFormattedCitation" : "(2012)" }, "properties" : {  }, "schema" : "https://github.com/citation-style-language/schema/raw/master/csl-citation.json" }</w:instrText>
      </w:r>
      <w:r w:rsidR="00AE7A7F" w:rsidRPr="00387397">
        <w:rPr>
          <w:color w:val="000000" w:themeColor="text1"/>
        </w:rPr>
        <w:fldChar w:fldCharType="separate"/>
      </w:r>
      <w:r w:rsidR="009F38DB" w:rsidRPr="00387397">
        <w:rPr>
          <w:noProof/>
          <w:color w:val="000000" w:themeColor="text1"/>
        </w:rPr>
        <w:t>2012)</w:t>
      </w:r>
      <w:r w:rsidR="00AE7A7F" w:rsidRPr="00387397">
        <w:rPr>
          <w:color w:val="000000" w:themeColor="text1"/>
        </w:rPr>
        <w:fldChar w:fldCharType="end"/>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long-term efficiency.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focused on efficiency may require high levels of utilization of trees and tree-parts</w:t>
      </w:r>
      <w:r w:rsidR="00831E12" w:rsidRPr="00387397">
        <w:rPr>
          <w:color w:val="000000" w:themeColor="text1"/>
        </w:rPr>
        <w:t>,</w:t>
      </w:r>
      <w:r w:rsidR="001A68C5" w:rsidRPr="00387397">
        <w:rPr>
          <w:color w:val="000000" w:themeColor="text1"/>
        </w:rPr>
        <w:t xml:space="preserve"> whereas 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387397">
      <w:pPr>
        <w:spacing w:line="480" w:lineRule="auto"/>
        <w:rPr>
          <w:color w:val="000000" w:themeColor="text1"/>
        </w:rPr>
      </w:pPr>
    </w:p>
    <w:p w14:paraId="6477A279" w14:textId="77B2350C" w:rsidR="003A13CF" w:rsidRPr="00387397" w:rsidRDefault="00A64C9D"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17343EBB" w:rsidR="003A13CF"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w:t>
      </w:r>
      <w:r w:rsidRPr="00387397">
        <w:rPr>
          <w:color w:val="000000" w:themeColor="text1"/>
        </w:rPr>
        <w:lastRenderedPageBreak/>
        <w:t xml:space="preserve">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CD6F3E" w:rsidRPr="00387397">
        <w:rPr>
          <w:color w:val="000000" w:themeColor="text1"/>
        </w:rPr>
        <w:fldChar w:fldCharType="begin" w:fldLock="1"/>
      </w:r>
      <w:r w:rsidR="00CD6F3E"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CD6F3E" w:rsidRPr="00387397">
        <w:rPr>
          <w:color w:val="000000" w:themeColor="text1"/>
        </w:rPr>
        <w:fldChar w:fldCharType="separate"/>
      </w:r>
      <w:r w:rsidR="00CD6F3E" w:rsidRPr="00387397">
        <w:rPr>
          <w:noProof/>
          <w:color w:val="000000" w:themeColor="text1"/>
        </w:rPr>
        <w:t>2010)</w:t>
      </w:r>
      <w:r w:rsidR="00CD6F3E" w:rsidRPr="00387397">
        <w:rPr>
          <w:color w:val="000000" w:themeColor="text1"/>
        </w:rPr>
        <w:fldChar w:fldCharType="end"/>
      </w:r>
      <w:r w:rsidRPr="00387397">
        <w:rPr>
          <w:color w:val="000000" w:themeColor="text1"/>
        </w:rPr>
        <w:t>, disaggregating forest policy to cover all of the major issues raised by the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A855F3" w:rsidRPr="00387397">
        <w:rPr>
          <w:color w:val="000000" w:themeColor="text1"/>
        </w:rPr>
        <w:t xml:space="preserve"> in their guiding documents (o</w:t>
      </w:r>
      <w:r w:rsidRPr="00387397">
        <w:rPr>
          <w:color w:val="000000" w:themeColor="text1"/>
        </w:rPr>
        <w:t xml:space="preserve">nline appendix). </w:t>
      </w:r>
    </w:p>
    <w:p w14:paraId="5C44D299" w14:textId="77777777" w:rsidR="003A13CF" w:rsidRPr="00387397" w:rsidRDefault="003A13CF" w:rsidP="00387397">
      <w:pPr>
        <w:spacing w:line="480" w:lineRule="auto"/>
        <w:rPr>
          <w:color w:val="000000" w:themeColor="text1"/>
        </w:rPr>
      </w:pPr>
    </w:p>
    <w:p w14:paraId="496AA991" w14:textId="59B9F8F7" w:rsidR="00C5047A"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8"/>
      </w:r>
      <w:r w:rsidRPr="00387397">
        <w:rPr>
          <w:color w:val="000000" w:themeColor="text1"/>
        </w:rPr>
        <w:t xml:space="preserve"> </w:t>
      </w:r>
      <w:r w:rsidR="00B817A0" w:rsidRPr="00387397">
        <w:rPr>
          <w:color w:val="000000" w:themeColor="text1"/>
        </w:rPr>
        <w:t xml:space="preserve">Where both discretionary and non-discretionary </w:t>
      </w:r>
      <w:r w:rsidR="00831E12" w:rsidRPr="00387397">
        <w:rPr>
          <w:color w:val="000000" w:themeColor="text1"/>
        </w:rPr>
        <w:t xml:space="preserve">options were </w:t>
      </w:r>
      <w:r w:rsidR="00725A62" w:rsidRPr="00387397">
        <w:rPr>
          <w:color w:val="000000" w:themeColor="text1"/>
        </w:rPr>
        <w:t>present, it</w:t>
      </w:r>
      <w:r w:rsidRPr="00387397">
        <w:rPr>
          <w:color w:val="000000" w:themeColor="text1"/>
        </w:rPr>
        <w:t xml:space="preserve"> was evaluated based on </w:t>
      </w:r>
      <w:r w:rsidR="001F06E3" w:rsidRPr="00387397">
        <w:rPr>
          <w:color w:val="000000" w:themeColor="text1"/>
        </w:rPr>
        <w:t>the discretionary requirements.</w:t>
      </w:r>
      <w:r w:rsidR="00A51504" w:rsidRPr="00387397">
        <w:rPr>
          <w:color w:val="000000" w:themeColor="text1"/>
        </w:rPr>
        <w:t xml:space="preserve"> Similarly</w:t>
      </w:r>
      <w:r w:rsidR="004D1C57" w:rsidRPr="00387397">
        <w:rPr>
          <w:color w:val="000000" w:themeColor="text1"/>
        </w:rPr>
        <w:t>, if 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A855F3" w:rsidRPr="00387397">
        <w:rPr>
          <w:color w:val="000000" w:themeColor="text1"/>
        </w:rPr>
        <w:t>if a standard requires</w:t>
      </w:r>
      <w:r w:rsidR="00C5047A" w:rsidRPr="00387397">
        <w:rPr>
          <w:color w:val="000000" w:themeColor="text1"/>
        </w:rPr>
        <w:t xml:space="preserve"> manager</w:t>
      </w:r>
      <w:r w:rsidR="00A855F3" w:rsidRPr="00387397">
        <w:rPr>
          <w:color w:val="000000" w:themeColor="text1"/>
        </w:rPr>
        <w:t>s</w:t>
      </w:r>
      <w:r w:rsidR="00C5047A" w:rsidRPr="00387397">
        <w:rPr>
          <w:color w:val="000000" w:themeColor="text1"/>
        </w:rPr>
        <w:t xml:space="preserve"> to “maintain or enhance” water quality, we read it as “maintain</w:t>
      </w:r>
      <w:r w:rsidR="0029717E" w:rsidRPr="00387397">
        <w:rPr>
          <w:color w:val="000000" w:themeColor="text1"/>
        </w:rPr>
        <w:t>”</w:t>
      </w:r>
      <w:r w:rsidR="00A51504" w:rsidRPr="00387397">
        <w:rPr>
          <w:color w:val="000000" w:themeColor="text1"/>
        </w:rPr>
        <w:t>—there is no mandatory requirement to “enhance” water quality because firms have discretion not to do so.</w:t>
      </w:r>
      <w:r w:rsidR="00C5047A" w:rsidRPr="00387397">
        <w:rPr>
          <w:color w:val="000000" w:themeColor="text1"/>
        </w:rPr>
        <w:t xml:space="preserve"> </w:t>
      </w:r>
    </w:p>
    <w:p w14:paraId="4ADCC247" w14:textId="77777777" w:rsidR="005A10A8" w:rsidRPr="00387397" w:rsidRDefault="005A10A8" w:rsidP="00387397">
      <w:pPr>
        <w:spacing w:line="480" w:lineRule="auto"/>
        <w:outlineLvl w:val="0"/>
        <w:rPr>
          <w:b/>
          <w:color w:val="000000" w:themeColor="text1"/>
        </w:rPr>
      </w:pPr>
    </w:p>
    <w:p w14:paraId="4E4920F3" w14:textId="394EB34F" w:rsidR="002A08A9" w:rsidRPr="00387397" w:rsidRDefault="003E1473" w:rsidP="00387397">
      <w:pPr>
        <w:pStyle w:val="NormalWeb"/>
        <w:spacing w:before="0" w:beforeAutospacing="0" w:after="0" w:afterAutospacing="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most key</w:t>
      </w:r>
      <w:r w:rsidRPr="00387397">
        <w:rPr>
          <w:color w:val="000000" w:themeColor="text1"/>
        </w:rPr>
        <w:t xml:space="preserve"> issues in the text below and all 48 in the</w:t>
      </w:r>
      <w:r w:rsidR="005E6C40" w:rsidRPr="00387397">
        <w:rPr>
          <w:color w:val="000000" w:themeColor="text1"/>
        </w:rPr>
        <w:t xml:space="preserve"> online appendix</w:t>
      </w:r>
      <w:r w:rsidR="005066A8" w:rsidRPr="00387397">
        <w:rPr>
          <w:color w:val="000000" w:themeColor="text1"/>
        </w:rPr>
        <w:t>,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a select set of issues.</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on which these changes were made,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387397">
      <w:pPr>
        <w:spacing w:line="480" w:lineRule="auto"/>
        <w:rPr>
          <w:color w:val="000000" w:themeColor="text1"/>
        </w:rPr>
      </w:pPr>
    </w:p>
    <w:p w14:paraId="7C13F4D1" w14:textId="09545265" w:rsidR="00CA4AE5" w:rsidRPr="00387397" w:rsidRDefault="00EB336C" w:rsidP="00387397">
      <w:pPr>
        <w:spacing w:line="480" w:lineRule="auto"/>
        <w:outlineLvl w:val="0"/>
        <w:rPr>
          <w:b/>
          <w:bCs/>
          <w:color w:val="000000" w:themeColor="text1"/>
        </w:rPr>
      </w:pPr>
      <w:r w:rsidRPr="00387397">
        <w:rPr>
          <w:b/>
          <w:bCs/>
          <w:color w:val="000000" w:themeColor="text1"/>
        </w:rPr>
        <w:t>4</w:t>
      </w:r>
      <w:r w:rsidR="00B23251" w:rsidRPr="00387397">
        <w:rPr>
          <w:b/>
          <w:bCs/>
          <w:color w:val="000000" w:themeColor="text1"/>
        </w:rPr>
        <w:t>.2</w:t>
      </w:r>
      <w:r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387397">
      <w:pPr>
        <w:spacing w:line="480" w:lineRule="auto"/>
        <w:rPr>
          <w:color w:val="000000" w:themeColor="text1"/>
        </w:rPr>
      </w:pPr>
      <w:r w:rsidRPr="00387397">
        <w:rPr>
          <w:color w:val="000000" w:themeColor="text1"/>
        </w:rPr>
        <w:t>In this section, we compare each standard to its previous version and to the contemporary version from its competitor.</w:t>
      </w:r>
      <w:r w:rsidR="00E01B27" w:rsidRPr="00387397">
        <w:rPr>
          <w:color w:val="000000" w:themeColor="text1"/>
        </w:rPr>
        <w:t xml:space="preserve"> </w:t>
      </w:r>
      <w:r w:rsidR="00E01B27" w:rsidRPr="00387397">
        <w:t xml:space="preserve">We assess revisions in the FSC- International’s 2012 Revised Principles and Criteria 01-001 Version 5-0 (FSC–P&amp;C), and we compare them to the PEFC’s Sustainable </w:t>
      </w:r>
      <w:r w:rsidR="00E01B27" w:rsidRPr="00387397">
        <w:lastRenderedPageBreak/>
        <w:t xml:space="preserve">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387397" w:rsidRDefault="0026549F" w:rsidP="00387397">
      <w:pPr>
        <w:spacing w:line="480" w:lineRule="auto"/>
        <w:outlineLvl w:val="0"/>
        <w:rPr>
          <w:b/>
          <w:color w:val="000000" w:themeColor="text1"/>
        </w:rPr>
      </w:pPr>
    </w:p>
    <w:p w14:paraId="01671F0E" w14:textId="24194310" w:rsidR="0026549F" w:rsidRPr="00387397" w:rsidRDefault="00B23251" w:rsidP="00387397">
      <w:pPr>
        <w:spacing w:line="480" w:lineRule="auto"/>
        <w:outlineLvl w:val="0"/>
        <w:rPr>
          <w:b/>
          <w:bCs/>
          <w:color w:val="000000" w:themeColor="text1"/>
        </w:rPr>
      </w:pPr>
      <w:r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7084E0E2" w:rsidR="0026549F" w:rsidRPr="00387397" w:rsidRDefault="00E85DFF" w:rsidP="00387397">
      <w:pPr>
        <w:spacing w:line="480" w:lineRule="auto"/>
        <w:rPr>
          <w:bCs/>
          <w:color w:val="000000" w:themeColor="text1"/>
        </w:rPr>
      </w:pPr>
      <w:r w:rsidRPr="00387397">
        <w:rPr>
          <w:b/>
          <w:bCs/>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w:t>
      </w:r>
      <w:r w:rsidR="0026549F" w:rsidRPr="00387397">
        <w:rPr>
          <w:bCs/>
          <w:color w:val="000000" w:themeColor="text1"/>
        </w:rPr>
        <w:lastRenderedPageBreak/>
        <w:t>requirements are more prescriptive on 9 of the key issues</w:t>
      </w:r>
      <w:r w:rsidR="009E2BA4">
        <w:rPr>
          <w:bCs/>
          <w:color w:val="000000" w:themeColor="text1"/>
        </w:rPr>
        <w:t>, with both programs being equally prescriptive on 19 key issues</w:t>
      </w:r>
      <w:r w:rsidR="0026549F" w:rsidRPr="00387397">
        <w:rPr>
          <w:bCs/>
          <w:color w:val="000000" w:themeColor="text1"/>
        </w:rPr>
        <w:t xml:space="preserve"> (see Figure </w:t>
      </w:r>
      <w:r w:rsidR="009E2BA4">
        <w:rPr>
          <w:bCs/>
          <w:color w:val="000000" w:themeColor="text1"/>
        </w:rPr>
        <w:t>3</w:t>
      </w:r>
      <w:r w:rsidR="0026549F" w:rsidRPr="00387397">
        <w:rPr>
          <w:bCs/>
          <w:color w:val="000000" w:themeColor="text1"/>
        </w:rPr>
        <w:t>).</w:t>
      </w:r>
    </w:p>
    <w:p w14:paraId="311BD99F" w14:textId="77777777" w:rsidR="0026549F" w:rsidRPr="00387397" w:rsidRDefault="0026549F" w:rsidP="00387397">
      <w:pPr>
        <w:spacing w:line="480" w:lineRule="auto"/>
        <w:rPr>
          <w:color w:val="000000" w:themeColor="text1"/>
        </w:rPr>
      </w:pPr>
    </w:p>
    <w:p w14:paraId="6474D36F" w14:textId="34B43071" w:rsidR="00624586" w:rsidRPr="00387397" w:rsidRDefault="00634A09" w:rsidP="00387397">
      <w:pPr>
        <w:spacing w:line="480" w:lineRule="auto"/>
        <w:rPr>
          <w:bCs/>
          <w:color w:val="000000" w:themeColor="text1"/>
        </w:rPr>
      </w:pPr>
      <w:r w:rsidRPr="00387397">
        <w:rPr>
          <w:bCs/>
          <w:color w:val="000000" w:themeColor="text1"/>
        </w:rPr>
        <w:t xml:space="preserve">[FIGURE </w:t>
      </w:r>
      <w:r w:rsidR="009E2BA4">
        <w:rPr>
          <w:bCs/>
          <w:color w:val="000000" w:themeColor="text1"/>
        </w:rPr>
        <w:t>3</w:t>
      </w:r>
      <w:r w:rsidR="00EC5F32" w:rsidRPr="00387397">
        <w:rPr>
          <w:bCs/>
          <w:color w:val="000000" w:themeColor="text1"/>
        </w:rPr>
        <w:t>]</w:t>
      </w:r>
    </w:p>
    <w:p w14:paraId="0E7ADFEC" w14:textId="77777777" w:rsidR="000F4B18" w:rsidRPr="00387397" w:rsidRDefault="000F4B18" w:rsidP="00387397">
      <w:pPr>
        <w:spacing w:line="480" w:lineRule="auto"/>
        <w:rPr>
          <w:bCs/>
          <w:color w:val="000000" w:themeColor="text1"/>
        </w:rPr>
      </w:pPr>
    </w:p>
    <w:p w14:paraId="2A9CF161" w14:textId="77D57A1D" w:rsidR="0026549F" w:rsidRPr="00387397" w:rsidRDefault="005E6C40" w:rsidP="00387397">
      <w:pPr>
        <w:spacing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 xml:space="preserve">suggests that forests should be certified only if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387397">
      <w:pPr>
        <w:spacing w:line="480" w:lineRule="auto"/>
        <w:rPr>
          <w:color w:val="000000" w:themeColor="text1"/>
        </w:rPr>
      </w:pPr>
    </w:p>
    <w:p w14:paraId="24EC972F" w14:textId="038369E6" w:rsidR="0026549F" w:rsidRPr="00387397" w:rsidRDefault="0026549F" w:rsidP="00387397">
      <w:pPr>
        <w:spacing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w:t>
      </w:r>
      <w:r w:rsidRPr="00387397">
        <w:rPr>
          <w:color w:val="000000" w:themeColor="text1"/>
        </w:rPr>
        <w:lastRenderedPageBreak/>
        <w:t xml:space="preserve">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w:t>
      </w:r>
      <w:proofErr w:type="gramStart"/>
      <w:r w:rsidRPr="00387397">
        <w:rPr>
          <w:color w:val="000000" w:themeColor="text1"/>
        </w:rPr>
        <w:t>take</w:t>
      </w:r>
      <w:r w:rsidR="006B7B51" w:rsidRPr="00387397">
        <w:rPr>
          <w:color w:val="000000" w:themeColor="text1"/>
        </w:rPr>
        <w:t>s</w:t>
      </w:r>
      <w:proofErr w:type="gramEnd"/>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 xml:space="preserve">and other stakeholders” are the </w:t>
      </w:r>
      <w:proofErr w:type="gramStart"/>
      <w:r w:rsidR="003478ED" w:rsidRPr="00387397">
        <w:rPr>
          <w:bCs/>
          <w:color w:val="000000" w:themeColor="text1"/>
        </w:rPr>
        <w:t>same.</w:t>
      </w:r>
      <w:proofErr w:type="gramEnd"/>
    </w:p>
    <w:p w14:paraId="2370AB63" w14:textId="77777777" w:rsidR="0026549F" w:rsidRPr="00387397" w:rsidRDefault="0026549F" w:rsidP="00387397">
      <w:pPr>
        <w:spacing w:line="480" w:lineRule="auto"/>
        <w:rPr>
          <w:bCs/>
          <w:color w:val="000000" w:themeColor="text1"/>
        </w:rPr>
      </w:pPr>
    </w:p>
    <w:p w14:paraId="3B7FF39D" w14:textId="2B10418B" w:rsidR="0026549F" w:rsidRPr="00387397" w:rsidRDefault="003478ED" w:rsidP="00387397">
      <w:pPr>
        <w:spacing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requirements are similar on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387397">
      <w:pPr>
        <w:spacing w:line="480" w:lineRule="auto"/>
        <w:rPr>
          <w:bCs/>
          <w:color w:val="000000" w:themeColor="text1"/>
        </w:rPr>
      </w:pPr>
    </w:p>
    <w:p w14:paraId="46683B83" w14:textId="360A9414" w:rsidR="00F12B7E"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w:t>
      </w:r>
      <w:r w:rsidR="0026549F" w:rsidRPr="00387397">
        <w:rPr>
          <w:color w:val="000000" w:themeColor="text1"/>
        </w:rPr>
        <w:lastRenderedPageBreak/>
        <w:t xml:space="preserve">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 (see Figure 3)</w:t>
      </w:r>
      <w:r w:rsidR="003E5FE4" w:rsidRPr="00387397">
        <w:rPr>
          <w:color w:val="000000" w:themeColor="text1"/>
        </w:rPr>
        <w:t>.</w:t>
      </w:r>
    </w:p>
    <w:p w14:paraId="72B84ECD" w14:textId="77777777" w:rsidR="0026549F" w:rsidRPr="00387397" w:rsidRDefault="0026549F" w:rsidP="00387397">
      <w:pPr>
        <w:spacing w:line="480" w:lineRule="auto"/>
        <w:rPr>
          <w:color w:val="000000" w:themeColor="text1"/>
        </w:rPr>
      </w:pPr>
    </w:p>
    <w:p w14:paraId="675BF9B3" w14:textId="4C5740BB" w:rsidR="0026549F" w:rsidRPr="00387397" w:rsidRDefault="0026549F" w:rsidP="00387397">
      <w:pPr>
        <w:spacing w:line="480" w:lineRule="auto"/>
        <w:outlineLvl w:val="0"/>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2087895" w:rsidR="005A10A8" w:rsidRPr="00387397" w:rsidRDefault="00740FB6" w:rsidP="00387397">
      <w:pPr>
        <w:spacing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1079E6" w:rsidRPr="00387397">
        <w:rPr>
          <w:color w:val="000000" w:themeColor="text1"/>
        </w:rPr>
        <w:t xml:space="preserve">a national-level analysis reveals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as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key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pane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437DCE6F" w14:textId="77777777" w:rsidR="00740FB6" w:rsidRPr="00387397" w:rsidRDefault="00740FB6" w:rsidP="00387397">
      <w:pPr>
        <w:spacing w:line="480" w:lineRule="auto"/>
        <w:rPr>
          <w:color w:val="000000" w:themeColor="text1"/>
        </w:rPr>
      </w:pPr>
    </w:p>
    <w:p w14:paraId="59C05B5C" w14:textId="67E25C68" w:rsidR="00740FB6" w:rsidRPr="00387397" w:rsidRDefault="00740FB6" w:rsidP="00387397">
      <w:pPr>
        <w:spacing w:line="480" w:lineRule="auto"/>
        <w:rPr>
          <w:color w:val="000000" w:themeColor="text1"/>
        </w:rPr>
      </w:pPr>
      <w:r w:rsidRPr="00387397">
        <w:rPr>
          <w:color w:val="000000" w:themeColor="text1"/>
        </w:rPr>
        <w:t xml:space="preserve">While fairly stable, there have been some changes in each program’s scope. Both programs added requirements on greenhouse gasses in 2010. SFI allows for </w:t>
      </w:r>
      <w:r w:rsidR="00EE093F" w:rsidRPr="00387397">
        <w:rPr>
          <w:color w:val="000000" w:themeColor="text1"/>
        </w:rPr>
        <w:t xml:space="preserve">the </w:t>
      </w:r>
      <w:r w:rsidRPr="00387397">
        <w:rPr>
          <w:color w:val="000000" w:themeColor="text1"/>
        </w:rPr>
        <w:t xml:space="preserve">conversion of natural forests to plantations if ecological impacts are not significant and the converted forest type is not </w:t>
      </w:r>
      <w:r w:rsidRPr="00387397">
        <w:rPr>
          <w:color w:val="000000" w:themeColor="text1"/>
        </w:rPr>
        <w:lastRenderedPageBreak/>
        <w:t>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restored to, natural conditions.</w:t>
      </w:r>
    </w:p>
    <w:p w14:paraId="4C79F329" w14:textId="77777777" w:rsidR="00634A09" w:rsidRPr="00387397" w:rsidRDefault="00634A09" w:rsidP="00387397">
      <w:pPr>
        <w:spacing w:line="480" w:lineRule="auto"/>
        <w:rPr>
          <w:color w:val="000000" w:themeColor="text1"/>
        </w:rPr>
      </w:pPr>
    </w:p>
    <w:p w14:paraId="787C353F" w14:textId="4A06ED61" w:rsidR="00624586" w:rsidRPr="00387397" w:rsidRDefault="00634A09" w:rsidP="00387397">
      <w:pPr>
        <w:spacing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33B125EF" w14:textId="77777777" w:rsidR="005A10A8" w:rsidRPr="00387397" w:rsidRDefault="005A10A8" w:rsidP="00387397">
      <w:pPr>
        <w:spacing w:line="480" w:lineRule="auto"/>
        <w:rPr>
          <w:color w:val="000000" w:themeColor="text1"/>
        </w:rPr>
      </w:pPr>
    </w:p>
    <w:p w14:paraId="556EB48D" w14:textId="1465B537" w:rsidR="0026549F" w:rsidRPr="00387397" w:rsidRDefault="00A619E4" w:rsidP="00387397">
      <w:pPr>
        <w:spacing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FE4236" w:rsidRPr="00387397">
        <w:rPr>
          <w:color w:val="000000" w:themeColor="text1"/>
        </w:rPr>
        <w:t>HCVFs under the FSC-US require</w:t>
      </w:r>
      <w:r w:rsidR="005A10A8" w:rsidRPr="00387397">
        <w:rPr>
          <w:color w:val="000000" w:themeColor="text1"/>
        </w:rPr>
        <w:t xml:space="preserve"> significantly more </w:t>
      </w:r>
      <w:r w:rsidR="001D23AD" w:rsidRPr="00387397">
        <w:rPr>
          <w:color w:val="000000" w:themeColor="text1"/>
        </w:rPr>
        <w:t>than baseline practices</w:t>
      </w:r>
      <w:r w:rsidR="009D0D50" w:rsidRPr="00387397">
        <w:rPr>
          <w:color w:val="000000" w:themeColor="text1"/>
        </w:rPr>
        <w:t xml:space="preserve"> </w:t>
      </w:r>
      <w:r w:rsidR="009D0D50" w:rsidRPr="00387397">
        <w:rPr>
          <w:color w:val="000000" w:themeColor="text1"/>
        </w:rPr>
        <w:fldChar w:fldCharType="begin" w:fldLock="1"/>
      </w:r>
      <w:r w:rsidR="00436ACB" w:rsidRPr="00387397">
        <w:rPr>
          <w:color w:val="000000" w:themeColor="text1"/>
        </w:rPr>
        <w:instrText>ADDIN CSL_CITATION { "citationItems" : [ { "id" : "ITEM-1", "itemData" : { "abstract" : "Title from contents screen (ScienceDirect, viewed Nov. 6, 2003).", "author"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"container-title" : "Forest Policy and Economics", "id" : "ITEM-1", "issue" : "3", "issued" : { "date-parts" : [ [ "2006" ] ] }, "page" : "197-208", "publisher" : "Elsevier", "title" : "Does Forest Certification Matter? An Analysis of Operation-level changes required during the SmartWood Certification Process in the United States", "type" : "article-journal", "volume" : "9" }, "uris" : [ "http://www.mendeley.com/documents/?uuid=027f1869-8a77-398b-9ef7-0519226a490c" ] } ], "mendeley" : { "formattedCitation" : "(Newsom et al., 2006)", "plainTextFormattedCitation" : "(Newsom et al., 2006)", "previouslyFormattedCitation" : "(Newsom et al., 2006)" }, "properties" : {  }, "schema" : "https://github.com/citation-style-language/schema/raw/master/csl-citation.json" }</w:instrText>
      </w:r>
      <w:r w:rsidR="009D0D50" w:rsidRPr="00387397">
        <w:rPr>
          <w:color w:val="000000" w:themeColor="text1"/>
        </w:rPr>
        <w:fldChar w:fldCharType="separate"/>
      </w:r>
      <w:r w:rsidR="009D0D50" w:rsidRPr="00387397">
        <w:rPr>
          <w:noProof/>
          <w:color w:val="000000" w:themeColor="text1"/>
        </w:rPr>
        <w:t>(Newsom et al., 2006)</w:t>
      </w:r>
      <w:r w:rsidR="009D0D50" w:rsidRPr="00387397">
        <w:rPr>
          <w:color w:val="000000" w:themeColor="text1"/>
        </w:rPr>
        <w:fldChar w:fldCharType="end"/>
      </w:r>
      <w:r w:rsidR="009D0D50" w:rsidRPr="00387397">
        <w:rPr>
          <w:color w:val="000000" w:themeColor="text1"/>
        </w:rPr>
        <w:t xml:space="preserve">, </w:t>
      </w:r>
      <w:r w:rsidR="005A10A8" w:rsidRPr="00387397">
        <w:rPr>
          <w:color w:val="000000" w:themeColor="text1"/>
        </w:rPr>
        <w:t xml:space="preserve">while SFI’s FECV requirements have been criticized as not significantly exceeding legal baselines which already protect threatened and endangered species. In these different contexts, a requirement for monitoring or collecting data can have significantly </w:t>
      </w:r>
      <w:r w:rsidR="005A10A8" w:rsidRPr="00387397">
        <w:rPr>
          <w:color w:val="000000" w:themeColor="text1"/>
        </w:rPr>
        <w:lastRenderedPageBreak/>
        <w:t xml:space="preserve">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387397">
      <w:pPr>
        <w:spacing w:line="480" w:lineRule="auto"/>
        <w:rPr>
          <w:color w:val="000000" w:themeColor="text1"/>
        </w:rPr>
      </w:pPr>
    </w:p>
    <w:p w14:paraId="23805825" w14:textId="53BAAA10" w:rsidR="00537ABD" w:rsidRPr="00387397" w:rsidRDefault="00740FB6" w:rsidP="00387397">
      <w:pPr>
        <w:spacing w:line="480" w:lineRule="auto"/>
        <w:rPr>
          <w:color w:val="000000" w:themeColor="text1"/>
        </w:rPr>
      </w:pPr>
      <w:r w:rsidRPr="00387397">
        <w:rPr>
          <w:b/>
          <w:color w:val="000000" w:themeColor="text1"/>
        </w:rPr>
        <w:t>Policy Settings:</w:t>
      </w:r>
      <w:r w:rsidRPr="00387397">
        <w:rPr>
          <w:color w:val="000000" w:themeColor="text1"/>
        </w:rPr>
        <w:t xml:space="preserve"> </w:t>
      </w:r>
      <w:proofErr w:type="gramStart"/>
      <w:r w:rsidRPr="00387397">
        <w:rPr>
          <w:color w:val="000000" w:themeColor="text1"/>
        </w:rPr>
        <w:t>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proofErr w:type="gramEnd"/>
      <w:r w:rsidR="00CA225D" w:rsidRPr="00387397">
        <w:rPr>
          <w:color w:val="000000" w:themeColor="text1"/>
        </w:rPr>
        <w:t xml:space="preserve">. SFI limits </w:t>
      </w:r>
      <w:proofErr w:type="spellStart"/>
      <w:r w:rsidR="00CA225D" w:rsidRPr="00387397">
        <w:rPr>
          <w:color w:val="000000" w:themeColor="text1"/>
        </w:rPr>
        <w:t>clearcuts</w:t>
      </w:r>
      <w:proofErr w:type="spellEnd"/>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387397">
      <w:pPr>
        <w:spacing w:line="480" w:lineRule="auto"/>
        <w:rPr>
          <w:color w:val="000000" w:themeColor="text1"/>
        </w:rPr>
      </w:pPr>
    </w:p>
    <w:p w14:paraId="5E730996" w14:textId="53451E95" w:rsidR="007750C3" w:rsidRPr="00387397" w:rsidRDefault="00C56DF8" w:rsidP="00387397">
      <w:pPr>
        <w:spacing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lastRenderedPageBreak/>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387397">
      <w:pPr>
        <w:spacing w:line="480" w:lineRule="auto"/>
        <w:rPr>
          <w:color w:val="000000" w:themeColor="text1"/>
        </w:rPr>
      </w:pPr>
    </w:p>
    <w:p w14:paraId="71FD3503" w14:textId="6B74CE91" w:rsidR="003151F8"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 w</w:t>
      </w:r>
      <w:r w:rsidR="007944E5" w:rsidRPr="00387397">
        <w:rPr>
          <w:color w:val="000000" w:themeColor="text1"/>
        </w:rPr>
        <w:t>e find</w:t>
      </w:r>
      <w:r w:rsidR="005A10A8" w:rsidRPr="00387397">
        <w:rPr>
          <w:color w:val="000000" w:themeColor="text1"/>
        </w:rPr>
        <w:t xml:space="preserve"> that each standard continues to have</w:t>
      </w:r>
      <w:r w:rsidR="003151F8" w:rsidRPr="00387397">
        <w:rPr>
          <w:color w:val="000000" w:themeColor="text1"/>
        </w:rPr>
        <w:t xml:space="preserve"> a different overarching focus reflected in the distinct areas</w:t>
      </w:r>
      <w:r w:rsidR="005A10A8" w:rsidRPr="00387397">
        <w:rPr>
          <w:color w:val="000000" w:themeColor="text1"/>
        </w:rPr>
        <w:t xml:space="preserve"> in which each standard is most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35782" w:rsidRPr="00387397">
        <w:rPr>
          <w:color w:val="000000" w:themeColor="text1"/>
        </w:rPr>
        <w:t>,</w:t>
      </w:r>
      <w:r w:rsidR="005A10A8" w:rsidRPr="00387397">
        <w:rPr>
          <w:color w:val="000000" w:themeColor="text1"/>
        </w:rPr>
        <w:t>”</w:t>
      </w:r>
      <w:r w:rsidR="003151F8" w:rsidRPr="00387397">
        <w:rPr>
          <w:color w:val="000000" w:themeColor="text1"/>
        </w:rPr>
        <w:t xml:space="preserve"> reflecting the interests of the environmental groups that founded the FSC.</w:t>
      </w:r>
      <w:r w:rsidR="005A10A8" w:rsidRPr="00387397">
        <w:rPr>
          <w:color w:val="000000" w:themeColor="text1"/>
        </w:rPr>
        <w:t xml:space="preserve"> This language appears more frequently and forcefully in the 2010 standard concerning issues including </w:t>
      </w:r>
      <w:proofErr w:type="spellStart"/>
      <w:r w:rsidR="005A10A8" w:rsidRPr="00387397">
        <w:rPr>
          <w:color w:val="000000" w:themeColor="text1"/>
        </w:rPr>
        <w:t>clearcutting</w:t>
      </w:r>
      <w:proofErr w:type="spellEnd"/>
      <w:r w:rsidR="005A10A8" w:rsidRPr="00387397">
        <w:rPr>
          <w:color w:val="000000" w:themeColor="text1"/>
        </w:rPr>
        <w:t xml:space="preserve">, riparian management, HCVFs, protected areas, </w:t>
      </w:r>
      <w:r w:rsidR="00CA1D20" w:rsidRPr="00387397">
        <w:rPr>
          <w:color w:val="000000" w:themeColor="text1"/>
        </w:rPr>
        <w:t>old-growth</w:t>
      </w:r>
      <w:r w:rsidR="005A10A8" w:rsidRPr="00387397">
        <w:rPr>
          <w:color w:val="000000" w:themeColor="text1"/>
        </w:rPr>
        <w:t xml:space="preserve"> forests, snags 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387397">
      <w:pPr>
        <w:spacing w:line="480" w:lineRule="auto"/>
        <w:rPr>
          <w:color w:val="000000" w:themeColor="text1"/>
        </w:rPr>
      </w:pPr>
    </w:p>
    <w:p w14:paraId="5F2C6B5C" w14:textId="2D0C303A" w:rsidR="005A10A8" w:rsidRPr="00387397" w:rsidRDefault="005A10A8" w:rsidP="00387397">
      <w:pPr>
        <w:spacing w:line="480" w:lineRule="auto"/>
        <w:rPr>
          <w:color w:val="000000" w:themeColor="text1"/>
        </w:rPr>
      </w:pPr>
      <w:r w:rsidRPr="00387397">
        <w:rPr>
          <w:color w:val="000000" w:themeColor="text1"/>
        </w:rPr>
        <w:lastRenderedPageBreak/>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9"/>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387397">
      <w:pPr>
        <w:spacing w:line="480" w:lineRule="auto"/>
        <w:rPr>
          <w:color w:val="000000" w:themeColor="text1"/>
        </w:rPr>
      </w:pPr>
    </w:p>
    <w:p w14:paraId="4385399D" w14:textId="7AB2DB85" w:rsidR="00355ED4" w:rsidRPr="00387397" w:rsidRDefault="00A13B1C" w:rsidP="00387397">
      <w:pPr>
        <w:spacing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387397">
      <w:pPr>
        <w:spacing w:line="480" w:lineRule="auto"/>
        <w:rPr>
          <w:color w:val="000000" w:themeColor="text1"/>
        </w:rPr>
      </w:pPr>
    </w:p>
    <w:p w14:paraId="410AB2E3" w14:textId="3A9C7C78" w:rsidR="00EA607B" w:rsidRPr="00387397" w:rsidRDefault="00EA607B" w:rsidP="00387397">
      <w:pPr>
        <w:spacing w:line="480" w:lineRule="auto"/>
        <w:outlineLvl w:val="0"/>
        <w:rPr>
          <w:b/>
          <w:bCs/>
          <w:color w:val="000000" w:themeColor="text1"/>
        </w:rPr>
      </w:pPr>
      <w:r w:rsidRPr="00387397">
        <w:rPr>
          <w:b/>
          <w:bCs/>
          <w:color w:val="000000" w:themeColor="text1"/>
        </w:rPr>
        <w:t xml:space="preserve">5 </w:t>
      </w:r>
      <w:proofErr w:type="gramStart"/>
      <w:r w:rsidR="003F460C" w:rsidRPr="00387397">
        <w:rPr>
          <w:b/>
          <w:bCs/>
          <w:color w:val="000000" w:themeColor="text1"/>
        </w:rPr>
        <w:t>Discussion</w:t>
      </w:r>
      <w:proofErr w:type="gramEnd"/>
    </w:p>
    <w:p w14:paraId="3077698D" w14:textId="205FEAE0" w:rsidR="00174015" w:rsidRPr="00387397" w:rsidRDefault="00174015" w:rsidP="00387397">
      <w:pPr>
        <w:spacing w:line="480" w:lineRule="auto"/>
        <w:rPr>
          <w:b/>
        </w:rPr>
      </w:pPr>
      <w:r w:rsidRPr="00387397">
        <w:rPr>
          <w:b/>
        </w:rPr>
        <w:t xml:space="preserve">5.1 Overall </w:t>
      </w:r>
      <w:r w:rsidR="009E2BA4">
        <w:rPr>
          <w:b/>
        </w:rPr>
        <w:t>c</w:t>
      </w:r>
      <w:r w:rsidRPr="00387397">
        <w:rPr>
          <w:b/>
        </w:rPr>
        <w:t>omparison</w:t>
      </w:r>
    </w:p>
    <w:p w14:paraId="125D530E" w14:textId="169968D1" w:rsidR="00BA52AF" w:rsidRPr="00387397" w:rsidRDefault="00BA52AF" w:rsidP="00387397">
      <w:pPr>
        <w:spacing w:line="480" w:lineRule="auto"/>
      </w:pPr>
      <w:r w:rsidRPr="00387397">
        <w:lastRenderedPageBreak/>
        <w:t xml:space="preserve">Our framework improves upon extant blunt claims of “high” or “low” stringency, by disaggregating policy substance to allow more nuanced empirical results. </w:t>
      </w:r>
      <w:r w:rsidR="00CC684D" w:rsidRPr="00387397">
        <w:t>These issue-specific results can then be aggregated to</w:t>
      </w:r>
      <w:r w:rsidRPr="00387397">
        <w:t xml:space="preserve"> make more general observations: First, </w:t>
      </w:r>
      <w:r w:rsidR="00CC684D" w:rsidRPr="00387397">
        <w:t>on both scope and prescriptiveness dimensions</w:t>
      </w:r>
      <w:r w:rsidR="00A61891" w:rsidRPr="00387397">
        <w:t>, in 2016</w:t>
      </w:r>
      <w:r w:rsidR="00CC684D" w:rsidRPr="00387397">
        <w:t xml:space="preserve"> </w:t>
      </w:r>
      <w:r w:rsidRPr="00387397">
        <w:t>the FSC-US stand</w:t>
      </w:r>
      <w:r w:rsidR="00A61891" w:rsidRPr="00387397">
        <w:t>ard was</w:t>
      </w:r>
      <w:r w:rsidRPr="00387397">
        <w:t xml:space="preserve"> clearly more stringent than the SFI standard on ecological </w:t>
      </w:r>
      <w:r w:rsidR="00CC684D" w:rsidRPr="00387397">
        <w:t>goals</w:t>
      </w:r>
      <w:r w:rsidRPr="00387397">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387397">
        <w:t>y, one could say that FSC-US had</w:t>
      </w:r>
      <w:r w:rsidRPr="00387397">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387397">
        <w:t>ha</w:t>
      </w:r>
      <w:r w:rsidR="00A61891" w:rsidRPr="00387397">
        <w:t>d</w:t>
      </w:r>
      <w:r w:rsidR="00E74A0D" w:rsidRPr="00387397">
        <w:t xml:space="preserve"> </w:t>
      </w:r>
      <w:r w:rsidRPr="00387397">
        <w:t xml:space="preserve">more </w:t>
      </w:r>
      <w:r w:rsidR="0093104F" w:rsidRPr="00387397">
        <w:t>requirements on</w:t>
      </w:r>
      <w:r w:rsidRPr="00387397">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387397">
        <w:t xml:space="preserve">is </w:t>
      </w:r>
      <w:r w:rsidRPr="00387397">
        <w:t xml:space="preserve">more prescriptive, and </w:t>
      </w:r>
      <w:r w:rsidR="00B15A4A" w:rsidRPr="00387397">
        <w:t>requires increasingly</w:t>
      </w:r>
      <w:r w:rsidRPr="00387397">
        <w:t xml:space="preserve"> difficult to achieve performance levels. </w:t>
      </w:r>
    </w:p>
    <w:p w14:paraId="51EA9E94" w14:textId="77777777" w:rsidR="00827E41" w:rsidRPr="00387397" w:rsidRDefault="00827E41" w:rsidP="00387397">
      <w:pPr>
        <w:spacing w:line="480" w:lineRule="auto"/>
      </w:pPr>
    </w:p>
    <w:p w14:paraId="2147F849" w14:textId="77777777" w:rsidR="00BA52AF" w:rsidRPr="00387397" w:rsidRDefault="00BA52AF" w:rsidP="00387397">
      <w:pPr>
        <w:spacing w:line="480" w:lineRule="auto"/>
      </w:pPr>
    </w:p>
    <w:p w14:paraId="610CC4D6" w14:textId="7A5383C3" w:rsidR="00BA52AF" w:rsidRPr="00387397" w:rsidRDefault="00174015" w:rsidP="00387397">
      <w:pPr>
        <w:spacing w:line="480" w:lineRule="auto"/>
        <w:rPr>
          <w:b/>
        </w:rPr>
      </w:pPr>
      <w:r w:rsidRPr="00387397">
        <w:rPr>
          <w:b/>
        </w:rPr>
        <w:lastRenderedPageBreak/>
        <w:t>5.2 Patterns of change</w:t>
      </w:r>
    </w:p>
    <w:p w14:paraId="30D286B5" w14:textId="5C9B40AE" w:rsidR="00827E41" w:rsidRPr="00387397" w:rsidRDefault="00AC00D0" w:rsidP="00387397">
      <w:pPr>
        <w:spacing w:line="480" w:lineRule="auto"/>
      </w:pPr>
      <w:r w:rsidRPr="00387397">
        <w:t xml:space="preserve">The dominant patterns were equilibrium and upward divergence. </w:t>
      </w:r>
      <w:r w:rsidR="0006633A" w:rsidRPr="00387397">
        <w:t>In most years,</w:t>
      </w:r>
      <w:r w:rsidR="00D97AD7" w:rsidRPr="00387397">
        <w:t xml:space="preserve"> neither program changed on any issue (the center cell in Figure 1</w:t>
      </w:r>
      <w:r w:rsidR="00D52201" w:rsidRPr="00387397">
        <w:t>, “equilibrium”)</w:t>
      </w:r>
      <w:r w:rsidR="00D97AD7" w:rsidRPr="00387397">
        <w:t>.</w:t>
      </w:r>
      <w:r w:rsidR="00D52201" w:rsidRPr="00387397">
        <w:t xml:space="preserve"> Most changes for both programs occurred in</w:t>
      </w:r>
      <w:r w:rsidR="0006633A" w:rsidRPr="00387397">
        <w:t xml:space="preserve"> 2010 </w:t>
      </w:r>
      <w:r w:rsidR="008E652F" w:rsidRPr="00387397">
        <w:t>where</w:t>
      </w:r>
      <w:r w:rsidR="0006633A" w:rsidRPr="00387397">
        <w:t xml:space="preserve"> the overall pattern was</w:t>
      </w:r>
      <w:r w:rsidR="00D52201" w:rsidRPr="00387397">
        <w:t xml:space="preserve"> divergence </w:t>
      </w:r>
      <w:r w:rsidR="0006633A" w:rsidRPr="00387397">
        <w:t>(also called</w:t>
      </w:r>
      <w:r w:rsidR="00D52201" w:rsidRPr="00387397">
        <w:t xml:space="preserve"> differentiation</w:t>
      </w:r>
      <w:r w:rsidR="0006633A" w:rsidRPr="00387397">
        <w:t>)</w:t>
      </w:r>
      <w:r w:rsidR="00D52201" w:rsidRPr="00387397">
        <w:t xml:space="preserve">, rather than convergence or stability. The vast majority </w:t>
      </w:r>
      <w:r w:rsidR="006A4918" w:rsidRPr="00387397">
        <w:t>of changes</w:t>
      </w:r>
      <w:r w:rsidR="00D52201" w:rsidRPr="00387397">
        <w:t xml:space="preserve"> </w:t>
      </w:r>
      <w:r w:rsidR="00A71F5A" w:rsidRPr="00387397">
        <w:t>(twenty</w:t>
      </w:r>
      <w:r w:rsidR="00E71F57" w:rsidRPr="00387397">
        <w:t>-one</w:t>
      </w:r>
      <w:r w:rsidR="00A71F5A" w:rsidRPr="00387397">
        <w:t xml:space="preserve"> of twenty-seven </w:t>
      </w:r>
      <w:r w:rsidR="005121D7" w:rsidRPr="00387397">
        <w:t>issue</w:t>
      </w:r>
      <w:r w:rsidR="008E652F" w:rsidRPr="00387397">
        <w:t>s</w:t>
      </w:r>
      <w:r w:rsidR="005121D7" w:rsidRPr="00387397">
        <w:t xml:space="preserve"> </w:t>
      </w:r>
      <w:r w:rsidR="008E652F" w:rsidRPr="00387397">
        <w:t>changed</w:t>
      </w:r>
      <w:r w:rsidR="00A71F5A" w:rsidRPr="00387397">
        <w:t xml:space="preserve">) </w:t>
      </w:r>
      <w:r w:rsidR="0006633A" w:rsidRPr="00387397">
        <w:t>fit</w:t>
      </w:r>
      <w:r w:rsidR="00D52201" w:rsidRPr="00387397">
        <w:t xml:space="preserve"> a pattern where one program increased prescriptiveness while the other did not </w:t>
      </w:r>
      <w:r w:rsidR="00E71F57" w:rsidRPr="00387397">
        <w:t xml:space="preserve">(or in one case, did so to a lesser degree) </w:t>
      </w:r>
      <w:r w:rsidR="00D52201" w:rsidRPr="00387397">
        <w:t>and</w:t>
      </w:r>
      <w:r w:rsidR="007250B5" w:rsidRPr="00387397">
        <w:t xml:space="preserve"> the program increasing stringency </w:t>
      </w:r>
      <w:r w:rsidR="007250B5" w:rsidRPr="00387397">
        <w:rPr>
          <w:i/>
        </w:rPr>
        <w:t xml:space="preserve">already had the </w:t>
      </w:r>
      <w:r w:rsidR="008E652F" w:rsidRPr="00387397">
        <w:rPr>
          <w:i/>
        </w:rPr>
        <w:t>more</w:t>
      </w:r>
      <w:r w:rsidR="007250B5" w:rsidRPr="00387397">
        <w:rPr>
          <w:i/>
        </w:rPr>
        <w:t xml:space="preserve"> </w:t>
      </w:r>
      <w:r w:rsidRPr="00387397">
        <w:rPr>
          <w:i/>
        </w:rPr>
        <w:t>prescriptive</w:t>
      </w:r>
      <w:r w:rsidR="007250B5" w:rsidRPr="00387397">
        <w:rPr>
          <w:i/>
        </w:rPr>
        <w:t xml:space="preserve"> requirements</w:t>
      </w:r>
      <w:r w:rsidR="00366B6D" w:rsidRPr="00387397">
        <w:rPr>
          <w:i/>
        </w:rPr>
        <w:t xml:space="preserve">. </w:t>
      </w:r>
      <w:r w:rsidR="005121D7" w:rsidRPr="00387397">
        <w:t>On eighteen issues, the other program stayed the same, leading to upward divergence. On three issues</w:t>
      </w:r>
      <w:r w:rsidR="008E652F" w:rsidRPr="00387397">
        <w:t>,</w:t>
      </w:r>
      <w:r w:rsidR="005121D7" w:rsidRPr="00387397">
        <w:t xml:space="preserve"> the less prescriptive program decreased prescriptiveness, leading to opposing divergence</w:t>
      </w:r>
      <w:r w:rsidR="008E652F" w:rsidRPr="00387397">
        <w:t xml:space="preserve"> (see Table 4)</w:t>
      </w:r>
      <w:r w:rsidR="005121D7" w:rsidRPr="00387397">
        <w:t xml:space="preserve">. </w:t>
      </w:r>
      <w:r w:rsidR="00366B6D" w:rsidRPr="00387397">
        <w:t>For all</w:t>
      </w:r>
      <w:r w:rsidR="008E652F" w:rsidRPr="00387397">
        <w:t xml:space="preserve"> sixteen</w:t>
      </w:r>
      <w:r w:rsidR="00366B6D" w:rsidRPr="00387397">
        <w:t xml:space="preserve"> </w:t>
      </w:r>
      <w:r w:rsidRPr="00387397">
        <w:t xml:space="preserve">issues on which only </w:t>
      </w:r>
      <w:r w:rsidR="006A4918" w:rsidRPr="00387397">
        <w:t xml:space="preserve">the </w:t>
      </w:r>
      <w:r w:rsidRPr="00387397">
        <w:t xml:space="preserve">FSC-US </w:t>
      </w:r>
      <w:r w:rsidR="00A264DD" w:rsidRPr="00387397">
        <w:t>add</w:t>
      </w:r>
      <w:r w:rsidR="00E71F57" w:rsidRPr="00387397">
        <w:t>ed</w:t>
      </w:r>
      <w:r w:rsidR="00A264DD" w:rsidRPr="00387397">
        <w:t xml:space="preserve"> requirements</w:t>
      </w:r>
      <w:r w:rsidRPr="00387397">
        <w:t xml:space="preserve">, it already had the </w:t>
      </w:r>
      <w:r w:rsidR="008E652F" w:rsidRPr="00387397">
        <w:t>more</w:t>
      </w:r>
      <w:r w:rsidR="00D52201" w:rsidRPr="00387397">
        <w:t xml:space="preserve"> prescriptive requirements</w:t>
      </w:r>
      <w:r w:rsidR="008E652F" w:rsidRPr="00387397">
        <w:t xml:space="preserve">, and almost all of these additions </w:t>
      </w:r>
      <w:r w:rsidRPr="00387397">
        <w:t>address e</w:t>
      </w:r>
      <w:r w:rsidR="00D52201" w:rsidRPr="00387397">
        <w:t>cological problems.</w:t>
      </w:r>
      <w:r w:rsidR="00D55530" w:rsidRPr="00387397">
        <w:t xml:space="preserve"> </w:t>
      </w:r>
      <w:r w:rsidR="00D52201" w:rsidRPr="00387397">
        <w:t xml:space="preserve">Similarly, </w:t>
      </w:r>
      <w:r w:rsidR="00AA3063" w:rsidRPr="00387397">
        <w:t>for</w:t>
      </w:r>
      <w:r w:rsidR="00D52201" w:rsidRPr="00387397">
        <w:t xml:space="preserve"> three </w:t>
      </w:r>
      <w:r w:rsidR="00D55530" w:rsidRPr="00387397">
        <w:t xml:space="preserve">out of the four </w:t>
      </w:r>
      <w:r w:rsidRPr="00387397">
        <w:t xml:space="preserve">issues </w:t>
      </w:r>
      <w:r w:rsidR="008E652F" w:rsidRPr="00387397">
        <w:t>on which</w:t>
      </w:r>
      <w:r w:rsidRPr="00387397">
        <w:t xml:space="preserve"> only </w:t>
      </w:r>
      <w:r w:rsidR="006A4918" w:rsidRPr="00387397">
        <w:t xml:space="preserve">the </w:t>
      </w:r>
      <w:r w:rsidRPr="00387397">
        <w:t xml:space="preserve">SFI </w:t>
      </w:r>
      <w:r w:rsidR="00A264DD" w:rsidRPr="00387397">
        <w:t>added requirements</w:t>
      </w:r>
      <w:r w:rsidRPr="00387397">
        <w:t xml:space="preserve">, </w:t>
      </w:r>
      <w:r w:rsidR="00AA3063" w:rsidRPr="00387397">
        <w:t>the SFI</w:t>
      </w:r>
      <w:r w:rsidRPr="00387397">
        <w:t xml:space="preserve"> already ha</w:t>
      </w:r>
      <w:r w:rsidR="00D52201" w:rsidRPr="00387397">
        <w:t xml:space="preserve">d the </w:t>
      </w:r>
      <w:r w:rsidR="008E652F" w:rsidRPr="00387397">
        <w:t>more prescriptive requirements. Qualitatively, t</w:t>
      </w:r>
      <w:r w:rsidR="00D52201" w:rsidRPr="00387397">
        <w:t>hese three issues—</w:t>
      </w:r>
      <w:r w:rsidR="006A4918" w:rsidRPr="00387397">
        <w:t xml:space="preserve">maximizing the </w:t>
      </w:r>
      <w:r w:rsidR="00D52201" w:rsidRPr="00387397">
        <w:t>utilization</w:t>
      </w:r>
      <w:r w:rsidR="006A4918" w:rsidRPr="00387397">
        <w:t xml:space="preserve"> of cut trees</w:t>
      </w:r>
      <w:r w:rsidR="00D52201" w:rsidRPr="00387397">
        <w:t xml:space="preserve">, </w:t>
      </w:r>
      <w:r w:rsidR="006A4918" w:rsidRPr="00387397">
        <w:t xml:space="preserve">public </w:t>
      </w:r>
      <w:r w:rsidR="00D52201" w:rsidRPr="00387397">
        <w:t xml:space="preserve">education, and </w:t>
      </w:r>
      <w:r w:rsidR="006A4918" w:rsidRPr="00387397">
        <w:t xml:space="preserve">worker </w:t>
      </w:r>
      <w:r w:rsidR="00D52201" w:rsidRPr="00387397">
        <w:t xml:space="preserve">training—reflect </w:t>
      </w:r>
      <w:r w:rsidR="006A4918" w:rsidRPr="00387397">
        <w:t>concerns</w:t>
      </w:r>
      <w:r w:rsidR="00D52201" w:rsidRPr="00387397">
        <w:t xml:space="preserve"> </w:t>
      </w:r>
      <w:r w:rsidR="006A4918" w:rsidRPr="00387397">
        <w:t>for</w:t>
      </w:r>
      <w:r w:rsidR="00D52201" w:rsidRPr="00387397">
        <w:t xml:space="preserve"> the efficiency, reputation, and capacity of the forest products industry. </w:t>
      </w:r>
      <w:r w:rsidR="0006633A" w:rsidRPr="00387397">
        <w:t>Educating the public about forestry practices and products and training workers</w:t>
      </w:r>
      <w:r w:rsidR="006659D9" w:rsidRPr="00387397">
        <w:t xml:space="preserve"> </w:t>
      </w:r>
      <w:r w:rsidR="0006633A" w:rsidRPr="00387397">
        <w:t xml:space="preserve">are not </w:t>
      </w:r>
      <w:r w:rsidR="0093104F" w:rsidRPr="00387397">
        <w:t>privately</w:t>
      </w:r>
      <w:r w:rsidR="008E57BD" w:rsidRPr="00387397">
        <w:t xml:space="preserve"> excludable investments. Because of the wide adoption of SFI standards, s</w:t>
      </w:r>
      <w:r w:rsidR="0006633A" w:rsidRPr="00387397">
        <w:t>uch requirements may provide</w:t>
      </w:r>
      <w:r w:rsidR="008E57BD" w:rsidRPr="00387397">
        <w:t xml:space="preserve"> collective benefits </w:t>
      </w:r>
      <w:r w:rsidR="00AA3063" w:rsidRPr="00387397">
        <w:t>for the sector,</w:t>
      </w:r>
      <w:r w:rsidR="008E57BD" w:rsidRPr="00387397">
        <w:t xml:space="preserve"> in the form of a </w:t>
      </w:r>
      <w:r w:rsidR="008D05FE" w:rsidRPr="00387397">
        <w:t xml:space="preserve">positive public image and </w:t>
      </w:r>
      <w:r w:rsidR="008E57BD" w:rsidRPr="00387397">
        <w:t xml:space="preserve">skilled </w:t>
      </w:r>
      <w:r w:rsidR="0006633A" w:rsidRPr="00387397">
        <w:t>workforce</w:t>
      </w:r>
      <w:r w:rsidR="00D55530" w:rsidRPr="00387397">
        <w:t>.</w:t>
      </w:r>
    </w:p>
    <w:p w14:paraId="4B738B4C" w14:textId="77777777" w:rsidR="00366B6D" w:rsidRPr="00387397" w:rsidRDefault="00366B6D" w:rsidP="00387397">
      <w:pPr>
        <w:spacing w:line="480" w:lineRule="auto"/>
      </w:pPr>
    </w:p>
    <w:p w14:paraId="2F807028" w14:textId="1ECB61ED" w:rsidR="00366B6D" w:rsidRPr="00387397" w:rsidRDefault="001A65DD" w:rsidP="00387397">
      <w:pPr>
        <w:spacing w:line="480" w:lineRule="auto"/>
      </w:pPr>
      <w:r>
        <w:t>[Figure 1</w:t>
      </w:r>
      <w:r w:rsidR="00366B6D" w:rsidRPr="00387397">
        <w:t>]</w:t>
      </w:r>
    </w:p>
    <w:p w14:paraId="178699A9" w14:textId="77777777" w:rsidR="00827E41" w:rsidRPr="00387397" w:rsidRDefault="00827E41" w:rsidP="00387397">
      <w:pPr>
        <w:spacing w:line="480" w:lineRule="auto"/>
      </w:pPr>
    </w:p>
    <w:p w14:paraId="7F03BACC" w14:textId="7B787BC3" w:rsidR="005F6E31" w:rsidRPr="00387397" w:rsidRDefault="00A264DD" w:rsidP="00387397">
      <w:pPr>
        <w:spacing w:line="480" w:lineRule="auto"/>
      </w:pPr>
      <w:r w:rsidRPr="00387397">
        <w:lastRenderedPageBreak/>
        <w:t xml:space="preserve">Convergence and parallel change were </w:t>
      </w:r>
      <w:r w:rsidR="008E652F" w:rsidRPr="00387397">
        <w:t>uncommon patterns</w:t>
      </w:r>
      <w:r w:rsidR="00005029" w:rsidRPr="00387397">
        <w:t>. U</w:t>
      </w:r>
      <w:r w:rsidR="00E500A1" w:rsidRPr="00387397">
        <w:t xml:space="preserve">pward parallel change </w:t>
      </w:r>
      <w:r w:rsidR="00005029" w:rsidRPr="00387397">
        <w:t xml:space="preserve">occurred </w:t>
      </w:r>
      <w:r w:rsidR="00E500A1" w:rsidRPr="00387397">
        <w:t xml:space="preserve">on </w:t>
      </w:r>
      <w:r w:rsidR="0047041E" w:rsidRPr="00387397">
        <w:t xml:space="preserve">only </w:t>
      </w:r>
      <w:r w:rsidR="00005029" w:rsidRPr="00387397">
        <w:t>three</w:t>
      </w:r>
      <w:r w:rsidR="006A4918" w:rsidRPr="00387397">
        <w:t xml:space="preserve"> issues</w:t>
      </w:r>
      <w:r w:rsidR="008E652F" w:rsidRPr="00387397">
        <w:t xml:space="preserve"> in 2010: </w:t>
      </w:r>
      <w:r w:rsidR="006A4918" w:rsidRPr="00387397">
        <w:t>forest management planning</w:t>
      </w:r>
      <w:r w:rsidR="00005029" w:rsidRPr="00387397">
        <w:t xml:space="preserve">, </w:t>
      </w:r>
      <w:r w:rsidR="006A4918" w:rsidRPr="00387397">
        <w:t>controlling carbon e</w:t>
      </w:r>
      <w:r w:rsidR="00E500A1" w:rsidRPr="00387397">
        <w:t>missions,</w:t>
      </w:r>
      <w:r w:rsidR="00005029" w:rsidRPr="00387397">
        <w:t xml:space="preserve"> and reporting and consultation</w:t>
      </w:r>
      <w:r w:rsidR="008E652F" w:rsidRPr="00387397">
        <w:t>,</w:t>
      </w:r>
      <w:r w:rsidR="00005029" w:rsidRPr="00387397">
        <w:t xml:space="preserve"> </w:t>
      </w:r>
      <w:r w:rsidR="00E500A1" w:rsidRPr="00387397">
        <w:t xml:space="preserve">where both programs added requirements. </w:t>
      </w:r>
      <w:r w:rsidR="00005029" w:rsidRPr="00387397">
        <w:t xml:space="preserve">We classify the addition of </w:t>
      </w:r>
      <w:r w:rsidR="0047041E" w:rsidRPr="00387397">
        <w:t xml:space="preserve">protections for riparian zones by both </w:t>
      </w:r>
      <w:r w:rsidR="00D55530" w:rsidRPr="00387397">
        <w:t>SFI and FSC-</w:t>
      </w:r>
      <w:r w:rsidR="00005029" w:rsidRPr="00387397">
        <w:t>US</w:t>
      </w:r>
      <w:r w:rsidR="00D55530" w:rsidRPr="00387397">
        <w:t xml:space="preserve"> as another </w:t>
      </w:r>
      <w:r w:rsidRPr="00387397">
        <w:t>case</w:t>
      </w:r>
      <w:r w:rsidR="00D55530" w:rsidRPr="00387397">
        <w:t xml:space="preserve"> of upward divergence rather than upward parallel</w:t>
      </w:r>
      <w:r w:rsidR="0047041E" w:rsidRPr="00387397">
        <w:t xml:space="preserve"> change</w:t>
      </w:r>
      <w:r w:rsidR="00D55530" w:rsidRPr="00387397">
        <w:t xml:space="preserve"> because the requirements </w:t>
      </w:r>
      <w:r w:rsidR="008D05FE" w:rsidRPr="00387397">
        <w:t xml:space="preserve">for riparian protection </w:t>
      </w:r>
      <w:r w:rsidR="00D55530" w:rsidRPr="00387397">
        <w:t xml:space="preserve">added by </w:t>
      </w:r>
      <w:r w:rsidR="0014071C" w:rsidRPr="00387397">
        <w:t xml:space="preserve">the </w:t>
      </w:r>
      <w:r w:rsidR="00D55530" w:rsidRPr="00387397">
        <w:t xml:space="preserve">FSC-US are more prescriptive. </w:t>
      </w:r>
      <w:r w:rsidR="004E68D5" w:rsidRPr="00387397">
        <w:t xml:space="preserve">Upward convergence only occurred where FSC-US added requirements on the issue of “continual improvement” of harvesting </w:t>
      </w:r>
      <w:proofErr w:type="gramStart"/>
      <w:r w:rsidR="004E68D5" w:rsidRPr="00387397">
        <w:t>operations</w:t>
      </w:r>
      <w:r w:rsidR="008D05FE" w:rsidRPr="00387397">
        <w:t>,</w:t>
      </w:r>
      <w:proofErr w:type="gramEnd"/>
      <w:r w:rsidR="004E68D5" w:rsidRPr="00387397">
        <w:t xml:space="preserve"> an issue usually associated more with the SFI. This is interesting because scholars often assume that </w:t>
      </w:r>
      <w:r w:rsidR="008D05FE" w:rsidRPr="00387397">
        <w:t xml:space="preserve">private regulations that are </w:t>
      </w:r>
      <w:r w:rsidR="004E68D5" w:rsidRPr="00387397">
        <w:t xml:space="preserve">less stringent </w:t>
      </w:r>
      <w:r w:rsidR="008D05FE" w:rsidRPr="00387397">
        <w:t>overall</w:t>
      </w:r>
      <w:r w:rsidR="004E68D5" w:rsidRPr="00387397">
        <w:t xml:space="preserve"> will converge toward “benchmark” standards like FSC’s</w:t>
      </w:r>
      <w:r w:rsidR="001A65DD">
        <w:t xml:space="preserve"> (</w:t>
      </w:r>
      <w:proofErr w:type="spellStart"/>
      <w:r w:rsidR="001A65DD">
        <w:t>Overdevest</w:t>
      </w:r>
      <w:proofErr w:type="spellEnd"/>
      <w:r w:rsidR="001A65DD">
        <w:t xml:space="preserve"> 2005, 2010)</w:t>
      </w:r>
      <w:r w:rsidR="008D05FE" w:rsidRPr="00387397">
        <w:t xml:space="preserve">. Instead, </w:t>
      </w:r>
      <w:r w:rsidR="00B55EC4" w:rsidRPr="00387397">
        <w:t xml:space="preserve">in 2010, </w:t>
      </w:r>
      <w:r w:rsidR="008D05FE" w:rsidRPr="00387397">
        <w:t>we find</w:t>
      </w:r>
      <w:r w:rsidR="004E68D5" w:rsidRPr="00387397">
        <w:t xml:space="preserve"> FSC ratcheting up </w:t>
      </w:r>
      <w:r w:rsidR="008D05FE" w:rsidRPr="00387397">
        <w:t>on an issue where its competitor had</w:t>
      </w:r>
      <w:r w:rsidR="004E68D5" w:rsidRPr="00387397">
        <w:t xml:space="preserve"> more stringent requirements. Indeed, most </w:t>
      </w:r>
      <w:r w:rsidR="00005029" w:rsidRPr="00387397">
        <w:t>studies overlook</w:t>
      </w:r>
      <w:r w:rsidR="004E68D5" w:rsidRPr="00387397">
        <w:t xml:space="preserve"> the fact that industry-backed standards like the SFI are more </w:t>
      </w:r>
      <w:r w:rsidR="00005029" w:rsidRPr="00387397">
        <w:t>stringent</w:t>
      </w:r>
      <w:r w:rsidR="004E68D5" w:rsidRPr="00387397">
        <w:t xml:space="preserve"> on some issues.</w:t>
      </w:r>
      <w:r w:rsidR="008D05FE" w:rsidRPr="00387397">
        <w:t xml:space="preserve"> </w:t>
      </w:r>
      <w:r w:rsidR="00E500A1" w:rsidRPr="00387397">
        <w:t>We see downward convergence only on Community Benefits and Tenure Rights where the more prescriptive FSC</w:t>
      </w:r>
      <w:r w:rsidR="005F6E31" w:rsidRPr="00387397">
        <w:t>-US</w:t>
      </w:r>
      <w:r w:rsidR="00E500A1" w:rsidRPr="00387397">
        <w:t xml:space="preserve"> removed requirements, thus moving closer to SFI</w:t>
      </w:r>
      <w:r w:rsidR="005F6E31" w:rsidRPr="00387397">
        <w:t>.</w:t>
      </w:r>
      <w:r w:rsidR="008E57BD" w:rsidRPr="00387397">
        <w:t xml:space="preserve"> No issues exhibited downward parallel or downward diverging trajectories. </w:t>
      </w:r>
    </w:p>
    <w:p w14:paraId="19A2CB7F" w14:textId="77777777" w:rsidR="005F6E31" w:rsidRPr="00387397" w:rsidRDefault="005F6E31" w:rsidP="00387397">
      <w:pPr>
        <w:spacing w:line="480" w:lineRule="auto"/>
      </w:pPr>
    </w:p>
    <w:p w14:paraId="10ECD8D1" w14:textId="246A3AAC" w:rsidR="005F6E31" w:rsidRPr="00387397" w:rsidRDefault="005F6E31" w:rsidP="00387397">
      <w:pPr>
        <w:spacing w:line="480" w:lineRule="auto"/>
      </w:pPr>
      <w:r w:rsidRPr="00387397">
        <w:t xml:space="preserve">Since </w:t>
      </w:r>
      <w:r w:rsidR="00035782" w:rsidRPr="00387397">
        <w:t xml:space="preserve">the major revisions of both programs in </w:t>
      </w:r>
      <w:r w:rsidRPr="00387397">
        <w:t xml:space="preserve">2010, only SFI </w:t>
      </w:r>
      <w:r w:rsidR="00035782" w:rsidRPr="00387397">
        <w:t>has updated</w:t>
      </w:r>
      <w:r w:rsidR="00950CA7" w:rsidRPr="00387397">
        <w:t xml:space="preserve"> i</w:t>
      </w:r>
      <w:r w:rsidR="00035782" w:rsidRPr="00387397">
        <w:t>ts national-level requirements</w:t>
      </w:r>
      <w:r w:rsidR="000E41B5" w:rsidRPr="00387397">
        <w:t>, mostly in 2015</w:t>
      </w:r>
      <w:r w:rsidR="00035782" w:rsidRPr="00387397">
        <w:t>.</w:t>
      </w:r>
      <w:r w:rsidRPr="00387397">
        <w:t xml:space="preserve"> </w:t>
      </w:r>
      <w:r w:rsidR="00035782" w:rsidRPr="00387397">
        <w:t>I</w:t>
      </w:r>
      <w:r w:rsidR="00A264DD" w:rsidRPr="00387397">
        <w:t xml:space="preserve">n contrast to the 2010 changes, the pattern </w:t>
      </w:r>
      <w:r w:rsidR="000E41B5" w:rsidRPr="00387397">
        <w:t xml:space="preserve">in 2015 </w:t>
      </w:r>
      <w:r w:rsidR="00A264DD" w:rsidRPr="00387397">
        <w:t xml:space="preserve">is </w:t>
      </w:r>
      <w:r w:rsidR="006A4918" w:rsidRPr="00387397">
        <w:t xml:space="preserve">upward </w:t>
      </w:r>
      <w:r w:rsidR="006A4918" w:rsidRPr="00387397">
        <w:rPr>
          <w:i/>
        </w:rPr>
        <w:t>convergence</w:t>
      </w:r>
      <w:r w:rsidR="006A4918" w:rsidRPr="00387397">
        <w:t xml:space="preserve">. </w:t>
      </w:r>
      <w:r w:rsidRPr="00387397">
        <w:t xml:space="preserve">SFI increased prescriptiveness on </w:t>
      </w:r>
      <w:r w:rsidR="000E41B5" w:rsidRPr="00387397">
        <w:t xml:space="preserve">three </w:t>
      </w:r>
      <w:r w:rsidRPr="00387397">
        <w:t xml:space="preserve">issues where it did </w:t>
      </w:r>
      <w:r w:rsidRPr="00387397">
        <w:rPr>
          <w:i/>
        </w:rPr>
        <w:t>not</w:t>
      </w:r>
      <w:r w:rsidRPr="00387397">
        <w:t xml:space="preserve"> already have the most prescrip</w:t>
      </w:r>
      <w:r w:rsidR="006A4918" w:rsidRPr="00387397">
        <w:t>tive requirements</w:t>
      </w:r>
      <w:r w:rsidRPr="00387397">
        <w:t>.</w:t>
      </w:r>
      <w:r w:rsidR="0047041E" w:rsidRPr="00387397">
        <w:t xml:space="preserve"> While a smaller scale of change than 2010, </w:t>
      </w:r>
      <w:r w:rsidR="006A4918" w:rsidRPr="00387397">
        <w:t>this</w:t>
      </w:r>
      <w:r w:rsidR="0047041E" w:rsidRPr="00387397">
        <w:t xml:space="preserve"> upward convergence is notable because</w:t>
      </w:r>
      <w:r w:rsidR="006A4918" w:rsidRPr="00387397">
        <w:t xml:space="preserve"> it focuses on regulating Toxic Chemicals, Plantations, and harvesting on Tribal Lands, which may have collective economic costs rather than benefits for the industry. </w:t>
      </w:r>
    </w:p>
    <w:p w14:paraId="29981310" w14:textId="77777777" w:rsidR="008D05FE" w:rsidRPr="00387397" w:rsidRDefault="008D05FE" w:rsidP="00387397">
      <w:pPr>
        <w:spacing w:line="480" w:lineRule="auto"/>
      </w:pPr>
    </w:p>
    <w:p w14:paraId="4A20095B" w14:textId="2E049E40" w:rsidR="008D05FE" w:rsidRPr="00387397" w:rsidRDefault="008D05FE" w:rsidP="00387397">
      <w:pPr>
        <w:spacing w:line="480" w:lineRule="auto"/>
      </w:pPr>
      <w:r w:rsidRPr="00387397">
        <w:t>Overall</w:t>
      </w:r>
      <w:r w:rsidR="003C1A19" w:rsidRPr="00387397">
        <w:t>,</w:t>
      </w:r>
      <w:r w:rsidRPr="00387397">
        <w:t xml:space="preserve"> the dominant pattern of change is upward divergence</w:t>
      </w:r>
      <w:r w:rsidR="000A33FE" w:rsidRPr="00387397">
        <w:t xml:space="preserve"> on prescriptiveness and no change on scope</w:t>
      </w:r>
      <w:r w:rsidRPr="00387397">
        <w:t xml:space="preserve">. </w:t>
      </w:r>
      <w:r w:rsidR="000A33FE" w:rsidRPr="00387397">
        <w:t>Qualitatively, the upward diverging pattern results from the activist-backed FSC increasing prescriptiveness on ecological protection and the industry-backed SFI on issues that provide collective benefits to the sector. These results</w:t>
      </w:r>
      <w:r w:rsidR="00FF54F6" w:rsidRPr="00387397">
        <w:t xml:space="preserve"> </w:t>
      </w:r>
      <w:r w:rsidR="000A33FE" w:rsidRPr="00387397">
        <w:t>in hand, we can compare them to the hypotheses presented in section 2.3.</w:t>
      </w:r>
    </w:p>
    <w:p w14:paraId="1883BA08" w14:textId="77777777" w:rsidR="000A33FE" w:rsidRPr="00387397" w:rsidRDefault="000A33FE" w:rsidP="00387397">
      <w:pPr>
        <w:spacing w:line="480" w:lineRule="auto"/>
      </w:pPr>
    </w:p>
    <w:p w14:paraId="7BC7B239" w14:textId="04B3B25C" w:rsidR="0015688C" w:rsidRPr="00387397" w:rsidRDefault="000A33FE" w:rsidP="00387397">
      <w:pPr>
        <w:spacing w:line="480" w:lineRule="auto"/>
        <w:rPr>
          <w:b/>
        </w:rPr>
      </w:pPr>
      <w:r w:rsidRPr="00387397">
        <w:rPr>
          <w:b/>
        </w:rPr>
        <w:t xml:space="preserve">5.3 </w:t>
      </w:r>
      <w:r w:rsidR="00BB3C35" w:rsidRPr="00387397">
        <w:rPr>
          <w:b/>
        </w:rPr>
        <w:t>Implications for t</w:t>
      </w:r>
      <w:r w:rsidR="0014071C" w:rsidRPr="00387397">
        <w:rPr>
          <w:b/>
        </w:rPr>
        <w:t>heory</w:t>
      </w:r>
      <w:r w:rsidR="00BB3C35" w:rsidRPr="00387397">
        <w:rPr>
          <w:b/>
        </w:rPr>
        <w:t xml:space="preserve"> testing</w:t>
      </w:r>
    </w:p>
    <w:p w14:paraId="7CBAA109" w14:textId="39B7967B" w:rsidR="00217907" w:rsidRPr="00387397" w:rsidRDefault="0015688C" w:rsidP="00387397">
      <w:pPr>
        <w:spacing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387397">
      <w:pPr>
        <w:spacing w:line="480" w:lineRule="auto"/>
        <w:rPr>
          <w:color w:val="000000" w:themeColor="text1"/>
        </w:rPr>
      </w:pPr>
    </w:p>
    <w:p w14:paraId="5F31EAA4" w14:textId="39A8B20D" w:rsidR="0015688C" w:rsidRPr="00387397" w:rsidRDefault="00217907" w:rsidP="00387397">
      <w:pPr>
        <w:spacing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ins w:id="53" w:author="DJL" w:date="2019-03-06T07:42:00Z">
        <w:r w:rsidR="00830A1B">
          <w:rPr>
            <w:color w:val="000000" w:themeColor="text1"/>
          </w:rPr>
          <w:t>1.</w:t>
        </w:r>
      </w:ins>
      <w:r w:rsidRPr="00387397">
        <w:rPr>
          <w:color w:val="000000" w:themeColor="text1"/>
        </w:rPr>
        <w:t xml:space="preserve">1 and </w:t>
      </w:r>
      <w:ins w:id="54" w:author="DJL" w:date="2019-03-06T07:42:00Z">
        <w:r w:rsidR="00830A1B">
          <w:rPr>
            <w:color w:val="000000" w:themeColor="text1"/>
          </w:rPr>
          <w:t>1.</w:t>
        </w:r>
      </w:ins>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ins w:id="55" w:author="DJL" w:date="2019-03-06T07:42:00Z">
        <w:r w:rsidR="00830A1B">
          <w:rPr>
            <w:color w:val="000000" w:themeColor="text1"/>
          </w:rPr>
          <w:t>2</w:t>
        </w:r>
      </w:ins>
      <w:del w:id="56" w:author="DJL" w:date="2019-03-06T07:42:00Z">
        <w:r w:rsidR="00941AA9" w:rsidRPr="00387397" w:rsidDel="00830A1B">
          <w:rPr>
            <w:color w:val="000000" w:themeColor="text1"/>
          </w:rPr>
          <w:delText>3</w:delText>
        </w:r>
      </w:del>
      <w:r w:rsidR="00941AA9" w:rsidRPr="00387397">
        <w:rPr>
          <w:color w:val="000000" w:themeColor="text1"/>
        </w:rPr>
        <w:t xml:space="preserve">.1 and </w:t>
      </w:r>
      <w:ins w:id="57" w:author="DJL" w:date="2019-03-06T07:42:00Z">
        <w:r w:rsidR="00830A1B">
          <w:rPr>
            <w:color w:val="000000" w:themeColor="text1"/>
          </w:rPr>
          <w:t>2</w:t>
        </w:r>
      </w:ins>
      <w:del w:id="58" w:author="DJL" w:date="2019-03-06T07:42:00Z">
        <w:r w:rsidR="00941AA9" w:rsidRPr="00387397" w:rsidDel="00830A1B">
          <w:rPr>
            <w:color w:val="000000" w:themeColor="text1"/>
          </w:rPr>
          <w:delText>3</w:delText>
        </w:r>
      </w:del>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 xml:space="preserve">causal explanations of policy change is beyond the scope of this </w:t>
      </w:r>
      <w:r w:rsidRPr="00387397">
        <w:rPr>
          <w:color w:val="000000" w:themeColor="text1"/>
        </w:rPr>
        <w:lastRenderedPageBreak/>
        <w:t>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387397">
      <w:pPr>
        <w:spacing w:line="480" w:lineRule="auto"/>
        <w:rPr>
          <w:color w:val="000000" w:themeColor="text1"/>
        </w:rPr>
      </w:pPr>
    </w:p>
    <w:p w14:paraId="77860CB4" w14:textId="77B9BC92" w:rsidR="00815183" w:rsidRPr="00387397" w:rsidRDefault="00941AA9" w:rsidP="00387397">
      <w:pPr>
        <w:spacing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ins w:id="59" w:author="DJL" w:date="2019-03-06T07:37:00Z">
        <w:r w:rsidR="00AA5EF1">
          <w:rPr>
            <w:color w:val="000000" w:themeColor="text1"/>
          </w:rPr>
          <w:t>.1</w:t>
        </w:r>
      </w:ins>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387397">
      <w:pPr>
        <w:spacing w:line="480" w:lineRule="auto"/>
        <w:rPr>
          <w:color w:val="000000" w:themeColor="text1"/>
        </w:rPr>
      </w:pPr>
    </w:p>
    <w:p w14:paraId="5A90DDDC" w14:textId="6BCA5825" w:rsidR="0014071C" w:rsidRPr="00387397" w:rsidRDefault="00E97806" w:rsidP="00387397">
      <w:pPr>
        <w:spacing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387397">
        <w:t xml:space="preserve">Hypothesis </w:t>
      </w:r>
      <w:ins w:id="60" w:author="DJL" w:date="2019-03-06T07:36:00Z">
        <w:r w:rsidR="00AA5EF1">
          <w:t>1.</w:t>
        </w:r>
      </w:ins>
      <w:r w:rsidR="00EA607B" w:rsidRPr="00387397">
        <w:t>2</w:t>
      </w:r>
      <w:r w:rsidR="00941AA9" w:rsidRPr="00387397">
        <w:t>, again more clearly with respect to prescriptiveness than scope. W</w:t>
      </w:r>
      <w:r w:rsidR="00EA607B" w:rsidRPr="00387397">
        <w:t xml:space="preserve">e observe </w:t>
      </w:r>
      <w:r w:rsidR="00941AA9" w:rsidRPr="00387397">
        <w:t xml:space="preserve">overall </w:t>
      </w:r>
      <w:r w:rsidR="00EA607B" w:rsidRPr="00387397">
        <w:t>divergence on prescriptiveness</w:t>
      </w:r>
      <w:r w:rsidR="00941AA9" w:rsidRPr="00387397">
        <w:t xml:space="preserve">, most clearly on </w:t>
      </w:r>
      <w:r w:rsidR="006659D9" w:rsidRPr="00387397">
        <w:t>ecological</w:t>
      </w:r>
      <w:r w:rsidR="00941AA9" w:rsidRPr="00387397">
        <w:t xml:space="preserve"> issues</w:t>
      </w:r>
      <w:r w:rsidR="00C35FA2" w:rsidRPr="00387397">
        <w:t xml:space="preserve">. </w:t>
      </w:r>
      <w:r w:rsidR="00941AA9" w:rsidRPr="00387397">
        <w:t xml:space="preserve">As neither program changed significantly on overall scope, </w:t>
      </w:r>
      <w:r w:rsidR="00C35FA2" w:rsidRPr="00387397">
        <w:t>we do not</w:t>
      </w:r>
      <w:r w:rsidR="00941AA9" w:rsidRPr="00387397">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387397">
      <w:pPr>
        <w:spacing w:line="480" w:lineRule="auto"/>
        <w:rPr>
          <w:color w:val="000000" w:themeColor="text1"/>
        </w:rPr>
      </w:pPr>
    </w:p>
    <w:p w14:paraId="259EEAF4" w14:textId="5A9DEDD4" w:rsidR="00EA607B" w:rsidRDefault="008B5A39" w:rsidP="00387397">
      <w:pPr>
        <w:spacing w:line="480" w:lineRule="auto"/>
        <w:rPr>
          <w:ins w:id="61" w:author="DJL" w:date="2019-03-06T05:54:00Z"/>
          <w:color w:val="000000" w:themeColor="text1"/>
        </w:rPr>
      </w:pPr>
      <w:r w:rsidRPr="00387397">
        <w:rPr>
          <w:color w:val="000000" w:themeColor="text1"/>
        </w:rPr>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ins w:id="62" w:author="DJL" w:date="2019-03-06T07:36:00Z">
        <w:r w:rsidR="00AA5EF1">
          <w:rPr>
            <w:color w:val="000000" w:themeColor="text1"/>
          </w:rPr>
          <w:t>2</w:t>
        </w:r>
      </w:ins>
      <w:del w:id="63" w:author="DJL" w:date="2019-03-06T07:36:00Z">
        <w:r w:rsidR="00C35FA2" w:rsidRPr="00387397" w:rsidDel="00AA5EF1">
          <w:rPr>
            <w:color w:val="000000" w:themeColor="text1"/>
          </w:rPr>
          <w:delText>3</w:delText>
        </w:r>
      </w:del>
      <w:r w:rsidR="00C35FA2" w:rsidRPr="00387397">
        <w:rPr>
          <w:color w:val="000000" w:themeColor="text1"/>
        </w:rPr>
        <w:t xml:space="preserve">.1 and </w:t>
      </w:r>
      <w:ins w:id="64" w:author="DJL" w:date="2019-03-06T07:36:00Z">
        <w:r w:rsidR="00AA5EF1">
          <w:rPr>
            <w:color w:val="000000" w:themeColor="text1"/>
          </w:rPr>
          <w:t>2</w:t>
        </w:r>
      </w:ins>
      <w:del w:id="65" w:author="DJL" w:date="2019-03-06T07:36:00Z">
        <w:r w:rsidR="00C35FA2" w:rsidRPr="00387397" w:rsidDel="00AA5EF1">
          <w:rPr>
            <w:color w:val="000000" w:themeColor="text1"/>
          </w:rPr>
          <w:delText>3</w:delText>
        </w:r>
      </w:del>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w:t>
      </w:r>
      <w:r w:rsidR="00EA607B" w:rsidRPr="00387397">
        <w:rPr>
          <w:color w:val="000000" w:themeColor="text1"/>
        </w:rPr>
        <w:lastRenderedPageBreak/>
        <w: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387397">
      <w:pPr>
        <w:spacing w:line="480" w:lineRule="auto"/>
        <w:rPr>
          <w:ins w:id="66" w:author="DJL" w:date="2019-03-06T05:54:00Z"/>
          <w:color w:val="000000" w:themeColor="text1"/>
        </w:rPr>
      </w:pPr>
    </w:p>
    <w:p w14:paraId="7BD606E0" w14:textId="6A391CF2" w:rsidR="00660E3E" w:rsidRDefault="00660E3E" w:rsidP="00660E3E">
      <w:pPr>
        <w:spacing w:line="480" w:lineRule="auto"/>
        <w:rPr>
          <w:ins w:id="67" w:author="DJL" w:date="2019-03-06T05:55:00Z"/>
        </w:rPr>
      </w:pPr>
      <w:ins w:id="68" w:author="DJL" w:date="2019-03-06T05:55:00Z">
        <w:r>
          <w:rPr>
            <w:b/>
          </w:rPr>
          <w:t xml:space="preserve">5.4 </w:t>
        </w:r>
        <w:r w:rsidRPr="001118B2">
          <w:rPr>
            <w:b/>
          </w:rPr>
          <w:t>Industry-backed certification programs as a form of collective action.</w:t>
        </w:r>
      </w:ins>
    </w:p>
    <w:p w14:paraId="5CD2C62B" w14:textId="4E546C28" w:rsidR="00660E3E" w:rsidRDefault="00660E3E" w:rsidP="00660E3E">
      <w:pPr>
        <w:spacing w:line="480" w:lineRule="auto"/>
        <w:rPr>
          <w:ins w:id="69" w:author="DJL" w:date="2019-03-06T05:55:00Z"/>
        </w:rPr>
      </w:pPr>
      <w:ins w:id="70" w:author="DJL" w:date="2019-03-06T05:55:00Z">
        <w:r>
          <w:t>Industry-backed alternatives to activist-backed product certification programs serve the industry in two ways. First, they provide individual firms with a service—market signals of social responsibility</w:t>
        </w:r>
      </w:ins>
      <w:ins w:id="71" w:author="DJL" w:date="2019-03-06T07:45:00Z">
        <w:r w:rsidR="00807511">
          <w:t xml:space="preserve"> on activist-driven issues</w:t>
        </w:r>
      </w:ins>
      <w:ins w:id="72" w:author="DJL" w:date="2019-03-06T05:55:00Z">
        <w:r>
          <w:t xml:space="preserve"> that would be more expensive to send with an activist back program and difficult to send along. Second, they provide a mechanism for the industry to improve its collective reputation and capacity by requiring contributions to collective goods, like an indus</w:t>
        </w:r>
        <w:r w:rsidR="00807511">
          <w:t>try association might do. C</w:t>
        </w:r>
      </w:ins>
      <w:ins w:id="73" w:author="DJL" w:date="2019-03-06T07:46:00Z">
        <w:r w:rsidR="00807511">
          <w:t>hange in industry-backed standards on activist-driven issues</w:t>
        </w:r>
      </w:ins>
      <w:ins w:id="74" w:author="DJL" w:date="2019-03-06T05:55:00Z">
        <w:r w:rsidR="00807511">
          <w:t xml:space="preserve"> </w:t>
        </w:r>
      </w:ins>
      <w:ins w:id="75" w:author="DJL" w:date="2019-03-06T07:47:00Z">
        <w:r w:rsidR="00807511">
          <w:t xml:space="preserve">depends on </w:t>
        </w:r>
      </w:ins>
      <w:ins w:id="76" w:author="DJL" w:date="2019-03-06T05:55:00Z">
        <w:r w:rsidR="00807511">
          <w:t xml:space="preserve">competition among standards, </w:t>
        </w:r>
      </w:ins>
      <w:ins w:id="77" w:author="DJL" w:date="2019-03-06T07:48:00Z">
        <w:r w:rsidR="00807511">
          <w:t>but on</w:t>
        </w:r>
      </w:ins>
      <w:ins w:id="78" w:author="DJL" w:date="2019-03-06T05:55:00Z">
        <w:r w:rsidR="00807511">
          <w:t xml:space="preserve"> industry-driven issues</w:t>
        </w:r>
      </w:ins>
      <w:ins w:id="79" w:author="DJL" w:date="2019-03-06T07:48:00Z">
        <w:r w:rsidR="00807511">
          <w:t>, it</w:t>
        </w:r>
      </w:ins>
      <w:ins w:id="80" w:author="DJL" w:date="2019-03-06T05:55:00Z">
        <w:r w:rsidR="00807511">
          <w:t xml:space="preserve"> do</w:t>
        </w:r>
      </w:ins>
      <w:ins w:id="81" w:author="DJL" w:date="2019-03-06T07:48:00Z">
        <w:r w:rsidR="00807511">
          <w:t>es</w:t>
        </w:r>
      </w:ins>
      <w:ins w:id="82" w:author="DJL" w:date="2019-03-06T05:55:00Z">
        <w:r>
          <w:t xml:space="preserve"> not. </w:t>
        </w:r>
      </w:ins>
      <w:ins w:id="83" w:author="DJL" w:date="2019-03-06T07:49:00Z">
        <w:r w:rsidR="00807511">
          <w:t>Indeed, firms often collaborate on the latter type of issue</w:t>
        </w:r>
      </w:ins>
      <w:ins w:id="84" w:author="DJL" w:date="2019-03-06T07:51:00Z">
        <w:r w:rsidR="00807511">
          <w:t xml:space="preserve">s (e.g. </w:t>
        </w:r>
        <w:r w:rsidR="008D748C">
          <w:t xml:space="preserve">industry standards, </w:t>
        </w:r>
        <w:r w:rsidR="00807511">
          <w:t>reputation,</w:t>
        </w:r>
      </w:ins>
      <w:ins w:id="85" w:author="DJL" w:date="2019-03-06T07:52:00Z">
        <w:r w:rsidR="008D748C">
          <w:t xml:space="preserve"> and</w:t>
        </w:r>
      </w:ins>
      <w:ins w:id="86" w:author="DJL" w:date="2019-03-06T07:51:00Z">
        <w:r w:rsidR="00807511">
          <w:t xml:space="preserve"> </w:t>
        </w:r>
        <w:r w:rsidR="008D748C">
          <w:t>capacity)</w:t>
        </w:r>
      </w:ins>
      <w:ins w:id="87" w:author="DJL" w:date="2019-03-06T07:49:00Z">
        <w:r w:rsidR="00807511">
          <w:t xml:space="preserve"> </w:t>
        </w:r>
      </w:ins>
      <w:ins w:id="88" w:author="DJL" w:date="2019-03-06T07:50:00Z">
        <w:r w:rsidR="00807511">
          <w:t>through</w:t>
        </w:r>
      </w:ins>
      <w:ins w:id="89" w:author="DJL" w:date="2019-03-06T07:49:00Z">
        <w:r w:rsidR="00807511">
          <w:t xml:space="preserve"> trade associations without </w:t>
        </w:r>
      </w:ins>
      <w:ins w:id="90" w:author="DJL" w:date="2019-03-06T07:50:00Z">
        <w:r w:rsidR="00807511">
          <w:t>pressure from activists.</w:t>
        </w:r>
      </w:ins>
    </w:p>
    <w:p w14:paraId="1D095722" w14:textId="77777777" w:rsidR="00660E3E" w:rsidRDefault="00660E3E" w:rsidP="00660E3E">
      <w:pPr>
        <w:spacing w:line="480" w:lineRule="auto"/>
        <w:rPr>
          <w:ins w:id="91" w:author="DJL" w:date="2019-03-06T05:55:00Z"/>
        </w:rPr>
      </w:pPr>
    </w:p>
    <w:p w14:paraId="0A608254" w14:textId="12753FE1" w:rsidR="00660E3E" w:rsidRDefault="00660E3E" w:rsidP="00660E3E">
      <w:pPr>
        <w:spacing w:line="480" w:lineRule="auto"/>
        <w:rPr>
          <w:ins w:id="92" w:author="DJL" w:date="2019-03-06T05:55:00Z"/>
          <w:color w:val="000000" w:themeColor="text1"/>
        </w:rPr>
      </w:pPr>
      <w:ins w:id="93" w:author="DJL" w:date="2019-03-06T05:55:00Z">
        <w:r>
          <w:t xml:space="preserve">As </w:t>
        </w:r>
        <w:proofErr w:type="spellStart"/>
        <w:r>
          <w:t>Casho</w:t>
        </w:r>
        <w:r w:rsidR="00C018A1">
          <w:t>re</w:t>
        </w:r>
        <w:proofErr w:type="spellEnd"/>
        <w:r w:rsidR="00C018A1">
          <w:t xml:space="preserve"> et al. (2004) point </w:t>
        </w:r>
        <w:proofErr w:type="gramStart"/>
        <w:r w:rsidR="00C018A1">
          <w:t>out,</w:t>
        </w:r>
        <w:proofErr w:type="gramEnd"/>
        <w:r w:rsidR="00C018A1">
          <w:t xml:space="preserve"> industry-backed alternatives</w:t>
        </w:r>
        <w:r>
          <w:t xml:space="preserve"> aim to save firms money by offering a label that sends a “green” or “socially responsible” signal in the market without some of the more costly </w:t>
        </w:r>
        <w:r w:rsidR="00C018A1">
          <w:t>demands of</w:t>
        </w:r>
        <w:r>
          <w:t xml:space="preserve"> activist-backed program</w:t>
        </w:r>
      </w:ins>
      <w:ins w:id="94" w:author="DJL" w:date="2019-03-06T07:31:00Z">
        <w:r w:rsidR="00C018A1">
          <w:t>s</w:t>
        </w:r>
      </w:ins>
      <w:ins w:id="95" w:author="DJL" w:date="2019-03-06T05:55:00Z">
        <w:r>
          <w:t xml:space="preserve">. Labels like SFI are </w:t>
        </w:r>
      </w:ins>
      <w:ins w:id="96" w:author="DJL" w:date="2019-03-06T07:31:00Z">
        <w:r w:rsidR="00C018A1">
          <w:t xml:space="preserve">not </w:t>
        </w:r>
      </w:ins>
      <w:ins w:id="97" w:author="DJL" w:date="2019-03-06T05:55:00Z">
        <w:r>
          <w:t xml:space="preserve">necessarily meaningless or pure “green washing”—indeed a certain level of stringency is often required to maintain legitimacy—but exceeding this “floor” imposes costs on firms. On may issues industry-backed programs may succeed in creating the necessary impression of equivalence to the stringency of activist-backed standards with substantially less prescriptive requirements. For </w:t>
        </w:r>
        <w:r>
          <w:lastRenderedPageBreak/>
          <w:t xml:space="preserve">example, the SFI requirements for </w:t>
        </w:r>
      </w:ins>
      <w:ins w:id="98" w:author="DJL" w:date="2019-03-06T07:32:00Z">
        <w:r w:rsidR="00AA5EF1">
          <w:t>“</w:t>
        </w:r>
      </w:ins>
      <w:ins w:id="99" w:author="DJL" w:date="2019-03-06T05:55:00Z">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ins>
      <w:ins w:id="100" w:author="DJL" w:date="2019-03-06T07:32:00Z">
        <w:r w:rsidR="00AA5EF1">
          <w:rPr>
            <w:color w:val="000000" w:themeColor="text1"/>
          </w:rPr>
          <w:t>s</w:t>
        </w:r>
      </w:ins>
      <w:ins w:id="101" w:author="DJL" w:date="2019-03-06T05:55:00Z">
        <w:r w:rsidR="00AA5EF1">
          <w:rPr>
            <w:color w:val="000000" w:themeColor="text1"/>
          </w:rPr>
          <w:t>tituti</w:t>
        </w:r>
        <w:r>
          <w:rPr>
            <w:color w:val="000000" w:themeColor="text1"/>
          </w:rPr>
          <w:t xml:space="preserve">ons that help them maximizes the impression of stringency while </w:t>
        </w:r>
      </w:ins>
      <w:ins w:id="102" w:author="DJL" w:date="2019-03-06T07:33:00Z">
        <w:r w:rsidR="00AA5EF1">
          <w:rPr>
            <w:color w:val="000000" w:themeColor="text1"/>
          </w:rPr>
          <w:t>minimizing</w:t>
        </w:r>
      </w:ins>
      <w:ins w:id="103" w:author="DJL" w:date="2019-03-06T05:55:00Z">
        <w:r>
          <w:rPr>
            <w:color w:val="000000" w:themeColor="text1"/>
          </w:rPr>
          <w:t xml:space="preserve"> costs</w:t>
        </w:r>
      </w:ins>
      <w:ins w:id="104" w:author="DJL" w:date="2019-03-06T07:33:00Z">
        <w:r w:rsidR="00AA5EF1">
          <w:rPr>
            <w:color w:val="000000" w:themeColor="text1"/>
          </w:rPr>
          <w:t xml:space="preserve"> of doing so</w:t>
        </w:r>
      </w:ins>
      <w:ins w:id="105" w:author="DJL" w:date="2019-03-06T05:55:00Z">
        <w:r>
          <w:rPr>
            <w:color w:val="000000" w:themeColor="text1"/>
          </w:rPr>
          <w:t xml:space="preserve">. This </w:t>
        </w:r>
      </w:ins>
      <w:ins w:id="106" w:author="DJL" w:date="2019-03-06T07:34:00Z">
        <w:r w:rsidR="00AA5EF1">
          <w:rPr>
            <w:color w:val="000000" w:themeColor="text1"/>
          </w:rPr>
          <w:t>dynamic</w:t>
        </w:r>
      </w:ins>
      <w:ins w:id="107" w:author="DJL" w:date="2019-03-06T07:33:00Z">
        <w:r w:rsidR="00AA5EF1">
          <w:rPr>
            <w:color w:val="000000" w:themeColor="text1"/>
          </w:rPr>
          <w:t xml:space="preserve"> </w:t>
        </w:r>
      </w:ins>
      <w:ins w:id="108" w:author="DJL" w:date="2019-03-06T05:55:00Z">
        <w:r>
          <w:rPr>
            <w:color w:val="000000" w:themeColor="text1"/>
          </w:rPr>
          <w:t xml:space="preserve">describes </w:t>
        </w:r>
      </w:ins>
      <w:ins w:id="109" w:author="DJL" w:date="2019-03-06T07:33:00Z">
        <w:r w:rsidR="00AA5EF1">
          <w:rPr>
            <w:color w:val="000000" w:themeColor="text1"/>
          </w:rPr>
          <w:t>most</w:t>
        </w:r>
      </w:ins>
      <w:ins w:id="110" w:author="DJL" w:date="2019-03-06T05:55:00Z">
        <w:r>
          <w:rPr>
            <w:color w:val="000000" w:themeColor="text1"/>
          </w:rPr>
          <w:t xml:space="preserve"> key issues in our study.  </w:t>
        </w:r>
      </w:ins>
    </w:p>
    <w:p w14:paraId="3374953A" w14:textId="77777777" w:rsidR="00660E3E" w:rsidRDefault="00660E3E" w:rsidP="00660E3E">
      <w:pPr>
        <w:spacing w:line="480" w:lineRule="auto"/>
        <w:rPr>
          <w:ins w:id="111" w:author="DJL" w:date="2019-03-06T05:55:00Z"/>
        </w:rPr>
      </w:pPr>
    </w:p>
    <w:p w14:paraId="1A8D9B34" w14:textId="602DD066" w:rsidR="00660E3E" w:rsidRDefault="00660E3E" w:rsidP="00660E3E">
      <w:pPr>
        <w:spacing w:line="480" w:lineRule="auto"/>
        <w:rPr>
          <w:ins w:id="112" w:author="DJL" w:date="2019-03-06T05:55:00Z"/>
        </w:rPr>
      </w:pPr>
      <w:ins w:id="113" w:author="DJL" w:date="2019-03-06T05:55:00Z">
        <w:r>
          <w:t>By disaggregating requirements, we identify several areas in which the SFI was more prescriptive than the FSC-US and further increased prescriptiveness. This finding</w:t>
        </w:r>
      </w:ins>
      <w:ins w:id="114" w:author="DJL" w:date="2019-03-06T07:35:00Z">
        <w:r w:rsidR="00AA5EF1">
          <w:t xml:space="preserve"> supports </w:t>
        </w:r>
        <w:proofErr w:type="gramStart"/>
        <w:r w:rsidR="00AA5EF1">
          <w:t xml:space="preserve">hypothesis </w:t>
        </w:r>
      </w:ins>
      <w:ins w:id="115" w:author="DJL" w:date="2019-03-06T05:55:00Z">
        <w:r>
          <w:t xml:space="preserve"> seems</w:t>
        </w:r>
        <w:proofErr w:type="gramEnd"/>
        <w:r>
          <w:t xml:space="preserve"> to contradict all existing theories about competition among industry-backed and activist-backed standards. However, the substance of these issues suggests that this may be driven by collective action problems—like building a skilled workforce and positive sector-level reputation—that are unrelated to competition with the FSC. Many of the issues where the SFI meets or exceeds the FSC-US requirements have collective benefits for the industry. These include managing harvest-area </w:t>
        </w:r>
        <w:r>
          <w:rPr>
            <w:color w:val="000000" w:themeColor="text1"/>
          </w:rPr>
          <w:t xml:space="preserve">aesthetics, public </w:t>
        </w:r>
        <w:r w:rsidRPr="00387397">
          <w:rPr>
            <w:color w:val="000000" w:themeColor="text1"/>
          </w:rPr>
          <w:t xml:space="preserve">education, </w:t>
        </w:r>
        <w:proofErr w:type="gramStart"/>
        <w:r>
          <w:rPr>
            <w:color w:val="000000" w:themeColor="text1"/>
          </w:rPr>
          <w:t>worker</w:t>
        </w:r>
        <w:proofErr w:type="gramEnd"/>
        <w:r>
          <w:rPr>
            <w:color w:val="000000" w:themeColor="text1"/>
          </w:rPr>
          <w:t xml:space="preserve"> </w:t>
        </w:r>
        <w:r w:rsidRPr="00387397">
          <w:rPr>
            <w:color w:val="000000" w:themeColor="text1"/>
          </w:rPr>
          <w:t xml:space="preserve">training, and </w:t>
        </w:r>
        <w:r>
          <w:rPr>
            <w:color w:val="000000" w:themeColor="text1"/>
          </w:rPr>
          <w:t>contributing to forestry research.</w:t>
        </w:r>
        <w: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ins>
    </w:p>
    <w:p w14:paraId="4587D828" w14:textId="77777777" w:rsidR="00660E3E" w:rsidRDefault="00660E3E" w:rsidP="00660E3E">
      <w:pPr>
        <w:spacing w:line="480" w:lineRule="auto"/>
        <w:rPr>
          <w:ins w:id="116" w:author="DJL" w:date="2019-03-06T05:55:00Z"/>
        </w:rPr>
      </w:pPr>
    </w:p>
    <w:p w14:paraId="077C4E33" w14:textId="0F3725A2" w:rsidR="00660E3E" w:rsidRDefault="00660E3E" w:rsidP="00660E3E">
      <w:pPr>
        <w:spacing w:line="480" w:lineRule="auto"/>
        <w:rPr>
          <w:ins w:id="117" w:author="DJL" w:date="2019-03-06T05:55:00Z"/>
        </w:rPr>
      </w:pPr>
      <w:ins w:id="118" w:author="DJL" w:date="2019-03-06T05:55:00Z">
        <w:r>
          <w:t xml:space="preserve">In sum, where the SFI has more prescriptive requirements than the FSC, it requires things that most firms might do anyway (train workers, educate the public), but have added collective </w:t>
        </w:r>
        <w:r>
          <w:lastRenderedPageBreak/>
          <w:t xml:space="preserve">benefits the more widely they are adopted. </w:t>
        </w:r>
      </w:ins>
      <w:ins w:id="119" w:author="DJL" w:date="2019-03-06T07:54:00Z">
        <w:r w:rsidR="008D748C">
          <w:t xml:space="preserve">While </w:t>
        </w:r>
      </w:ins>
      <w:ins w:id="120" w:author="DJL" w:date="2019-03-06T07:55:00Z">
        <w:r w:rsidR="008D748C">
          <w:t xml:space="preserve">unforeseen by existing theories, the fact that the SFI is more prescriptive </w:t>
        </w:r>
      </w:ins>
      <w:ins w:id="121" w:author="DJL" w:date="2019-03-06T07:56:00Z">
        <w:r w:rsidR="008D748C">
          <w:t>on some</w:t>
        </w:r>
      </w:ins>
      <w:ins w:id="122" w:author="DJL" w:date="2019-03-06T07:55:00Z">
        <w:r w:rsidR="008D748C">
          <w:t xml:space="preserve"> issues is not </w:t>
        </w:r>
      </w:ins>
      <w:ins w:id="123" w:author="DJL" w:date="2019-03-06T07:56:00Z">
        <w:r w:rsidR="008D748C">
          <w:t xml:space="preserve">surprising when we understand these issues as fundamentally industry-driven and providing net </w:t>
        </w:r>
      </w:ins>
      <w:ins w:id="124" w:author="DJL" w:date="2019-03-06T07:57:00Z">
        <w:r w:rsidR="008D748C">
          <w:t>benefits</w:t>
        </w:r>
      </w:ins>
      <w:ins w:id="125" w:author="DJL" w:date="2019-03-06T07:56:00Z">
        <w:r w:rsidR="008D748C">
          <w:t xml:space="preserve"> </w:t>
        </w:r>
      </w:ins>
      <w:ins w:id="126" w:author="DJL" w:date="2019-03-06T07:59:00Z">
        <w:r w:rsidR="008D748C">
          <w:t xml:space="preserve">to firms </w:t>
        </w:r>
      </w:ins>
      <w:ins w:id="127" w:author="DJL" w:date="2019-03-06T07:56:00Z">
        <w:r w:rsidR="008D748C">
          <w:t xml:space="preserve">regardless of </w:t>
        </w:r>
      </w:ins>
      <w:ins w:id="128" w:author="DJL" w:date="2019-03-06T07:57:00Z">
        <w:r w:rsidR="008D748C">
          <w:t>activist</w:t>
        </w:r>
      </w:ins>
      <w:ins w:id="129" w:author="DJL" w:date="2019-03-06T07:56:00Z">
        <w:r w:rsidR="008D748C">
          <w:t xml:space="preserve"> pressure</w:t>
        </w:r>
      </w:ins>
      <w:ins w:id="130" w:author="DJL" w:date="2019-03-06T07:59:00Z">
        <w:r w:rsidR="008D748C">
          <w:t>s</w:t>
        </w:r>
      </w:ins>
      <w:ins w:id="131" w:author="DJL" w:date="2019-03-06T07:58:00Z">
        <w:r w:rsidR="008D748C">
          <w:t xml:space="preserve"> or consumer demand</w:t>
        </w:r>
      </w:ins>
      <w:ins w:id="132" w:author="DJL" w:date="2019-03-06T07:59:00Z">
        <w:r w:rsidR="008D748C">
          <w:t>s</w:t>
        </w:r>
      </w:ins>
      <w:ins w:id="133" w:author="DJL" w:date="2019-03-06T07:55:00Z">
        <w:r w:rsidR="008D748C">
          <w:t>.</w:t>
        </w:r>
      </w:ins>
      <w:ins w:id="134" w:author="DJL" w:date="2019-03-06T07:58:00Z">
        <w:r w:rsidR="008D748C">
          <w:t xml:space="preserve"> </w:t>
        </w:r>
      </w:ins>
      <w:ins w:id="135" w:author="DJL" w:date="2019-03-06T07:55:00Z">
        <w:r w:rsidR="008D748C">
          <w:t xml:space="preserve"> </w:t>
        </w:r>
      </w:ins>
      <w:bookmarkStart w:id="136" w:name="_GoBack"/>
      <w:bookmarkEnd w:id="136"/>
    </w:p>
    <w:p w14:paraId="46D0C1EF" w14:textId="77777777" w:rsidR="00660E3E" w:rsidRDefault="00660E3E" w:rsidP="00660E3E">
      <w:pPr>
        <w:spacing w:line="480" w:lineRule="auto"/>
        <w:rPr>
          <w:ins w:id="137" w:author="DJL" w:date="2019-03-06T05:55:00Z"/>
        </w:rPr>
      </w:pPr>
    </w:p>
    <w:p w14:paraId="6E9C5C66" w14:textId="77777777" w:rsidR="00660E3E" w:rsidRPr="00387397" w:rsidRDefault="00660E3E" w:rsidP="00387397">
      <w:pPr>
        <w:spacing w:line="480" w:lineRule="auto"/>
        <w:rPr>
          <w:color w:val="000000" w:themeColor="text1"/>
        </w:rPr>
      </w:pPr>
    </w:p>
    <w:p w14:paraId="5CA85254" w14:textId="77777777" w:rsidR="00EA607B" w:rsidRPr="00387397" w:rsidRDefault="00EA607B" w:rsidP="00387397">
      <w:pPr>
        <w:spacing w:line="480" w:lineRule="auto"/>
        <w:outlineLvl w:val="0"/>
        <w:rPr>
          <w:b/>
          <w:bCs/>
          <w:color w:val="000000" w:themeColor="text1"/>
        </w:rPr>
      </w:pPr>
    </w:p>
    <w:p w14:paraId="0D554F64" w14:textId="527D7618" w:rsidR="00E821BC" w:rsidRPr="00387397" w:rsidRDefault="00E821BC" w:rsidP="00387397">
      <w:pPr>
        <w:spacing w:line="480" w:lineRule="auto"/>
        <w:outlineLvl w:val="0"/>
        <w:rPr>
          <w:b/>
          <w:bCs/>
          <w:color w:val="000000" w:themeColor="text1"/>
        </w:rPr>
      </w:pPr>
      <w:r w:rsidRPr="00387397">
        <w:rPr>
          <w:b/>
          <w:bCs/>
          <w:color w:val="000000" w:themeColor="text1"/>
        </w:rPr>
        <w:t xml:space="preserve">6 </w:t>
      </w:r>
      <w:proofErr w:type="gramStart"/>
      <w:r w:rsidRPr="00387397">
        <w:rPr>
          <w:b/>
          <w:bCs/>
          <w:color w:val="000000" w:themeColor="text1"/>
        </w:rPr>
        <w:t>Conclusion</w:t>
      </w:r>
      <w:proofErr w:type="gramEnd"/>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w:t>
      </w:r>
      <w:proofErr w:type="gramStart"/>
      <w:r w:rsidR="006E0EEA" w:rsidRPr="00387397">
        <w:rPr>
          <w:color w:val="000000" w:themeColor="text1"/>
        </w:rPr>
        <w:t>incommensurate</w:t>
      </w:r>
      <w:proofErr w:type="gramEnd"/>
      <w:r w:rsidR="006E0EEA" w:rsidRPr="00387397">
        <w:rPr>
          <w:color w:val="000000" w:themeColor="text1"/>
        </w:rPr>
        <w:t xml:space="preserv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1803336C" w:rsidR="00095902" w:rsidRPr="00387397" w:rsidRDefault="00E821BC" w:rsidP="00387397">
      <w:pPr>
        <w:spacing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w:t>
      </w:r>
      <w:r w:rsidR="00C44A3C" w:rsidRPr="00387397">
        <w:rPr>
          <w:color w:val="000000" w:themeColor="text1"/>
        </w:rPr>
        <w:lastRenderedPageBreak/>
        <w:t xml:space="preserve">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broadly speaking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387397">
      <w:pPr>
        <w:spacing w:line="480" w:lineRule="auto"/>
        <w:rPr>
          <w:color w:val="000000" w:themeColor="text1"/>
        </w:rPr>
      </w:pPr>
    </w:p>
    <w:p w14:paraId="06835F65" w14:textId="356FD9A1" w:rsidR="00723712" w:rsidRPr="00387397" w:rsidRDefault="00E821BC" w:rsidP="00387397">
      <w:pPr>
        <w:spacing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387397">
        <w:rPr>
          <w:rFonts w:eastAsia="Times New Roman"/>
          <w:color w:val="000000" w:themeColor="text1"/>
          <w:shd w:val="clear" w:color="auto" w:fill="FFFFFF"/>
        </w:rPr>
        <w:t>create demands by the respective ‘legitimacy communities’ for more ‘objective’ public comparisons that would resolve the debate about whose standa</w:t>
      </w:r>
      <w:r w:rsidR="002617A5" w:rsidRPr="00387397">
        <w:rPr>
          <w:rFonts w:eastAsia="Times New Roman"/>
          <w:color w:val="000000" w:themeColor="text1"/>
          <w:shd w:val="clear" w:color="auto" w:fill="FFFFFF"/>
        </w:rPr>
        <w:t xml:space="preserve">rds were higher” </w:t>
      </w:r>
      <w:r w:rsidR="002617A5" w:rsidRPr="00387397">
        <w:rPr>
          <w:rFonts w:eastAsia="Times New Roman"/>
          <w:color w:val="000000" w:themeColor="text1"/>
          <w:shd w:val="clear" w:color="auto" w:fill="FFFFFF"/>
        </w:rPr>
        <w:fldChar w:fldCharType="begin" w:fldLock="1"/>
      </w:r>
      <w:r w:rsidR="002617A5" w:rsidRPr="00387397">
        <w:rPr>
          <w:rFonts w:eastAsia="Times New Roman"/>
          <w:color w:val="000000" w:themeColor="text1"/>
          <w:shd w:val="clear" w:color="auto" w:fill="FFFFFF"/>
        </w:rPr>
        <w:instrText>ADDIN CSL_CITATION { "citationItems" : [ { "id" : "ITEM-1",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"ITEM-1",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2010)", "plainTextFormattedCitation" : "(Overdevest, 2010)", "previouslyFormattedCitation" : "(Overdevest, 2010)" }, "properties" : {  }, "schema" : "https://github.com/citation-style-language/schema/raw/master/csl-citation.json" }</w:instrText>
      </w:r>
      <w:r w:rsidR="002617A5" w:rsidRPr="00387397">
        <w:rPr>
          <w:rFonts w:eastAsia="Times New Roman"/>
          <w:color w:val="000000" w:themeColor="text1"/>
          <w:shd w:val="clear" w:color="auto" w:fill="FFFFFF"/>
        </w:rPr>
        <w:fldChar w:fldCharType="separate"/>
      </w:r>
      <w:r w:rsidR="002617A5" w:rsidRPr="00387397">
        <w:rPr>
          <w:rFonts w:eastAsia="Times New Roman"/>
          <w:noProof/>
          <w:color w:val="000000" w:themeColor="text1"/>
          <w:shd w:val="clear" w:color="auto" w:fill="FFFFFF"/>
        </w:rPr>
        <w:t>(Overdevest, 2010)</w:t>
      </w:r>
      <w:r w:rsidR="002617A5" w:rsidRPr="00387397">
        <w:rPr>
          <w:rFonts w:eastAsia="Times New Roman"/>
          <w:color w:val="000000" w:themeColor="text1"/>
          <w:shd w:val="clear" w:color="auto" w:fill="FFFFFF"/>
        </w:rPr>
        <w:fldChar w:fldCharType="end"/>
      </w:r>
      <w:r w:rsidRPr="00387397">
        <w:rPr>
          <w:rFonts w:eastAsia="Times New Roman"/>
          <w:color w:val="000000" w:themeColor="text1"/>
          <w:shd w:val="clear" w:color="auto" w:fill="FFFFFF"/>
        </w:rPr>
        <w:t xml:space="preserve">. We offer concepts to </w:t>
      </w:r>
      <w:r w:rsidR="00095902" w:rsidRPr="00387397">
        <w:rPr>
          <w:rFonts w:eastAsia="Times New Roman"/>
          <w:color w:val="000000" w:themeColor="text1"/>
          <w:shd w:val="clear" w:color="auto" w:fill="FFFFFF"/>
        </w:rPr>
        <w:t>clarify what</w:t>
      </w:r>
      <w:r w:rsidRPr="00387397">
        <w:rPr>
          <w:rFonts w:eastAsia="Times New Roman"/>
          <w:color w:val="000000" w:themeColor="text1"/>
          <w:shd w:val="clear" w:color="auto" w:fill="FFFFFF"/>
        </w:rPr>
        <w:t xml:space="preserve"> “higher” standards</w:t>
      </w:r>
      <w:r w:rsidR="00095902" w:rsidRPr="00387397">
        <w:rPr>
          <w:rFonts w:eastAsia="Times New Roman"/>
          <w:color w:val="000000" w:themeColor="text1"/>
          <w:shd w:val="clear" w:color="auto" w:fill="FFFFFF"/>
        </w:rPr>
        <w:t xml:space="preserve"> </w:t>
      </w:r>
      <w:r w:rsidR="00EF6110" w:rsidRPr="00387397">
        <w:rPr>
          <w:rFonts w:eastAsia="Times New Roman"/>
          <w:color w:val="000000" w:themeColor="text1"/>
          <w:shd w:val="clear" w:color="auto" w:fill="FFFFFF"/>
        </w:rPr>
        <w:t xml:space="preserve">may </w:t>
      </w:r>
      <w:r w:rsidR="00095902" w:rsidRPr="00387397">
        <w:rPr>
          <w:rFonts w:eastAsia="Times New Roman"/>
          <w:color w:val="000000" w:themeColor="text1"/>
          <w:shd w:val="clear" w:color="auto" w:fill="FFFFFF"/>
        </w:rPr>
        <w:t>mean</w:t>
      </w:r>
      <w:r w:rsidRPr="00387397">
        <w:rPr>
          <w:rFonts w:eastAsia="Times New Roman"/>
          <w:color w:val="000000" w:themeColor="text1"/>
          <w:shd w:val="clear" w:color="auto" w:fill="FFFFFF"/>
        </w:rPr>
        <w:t>.</w:t>
      </w:r>
      <w:r w:rsidRPr="00387397">
        <w:rPr>
          <w:color w:val="000000" w:themeColor="text1"/>
        </w:rPr>
        <w:t xml:space="preserve"> Second, it is simply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the</w:t>
      </w:r>
      <w:r w:rsidRPr="00387397">
        <w:rPr>
          <w:color w:val="000000" w:themeColor="text1"/>
        </w:rPr>
        <w:t xml:space="preserve"> component parts.</w:t>
      </w:r>
    </w:p>
    <w:p w14:paraId="692A55AA" w14:textId="0C420F64" w:rsidR="00E821BC" w:rsidRPr="00387397" w:rsidRDefault="00E821BC" w:rsidP="00387397">
      <w:pPr>
        <w:spacing w:line="480" w:lineRule="auto"/>
      </w:pPr>
    </w:p>
    <w:p w14:paraId="1825442F" w14:textId="030A6247" w:rsidR="00E821BC" w:rsidRPr="00387397" w:rsidRDefault="00E821BC" w:rsidP="00387397">
      <w:pPr>
        <w:spacing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w:t>
      </w:r>
      <w:r w:rsidR="00441D9F" w:rsidRPr="00387397">
        <w:rPr>
          <w:color w:val="000000" w:themeColor="text1"/>
        </w:rPr>
        <w:lastRenderedPageBreak/>
        <w:t xml:space="preserve">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F389BB9"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 xml:space="preserve">Policy </w:t>
      </w:r>
      <w:r w:rsidRPr="00387397">
        <w:rPr>
          <w:i/>
          <w:iCs/>
          <w:noProof/>
        </w:rPr>
        <w:lastRenderedPageBreak/>
        <w:t>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 xml:space="preserve">(2), 259–284. </w:t>
      </w:r>
      <w:r w:rsidRPr="00387397">
        <w:rPr>
          <w:noProof/>
        </w:rPr>
        <w:lastRenderedPageBreak/>
        <w:t>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 xml:space="preserve">(C), 164–176. </w:t>
      </w:r>
      <w:r w:rsidRPr="00387397">
        <w:rPr>
          <w:noProof/>
        </w:rPr>
        <w:lastRenderedPageBreak/>
        <w:t>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387397" w:rsidRDefault="00B366C2" w:rsidP="00DA16B5">
      <w:pPr>
        <w:outlineLvl w:val="0"/>
        <w:rPr>
          <w:b/>
          <w:color w:val="000000" w:themeColor="text1"/>
        </w:rPr>
      </w:pPr>
      <w:r w:rsidRPr="00387397">
        <w:rPr>
          <w:b/>
          <w:color w:val="000000" w:themeColor="text1"/>
        </w:rPr>
        <w:t>N</w:t>
      </w:r>
      <w:r w:rsidR="00F62ED5" w:rsidRPr="00387397">
        <w:rPr>
          <w:b/>
          <w:color w:val="000000" w:themeColor="text1"/>
        </w:rPr>
        <w:t>otes</w:t>
      </w:r>
    </w:p>
    <w:sectPr w:rsidR="006835E5" w:rsidRPr="00387397" w:rsidSect="00001747">
      <w:headerReference w:type="default" r:id="rId63"/>
      <w:footerReference w:type="even" r:id="rId64"/>
      <w:footerReference w:type="default" r:id="rId65"/>
      <w:endnotePr>
        <w:numFmt w:val="decimal"/>
      </w:endnotePr>
      <w:pgSz w:w="12240" w:h="15840"/>
      <w:pgMar w:top="1440" w:right="1440" w:bottom="1440" w:left="1440" w:header="720" w:footer="864" w:gutter="0"/>
      <w:cols w:space="720"/>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480984" w15:done="0"/>
  <w15:commentEx w15:paraId="4E18D943" w15:done="0"/>
  <w15:commentEx w15:paraId="697662CC" w15:done="0"/>
  <w15:commentEx w15:paraId="0246786B" w15:done="0"/>
  <w15:commentEx w15:paraId="2D1A10C8" w15:done="0"/>
  <w15:commentEx w15:paraId="3F845878" w15:done="0"/>
  <w15:commentEx w15:paraId="54ED5CA8" w15:done="0"/>
  <w15:commentEx w15:paraId="0DD78987" w15:done="0"/>
  <w15:commentEx w15:paraId="54D4F003" w15:done="0"/>
  <w15:commentEx w15:paraId="51A587C1" w15:done="0"/>
  <w15:commentEx w15:paraId="55B689C1" w15:done="0"/>
  <w15:commentEx w15:paraId="7B497665" w15:done="0"/>
  <w15:commentEx w15:paraId="061622F4" w15:done="0"/>
  <w15:commentEx w15:paraId="5E53D944" w15:done="0"/>
  <w15:commentEx w15:paraId="4D510FBC" w15:done="0"/>
  <w15:commentEx w15:paraId="4B0D27CE" w15:done="0"/>
  <w15:commentEx w15:paraId="43FB41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480984" w16cid:durableId="1F88608A"/>
  <w16cid:commentId w16cid:paraId="4E18D943" w16cid:durableId="1F88A2FF"/>
  <w16cid:commentId w16cid:paraId="697662CC" w16cid:durableId="1F885E45"/>
  <w16cid:commentId w16cid:paraId="0246786B" w16cid:durableId="1F885CF0"/>
  <w16cid:commentId w16cid:paraId="2D1A10C8" w16cid:durableId="1F88615E"/>
  <w16cid:commentId w16cid:paraId="3F845878" w16cid:durableId="1F885CF1"/>
  <w16cid:commentId w16cid:paraId="54ED5CA8" w16cid:durableId="1F885CF2"/>
  <w16cid:commentId w16cid:paraId="0DD78987" w16cid:durableId="1F885CF3"/>
  <w16cid:commentId w16cid:paraId="54D4F003" w16cid:durableId="1F885CF4"/>
  <w16cid:commentId w16cid:paraId="51A587C1" w16cid:durableId="1F885CF5"/>
  <w16cid:commentId w16cid:paraId="55B689C1" w16cid:durableId="1F885CF6"/>
  <w16cid:commentId w16cid:paraId="7B497665" w16cid:durableId="1F885CF7"/>
  <w16cid:commentId w16cid:paraId="061622F4" w16cid:durableId="1F885CF8"/>
  <w16cid:commentId w16cid:paraId="5E53D944" w16cid:durableId="1F885CF9"/>
  <w16cid:commentId w16cid:paraId="4D510FBC" w16cid:durableId="1F885CFA"/>
  <w16cid:commentId w16cid:paraId="4B0D27CE" w16cid:durableId="1F885CFB"/>
  <w16cid:commentId w16cid:paraId="43FB415F" w16cid:durableId="1F88AA3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0B4DC" w14:textId="77777777" w:rsidR="00807511" w:rsidRDefault="00807511" w:rsidP="002E5C5B">
      <w:r>
        <w:separator/>
      </w:r>
    </w:p>
  </w:endnote>
  <w:endnote w:type="continuationSeparator" w:id="0">
    <w:p w14:paraId="1268B368" w14:textId="77777777" w:rsidR="00807511" w:rsidRDefault="00807511" w:rsidP="002E5C5B">
      <w:r>
        <w:continuationSeparator/>
      </w:r>
    </w:p>
  </w:endnote>
  <w:endnote w:type="continuationNotice" w:id="1">
    <w:p w14:paraId="7823BC64" w14:textId="77777777" w:rsidR="00807511" w:rsidRDefault="00807511"/>
  </w:endnote>
  <w:endnote w:id="2">
    <w:p w14:paraId="7A94CA76" w14:textId="2C14249F" w:rsidR="00807511" w:rsidRPr="00C40547" w:rsidRDefault="00807511" w:rsidP="00C40547">
      <w:pPr>
        <w:pStyle w:val="p1"/>
        <w:rPr>
          <w:rFonts w:ascii="Times New Roman" w:hAnsi="Times New Roman"/>
          <w:color w:val="2D2D2D"/>
          <w:sz w:val="20"/>
          <w:szCs w:val="20"/>
        </w:rPr>
      </w:pPr>
      <w:r w:rsidRPr="00C40547">
        <w:rPr>
          <w:rStyle w:val="EndnoteReference"/>
          <w:rFonts w:ascii="Times New Roman" w:hAnsi="Times New Roman"/>
          <w:sz w:val="20"/>
          <w:szCs w:val="20"/>
        </w:rPr>
        <w:endnoteRef/>
      </w:r>
      <w:r w:rsidRPr="00C40547">
        <w:rPr>
          <w:rFonts w:ascii="Times New Roman" w:hAnsi="Times New Roman"/>
          <w:sz w:val="20"/>
          <w:szCs w:val="20"/>
        </w:rPr>
        <w:t xml:space="preserve"> </w:t>
      </w:r>
      <w:r w:rsidRPr="00C40547">
        <w:rPr>
          <w:rFonts w:ascii="Times New Roman" w:hAnsi="Times New Roman"/>
          <w:color w:val="2D2D2D"/>
          <w:sz w:val="20"/>
          <w:szCs w:val="20"/>
          <w:lang w:eastAsia="en-US"/>
        </w:rPr>
        <w:t>While the scope of our analysis is limited to forest practices, the conceptual framework could be applied to downstream regulations of supply chains such as supply chain tracking requirements, rules for minimum percent content, company-wide requirements, or grades of compliance. Any particular comparative focus will involve different choices about the scope of issues to address, the prescriptiveness of instruments to do so, and the specific settings of requirements and thresholds</w:t>
      </w:r>
      <w:r>
        <w:rPr>
          <w:rFonts w:ascii="Times New Roman" w:hAnsi="Times New Roman"/>
          <w:color w:val="2D2D2D"/>
          <w:sz w:val="20"/>
          <w:szCs w:val="20"/>
          <w:lang w:eastAsia="en-US"/>
        </w:rPr>
        <w:t>.</w:t>
      </w:r>
    </w:p>
  </w:endnote>
  <w:endnote w:id="3">
    <w:p w14:paraId="184D0D4B" w14:textId="4E90F62B" w:rsidR="00807511" w:rsidRPr="00372401" w:rsidRDefault="00807511" w:rsidP="00167131">
      <w:pPr>
        <w:rPr>
          <w:color w:val="222222"/>
          <w:sz w:val="20"/>
        </w:rPr>
      </w:pPr>
      <w:r w:rsidRPr="00372401">
        <w:rPr>
          <w:rStyle w:val="EndnoteReference"/>
          <w:sz w:val="20"/>
        </w:rPr>
        <w:endnoteRef/>
      </w:r>
      <w:r w:rsidRPr="00372401">
        <w:rPr>
          <w:sz w:val="20"/>
          <w:szCs w:val="20"/>
        </w:rPr>
        <w:t xml:space="preserve"> </w:t>
      </w:r>
      <w:r w:rsidRPr="00372401">
        <w:rPr>
          <w:sz w:val="20"/>
        </w:rPr>
        <w: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t>
      </w:r>
    </w:p>
  </w:endnote>
  <w:endnote w:id="4">
    <w:p w14:paraId="4E046AFE" w14:textId="77777777" w:rsidR="00807511" w:rsidRPr="002624A3" w:rsidRDefault="00807511" w:rsidP="00761175">
      <w:pPr>
        <w:pStyle w:val="EndnoteText"/>
        <w:rPr>
          <w:rFonts w:ascii="Times New Roman" w:hAnsi="Times New Roman" w:cs="Times New Roman"/>
          <w:sz w:val="20"/>
        </w:rPr>
      </w:pPr>
      <w:r w:rsidRPr="002624A3">
        <w:rPr>
          <w:rStyle w:val="EndnoteReference"/>
          <w:rFonts w:ascii="Times New Roman" w:hAnsi="Times New Roman" w:cs="Times New Roman"/>
          <w:sz w:val="20"/>
        </w:rPr>
        <w:endnoteRef/>
      </w:r>
      <w:r w:rsidRPr="002624A3">
        <w:rPr>
          <w:rFonts w:ascii="Times New Roman" w:hAnsi="Times New Roman" w:cs="Times New Roman"/>
          <w:sz w:val="20"/>
        </w:rPr>
        <w:t xml:space="preserve"> In theory, measuring prescriptiveness, absent issue-specific qualitative comparisons risks over-emphasizing policy means at the expense of policy ends. For example, a mandatory two-inch harvest buffer along streams would be prescriptive but meaningless. Fortunately, such differences do not appear common in practice. Indeed, competition makes emerging standards mimic substance, even where they vary significantly on prescriptiveness.</w:t>
      </w:r>
    </w:p>
  </w:endnote>
  <w:endnote w:id="5">
    <w:p w14:paraId="7E688D6F" w14:textId="77777777" w:rsidR="00807511" w:rsidRPr="00C40547" w:rsidRDefault="00807511" w:rsidP="009768A3">
      <w:pPr>
        <w:pStyle w:val="EndnoteText"/>
        <w:rPr>
          <w:rFonts w:ascii="Times New Roman" w:hAnsi="Times New Roman" w:cs="Times New Roman"/>
          <w:sz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As noted, it is often not possible to aggregate incommensurable policy settings. In this case, one would assess which of the nine possible patterns of change describe policy settings on each issue.</w:t>
      </w:r>
    </w:p>
  </w:endnote>
  <w:endnote w:id="6">
    <w:p w14:paraId="3C880C61" w14:textId="77777777" w:rsidR="00807511" w:rsidRPr="00372401" w:rsidRDefault="00807511"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 which is also endorsed by PEFC but focuses on small-scale producers.</w:t>
      </w:r>
    </w:p>
  </w:endnote>
  <w:endnote w:id="7">
    <w:p w14:paraId="4739E99C" w14:textId="0F1375A3" w:rsidR="00807511" w:rsidRPr="00C40547" w:rsidRDefault="00807511" w:rsidP="00C40547">
      <w:pPr>
        <w:rPr>
          <w:sz w:val="20"/>
          <w:szCs w:val="20"/>
        </w:rPr>
      </w:pPr>
      <w:r w:rsidRPr="00C40547">
        <w:rPr>
          <w:rStyle w:val="EndnoteReference"/>
          <w:sz w:val="20"/>
          <w:szCs w:val="20"/>
        </w:rPr>
        <w:endnoteRef/>
      </w:r>
      <w:r w:rsidRPr="00C40547">
        <w:rPr>
          <w:sz w:val="20"/>
          <w:szCs w:val="20"/>
        </w:rPr>
        <w:t xml:space="preserve"> </w:t>
      </w:r>
      <w:r w:rsidRPr="00C40547">
        <w:rPr>
          <w:color w:val="000000" w:themeColor="text1"/>
          <w:sz w:val="20"/>
          <w:szCs w:val="20"/>
        </w:rPr>
        <w:t>FSC-US initially had nine regional working groups, which each produced regional indicators. These sub-national documents have since been merged into a single national standard, retaining a smaller number of region-specific indicators.</w:t>
      </w:r>
      <w:r>
        <w:rPr>
          <w:color w:val="000000" w:themeColor="text1"/>
          <w:sz w:val="20"/>
          <w:szCs w:val="20"/>
        </w:rPr>
        <w:t xml:space="preserve"> </w:t>
      </w:r>
      <w:r w:rsidRPr="004D1C57">
        <w:rPr>
          <w:color w:val="000000" w:themeColor="text1"/>
          <w:sz w:val="20"/>
          <w:szCs w:val="20"/>
        </w:rPr>
        <w:t>Substantive differences between regions in the FSC-US standards complicated national analysis. In such cases, we coded based on the text that bound at least a majority of regions.</w:t>
      </w:r>
    </w:p>
  </w:endnote>
  <w:endnote w:id="8">
    <w:p w14:paraId="67157B28" w14:textId="3A86FC4C" w:rsidR="00807511" w:rsidRPr="00372401" w:rsidRDefault="00807511"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part of the complex casual chain from institutional emergence, market uptake, auditing practices, compliance and “on the ground” behavior</w:t>
      </w:r>
      <w:r w:rsidRPr="00372401">
        <w:rPr>
          <w:sz w:val="20"/>
          <w:szCs w:val="20"/>
        </w:rPr>
        <w:t xml:space="preserve">. </w:t>
      </w:r>
      <w:r w:rsidRPr="00372401">
        <w:rPr>
          <w:iCs/>
          <w:color w:val="000000" w:themeColor="text1"/>
          <w:sz w:val="20"/>
          <w:szCs w:val="20"/>
        </w:rPr>
        <w:t xml:space="preserve">Just as with public policy, some written rules may take on more importance than others.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not have buffer zone standards, states like Oregon, California, and Washington have highly prescriptive laws on buffer zones to which any SFI or FSC certified operation operating in these states may be audited for compliance</w:t>
      </w:r>
      <w:r>
        <w:rPr>
          <w:sz w:val="20"/>
          <w:szCs w:val="20"/>
        </w:rPr>
        <w:t>.</w:t>
      </w:r>
    </w:p>
  </w:endnote>
  <w:endnote w:id="9">
    <w:p w14:paraId="057C4426" w14:textId="689A8B41" w:rsidR="00807511" w:rsidRPr="00CA4AE5" w:rsidRDefault="00807511"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Note that this analysis combines public disclosure and reporting requirements with consultation requirements under a key issue called “public reporting and consultation.” Public information is a first and necessary step for meaningful consultation of all forms, including informal and legal processes beyond certification processes. SFI added requirements for public audit summaries and annual reporting in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8000012" w:usb3="00000000" w:csb0="0002009F"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807511" w:rsidRDefault="00807511"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807511" w:rsidRDefault="00807511"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807511" w:rsidRDefault="00807511"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748C">
      <w:rPr>
        <w:rStyle w:val="PageNumber"/>
        <w:noProof/>
      </w:rPr>
      <w:t>42</w:t>
    </w:r>
    <w:r>
      <w:rPr>
        <w:rStyle w:val="PageNumber"/>
      </w:rPr>
      <w:fldChar w:fldCharType="end"/>
    </w:r>
  </w:p>
  <w:p w14:paraId="63C7F481" w14:textId="77777777" w:rsidR="00807511" w:rsidRDefault="00807511"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1BFF3" w14:textId="77777777" w:rsidR="00807511" w:rsidRDefault="00807511" w:rsidP="002E5C5B">
      <w:r>
        <w:separator/>
      </w:r>
    </w:p>
  </w:footnote>
  <w:footnote w:type="continuationSeparator" w:id="0">
    <w:p w14:paraId="7A1D9A3A" w14:textId="77777777" w:rsidR="00807511" w:rsidRDefault="00807511" w:rsidP="002E5C5B">
      <w:r>
        <w:continuationSeparator/>
      </w:r>
    </w:p>
  </w:footnote>
  <w:footnote w:type="continuationNotice" w:id="1">
    <w:p w14:paraId="4D033C9B" w14:textId="77777777" w:rsidR="00807511" w:rsidRDefault="0080751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807511" w:rsidRDefault="008075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US" w:vendorID="64" w:dllVersion="131078" w:nlCheck="1" w:checkStyle="1"/>
  <w:activeWritingStyle w:appName="MSWord" w:lang="en-GB" w:vendorID="64" w:dllVersion="131078" w:nlCheck="1" w:checkStyle="1"/>
  <w:proofState w:spelling="clean" w:grammar="clean"/>
  <w:trackRevisions/>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530B"/>
    <w:rsid w:val="00045353"/>
    <w:rsid w:val="000455BE"/>
    <w:rsid w:val="00045762"/>
    <w:rsid w:val="00047816"/>
    <w:rsid w:val="000479DD"/>
    <w:rsid w:val="00047A2F"/>
    <w:rsid w:val="00047CBF"/>
    <w:rsid w:val="0005008F"/>
    <w:rsid w:val="000502E0"/>
    <w:rsid w:val="00050B77"/>
    <w:rsid w:val="00052C39"/>
    <w:rsid w:val="000546A7"/>
    <w:rsid w:val="000546E9"/>
    <w:rsid w:val="00054955"/>
    <w:rsid w:val="00055119"/>
    <w:rsid w:val="0005550C"/>
    <w:rsid w:val="00055524"/>
    <w:rsid w:val="00055A5A"/>
    <w:rsid w:val="00056331"/>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C41"/>
    <w:rsid w:val="00074F81"/>
    <w:rsid w:val="000757CA"/>
    <w:rsid w:val="0007582A"/>
    <w:rsid w:val="00075835"/>
    <w:rsid w:val="00075E2D"/>
    <w:rsid w:val="000760C3"/>
    <w:rsid w:val="0007616F"/>
    <w:rsid w:val="00076E49"/>
    <w:rsid w:val="000771DF"/>
    <w:rsid w:val="000801A3"/>
    <w:rsid w:val="000808E8"/>
    <w:rsid w:val="0008094A"/>
    <w:rsid w:val="0008165C"/>
    <w:rsid w:val="000819AF"/>
    <w:rsid w:val="00081F8B"/>
    <w:rsid w:val="000822E0"/>
    <w:rsid w:val="00082492"/>
    <w:rsid w:val="00083DC0"/>
    <w:rsid w:val="00084453"/>
    <w:rsid w:val="000846E3"/>
    <w:rsid w:val="000847CE"/>
    <w:rsid w:val="00085515"/>
    <w:rsid w:val="00085B02"/>
    <w:rsid w:val="000869F7"/>
    <w:rsid w:val="00086C07"/>
    <w:rsid w:val="0008719F"/>
    <w:rsid w:val="000875DE"/>
    <w:rsid w:val="000877F2"/>
    <w:rsid w:val="000878D8"/>
    <w:rsid w:val="00087958"/>
    <w:rsid w:val="00087A89"/>
    <w:rsid w:val="00090772"/>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824"/>
    <w:rsid w:val="000D1E22"/>
    <w:rsid w:val="000D228D"/>
    <w:rsid w:val="000D32C2"/>
    <w:rsid w:val="000D4571"/>
    <w:rsid w:val="000D4F2C"/>
    <w:rsid w:val="000D4F80"/>
    <w:rsid w:val="000D55EB"/>
    <w:rsid w:val="000D579C"/>
    <w:rsid w:val="000D62D6"/>
    <w:rsid w:val="000D6DAE"/>
    <w:rsid w:val="000D7ACF"/>
    <w:rsid w:val="000E0972"/>
    <w:rsid w:val="000E0DD4"/>
    <w:rsid w:val="000E11FF"/>
    <w:rsid w:val="000E1860"/>
    <w:rsid w:val="000E26E2"/>
    <w:rsid w:val="000E36A4"/>
    <w:rsid w:val="000E37A0"/>
    <w:rsid w:val="000E3858"/>
    <w:rsid w:val="000E38F7"/>
    <w:rsid w:val="000E41B5"/>
    <w:rsid w:val="000E437C"/>
    <w:rsid w:val="000E457E"/>
    <w:rsid w:val="000E4CDD"/>
    <w:rsid w:val="000E4E3B"/>
    <w:rsid w:val="000E6076"/>
    <w:rsid w:val="000E60EC"/>
    <w:rsid w:val="000E67AC"/>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340A"/>
    <w:rsid w:val="0010385D"/>
    <w:rsid w:val="00104712"/>
    <w:rsid w:val="00104A05"/>
    <w:rsid w:val="00104F2F"/>
    <w:rsid w:val="0010507A"/>
    <w:rsid w:val="00105178"/>
    <w:rsid w:val="00105343"/>
    <w:rsid w:val="001054AD"/>
    <w:rsid w:val="00105B85"/>
    <w:rsid w:val="00105C76"/>
    <w:rsid w:val="00105F7D"/>
    <w:rsid w:val="00106519"/>
    <w:rsid w:val="00106578"/>
    <w:rsid w:val="00106884"/>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C17"/>
    <w:rsid w:val="0012515D"/>
    <w:rsid w:val="0012523F"/>
    <w:rsid w:val="001254D3"/>
    <w:rsid w:val="0012582A"/>
    <w:rsid w:val="00125FF6"/>
    <w:rsid w:val="00127239"/>
    <w:rsid w:val="0012750D"/>
    <w:rsid w:val="00127723"/>
    <w:rsid w:val="00131924"/>
    <w:rsid w:val="00132480"/>
    <w:rsid w:val="001324A7"/>
    <w:rsid w:val="0013313F"/>
    <w:rsid w:val="001331D1"/>
    <w:rsid w:val="0013321A"/>
    <w:rsid w:val="00133659"/>
    <w:rsid w:val="001342B7"/>
    <w:rsid w:val="00134830"/>
    <w:rsid w:val="001377F5"/>
    <w:rsid w:val="0014018A"/>
    <w:rsid w:val="0014030B"/>
    <w:rsid w:val="0014071C"/>
    <w:rsid w:val="00140F4C"/>
    <w:rsid w:val="00140FC3"/>
    <w:rsid w:val="0014179C"/>
    <w:rsid w:val="00141A03"/>
    <w:rsid w:val="00141A12"/>
    <w:rsid w:val="00141CA6"/>
    <w:rsid w:val="00141DEF"/>
    <w:rsid w:val="00141E7B"/>
    <w:rsid w:val="0014333B"/>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7F1"/>
    <w:rsid w:val="00167131"/>
    <w:rsid w:val="00167646"/>
    <w:rsid w:val="001676BE"/>
    <w:rsid w:val="0016775E"/>
    <w:rsid w:val="00170708"/>
    <w:rsid w:val="00171112"/>
    <w:rsid w:val="0017159C"/>
    <w:rsid w:val="001716D3"/>
    <w:rsid w:val="001718CD"/>
    <w:rsid w:val="00171AE3"/>
    <w:rsid w:val="00172525"/>
    <w:rsid w:val="00172978"/>
    <w:rsid w:val="00172FF8"/>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106D"/>
    <w:rsid w:val="001B121E"/>
    <w:rsid w:val="001B1297"/>
    <w:rsid w:val="001B17BA"/>
    <w:rsid w:val="001B3072"/>
    <w:rsid w:val="001B3484"/>
    <w:rsid w:val="001B36CC"/>
    <w:rsid w:val="001B3C0B"/>
    <w:rsid w:val="001B3D8F"/>
    <w:rsid w:val="001B53B6"/>
    <w:rsid w:val="001B610B"/>
    <w:rsid w:val="001B7343"/>
    <w:rsid w:val="001B7852"/>
    <w:rsid w:val="001B793A"/>
    <w:rsid w:val="001B7F0E"/>
    <w:rsid w:val="001C0723"/>
    <w:rsid w:val="001C1B41"/>
    <w:rsid w:val="001C1F48"/>
    <w:rsid w:val="001C21A7"/>
    <w:rsid w:val="001C2FCE"/>
    <w:rsid w:val="001C3D5B"/>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301B"/>
    <w:rsid w:val="001D3A03"/>
    <w:rsid w:val="001D432A"/>
    <w:rsid w:val="001D4D15"/>
    <w:rsid w:val="001D4D27"/>
    <w:rsid w:val="001D585C"/>
    <w:rsid w:val="001D5EB7"/>
    <w:rsid w:val="001D603C"/>
    <w:rsid w:val="001D699E"/>
    <w:rsid w:val="001D718B"/>
    <w:rsid w:val="001D74A4"/>
    <w:rsid w:val="001D762A"/>
    <w:rsid w:val="001E0D32"/>
    <w:rsid w:val="001E112D"/>
    <w:rsid w:val="001E1824"/>
    <w:rsid w:val="001E1973"/>
    <w:rsid w:val="001E19A7"/>
    <w:rsid w:val="001E281A"/>
    <w:rsid w:val="001E2EA5"/>
    <w:rsid w:val="001E3FDA"/>
    <w:rsid w:val="001E411D"/>
    <w:rsid w:val="001E4333"/>
    <w:rsid w:val="001E4B75"/>
    <w:rsid w:val="001E4D39"/>
    <w:rsid w:val="001E4D83"/>
    <w:rsid w:val="001E5399"/>
    <w:rsid w:val="001E633D"/>
    <w:rsid w:val="001E6C9F"/>
    <w:rsid w:val="001F0035"/>
    <w:rsid w:val="001F023E"/>
    <w:rsid w:val="001F06E3"/>
    <w:rsid w:val="001F1340"/>
    <w:rsid w:val="001F16D3"/>
    <w:rsid w:val="001F18A6"/>
    <w:rsid w:val="001F20C5"/>
    <w:rsid w:val="001F2F27"/>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FFD"/>
    <w:rsid w:val="002308A8"/>
    <w:rsid w:val="00230932"/>
    <w:rsid w:val="0023136F"/>
    <w:rsid w:val="00231B05"/>
    <w:rsid w:val="002322AE"/>
    <w:rsid w:val="00232B77"/>
    <w:rsid w:val="00233575"/>
    <w:rsid w:val="00233DD1"/>
    <w:rsid w:val="00234017"/>
    <w:rsid w:val="002340B3"/>
    <w:rsid w:val="002342C8"/>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5198"/>
    <w:rsid w:val="0027548B"/>
    <w:rsid w:val="002758A2"/>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E5"/>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FD"/>
    <w:rsid w:val="00292529"/>
    <w:rsid w:val="00293B05"/>
    <w:rsid w:val="00294041"/>
    <w:rsid w:val="00295AC8"/>
    <w:rsid w:val="00295EA4"/>
    <w:rsid w:val="0029717E"/>
    <w:rsid w:val="002973C7"/>
    <w:rsid w:val="002A08A9"/>
    <w:rsid w:val="002A1497"/>
    <w:rsid w:val="002A1BE3"/>
    <w:rsid w:val="002A27B3"/>
    <w:rsid w:val="002A2E30"/>
    <w:rsid w:val="002A341D"/>
    <w:rsid w:val="002A405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BF9"/>
    <w:rsid w:val="002B4DAA"/>
    <w:rsid w:val="002B4ED3"/>
    <w:rsid w:val="002B4F55"/>
    <w:rsid w:val="002B613F"/>
    <w:rsid w:val="002B62B0"/>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7CF"/>
    <w:rsid w:val="002F4F99"/>
    <w:rsid w:val="002F52CC"/>
    <w:rsid w:val="002F56D1"/>
    <w:rsid w:val="002F5D2F"/>
    <w:rsid w:val="002F5E65"/>
    <w:rsid w:val="002F655A"/>
    <w:rsid w:val="002F6597"/>
    <w:rsid w:val="002F65E6"/>
    <w:rsid w:val="002F7E65"/>
    <w:rsid w:val="003001AA"/>
    <w:rsid w:val="00300A53"/>
    <w:rsid w:val="003012A5"/>
    <w:rsid w:val="00302910"/>
    <w:rsid w:val="00302B7F"/>
    <w:rsid w:val="00303097"/>
    <w:rsid w:val="003031D9"/>
    <w:rsid w:val="00303B75"/>
    <w:rsid w:val="0030512F"/>
    <w:rsid w:val="0030688C"/>
    <w:rsid w:val="00306EC1"/>
    <w:rsid w:val="00310BF0"/>
    <w:rsid w:val="0031221C"/>
    <w:rsid w:val="00312689"/>
    <w:rsid w:val="003128C4"/>
    <w:rsid w:val="00312A96"/>
    <w:rsid w:val="00312D6F"/>
    <w:rsid w:val="003138B3"/>
    <w:rsid w:val="00313998"/>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4894"/>
    <w:rsid w:val="00334F96"/>
    <w:rsid w:val="0033543E"/>
    <w:rsid w:val="0033576B"/>
    <w:rsid w:val="00335F3E"/>
    <w:rsid w:val="00335F8F"/>
    <w:rsid w:val="00335FC9"/>
    <w:rsid w:val="00336DA3"/>
    <w:rsid w:val="00336FDE"/>
    <w:rsid w:val="00337120"/>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4956"/>
    <w:rsid w:val="003549C7"/>
    <w:rsid w:val="00355ED4"/>
    <w:rsid w:val="00356002"/>
    <w:rsid w:val="0035630E"/>
    <w:rsid w:val="003569D3"/>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13CF"/>
    <w:rsid w:val="003A18DB"/>
    <w:rsid w:val="003A1C60"/>
    <w:rsid w:val="003A4075"/>
    <w:rsid w:val="003A4276"/>
    <w:rsid w:val="003A4A46"/>
    <w:rsid w:val="003A4D61"/>
    <w:rsid w:val="003A4F86"/>
    <w:rsid w:val="003A6053"/>
    <w:rsid w:val="003A60C6"/>
    <w:rsid w:val="003A61B9"/>
    <w:rsid w:val="003A6C65"/>
    <w:rsid w:val="003A6FB8"/>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653"/>
    <w:rsid w:val="003B5913"/>
    <w:rsid w:val="003B7562"/>
    <w:rsid w:val="003B79A1"/>
    <w:rsid w:val="003B7C42"/>
    <w:rsid w:val="003B7DC8"/>
    <w:rsid w:val="003B7FDA"/>
    <w:rsid w:val="003C15C5"/>
    <w:rsid w:val="003C1A19"/>
    <w:rsid w:val="003C2086"/>
    <w:rsid w:val="003C28D4"/>
    <w:rsid w:val="003C30A8"/>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5145"/>
    <w:rsid w:val="003E5402"/>
    <w:rsid w:val="003E55ED"/>
    <w:rsid w:val="003E5A55"/>
    <w:rsid w:val="003E5E4B"/>
    <w:rsid w:val="003E5FE4"/>
    <w:rsid w:val="003E6749"/>
    <w:rsid w:val="003E68E3"/>
    <w:rsid w:val="003E6B7A"/>
    <w:rsid w:val="003E781A"/>
    <w:rsid w:val="003E7A2F"/>
    <w:rsid w:val="003E7FA7"/>
    <w:rsid w:val="003F0655"/>
    <w:rsid w:val="003F07C3"/>
    <w:rsid w:val="003F0DDB"/>
    <w:rsid w:val="003F0F68"/>
    <w:rsid w:val="003F1719"/>
    <w:rsid w:val="003F1ACA"/>
    <w:rsid w:val="003F2570"/>
    <w:rsid w:val="003F2696"/>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30A"/>
    <w:rsid w:val="0040739A"/>
    <w:rsid w:val="004073C6"/>
    <w:rsid w:val="0040770A"/>
    <w:rsid w:val="0040786A"/>
    <w:rsid w:val="004117E0"/>
    <w:rsid w:val="00411CF1"/>
    <w:rsid w:val="00411F3E"/>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7A6"/>
    <w:rsid w:val="004433AC"/>
    <w:rsid w:val="00443883"/>
    <w:rsid w:val="00443FCD"/>
    <w:rsid w:val="0044476A"/>
    <w:rsid w:val="004452B3"/>
    <w:rsid w:val="004453BA"/>
    <w:rsid w:val="0044595A"/>
    <w:rsid w:val="004460D8"/>
    <w:rsid w:val="00446299"/>
    <w:rsid w:val="004465E3"/>
    <w:rsid w:val="00446B35"/>
    <w:rsid w:val="0044706A"/>
    <w:rsid w:val="004471BC"/>
    <w:rsid w:val="00447336"/>
    <w:rsid w:val="0044799A"/>
    <w:rsid w:val="00447C7D"/>
    <w:rsid w:val="004503C2"/>
    <w:rsid w:val="004509F9"/>
    <w:rsid w:val="00452236"/>
    <w:rsid w:val="0045252B"/>
    <w:rsid w:val="0045359C"/>
    <w:rsid w:val="00453A42"/>
    <w:rsid w:val="00453ED9"/>
    <w:rsid w:val="00455292"/>
    <w:rsid w:val="00455523"/>
    <w:rsid w:val="00455AC6"/>
    <w:rsid w:val="00456BEE"/>
    <w:rsid w:val="004576B1"/>
    <w:rsid w:val="00457731"/>
    <w:rsid w:val="00457D9A"/>
    <w:rsid w:val="00460897"/>
    <w:rsid w:val="00460E15"/>
    <w:rsid w:val="00461321"/>
    <w:rsid w:val="00461CC5"/>
    <w:rsid w:val="00461FD0"/>
    <w:rsid w:val="00462185"/>
    <w:rsid w:val="00462D55"/>
    <w:rsid w:val="0046411D"/>
    <w:rsid w:val="0046446A"/>
    <w:rsid w:val="00464AF9"/>
    <w:rsid w:val="004650EF"/>
    <w:rsid w:val="00465E0E"/>
    <w:rsid w:val="00466392"/>
    <w:rsid w:val="0046707D"/>
    <w:rsid w:val="00467478"/>
    <w:rsid w:val="0047000A"/>
    <w:rsid w:val="0047041E"/>
    <w:rsid w:val="0047072D"/>
    <w:rsid w:val="00470F03"/>
    <w:rsid w:val="004710CB"/>
    <w:rsid w:val="00471476"/>
    <w:rsid w:val="004718BC"/>
    <w:rsid w:val="00472A85"/>
    <w:rsid w:val="0047321E"/>
    <w:rsid w:val="00473BB5"/>
    <w:rsid w:val="00473F87"/>
    <w:rsid w:val="004740E3"/>
    <w:rsid w:val="004751DE"/>
    <w:rsid w:val="00475FA1"/>
    <w:rsid w:val="00476868"/>
    <w:rsid w:val="00476C3D"/>
    <w:rsid w:val="004801BE"/>
    <w:rsid w:val="0048053C"/>
    <w:rsid w:val="00480961"/>
    <w:rsid w:val="00481A59"/>
    <w:rsid w:val="00481EC0"/>
    <w:rsid w:val="004829B5"/>
    <w:rsid w:val="004837A8"/>
    <w:rsid w:val="00483AD6"/>
    <w:rsid w:val="004846EE"/>
    <w:rsid w:val="004849AB"/>
    <w:rsid w:val="00484B7E"/>
    <w:rsid w:val="00485338"/>
    <w:rsid w:val="004853EF"/>
    <w:rsid w:val="00485A13"/>
    <w:rsid w:val="00485C84"/>
    <w:rsid w:val="00490C68"/>
    <w:rsid w:val="00490D2B"/>
    <w:rsid w:val="004917D6"/>
    <w:rsid w:val="00491CD0"/>
    <w:rsid w:val="00491FA3"/>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22B"/>
    <w:rsid w:val="004C37AC"/>
    <w:rsid w:val="004C389E"/>
    <w:rsid w:val="004C3CDE"/>
    <w:rsid w:val="004C3F8E"/>
    <w:rsid w:val="004C499B"/>
    <w:rsid w:val="004C4A0C"/>
    <w:rsid w:val="004C511A"/>
    <w:rsid w:val="004C5FDC"/>
    <w:rsid w:val="004C6238"/>
    <w:rsid w:val="004C692D"/>
    <w:rsid w:val="004C71BC"/>
    <w:rsid w:val="004D021F"/>
    <w:rsid w:val="004D031A"/>
    <w:rsid w:val="004D097E"/>
    <w:rsid w:val="004D0B13"/>
    <w:rsid w:val="004D0D13"/>
    <w:rsid w:val="004D19B2"/>
    <w:rsid w:val="004D1C57"/>
    <w:rsid w:val="004D1F8F"/>
    <w:rsid w:val="004D2789"/>
    <w:rsid w:val="004D2FC7"/>
    <w:rsid w:val="004D3A54"/>
    <w:rsid w:val="004D3ED8"/>
    <w:rsid w:val="004D4313"/>
    <w:rsid w:val="004D48E8"/>
    <w:rsid w:val="004D4C08"/>
    <w:rsid w:val="004D4E3D"/>
    <w:rsid w:val="004D6086"/>
    <w:rsid w:val="004D63B4"/>
    <w:rsid w:val="004D67DC"/>
    <w:rsid w:val="004D69A4"/>
    <w:rsid w:val="004D6D66"/>
    <w:rsid w:val="004D72C1"/>
    <w:rsid w:val="004D7324"/>
    <w:rsid w:val="004D7FE3"/>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2762"/>
    <w:rsid w:val="00522BA3"/>
    <w:rsid w:val="00523004"/>
    <w:rsid w:val="00523CCA"/>
    <w:rsid w:val="00523F7C"/>
    <w:rsid w:val="00524061"/>
    <w:rsid w:val="005246AD"/>
    <w:rsid w:val="0052631F"/>
    <w:rsid w:val="0052693C"/>
    <w:rsid w:val="00527286"/>
    <w:rsid w:val="00527A3E"/>
    <w:rsid w:val="0053066D"/>
    <w:rsid w:val="0053070E"/>
    <w:rsid w:val="00530C13"/>
    <w:rsid w:val="00530CA9"/>
    <w:rsid w:val="0053138D"/>
    <w:rsid w:val="00531EB3"/>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15FA"/>
    <w:rsid w:val="00551FA7"/>
    <w:rsid w:val="00552270"/>
    <w:rsid w:val="00552755"/>
    <w:rsid w:val="00552A62"/>
    <w:rsid w:val="0055382F"/>
    <w:rsid w:val="00554818"/>
    <w:rsid w:val="005549D1"/>
    <w:rsid w:val="0055506A"/>
    <w:rsid w:val="00555817"/>
    <w:rsid w:val="00555EC3"/>
    <w:rsid w:val="005563AA"/>
    <w:rsid w:val="005573C1"/>
    <w:rsid w:val="005604D9"/>
    <w:rsid w:val="00560F4B"/>
    <w:rsid w:val="005612F9"/>
    <w:rsid w:val="00562207"/>
    <w:rsid w:val="00562539"/>
    <w:rsid w:val="00562718"/>
    <w:rsid w:val="00562BF9"/>
    <w:rsid w:val="005632A1"/>
    <w:rsid w:val="005644B3"/>
    <w:rsid w:val="0056472D"/>
    <w:rsid w:val="0056506C"/>
    <w:rsid w:val="005658F1"/>
    <w:rsid w:val="0056629E"/>
    <w:rsid w:val="005664A9"/>
    <w:rsid w:val="00566663"/>
    <w:rsid w:val="00566979"/>
    <w:rsid w:val="0056724E"/>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F2B"/>
    <w:rsid w:val="00587FF0"/>
    <w:rsid w:val="00590BE0"/>
    <w:rsid w:val="00590D95"/>
    <w:rsid w:val="00590DE5"/>
    <w:rsid w:val="00590ED3"/>
    <w:rsid w:val="005918C8"/>
    <w:rsid w:val="0059216F"/>
    <w:rsid w:val="00592E36"/>
    <w:rsid w:val="00592EE2"/>
    <w:rsid w:val="00593EF2"/>
    <w:rsid w:val="005952AE"/>
    <w:rsid w:val="005955F5"/>
    <w:rsid w:val="00595693"/>
    <w:rsid w:val="005959AB"/>
    <w:rsid w:val="005961F1"/>
    <w:rsid w:val="00596FA1"/>
    <w:rsid w:val="005971EE"/>
    <w:rsid w:val="00597D59"/>
    <w:rsid w:val="00597E64"/>
    <w:rsid w:val="005A0213"/>
    <w:rsid w:val="005A025E"/>
    <w:rsid w:val="005A088A"/>
    <w:rsid w:val="005A10A8"/>
    <w:rsid w:val="005A116D"/>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C60"/>
    <w:rsid w:val="005D0E0D"/>
    <w:rsid w:val="005D0F75"/>
    <w:rsid w:val="005D1B90"/>
    <w:rsid w:val="005D200C"/>
    <w:rsid w:val="005D22EF"/>
    <w:rsid w:val="005D3174"/>
    <w:rsid w:val="005D3561"/>
    <w:rsid w:val="005D4390"/>
    <w:rsid w:val="005D44CC"/>
    <w:rsid w:val="005D4584"/>
    <w:rsid w:val="005D536F"/>
    <w:rsid w:val="005D54FE"/>
    <w:rsid w:val="005D5C0C"/>
    <w:rsid w:val="005D5DD3"/>
    <w:rsid w:val="005D6433"/>
    <w:rsid w:val="005D720B"/>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600FEB"/>
    <w:rsid w:val="00603530"/>
    <w:rsid w:val="00605596"/>
    <w:rsid w:val="00605AA3"/>
    <w:rsid w:val="00606606"/>
    <w:rsid w:val="00606CA8"/>
    <w:rsid w:val="0060717D"/>
    <w:rsid w:val="00610857"/>
    <w:rsid w:val="00610E25"/>
    <w:rsid w:val="0061120D"/>
    <w:rsid w:val="00611469"/>
    <w:rsid w:val="006118CB"/>
    <w:rsid w:val="0061196E"/>
    <w:rsid w:val="00612422"/>
    <w:rsid w:val="00612F2F"/>
    <w:rsid w:val="00613BEB"/>
    <w:rsid w:val="00613DED"/>
    <w:rsid w:val="0061410A"/>
    <w:rsid w:val="006141BE"/>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FD"/>
    <w:rsid w:val="00627EF5"/>
    <w:rsid w:val="00627FF1"/>
    <w:rsid w:val="0063024B"/>
    <w:rsid w:val="006310D3"/>
    <w:rsid w:val="006312B4"/>
    <w:rsid w:val="00631F2A"/>
    <w:rsid w:val="0063219C"/>
    <w:rsid w:val="00633C5B"/>
    <w:rsid w:val="00633CCA"/>
    <w:rsid w:val="00633DC1"/>
    <w:rsid w:val="006340E7"/>
    <w:rsid w:val="00634A09"/>
    <w:rsid w:val="006358F2"/>
    <w:rsid w:val="00635C20"/>
    <w:rsid w:val="00636D88"/>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DEC"/>
    <w:rsid w:val="00653467"/>
    <w:rsid w:val="0065351C"/>
    <w:rsid w:val="006538A0"/>
    <w:rsid w:val="006539A3"/>
    <w:rsid w:val="00653FB4"/>
    <w:rsid w:val="00655025"/>
    <w:rsid w:val="00655429"/>
    <w:rsid w:val="006556C6"/>
    <w:rsid w:val="00655760"/>
    <w:rsid w:val="006560BE"/>
    <w:rsid w:val="00660E3E"/>
    <w:rsid w:val="00661401"/>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A0"/>
    <w:rsid w:val="006B60C7"/>
    <w:rsid w:val="006B6F60"/>
    <w:rsid w:val="006B743F"/>
    <w:rsid w:val="006B7870"/>
    <w:rsid w:val="006B7B51"/>
    <w:rsid w:val="006B7C0F"/>
    <w:rsid w:val="006B7D7B"/>
    <w:rsid w:val="006C00B4"/>
    <w:rsid w:val="006C01C0"/>
    <w:rsid w:val="006C01DA"/>
    <w:rsid w:val="006C0492"/>
    <w:rsid w:val="006C0585"/>
    <w:rsid w:val="006C1145"/>
    <w:rsid w:val="006C1436"/>
    <w:rsid w:val="006C1563"/>
    <w:rsid w:val="006C17F8"/>
    <w:rsid w:val="006C1AFA"/>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490"/>
    <w:rsid w:val="006E4F88"/>
    <w:rsid w:val="006E57A1"/>
    <w:rsid w:val="006E60CC"/>
    <w:rsid w:val="006E620C"/>
    <w:rsid w:val="006E65EB"/>
    <w:rsid w:val="006E6F36"/>
    <w:rsid w:val="006E7992"/>
    <w:rsid w:val="006F088F"/>
    <w:rsid w:val="006F0DF8"/>
    <w:rsid w:val="006F1056"/>
    <w:rsid w:val="006F10CD"/>
    <w:rsid w:val="006F199F"/>
    <w:rsid w:val="006F328D"/>
    <w:rsid w:val="006F3465"/>
    <w:rsid w:val="006F390B"/>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573"/>
    <w:rsid w:val="00707603"/>
    <w:rsid w:val="00710407"/>
    <w:rsid w:val="007118E3"/>
    <w:rsid w:val="00711B71"/>
    <w:rsid w:val="00711BE0"/>
    <w:rsid w:val="00711DF9"/>
    <w:rsid w:val="00711F56"/>
    <w:rsid w:val="00713359"/>
    <w:rsid w:val="0071384E"/>
    <w:rsid w:val="00714025"/>
    <w:rsid w:val="00714504"/>
    <w:rsid w:val="00715504"/>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7834"/>
    <w:rsid w:val="00757A7A"/>
    <w:rsid w:val="00760EDC"/>
    <w:rsid w:val="00761175"/>
    <w:rsid w:val="007611A8"/>
    <w:rsid w:val="00761795"/>
    <w:rsid w:val="007618BB"/>
    <w:rsid w:val="0076195D"/>
    <w:rsid w:val="00761A03"/>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60E"/>
    <w:rsid w:val="007777D6"/>
    <w:rsid w:val="00777CD4"/>
    <w:rsid w:val="00780774"/>
    <w:rsid w:val="00780A8B"/>
    <w:rsid w:val="00781048"/>
    <w:rsid w:val="007836F9"/>
    <w:rsid w:val="00784EB8"/>
    <w:rsid w:val="007875AF"/>
    <w:rsid w:val="00787B95"/>
    <w:rsid w:val="007900D7"/>
    <w:rsid w:val="00790749"/>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8F7"/>
    <w:rsid w:val="007A0BD9"/>
    <w:rsid w:val="007A165B"/>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60F2"/>
    <w:rsid w:val="007A64D5"/>
    <w:rsid w:val="007A71C0"/>
    <w:rsid w:val="007A72EE"/>
    <w:rsid w:val="007B114C"/>
    <w:rsid w:val="007B11E7"/>
    <w:rsid w:val="007B1463"/>
    <w:rsid w:val="007B1894"/>
    <w:rsid w:val="007B1BAF"/>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50BB"/>
    <w:rsid w:val="007C5BEA"/>
    <w:rsid w:val="007C6595"/>
    <w:rsid w:val="007C6639"/>
    <w:rsid w:val="007C69B3"/>
    <w:rsid w:val="007C6AEE"/>
    <w:rsid w:val="007C7591"/>
    <w:rsid w:val="007C7D1A"/>
    <w:rsid w:val="007D2F0A"/>
    <w:rsid w:val="007D35A6"/>
    <w:rsid w:val="007D3C26"/>
    <w:rsid w:val="007D422B"/>
    <w:rsid w:val="007D44B9"/>
    <w:rsid w:val="007D458D"/>
    <w:rsid w:val="007D4C4C"/>
    <w:rsid w:val="007D5C48"/>
    <w:rsid w:val="007D63C4"/>
    <w:rsid w:val="007D6807"/>
    <w:rsid w:val="007D6BB2"/>
    <w:rsid w:val="007E0405"/>
    <w:rsid w:val="007E22AB"/>
    <w:rsid w:val="007E25B9"/>
    <w:rsid w:val="007E275B"/>
    <w:rsid w:val="007E2847"/>
    <w:rsid w:val="007E2E7F"/>
    <w:rsid w:val="007E5986"/>
    <w:rsid w:val="007E5A72"/>
    <w:rsid w:val="007E5F44"/>
    <w:rsid w:val="007E6A27"/>
    <w:rsid w:val="007E6C30"/>
    <w:rsid w:val="007E701B"/>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309C"/>
    <w:rsid w:val="00803284"/>
    <w:rsid w:val="00803AC2"/>
    <w:rsid w:val="0080496C"/>
    <w:rsid w:val="00805EE7"/>
    <w:rsid w:val="00805F90"/>
    <w:rsid w:val="00807511"/>
    <w:rsid w:val="00807BCF"/>
    <w:rsid w:val="00807FCB"/>
    <w:rsid w:val="00810524"/>
    <w:rsid w:val="00810D5D"/>
    <w:rsid w:val="00811E6D"/>
    <w:rsid w:val="0081290B"/>
    <w:rsid w:val="008130F4"/>
    <w:rsid w:val="008135D5"/>
    <w:rsid w:val="008138B9"/>
    <w:rsid w:val="00814427"/>
    <w:rsid w:val="008150F7"/>
    <w:rsid w:val="00815183"/>
    <w:rsid w:val="0081585A"/>
    <w:rsid w:val="00815AF3"/>
    <w:rsid w:val="00815B19"/>
    <w:rsid w:val="0081783C"/>
    <w:rsid w:val="00817B82"/>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E"/>
    <w:rsid w:val="00847F5C"/>
    <w:rsid w:val="00850964"/>
    <w:rsid w:val="00850F5E"/>
    <w:rsid w:val="008516E9"/>
    <w:rsid w:val="00852237"/>
    <w:rsid w:val="008523D3"/>
    <w:rsid w:val="008526F5"/>
    <w:rsid w:val="00852804"/>
    <w:rsid w:val="00852B07"/>
    <w:rsid w:val="00852C71"/>
    <w:rsid w:val="00852E12"/>
    <w:rsid w:val="00853B29"/>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607F"/>
    <w:rsid w:val="008663F5"/>
    <w:rsid w:val="008664FE"/>
    <w:rsid w:val="00866E3F"/>
    <w:rsid w:val="0086774D"/>
    <w:rsid w:val="008700D6"/>
    <w:rsid w:val="00873317"/>
    <w:rsid w:val="00874A21"/>
    <w:rsid w:val="0087529D"/>
    <w:rsid w:val="008754E0"/>
    <w:rsid w:val="0087576F"/>
    <w:rsid w:val="00875827"/>
    <w:rsid w:val="00875DA7"/>
    <w:rsid w:val="00876DFC"/>
    <w:rsid w:val="008800A1"/>
    <w:rsid w:val="00880121"/>
    <w:rsid w:val="008808D1"/>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F39"/>
    <w:rsid w:val="00894FFA"/>
    <w:rsid w:val="00895289"/>
    <w:rsid w:val="00895A64"/>
    <w:rsid w:val="00895DC6"/>
    <w:rsid w:val="008972EE"/>
    <w:rsid w:val="00897A71"/>
    <w:rsid w:val="008A044D"/>
    <w:rsid w:val="008A0725"/>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40A1"/>
    <w:rsid w:val="008B45A8"/>
    <w:rsid w:val="008B46A7"/>
    <w:rsid w:val="008B525A"/>
    <w:rsid w:val="008B5393"/>
    <w:rsid w:val="008B5A39"/>
    <w:rsid w:val="008B5E90"/>
    <w:rsid w:val="008B62C8"/>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D0507"/>
    <w:rsid w:val="008D05FE"/>
    <w:rsid w:val="008D0BB0"/>
    <w:rsid w:val="008D0BEE"/>
    <w:rsid w:val="008D0E8C"/>
    <w:rsid w:val="008D2417"/>
    <w:rsid w:val="008D245F"/>
    <w:rsid w:val="008D2611"/>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BD"/>
    <w:rsid w:val="008E62B8"/>
    <w:rsid w:val="008E652F"/>
    <w:rsid w:val="008E6B08"/>
    <w:rsid w:val="008E6F39"/>
    <w:rsid w:val="008E7016"/>
    <w:rsid w:val="008E7672"/>
    <w:rsid w:val="008E7BA1"/>
    <w:rsid w:val="008F1DDE"/>
    <w:rsid w:val="008F2631"/>
    <w:rsid w:val="008F2CDD"/>
    <w:rsid w:val="008F339C"/>
    <w:rsid w:val="008F4251"/>
    <w:rsid w:val="008F5C1C"/>
    <w:rsid w:val="008F65DC"/>
    <w:rsid w:val="009001A0"/>
    <w:rsid w:val="009009D6"/>
    <w:rsid w:val="00901C58"/>
    <w:rsid w:val="00902C9D"/>
    <w:rsid w:val="00902E42"/>
    <w:rsid w:val="0090331B"/>
    <w:rsid w:val="00903752"/>
    <w:rsid w:val="00903B65"/>
    <w:rsid w:val="00904176"/>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41C"/>
    <w:rsid w:val="0091584C"/>
    <w:rsid w:val="00915E97"/>
    <w:rsid w:val="009160A7"/>
    <w:rsid w:val="00916679"/>
    <w:rsid w:val="00916722"/>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C0A"/>
    <w:rsid w:val="00955B39"/>
    <w:rsid w:val="00955D13"/>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367B"/>
    <w:rsid w:val="009747D1"/>
    <w:rsid w:val="00974A93"/>
    <w:rsid w:val="00976364"/>
    <w:rsid w:val="009768A3"/>
    <w:rsid w:val="009770C9"/>
    <w:rsid w:val="00977AA2"/>
    <w:rsid w:val="009807F9"/>
    <w:rsid w:val="00980FDA"/>
    <w:rsid w:val="00980FF6"/>
    <w:rsid w:val="00981AF2"/>
    <w:rsid w:val="009828BE"/>
    <w:rsid w:val="00982DA6"/>
    <w:rsid w:val="00982E94"/>
    <w:rsid w:val="0098428F"/>
    <w:rsid w:val="00984BB1"/>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DBA"/>
    <w:rsid w:val="00995EBB"/>
    <w:rsid w:val="00995ED8"/>
    <w:rsid w:val="00996222"/>
    <w:rsid w:val="009965B5"/>
    <w:rsid w:val="00996AD7"/>
    <w:rsid w:val="00996E72"/>
    <w:rsid w:val="00996E82"/>
    <w:rsid w:val="009977F0"/>
    <w:rsid w:val="009A0A93"/>
    <w:rsid w:val="009A1AC8"/>
    <w:rsid w:val="009A225E"/>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457"/>
    <w:rsid w:val="009E553F"/>
    <w:rsid w:val="009E5D82"/>
    <w:rsid w:val="009E645C"/>
    <w:rsid w:val="009E6EC7"/>
    <w:rsid w:val="009E7178"/>
    <w:rsid w:val="009E78BD"/>
    <w:rsid w:val="009F07DC"/>
    <w:rsid w:val="009F0BE3"/>
    <w:rsid w:val="009F1186"/>
    <w:rsid w:val="009F181C"/>
    <w:rsid w:val="009F198C"/>
    <w:rsid w:val="009F1CA4"/>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9EA"/>
    <w:rsid w:val="00A001EC"/>
    <w:rsid w:val="00A00D87"/>
    <w:rsid w:val="00A01AD2"/>
    <w:rsid w:val="00A026C5"/>
    <w:rsid w:val="00A02E11"/>
    <w:rsid w:val="00A02F71"/>
    <w:rsid w:val="00A031C0"/>
    <w:rsid w:val="00A0358E"/>
    <w:rsid w:val="00A036AE"/>
    <w:rsid w:val="00A04CB7"/>
    <w:rsid w:val="00A05010"/>
    <w:rsid w:val="00A056D9"/>
    <w:rsid w:val="00A05DB3"/>
    <w:rsid w:val="00A07424"/>
    <w:rsid w:val="00A07529"/>
    <w:rsid w:val="00A07F53"/>
    <w:rsid w:val="00A100EC"/>
    <w:rsid w:val="00A10384"/>
    <w:rsid w:val="00A1087D"/>
    <w:rsid w:val="00A10D8C"/>
    <w:rsid w:val="00A1147B"/>
    <w:rsid w:val="00A12C72"/>
    <w:rsid w:val="00A13147"/>
    <w:rsid w:val="00A13B1C"/>
    <w:rsid w:val="00A14776"/>
    <w:rsid w:val="00A1481E"/>
    <w:rsid w:val="00A14AD0"/>
    <w:rsid w:val="00A17A59"/>
    <w:rsid w:val="00A20082"/>
    <w:rsid w:val="00A22620"/>
    <w:rsid w:val="00A22AFB"/>
    <w:rsid w:val="00A23161"/>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2352"/>
    <w:rsid w:val="00A42473"/>
    <w:rsid w:val="00A43B04"/>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C39"/>
    <w:rsid w:val="00A946DC"/>
    <w:rsid w:val="00A94869"/>
    <w:rsid w:val="00A94DB4"/>
    <w:rsid w:val="00A953AE"/>
    <w:rsid w:val="00A95C03"/>
    <w:rsid w:val="00A95CF9"/>
    <w:rsid w:val="00A9661F"/>
    <w:rsid w:val="00A96CE2"/>
    <w:rsid w:val="00A96FB5"/>
    <w:rsid w:val="00A97017"/>
    <w:rsid w:val="00A9705B"/>
    <w:rsid w:val="00A971A4"/>
    <w:rsid w:val="00A97F4E"/>
    <w:rsid w:val="00AA08F8"/>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B1F16"/>
    <w:rsid w:val="00AB2193"/>
    <w:rsid w:val="00AB23AE"/>
    <w:rsid w:val="00AB244D"/>
    <w:rsid w:val="00AB26EE"/>
    <w:rsid w:val="00AB2D52"/>
    <w:rsid w:val="00AB32B4"/>
    <w:rsid w:val="00AB330D"/>
    <w:rsid w:val="00AB468F"/>
    <w:rsid w:val="00AB4CFD"/>
    <w:rsid w:val="00AB50B6"/>
    <w:rsid w:val="00AB5202"/>
    <w:rsid w:val="00AB5218"/>
    <w:rsid w:val="00AB53F5"/>
    <w:rsid w:val="00AB5D27"/>
    <w:rsid w:val="00AB6286"/>
    <w:rsid w:val="00AB64E8"/>
    <w:rsid w:val="00AB68B2"/>
    <w:rsid w:val="00AB6AF9"/>
    <w:rsid w:val="00AC00D0"/>
    <w:rsid w:val="00AC063C"/>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127A"/>
    <w:rsid w:val="00B02034"/>
    <w:rsid w:val="00B028D9"/>
    <w:rsid w:val="00B02A59"/>
    <w:rsid w:val="00B02B10"/>
    <w:rsid w:val="00B02C50"/>
    <w:rsid w:val="00B02DE0"/>
    <w:rsid w:val="00B02F65"/>
    <w:rsid w:val="00B031D2"/>
    <w:rsid w:val="00B032AF"/>
    <w:rsid w:val="00B03BF3"/>
    <w:rsid w:val="00B043EC"/>
    <w:rsid w:val="00B04FBC"/>
    <w:rsid w:val="00B056D2"/>
    <w:rsid w:val="00B0650C"/>
    <w:rsid w:val="00B06698"/>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1940"/>
    <w:rsid w:val="00B3211B"/>
    <w:rsid w:val="00B32DA0"/>
    <w:rsid w:val="00B334F3"/>
    <w:rsid w:val="00B33C67"/>
    <w:rsid w:val="00B34731"/>
    <w:rsid w:val="00B348E5"/>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736A"/>
    <w:rsid w:val="00B479FD"/>
    <w:rsid w:val="00B50287"/>
    <w:rsid w:val="00B50435"/>
    <w:rsid w:val="00B506FD"/>
    <w:rsid w:val="00B507E1"/>
    <w:rsid w:val="00B51060"/>
    <w:rsid w:val="00B515DF"/>
    <w:rsid w:val="00B51978"/>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901F5"/>
    <w:rsid w:val="00B90206"/>
    <w:rsid w:val="00B907CF"/>
    <w:rsid w:val="00B918CA"/>
    <w:rsid w:val="00B919D0"/>
    <w:rsid w:val="00B91A95"/>
    <w:rsid w:val="00B929F5"/>
    <w:rsid w:val="00B92A83"/>
    <w:rsid w:val="00B932CA"/>
    <w:rsid w:val="00B93E28"/>
    <w:rsid w:val="00B941B6"/>
    <w:rsid w:val="00B945E7"/>
    <w:rsid w:val="00B94BE4"/>
    <w:rsid w:val="00B95CB7"/>
    <w:rsid w:val="00B96C15"/>
    <w:rsid w:val="00B96F29"/>
    <w:rsid w:val="00B97265"/>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58AB"/>
    <w:rsid w:val="00BB6027"/>
    <w:rsid w:val="00BB7845"/>
    <w:rsid w:val="00BB7DC3"/>
    <w:rsid w:val="00BC03D1"/>
    <w:rsid w:val="00BC1A67"/>
    <w:rsid w:val="00BC1D91"/>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C20"/>
    <w:rsid w:val="00BD44E2"/>
    <w:rsid w:val="00BD4BA1"/>
    <w:rsid w:val="00BD4FF2"/>
    <w:rsid w:val="00BD501C"/>
    <w:rsid w:val="00BD5DE0"/>
    <w:rsid w:val="00BD63BD"/>
    <w:rsid w:val="00BD6672"/>
    <w:rsid w:val="00BD6793"/>
    <w:rsid w:val="00BD725F"/>
    <w:rsid w:val="00BE0093"/>
    <w:rsid w:val="00BE0095"/>
    <w:rsid w:val="00BE0311"/>
    <w:rsid w:val="00BE04B5"/>
    <w:rsid w:val="00BE085B"/>
    <w:rsid w:val="00BE0AC8"/>
    <w:rsid w:val="00BE0B46"/>
    <w:rsid w:val="00BE1B04"/>
    <w:rsid w:val="00BE1DC1"/>
    <w:rsid w:val="00BE25F3"/>
    <w:rsid w:val="00BE2609"/>
    <w:rsid w:val="00BE274C"/>
    <w:rsid w:val="00BE341B"/>
    <w:rsid w:val="00BE3B04"/>
    <w:rsid w:val="00BE4639"/>
    <w:rsid w:val="00BE5396"/>
    <w:rsid w:val="00BE54E6"/>
    <w:rsid w:val="00BE55AC"/>
    <w:rsid w:val="00BE579E"/>
    <w:rsid w:val="00BE6CAF"/>
    <w:rsid w:val="00BE6EDC"/>
    <w:rsid w:val="00BE6F43"/>
    <w:rsid w:val="00BE7181"/>
    <w:rsid w:val="00BE7571"/>
    <w:rsid w:val="00BE7D09"/>
    <w:rsid w:val="00BE7FB4"/>
    <w:rsid w:val="00BF0088"/>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70AF"/>
    <w:rsid w:val="00BF70D3"/>
    <w:rsid w:val="00BF7F4F"/>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6133"/>
    <w:rsid w:val="00C162D6"/>
    <w:rsid w:val="00C1634E"/>
    <w:rsid w:val="00C16A0D"/>
    <w:rsid w:val="00C16EE8"/>
    <w:rsid w:val="00C16F54"/>
    <w:rsid w:val="00C20055"/>
    <w:rsid w:val="00C21076"/>
    <w:rsid w:val="00C219CE"/>
    <w:rsid w:val="00C21A67"/>
    <w:rsid w:val="00C21D68"/>
    <w:rsid w:val="00C22261"/>
    <w:rsid w:val="00C22EFD"/>
    <w:rsid w:val="00C22FE4"/>
    <w:rsid w:val="00C233B2"/>
    <w:rsid w:val="00C236EE"/>
    <w:rsid w:val="00C23870"/>
    <w:rsid w:val="00C23EB3"/>
    <w:rsid w:val="00C24866"/>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CD"/>
    <w:rsid w:val="00C56905"/>
    <w:rsid w:val="00C56DF8"/>
    <w:rsid w:val="00C600BF"/>
    <w:rsid w:val="00C60239"/>
    <w:rsid w:val="00C609D6"/>
    <w:rsid w:val="00C6175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C4C"/>
    <w:rsid w:val="00C80933"/>
    <w:rsid w:val="00C80C1F"/>
    <w:rsid w:val="00C81E2E"/>
    <w:rsid w:val="00C81FF2"/>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D85"/>
    <w:rsid w:val="00C93F34"/>
    <w:rsid w:val="00C94B00"/>
    <w:rsid w:val="00C94C63"/>
    <w:rsid w:val="00C94F31"/>
    <w:rsid w:val="00C95E35"/>
    <w:rsid w:val="00C95F1B"/>
    <w:rsid w:val="00C961A2"/>
    <w:rsid w:val="00C96855"/>
    <w:rsid w:val="00C971F1"/>
    <w:rsid w:val="00C97691"/>
    <w:rsid w:val="00C97EF5"/>
    <w:rsid w:val="00CA03EF"/>
    <w:rsid w:val="00CA1043"/>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FF8"/>
    <w:rsid w:val="00CC4635"/>
    <w:rsid w:val="00CC4E80"/>
    <w:rsid w:val="00CC5245"/>
    <w:rsid w:val="00CC5951"/>
    <w:rsid w:val="00CC5987"/>
    <w:rsid w:val="00CC5D24"/>
    <w:rsid w:val="00CC604F"/>
    <w:rsid w:val="00CC684D"/>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1046"/>
    <w:rsid w:val="00D210CA"/>
    <w:rsid w:val="00D21816"/>
    <w:rsid w:val="00D21CD8"/>
    <w:rsid w:val="00D22638"/>
    <w:rsid w:val="00D24402"/>
    <w:rsid w:val="00D255B0"/>
    <w:rsid w:val="00D25CE4"/>
    <w:rsid w:val="00D266E0"/>
    <w:rsid w:val="00D26AC5"/>
    <w:rsid w:val="00D2795A"/>
    <w:rsid w:val="00D27FCD"/>
    <w:rsid w:val="00D3023A"/>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6C8"/>
    <w:rsid w:val="00D55530"/>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EC6"/>
    <w:rsid w:val="00D742EF"/>
    <w:rsid w:val="00D74EF9"/>
    <w:rsid w:val="00D74F7C"/>
    <w:rsid w:val="00D75AC9"/>
    <w:rsid w:val="00D76460"/>
    <w:rsid w:val="00D769FC"/>
    <w:rsid w:val="00D77964"/>
    <w:rsid w:val="00D779AA"/>
    <w:rsid w:val="00D80705"/>
    <w:rsid w:val="00D80E3C"/>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109A"/>
    <w:rsid w:val="00D910B4"/>
    <w:rsid w:val="00D9138F"/>
    <w:rsid w:val="00D91637"/>
    <w:rsid w:val="00D91E54"/>
    <w:rsid w:val="00D9202B"/>
    <w:rsid w:val="00D92CA6"/>
    <w:rsid w:val="00D92DDE"/>
    <w:rsid w:val="00D92F03"/>
    <w:rsid w:val="00D93830"/>
    <w:rsid w:val="00D93D9D"/>
    <w:rsid w:val="00D93DF9"/>
    <w:rsid w:val="00D947D2"/>
    <w:rsid w:val="00D94D14"/>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C"/>
    <w:rsid w:val="00DA162A"/>
    <w:rsid w:val="00DA16B5"/>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6E1"/>
    <w:rsid w:val="00DB5A3F"/>
    <w:rsid w:val="00DB5BBB"/>
    <w:rsid w:val="00DB5D80"/>
    <w:rsid w:val="00DB66B7"/>
    <w:rsid w:val="00DB7C64"/>
    <w:rsid w:val="00DC003B"/>
    <w:rsid w:val="00DC016E"/>
    <w:rsid w:val="00DC05B2"/>
    <w:rsid w:val="00DC111D"/>
    <w:rsid w:val="00DC16C5"/>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FE5"/>
    <w:rsid w:val="00DD6967"/>
    <w:rsid w:val="00DD763F"/>
    <w:rsid w:val="00DD76A9"/>
    <w:rsid w:val="00DD7F8E"/>
    <w:rsid w:val="00DE0083"/>
    <w:rsid w:val="00DE032D"/>
    <w:rsid w:val="00DE0667"/>
    <w:rsid w:val="00DE0A5A"/>
    <w:rsid w:val="00DE0BE5"/>
    <w:rsid w:val="00DE0FF8"/>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945"/>
    <w:rsid w:val="00DF2B45"/>
    <w:rsid w:val="00DF3664"/>
    <w:rsid w:val="00DF3B21"/>
    <w:rsid w:val="00DF41C8"/>
    <w:rsid w:val="00DF44B0"/>
    <w:rsid w:val="00DF4833"/>
    <w:rsid w:val="00DF50BE"/>
    <w:rsid w:val="00DF5505"/>
    <w:rsid w:val="00DF57B4"/>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52F"/>
    <w:rsid w:val="00E35D2F"/>
    <w:rsid w:val="00E368BD"/>
    <w:rsid w:val="00E3694D"/>
    <w:rsid w:val="00E37313"/>
    <w:rsid w:val="00E37366"/>
    <w:rsid w:val="00E37F79"/>
    <w:rsid w:val="00E40757"/>
    <w:rsid w:val="00E41421"/>
    <w:rsid w:val="00E41EF9"/>
    <w:rsid w:val="00E420BD"/>
    <w:rsid w:val="00E420F3"/>
    <w:rsid w:val="00E42DCB"/>
    <w:rsid w:val="00E433D2"/>
    <w:rsid w:val="00E4447F"/>
    <w:rsid w:val="00E448F3"/>
    <w:rsid w:val="00E4561E"/>
    <w:rsid w:val="00E4570F"/>
    <w:rsid w:val="00E4629C"/>
    <w:rsid w:val="00E46A5A"/>
    <w:rsid w:val="00E500A1"/>
    <w:rsid w:val="00E50E95"/>
    <w:rsid w:val="00E5271F"/>
    <w:rsid w:val="00E52A7F"/>
    <w:rsid w:val="00E5351B"/>
    <w:rsid w:val="00E53B70"/>
    <w:rsid w:val="00E53E88"/>
    <w:rsid w:val="00E5452C"/>
    <w:rsid w:val="00E5466C"/>
    <w:rsid w:val="00E5492A"/>
    <w:rsid w:val="00E54DF7"/>
    <w:rsid w:val="00E5592F"/>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DC1"/>
    <w:rsid w:val="00E73006"/>
    <w:rsid w:val="00E7376A"/>
    <w:rsid w:val="00E738BF"/>
    <w:rsid w:val="00E74106"/>
    <w:rsid w:val="00E74A0D"/>
    <w:rsid w:val="00E74C06"/>
    <w:rsid w:val="00E751A2"/>
    <w:rsid w:val="00E7560C"/>
    <w:rsid w:val="00E7569E"/>
    <w:rsid w:val="00E75CBE"/>
    <w:rsid w:val="00E7697B"/>
    <w:rsid w:val="00E76EA2"/>
    <w:rsid w:val="00E770DA"/>
    <w:rsid w:val="00E772FE"/>
    <w:rsid w:val="00E821BC"/>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3136"/>
    <w:rsid w:val="00EA3DE9"/>
    <w:rsid w:val="00EA4FBC"/>
    <w:rsid w:val="00EA5524"/>
    <w:rsid w:val="00EA59F6"/>
    <w:rsid w:val="00EA6008"/>
    <w:rsid w:val="00EA607B"/>
    <w:rsid w:val="00EA6400"/>
    <w:rsid w:val="00EA721E"/>
    <w:rsid w:val="00EB0030"/>
    <w:rsid w:val="00EB0767"/>
    <w:rsid w:val="00EB0B24"/>
    <w:rsid w:val="00EB0D96"/>
    <w:rsid w:val="00EB1D88"/>
    <w:rsid w:val="00EB2A54"/>
    <w:rsid w:val="00EB2F29"/>
    <w:rsid w:val="00EB336C"/>
    <w:rsid w:val="00EB3D04"/>
    <w:rsid w:val="00EB4E19"/>
    <w:rsid w:val="00EB506D"/>
    <w:rsid w:val="00EB50AE"/>
    <w:rsid w:val="00EB5571"/>
    <w:rsid w:val="00EB5975"/>
    <w:rsid w:val="00EB6036"/>
    <w:rsid w:val="00EB636A"/>
    <w:rsid w:val="00EB709F"/>
    <w:rsid w:val="00EB7432"/>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40F7"/>
    <w:rsid w:val="00F242B2"/>
    <w:rsid w:val="00F24DAE"/>
    <w:rsid w:val="00F2511B"/>
    <w:rsid w:val="00F251D6"/>
    <w:rsid w:val="00F25209"/>
    <w:rsid w:val="00F2521A"/>
    <w:rsid w:val="00F263B7"/>
    <w:rsid w:val="00F26430"/>
    <w:rsid w:val="00F26F2A"/>
    <w:rsid w:val="00F3134D"/>
    <w:rsid w:val="00F315E3"/>
    <w:rsid w:val="00F31F66"/>
    <w:rsid w:val="00F325C1"/>
    <w:rsid w:val="00F328A5"/>
    <w:rsid w:val="00F32E0C"/>
    <w:rsid w:val="00F33A51"/>
    <w:rsid w:val="00F3493C"/>
    <w:rsid w:val="00F358CD"/>
    <w:rsid w:val="00F36A79"/>
    <w:rsid w:val="00F37473"/>
    <w:rsid w:val="00F4039A"/>
    <w:rsid w:val="00F40561"/>
    <w:rsid w:val="00F405B8"/>
    <w:rsid w:val="00F4163C"/>
    <w:rsid w:val="00F4180D"/>
    <w:rsid w:val="00F41F42"/>
    <w:rsid w:val="00F42539"/>
    <w:rsid w:val="00F42789"/>
    <w:rsid w:val="00F4286F"/>
    <w:rsid w:val="00F4305E"/>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551"/>
    <w:rsid w:val="00F54833"/>
    <w:rsid w:val="00F54AEB"/>
    <w:rsid w:val="00F55D47"/>
    <w:rsid w:val="00F5619C"/>
    <w:rsid w:val="00F563BC"/>
    <w:rsid w:val="00F5707A"/>
    <w:rsid w:val="00F5744C"/>
    <w:rsid w:val="00F57BC4"/>
    <w:rsid w:val="00F60896"/>
    <w:rsid w:val="00F609D3"/>
    <w:rsid w:val="00F60A3E"/>
    <w:rsid w:val="00F61186"/>
    <w:rsid w:val="00F6235E"/>
    <w:rsid w:val="00F62BE8"/>
    <w:rsid w:val="00F62ED5"/>
    <w:rsid w:val="00F6359A"/>
    <w:rsid w:val="00F63DF9"/>
    <w:rsid w:val="00F646B1"/>
    <w:rsid w:val="00F64937"/>
    <w:rsid w:val="00F649BB"/>
    <w:rsid w:val="00F64D2B"/>
    <w:rsid w:val="00F658B8"/>
    <w:rsid w:val="00F65EBB"/>
    <w:rsid w:val="00F67321"/>
    <w:rsid w:val="00F67BD5"/>
    <w:rsid w:val="00F70D13"/>
    <w:rsid w:val="00F70E9D"/>
    <w:rsid w:val="00F7133F"/>
    <w:rsid w:val="00F71512"/>
    <w:rsid w:val="00F72B83"/>
    <w:rsid w:val="00F72D62"/>
    <w:rsid w:val="00F7323A"/>
    <w:rsid w:val="00F75237"/>
    <w:rsid w:val="00F75F16"/>
    <w:rsid w:val="00F760CD"/>
    <w:rsid w:val="00F7669E"/>
    <w:rsid w:val="00F76E98"/>
    <w:rsid w:val="00F77F0A"/>
    <w:rsid w:val="00F80416"/>
    <w:rsid w:val="00F811AB"/>
    <w:rsid w:val="00F813BF"/>
    <w:rsid w:val="00F82442"/>
    <w:rsid w:val="00F82860"/>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FFA"/>
    <w:rsid w:val="00F95218"/>
    <w:rsid w:val="00F958F0"/>
    <w:rsid w:val="00F95D0D"/>
    <w:rsid w:val="00F966EF"/>
    <w:rsid w:val="00F96CB0"/>
    <w:rsid w:val="00FA04FE"/>
    <w:rsid w:val="00FA0AFE"/>
    <w:rsid w:val="00FA16FA"/>
    <w:rsid w:val="00FA347C"/>
    <w:rsid w:val="00FA3E0F"/>
    <w:rsid w:val="00FA41FA"/>
    <w:rsid w:val="00FA50C1"/>
    <w:rsid w:val="00FA592C"/>
    <w:rsid w:val="00FA64C7"/>
    <w:rsid w:val="00FA66BC"/>
    <w:rsid w:val="00FA690F"/>
    <w:rsid w:val="00FA72AB"/>
    <w:rsid w:val="00FA76FB"/>
    <w:rsid w:val="00FA77AB"/>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footer" Target="footer2.xml"/><Relationship Id="rId66" Type="http://schemas.openxmlformats.org/officeDocument/2006/relationships/fontTable" Target="fontTable.xml"/><Relationship Id="rId67" Type="http://schemas.openxmlformats.org/officeDocument/2006/relationships/theme" Target="theme/theme1.xml"/><Relationship Id="rId68" Type="http://schemas.microsoft.com/office/2011/relationships/people" Target="people.xml"/><Relationship Id="rId69" Type="http://schemas.microsoft.com/office/2011/relationships/commentsExtended" Target="commentsExtended.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microsoft.com/office/2016/09/relationships/commentsIds" Target="commentsId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16ED27-D410-5B4A-894E-006CA128819E}">
  <ds:schemaRefs>
    <ds:schemaRef ds:uri="http://schemas.openxmlformats.org/officeDocument/2006/bibliography"/>
  </ds:schemaRefs>
</ds:datastoreItem>
</file>

<file path=customXml/itemProps10.xml><?xml version="1.0" encoding="utf-8"?>
<ds:datastoreItem xmlns:ds="http://schemas.openxmlformats.org/officeDocument/2006/customXml" ds:itemID="{65C88230-6FD8-8B40-AA11-303E3C7929E6}">
  <ds:schemaRefs>
    <ds:schemaRef ds:uri="http://schemas.openxmlformats.org/officeDocument/2006/bibliography"/>
  </ds:schemaRefs>
</ds:datastoreItem>
</file>

<file path=customXml/itemProps11.xml><?xml version="1.0" encoding="utf-8"?>
<ds:datastoreItem xmlns:ds="http://schemas.openxmlformats.org/officeDocument/2006/customXml" ds:itemID="{D8426C99-2118-5543-A449-799E75303BE0}">
  <ds:schemaRefs>
    <ds:schemaRef ds:uri="http://schemas.openxmlformats.org/officeDocument/2006/bibliography"/>
  </ds:schemaRefs>
</ds:datastoreItem>
</file>

<file path=customXml/itemProps12.xml><?xml version="1.0" encoding="utf-8"?>
<ds:datastoreItem xmlns:ds="http://schemas.openxmlformats.org/officeDocument/2006/customXml" ds:itemID="{AF8E71C2-484B-E84E-9A0B-00F0797D7C3B}">
  <ds:schemaRefs>
    <ds:schemaRef ds:uri="http://schemas.openxmlformats.org/officeDocument/2006/bibliography"/>
  </ds:schemaRefs>
</ds:datastoreItem>
</file>

<file path=customXml/itemProps13.xml><?xml version="1.0" encoding="utf-8"?>
<ds:datastoreItem xmlns:ds="http://schemas.openxmlformats.org/officeDocument/2006/customXml" ds:itemID="{840B268C-42A2-7E43-9BA9-63E23382E64F}">
  <ds:schemaRefs>
    <ds:schemaRef ds:uri="http://schemas.openxmlformats.org/officeDocument/2006/bibliography"/>
  </ds:schemaRefs>
</ds:datastoreItem>
</file>

<file path=customXml/itemProps14.xml><?xml version="1.0" encoding="utf-8"?>
<ds:datastoreItem xmlns:ds="http://schemas.openxmlformats.org/officeDocument/2006/customXml" ds:itemID="{D5B0C160-DAC3-E542-B922-7EE02B122E0F}">
  <ds:schemaRefs>
    <ds:schemaRef ds:uri="http://schemas.openxmlformats.org/officeDocument/2006/bibliography"/>
  </ds:schemaRefs>
</ds:datastoreItem>
</file>

<file path=customXml/itemProps15.xml><?xml version="1.0" encoding="utf-8"?>
<ds:datastoreItem xmlns:ds="http://schemas.openxmlformats.org/officeDocument/2006/customXml" ds:itemID="{FC9BCBA1-1375-6248-9CFE-6602AF4A97AF}">
  <ds:schemaRefs>
    <ds:schemaRef ds:uri="http://schemas.openxmlformats.org/officeDocument/2006/bibliography"/>
  </ds:schemaRefs>
</ds:datastoreItem>
</file>

<file path=customXml/itemProps16.xml><?xml version="1.0" encoding="utf-8"?>
<ds:datastoreItem xmlns:ds="http://schemas.openxmlformats.org/officeDocument/2006/customXml" ds:itemID="{FC2CBA30-3B7C-3147-ABDC-ED24697243B2}">
  <ds:schemaRefs>
    <ds:schemaRef ds:uri="http://schemas.openxmlformats.org/officeDocument/2006/bibliography"/>
  </ds:schemaRefs>
</ds:datastoreItem>
</file>

<file path=customXml/itemProps17.xml><?xml version="1.0" encoding="utf-8"?>
<ds:datastoreItem xmlns:ds="http://schemas.openxmlformats.org/officeDocument/2006/customXml" ds:itemID="{383D4BC1-5584-ED40-B6FB-09FA63CC32BD}">
  <ds:schemaRefs>
    <ds:schemaRef ds:uri="http://schemas.openxmlformats.org/officeDocument/2006/bibliography"/>
  </ds:schemaRefs>
</ds:datastoreItem>
</file>

<file path=customXml/itemProps18.xml><?xml version="1.0" encoding="utf-8"?>
<ds:datastoreItem xmlns:ds="http://schemas.openxmlformats.org/officeDocument/2006/customXml" ds:itemID="{AE40AAC9-C881-0E40-ACEE-BE6F7A0319FC}">
  <ds:schemaRefs>
    <ds:schemaRef ds:uri="http://schemas.openxmlformats.org/officeDocument/2006/bibliography"/>
  </ds:schemaRefs>
</ds:datastoreItem>
</file>

<file path=customXml/itemProps19.xml><?xml version="1.0" encoding="utf-8"?>
<ds:datastoreItem xmlns:ds="http://schemas.openxmlformats.org/officeDocument/2006/customXml" ds:itemID="{0CA4C167-1F1F-E34F-98DE-26E9BB461246}">
  <ds:schemaRefs>
    <ds:schemaRef ds:uri="http://schemas.openxmlformats.org/officeDocument/2006/bibliography"/>
  </ds:schemaRefs>
</ds:datastoreItem>
</file>

<file path=customXml/itemProps2.xml><?xml version="1.0" encoding="utf-8"?>
<ds:datastoreItem xmlns:ds="http://schemas.openxmlformats.org/officeDocument/2006/customXml" ds:itemID="{D8247314-B0AD-7445-A01B-4FF0B78F465E}">
  <ds:schemaRefs>
    <ds:schemaRef ds:uri="http://schemas.openxmlformats.org/officeDocument/2006/bibliography"/>
  </ds:schemaRefs>
</ds:datastoreItem>
</file>

<file path=customXml/itemProps20.xml><?xml version="1.0" encoding="utf-8"?>
<ds:datastoreItem xmlns:ds="http://schemas.openxmlformats.org/officeDocument/2006/customXml" ds:itemID="{AD79881B-E54C-3044-ADDB-4DE6C3A95ACC}">
  <ds:schemaRefs>
    <ds:schemaRef ds:uri="http://schemas.openxmlformats.org/officeDocument/2006/bibliography"/>
  </ds:schemaRefs>
</ds:datastoreItem>
</file>

<file path=customXml/itemProps21.xml><?xml version="1.0" encoding="utf-8"?>
<ds:datastoreItem xmlns:ds="http://schemas.openxmlformats.org/officeDocument/2006/customXml" ds:itemID="{383B85FE-C63F-8A45-A203-95C956CEB4C8}">
  <ds:schemaRefs>
    <ds:schemaRef ds:uri="http://schemas.openxmlformats.org/officeDocument/2006/bibliography"/>
  </ds:schemaRefs>
</ds:datastoreItem>
</file>

<file path=customXml/itemProps22.xml><?xml version="1.0" encoding="utf-8"?>
<ds:datastoreItem xmlns:ds="http://schemas.openxmlformats.org/officeDocument/2006/customXml" ds:itemID="{C736B181-D112-4346-A4B7-2B4913D7F783}">
  <ds:schemaRefs>
    <ds:schemaRef ds:uri="http://schemas.openxmlformats.org/officeDocument/2006/bibliography"/>
  </ds:schemaRefs>
</ds:datastoreItem>
</file>

<file path=customXml/itemProps23.xml><?xml version="1.0" encoding="utf-8"?>
<ds:datastoreItem xmlns:ds="http://schemas.openxmlformats.org/officeDocument/2006/customXml" ds:itemID="{C41E8D70-2AD9-A54D-BC91-53A2B5B21FA8}">
  <ds:schemaRefs>
    <ds:schemaRef ds:uri="http://schemas.openxmlformats.org/officeDocument/2006/bibliography"/>
  </ds:schemaRefs>
</ds:datastoreItem>
</file>

<file path=customXml/itemProps24.xml><?xml version="1.0" encoding="utf-8"?>
<ds:datastoreItem xmlns:ds="http://schemas.openxmlformats.org/officeDocument/2006/customXml" ds:itemID="{688EDC2B-4856-9449-9382-57EB80B4A064}">
  <ds:schemaRefs>
    <ds:schemaRef ds:uri="http://schemas.openxmlformats.org/officeDocument/2006/bibliography"/>
  </ds:schemaRefs>
</ds:datastoreItem>
</file>

<file path=customXml/itemProps25.xml><?xml version="1.0" encoding="utf-8"?>
<ds:datastoreItem xmlns:ds="http://schemas.openxmlformats.org/officeDocument/2006/customXml" ds:itemID="{2E4D14B2-1417-5D48-8220-77F91DF63395}">
  <ds:schemaRefs>
    <ds:schemaRef ds:uri="http://schemas.openxmlformats.org/officeDocument/2006/bibliography"/>
  </ds:schemaRefs>
</ds:datastoreItem>
</file>

<file path=customXml/itemProps26.xml><?xml version="1.0" encoding="utf-8"?>
<ds:datastoreItem xmlns:ds="http://schemas.openxmlformats.org/officeDocument/2006/customXml" ds:itemID="{C530DB1B-48E8-9C48-A23C-77DDA8929D5A}">
  <ds:schemaRefs>
    <ds:schemaRef ds:uri="http://schemas.openxmlformats.org/officeDocument/2006/bibliography"/>
  </ds:schemaRefs>
</ds:datastoreItem>
</file>

<file path=customXml/itemProps27.xml><?xml version="1.0" encoding="utf-8"?>
<ds:datastoreItem xmlns:ds="http://schemas.openxmlformats.org/officeDocument/2006/customXml" ds:itemID="{57D06DC1-86FB-9E4A-AB03-64B120DF8383}">
  <ds:schemaRefs>
    <ds:schemaRef ds:uri="http://schemas.openxmlformats.org/officeDocument/2006/bibliography"/>
  </ds:schemaRefs>
</ds:datastoreItem>
</file>

<file path=customXml/itemProps28.xml><?xml version="1.0" encoding="utf-8"?>
<ds:datastoreItem xmlns:ds="http://schemas.openxmlformats.org/officeDocument/2006/customXml" ds:itemID="{C78CAF86-823C-BD47-8832-54F2F6E7E7DE}">
  <ds:schemaRefs>
    <ds:schemaRef ds:uri="http://schemas.openxmlformats.org/officeDocument/2006/bibliography"/>
  </ds:schemaRefs>
</ds:datastoreItem>
</file>

<file path=customXml/itemProps29.xml><?xml version="1.0" encoding="utf-8"?>
<ds:datastoreItem xmlns:ds="http://schemas.openxmlformats.org/officeDocument/2006/customXml" ds:itemID="{DF3AEC5D-EC3C-084B-8A01-C070AB063704}">
  <ds:schemaRefs>
    <ds:schemaRef ds:uri="http://schemas.openxmlformats.org/officeDocument/2006/bibliography"/>
  </ds:schemaRefs>
</ds:datastoreItem>
</file>

<file path=customXml/itemProps3.xml><?xml version="1.0" encoding="utf-8"?>
<ds:datastoreItem xmlns:ds="http://schemas.openxmlformats.org/officeDocument/2006/customXml" ds:itemID="{7E0A3C1D-7144-7641-B18A-2EDF7D2AF862}">
  <ds:schemaRefs>
    <ds:schemaRef ds:uri="http://schemas.openxmlformats.org/officeDocument/2006/bibliography"/>
  </ds:schemaRefs>
</ds:datastoreItem>
</file>

<file path=customXml/itemProps30.xml><?xml version="1.0" encoding="utf-8"?>
<ds:datastoreItem xmlns:ds="http://schemas.openxmlformats.org/officeDocument/2006/customXml" ds:itemID="{251E88FC-1CA1-684E-8599-BA88A6C2F2BE}">
  <ds:schemaRefs>
    <ds:schemaRef ds:uri="http://schemas.openxmlformats.org/officeDocument/2006/bibliography"/>
  </ds:schemaRefs>
</ds:datastoreItem>
</file>

<file path=customXml/itemProps31.xml><?xml version="1.0" encoding="utf-8"?>
<ds:datastoreItem xmlns:ds="http://schemas.openxmlformats.org/officeDocument/2006/customXml" ds:itemID="{D64D3A5B-CD81-454B-AF9B-F89483DB20B3}">
  <ds:schemaRefs>
    <ds:schemaRef ds:uri="http://schemas.openxmlformats.org/officeDocument/2006/bibliography"/>
  </ds:schemaRefs>
</ds:datastoreItem>
</file>

<file path=customXml/itemProps32.xml><?xml version="1.0" encoding="utf-8"?>
<ds:datastoreItem xmlns:ds="http://schemas.openxmlformats.org/officeDocument/2006/customXml" ds:itemID="{1AFB2189-AFB9-2C40-A79F-FF0BC2A34E85}">
  <ds:schemaRefs>
    <ds:schemaRef ds:uri="http://schemas.openxmlformats.org/officeDocument/2006/bibliography"/>
  </ds:schemaRefs>
</ds:datastoreItem>
</file>

<file path=customXml/itemProps33.xml><?xml version="1.0" encoding="utf-8"?>
<ds:datastoreItem xmlns:ds="http://schemas.openxmlformats.org/officeDocument/2006/customXml" ds:itemID="{11478D9C-8D3D-844F-9A8E-EEA668911A83}">
  <ds:schemaRefs>
    <ds:schemaRef ds:uri="http://schemas.openxmlformats.org/officeDocument/2006/bibliography"/>
  </ds:schemaRefs>
</ds:datastoreItem>
</file>

<file path=customXml/itemProps34.xml><?xml version="1.0" encoding="utf-8"?>
<ds:datastoreItem xmlns:ds="http://schemas.openxmlformats.org/officeDocument/2006/customXml" ds:itemID="{A222C99F-43DE-A64C-AD39-E51DEA2BE607}">
  <ds:schemaRefs>
    <ds:schemaRef ds:uri="http://schemas.openxmlformats.org/officeDocument/2006/bibliography"/>
  </ds:schemaRefs>
</ds:datastoreItem>
</file>

<file path=customXml/itemProps35.xml><?xml version="1.0" encoding="utf-8"?>
<ds:datastoreItem xmlns:ds="http://schemas.openxmlformats.org/officeDocument/2006/customXml" ds:itemID="{754E1AF9-A231-3A4C-A4E1-752DC04889B9}">
  <ds:schemaRefs>
    <ds:schemaRef ds:uri="http://schemas.openxmlformats.org/officeDocument/2006/bibliography"/>
  </ds:schemaRefs>
</ds:datastoreItem>
</file>

<file path=customXml/itemProps36.xml><?xml version="1.0" encoding="utf-8"?>
<ds:datastoreItem xmlns:ds="http://schemas.openxmlformats.org/officeDocument/2006/customXml" ds:itemID="{CE28A17B-5220-6746-9C85-E98F3F922238}">
  <ds:schemaRefs>
    <ds:schemaRef ds:uri="http://schemas.openxmlformats.org/officeDocument/2006/bibliography"/>
  </ds:schemaRefs>
</ds:datastoreItem>
</file>

<file path=customXml/itemProps37.xml><?xml version="1.0" encoding="utf-8"?>
<ds:datastoreItem xmlns:ds="http://schemas.openxmlformats.org/officeDocument/2006/customXml" ds:itemID="{4BF5F478-143E-9D4F-A885-485317A2F588}">
  <ds:schemaRefs>
    <ds:schemaRef ds:uri="http://schemas.openxmlformats.org/officeDocument/2006/bibliography"/>
  </ds:schemaRefs>
</ds:datastoreItem>
</file>

<file path=customXml/itemProps38.xml><?xml version="1.0" encoding="utf-8"?>
<ds:datastoreItem xmlns:ds="http://schemas.openxmlformats.org/officeDocument/2006/customXml" ds:itemID="{33983632-D1E4-4A4E-B551-42EC526BDF5A}">
  <ds:schemaRefs>
    <ds:schemaRef ds:uri="http://schemas.openxmlformats.org/officeDocument/2006/bibliography"/>
  </ds:schemaRefs>
</ds:datastoreItem>
</file>

<file path=customXml/itemProps39.xml><?xml version="1.0" encoding="utf-8"?>
<ds:datastoreItem xmlns:ds="http://schemas.openxmlformats.org/officeDocument/2006/customXml" ds:itemID="{A2540F3C-DE49-4E46-90F5-268048E8F772}">
  <ds:schemaRefs>
    <ds:schemaRef ds:uri="http://schemas.openxmlformats.org/officeDocument/2006/bibliography"/>
  </ds:schemaRefs>
</ds:datastoreItem>
</file>

<file path=customXml/itemProps4.xml><?xml version="1.0" encoding="utf-8"?>
<ds:datastoreItem xmlns:ds="http://schemas.openxmlformats.org/officeDocument/2006/customXml" ds:itemID="{74970C7A-88C0-544D-95AC-138CAABD9A67}">
  <ds:schemaRefs>
    <ds:schemaRef ds:uri="http://schemas.openxmlformats.org/officeDocument/2006/bibliography"/>
  </ds:schemaRefs>
</ds:datastoreItem>
</file>

<file path=customXml/itemProps40.xml><?xml version="1.0" encoding="utf-8"?>
<ds:datastoreItem xmlns:ds="http://schemas.openxmlformats.org/officeDocument/2006/customXml" ds:itemID="{D1F8B0D9-BFC5-E049-A7FB-AB009FA9956A}">
  <ds:schemaRefs>
    <ds:schemaRef ds:uri="http://schemas.openxmlformats.org/officeDocument/2006/bibliography"/>
  </ds:schemaRefs>
</ds:datastoreItem>
</file>

<file path=customXml/itemProps41.xml><?xml version="1.0" encoding="utf-8"?>
<ds:datastoreItem xmlns:ds="http://schemas.openxmlformats.org/officeDocument/2006/customXml" ds:itemID="{32D70CDF-8E4F-B840-92C1-8DB0031AD826}">
  <ds:schemaRefs>
    <ds:schemaRef ds:uri="http://schemas.openxmlformats.org/officeDocument/2006/bibliography"/>
  </ds:schemaRefs>
</ds:datastoreItem>
</file>

<file path=customXml/itemProps42.xml><?xml version="1.0" encoding="utf-8"?>
<ds:datastoreItem xmlns:ds="http://schemas.openxmlformats.org/officeDocument/2006/customXml" ds:itemID="{6733643F-6C9A-A846-A5FD-49ED378518A0}">
  <ds:schemaRefs>
    <ds:schemaRef ds:uri="http://schemas.openxmlformats.org/officeDocument/2006/bibliography"/>
  </ds:schemaRefs>
</ds:datastoreItem>
</file>

<file path=customXml/itemProps43.xml><?xml version="1.0" encoding="utf-8"?>
<ds:datastoreItem xmlns:ds="http://schemas.openxmlformats.org/officeDocument/2006/customXml" ds:itemID="{89539D2C-13CB-E84F-8A03-3ADF205DAE1F}">
  <ds:schemaRefs>
    <ds:schemaRef ds:uri="http://schemas.openxmlformats.org/officeDocument/2006/bibliography"/>
  </ds:schemaRefs>
</ds:datastoreItem>
</file>

<file path=customXml/itemProps44.xml><?xml version="1.0" encoding="utf-8"?>
<ds:datastoreItem xmlns:ds="http://schemas.openxmlformats.org/officeDocument/2006/customXml" ds:itemID="{7901BFA8-8BF6-724B-AB39-25638AB4AA28}">
  <ds:schemaRefs>
    <ds:schemaRef ds:uri="http://schemas.openxmlformats.org/officeDocument/2006/bibliography"/>
  </ds:schemaRefs>
</ds:datastoreItem>
</file>

<file path=customXml/itemProps45.xml><?xml version="1.0" encoding="utf-8"?>
<ds:datastoreItem xmlns:ds="http://schemas.openxmlformats.org/officeDocument/2006/customXml" ds:itemID="{BCE5F4FC-A632-654D-B096-3DB478016F88}">
  <ds:schemaRefs>
    <ds:schemaRef ds:uri="http://schemas.openxmlformats.org/officeDocument/2006/bibliography"/>
  </ds:schemaRefs>
</ds:datastoreItem>
</file>

<file path=customXml/itemProps46.xml><?xml version="1.0" encoding="utf-8"?>
<ds:datastoreItem xmlns:ds="http://schemas.openxmlformats.org/officeDocument/2006/customXml" ds:itemID="{905D80EE-221E-BE47-BB44-FBE164E8C197}">
  <ds:schemaRefs>
    <ds:schemaRef ds:uri="http://schemas.openxmlformats.org/officeDocument/2006/bibliography"/>
  </ds:schemaRefs>
</ds:datastoreItem>
</file>

<file path=customXml/itemProps47.xml><?xml version="1.0" encoding="utf-8"?>
<ds:datastoreItem xmlns:ds="http://schemas.openxmlformats.org/officeDocument/2006/customXml" ds:itemID="{A6357CF7-6692-F045-B5F8-E463DC090725}">
  <ds:schemaRefs>
    <ds:schemaRef ds:uri="http://schemas.openxmlformats.org/officeDocument/2006/bibliography"/>
  </ds:schemaRefs>
</ds:datastoreItem>
</file>

<file path=customXml/itemProps48.xml><?xml version="1.0" encoding="utf-8"?>
<ds:datastoreItem xmlns:ds="http://schemas.openxmlformats.org/officeDocument/2006/customXml" ds:itemID="{F14D9FDA-E9F4-F941-AA5F-B65EA0931A17}">
  <ds:schemaRefs>
    <ds:schemaRef ds:uri="http://schemas.openxmlformats.org/officeDocument/2006/bibliography"/>
  </ds:schemaRefs>
</ds:datastoreItem>
</file>

<file path=customXml/itemProps49.xml><?xml version="1.0" encoding="utf-8"?>
<ds:datastoreItem xmlns:ds="http://schemas.openxmlformats.org/officeDocument/2006/customXml" ds:itemID="{EC5C445A-FE00-F843-B84C-4002D0AA8BC3}">
  <ds:schemaRefs>
    <ds:schemaRef ds:uri="http://schemas.openxmlformats.org/officeDocument/2006/bibliography"/>
  </ds:schemaRefs>
</ds:datastoreItem>
</file>

<file path=customXml/itemProps5.xml><?xml version="1.0" encoding="utf-8"?>
<ds:datastoreItem xmlns:ds="http://schemas.openxmlformats.org/officeDocument/2006/customXml" ds:itemID="{C01FA86A-42E4-CC47-8C8B-D8E678C0C5CD}">
  <ds:schemaRefs>
    <ds:schemaRef ds:uri="http://schemas.openxmlformats.org/officeDocument/2006/bibliography"/>
  </ds:schemaRefs>
</ds:datastoreItem>
</file>

<file path=customXml/itemProps50.xml><?xml version="1.0" encoding="utf-8"?>
<ds:datastoreItem xmlns:ds="http://schemas.openxmlformats.org/officeDocument/2006/customXml" ds:itemID="{ED2EEC2B-34CA-5547-8398-CE114144E3D6}">
  <ds:schemaRefs>
    <ds:schemaRef ds:uri="http://schemas.openxmlformats.org/officeDocument/2006/bibliography"/>
  </ds:schemaRefs>
</ds:datastoreItem>
</file>

<file path=customXml/itemProps51.xml><?xml version="1.0" encoding="utf-8"?>
<ds:datastoreItem xmlns:ds="http://schemas.openxmlformats.org/officeDocument/2006/customXml" ds:itemID="{4B3F2BE3-2EC8-A541-ABD2-98CB3B5FB6E5}">
  <ds:schemaRefs>
    <ds:schemaRef ds:uri="http://schemas.openxmlformats.org/officeDocument/2006/bibliography"/>
  </ds:schemaRefs>
</ds:datastoreItem>
</file>

<file path=customXml/itemProps52.xml><?xml version="1.0" encoding="utf-8"?>
<ds:datastoreItem xmlns:ds="http://schemas.openxmlformats.org/officeDocument/2006/customXml" ds:itemID="{DD86A609-F770-6D4F-9D6D-E4C75C8D13BF}">
  <ds:schemaRefs>
    <ds:schemaRef ds:uri="http://schemas.openxmlformats.org/officeDocument/2006/bibliography"/>
  </ds:schemaRefs>
</ds:datastoreItem>
</file>

<file path=customXml/itemProps53.xml><?xml version="1.0" encoding="utf-8"?>
<ds:datastoreItem xmlns:ds="http://schemas.openxmlformats.org/officeDocument/2006/customXml" ds:itemID="{64AB40BB-8D1E-4344-A0AF-01B119E0AED1}">
  <ds:schemaRefs>
    <ds:schemaRef ds:uri="http://schemas.openxmlformats.org/officeDocument/2006/bibliography"/>
  </ds:schemaRefs>
</ds:datastoreItem>
</file>

<file path=customXml/itemProps54.xml><?xml version="1.0" encoding="utf-8"?>
<ds:datastoreItem xmlns:ds="http://schemas.openxmlformats.org/officeDocument/2006/customXml" ds:itemID="{47C82926-C649-D746-88AE-21510679E49C}">
  <ds:schemaRefs>
    <ds:schemaRef ds:uri="http://schemas.openxmlformats.org/officeDocument/2006/bibliography"/>
  </ds:schemaRefs>
</ds:datastoreItem>
</file>

<file path=customXml/itemProps55.xml><?xml version="1.0" encoding="utf-8"?>
<ds:datastoreItem xmlns:ds="http://schemas.openxmlformats.org/officeDocument/2006/customXml" ds:itemID="{53F177E5-FB53-4647-85D5-2E5EBB3DDE8C}">
  <ds:schemaRefs>
    <ds:schemaRef ds:uri="http://schemas.openxmlformats.org/officeDocument/2006/bibliography"/>
  </ds:schemaRefs>
</ds:datastoreItem>
</file>

<file path=customXml/itemProps6.xml><?xml version="1.0" encoding="utf-8"?>
<ds:datastoreItem xmlns:ds="http://schemas.openxmlformats.org/officeDocument/2006/customXml" ds:itemID="{32CA9067-D8ED-BE4D-9576-14BA76BF98A3}">
  <ds:schemaRefs>
    <ds:schemaRef ds:uri="http://schemas.openxmlformats.org/officeDocument/2006/bibliography"/>
  </ds:schemaRefs>
</ds:datastoreItem>
</file>

<file path=customXml/itemProps7.xml><?xml version="1.0" encoding="utf-8"?>
<ds:datastoreItem xmlns:ds="http://schemas.openxmlformats.org/officeDocument/2006/customXml" ds:itemID="{08094581-73DF-964D-AF0E-603FC4D78D52}">
  <ds:schemaRefs>
    <ds:schemaRef ds:uri="http://schemas.openxmlformats.org/officeDocument/2006/bibliography"/>
  </ds:schemaRefs>
</ds:datastoreItem>
</file>

<file path=customXml/itemProps8.xml><?xml version="1.0" encoding="utf-8"?>
<ds:datastoreItem xmlns:ds="http://schemas.openxmlformats.org/officeDocument/2006/customXml" ds:itemID="{038D5735-1B76-4247-9F4C-5C9CF66C2DCA}">
  <ds:schemaRefs>
    <ds:schemaRef ds:uri="http://schemas.openxmlformats.org/officeDocument/2006/bibliography"/>
  </ds:schemaRefs>
</ds:datastoreItem>
</file>

<file path=customXml/itemProps9.xml><?xml version="1.0" encoding="utf-8"?>
<ds:datastoreItem xmlns:ds="http://schemas.openxmlformats.org/officeDocument/2006/customXml" ds:itemID="{E71621F9-66B7-C34F-AED3-A045FE7F5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50</Pages>
  <Words>39131</Words>
  <Characters>223049</Characters>
  <Application>Microsoft Macintosh Word</Application>
  <DocSecurity>0</DocSecurity>
  <Lines>1858</Lines>
  <Paragraphs>523</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5</cp:revision>
  <cp:lastPrinted>2018-09-07T15:16:00Z</cp:lastPrinted>
  <dcterms:created xsi:type="dcterms:W3CDTF">2019-03-06T11:56:00Z</dcterms:created>
  <dcterms:modified xsi:type="dcterms:W3CDTF">2019-03-06T13:59:00Z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