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3D4E65" w14:textId="77777777" w:rsidR="00E23B53" w:rsidRDefault="00E23B53" w:rsidP="00E23B53">
      <w:pPr>
        <w:rPr>
          <w:rFonts w:ascii="Times New Roman" w:hAnsi="Times New Roman" w:cs="Times New Roman"/>
          <w:b/>
        </w:rPr>
      </w:pPr>
      <w:r w:rsidRPr="005F3658">
        <w:rPr>
          <w:rFonts w:ascii="Times New Roman" w:hAnsi="Times New Roman" w:cs="Times New Roman"/>
          <w:b/>
        </w:rPr>
        <w:t xml:space="preserve">Key areas of substantive difference </w:t>
      </w:r>
      <w:r>
        <w:rPr>
          <w:rFonts w:ascii="Times New Roman" w:hAnsi="Times New Roman" w:cs="Times New Roman"/>
          <w:b/>
        </w:rPr>
        <w:t>in environmental standards (2016</w:t>
      </w:r>
      <w:r w:rsidRPr="005F3658">
        <w:rPr>
          <w:rFonts w:ascii="Times New Roman" w:hAnsi="Times New Roman" w:cs="Times New Roman"/>
          <w:b/>
        </w:rPr>
        <w:t>)</w:t>
      </w:r>
    </w:p>
    <w:p w14:paraId="3FF56BDB" w14:textId="77777777" w:rsidR="00E23B53" w:rsidRPr="005F3658" w:rsidRDefault="00E23B53" w:rsidP="00E23B53">
      <w:pPr>
        <w:rPr>
          <w:rFonts w:ascii="Times New Roman" w:hAnsi="Times New Roman" w:cs="Times New Roman"/>
        </w:rPr>
      </w:pPr>
    </w:p>
    <w:tbl>
      <w:tblPr>
        <w:tblW w:w="9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5"/>
        <w:gridCol w:w="1970"/>
        <w:gridCol w:w="1970"/>
        <w:gridCol w:w="1970"/>
        <w:gridCol w:w="2140"/>
      </w:tblGrid>
      <w:tr w:rsidR="00E23B53" w:rsidRPr="005F3658" w14:paraId="3693D867" w14:textId="77777777" w:rsidTr="00E23B53">
        <w:trPr>
          <w:trHeight w:val="78"/>
          <w:jc w:val="center"/>
        </w:trPr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79171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left w:val="single" w:sz="4" w:space="0" w:color="auto"/>
            </w:tcBorders>
            <w:shd w:val="clear" w:color="auto" w:fill="C0C0C0"/>
            <w:noWrap/>
            <w:vAlign w:val="center"/>
          </w:tcPr>
          <w:p w14:paraId="7FD37091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US-FSC</w:t>
            </w:r>
          </w:p>
        </w:tc>
        <w:tc>
          <w:tcPr>
            <w:tcW w:w="1970" w:type="dxa"/>
            <w:shd w:val="clear" w:color="auto" w:fill="C0C0C0"/>
            <w:vAlign w:val="center"/>
          </w:tcPr>
          <w:p w14:paraId="6D9266AE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FSC P&amp;C</w:t>
            </w:r>
          </w:p>
        </w:tc>
        <w:tc>
          <w:tcPr>
            <w:tcW w:w="1970" w:type="dxa"/>
            <w:shd w:val="clear" w:color="auto" w:fill="C0C0C0"/>
            <w:noWrap/>
            <w:vAlign w:val="center"/>
          </w:tcPr>
          <w:p w14:paraId="247A12BB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SFI</w:t>
            </w:r>
          </w:p>
        </w:tc>
        <w:tc>
          <w:tcPr>
            <w:tcW w:w="2140" w:type="dxa"/>
            <w:shd w:val="clear" w:color="auto" w:fill="C0C0C0"/>
            <w:noWrap/>
            <w:vAlign w:val="center"/>
          </w:tcPr>
          <w:p w14:paraId="7A2D4A99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PEFC</w:t>
            </w:r>
          </w:p>
        </w:tc>
      </w:tr>
      <w:tr w:rsidR="00E23B53" w:rsidRPr="005F3658" w14:paraId="13A17A74" w14:textId="77777777" w:rsidTr="00E23B53">
        <w:trPr>
          <w:trHeight w:val="1148"/>
          <w:jc w:val="center"/>
        </w:trPr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0E1B4F8" w14:textId="77777777" w:rsidR="00E23B53" w:rsidRPr="005F3658" w:rsidRDefault="00E23B53" w:rsidP="00035F98">
            <w:pPr>
              <w:pStyle w:val="TableText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Forest conversion to non-forest</w:t>
            </w:r>
          </w:p>
        </w:tc>
        <w:tc>
          <w:tcPr>
            <w:tcW w:w="1970" w:type="dxa"/>
            <w:tcBorders>
              <w:left w:val="single" w:sz="4" w:space="0" w:color="auto"/>
            </w:tcBorders>
            <w:shd w:val="clear" w:color="auto" w:fill="F4B083" w:themeFill="accent2" w:themeFillTint="99"/>
            <w:vAlign w:val="center"/>
          </w:tcPr>
          <w:p w14:paraId="4DE867DB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Prohibited except limited areas where clear, substantial, additional, secure, long-term conservation benefits.</w:t>
            </w:r>
          </w:p>
        </w:tc>
        <w:tc>
          <w:tcPr>
            <w:tcW w:w="1970" w:type="dxa"/>
            <w:shd w:val="clear" w:color="auto" w:fill="F4B083" w:themeFill="accent2" w:themeFillTint="99"/>
            <w:vAlign w:val="center"/>
          </w:tcPr>
          <w:p w14:paraId="67E52DA0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Prohibited except limited areas where clear, substantial, additional, secure, long-term conservation benefits.</w:t>
            </w:r>
          </w:p>
        </w:tc>
        <w:tc>
          <w:tcPr>
            <w:tcW w:w="1970" w:type="dxa"/>
            <w:vAlign w:val="center"/>
          </w:tcPr>
          <w:p w14:paraId="5E1430A2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No specific policy.</w:t>
            </w:r>
          </w:p>
        </w:tc>
        <w:tc>
          <w:tcPr>
            <w:tcW w:w="2140" w:type="dxa"/>
            <w:shd w:val="clear" w:color="auto" w:fill="F7CAAC" w:themeFill="accent2" w:themeFillTint="66"/>
            <w:vAlign w:val="center"/>
          </w:tcPr>
          <w:p w14:paraId="479AAB11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color w:val="000000"/>
                <w:sz w:val="20"/>
                <w:szCs w:val="20"/>
              </w:rPr>
              <w:t>Prohibited except where small portion + long-term conservation, economic, and social benefits.</w:t>
            </w:r>
          </w:p>
        </w:tc>
      </w:tr>
      <w:tr w:rsidR="00E23B53" w:rsidRPr="005F3658" w14:paraId="53526FEF" w14:textId="77777777" w:rsidTr="00E23B53">
        <w:trPr>
          <w:trHeight w:val="1180"/>
          <w:jc w:val="center"/>
        </w:trPr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E36E5C" w14:textId="77777777" w:rsidR="00E23B53" w:rsidRPr="005F3658" w:rsidRDefault="00E23B53" w:rsidP="00035F98">
            <w:pPr>
              <w:pStyle w:val="TableText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Landscape-Scale Conservation Values</w:t>
            </w:r>
          </w:p>
        </w:tc>
        <w:tc>
          <w:tcPr>
            <w:tcW w:w="1970" w:type="dxa"/>
            <w:tcBorders>
              <w:left w:val="single" w:sz="4" w:space="0" w:color="auto"/>
            </w:tcBorders>
            <w:shd w:val="clear" w:color="auto" w:fill="F4B083" w:themeFill="accent2" w:themeFillTint="99"/>
            <w:vAlign w:val="center"/>
          </w:tcPr>
          <w:p w14:paraId="140D9E6F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Precautionary, active and adaptive management must record and maintain conservation values in consultation with stakeholders and experts.</w:t>
            </w:r>
          </w:p>
        </w:tc>
        <w:tc>
          <w:tcPr>
            <w:tcW w:w="1970" w:type="dxa"/>
            <w:shd w:val="clear" w:color="auto" w:fill="F4B083" w:themeFill="accent2" w:themeFillTint="99"/>
            <w:vAlign w:val="center"/>
          </w:tcPr>
          <w:p w14:paraId="6983C816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Precautionary, active and adaptive management must record and maintain conservation values in consultation with stakeholders and scientists.</w:t>
            </w:r>
          </w:p>
        </w:tc>
        <w:tc>
          <w:tcPr>
            <w:tcW w:w="1970" w:type="dxa"/>
            <w:shd w:val="clear" w:color="auto" w:fill="FBE4D5" w:themeFill="accent2" w:themeFillTint="33"/>
            <w:vAlign w:val="center"/>
          </w:tcPr>
          <w:p w14:paraId="7F9FE3EE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Identify or select sites for protection of ecologically, geologically, historically, or culturally important qualities.</w:t>
            </w:r>
          </w:p>
        </w:tc>
        <w:tc>
          <w:tcPr>
            <w:tcW w:w="2140" w:type="dxa"/>
            <w:shd w:val="clear" w:color="auto" w:fill="F7CAAC" w:themeFill="accent2" w:themeFillTint="66"/>
            <w:vAlign w:val="center"/>
          </w:tcPr>
          <w:p w14:paraId="33F82FE7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Identify, protect, and/or conserve rare, sensitive, or representative ecosystems and globally, regionally, and nationally significant landscapes</w:t>
            </w:r>
          </w:p>
        </w:tc>
      </w:tr>
      <w:tr w:rsidR="00E23B53" w:rsidRPr="005F3658" w14:paraId="6F657DE5" w14:textId="77777777" w:rsidTr="00E23B53">
        <w:trPr>
          <w:trHeight w:val="1878"/>
          <w:jc w:val="center"/>
        </w:trPr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9CF473" w14:textId="77777777" w:rsidR="00E23B53" w:rsidRPr="005F3658" w:rsidRDefault="00E23B53" w:rsidP="00035F98">
            <w:pPr>
              <w:pStyle w:val="TableText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Species and Communities at Risk</w:t>
            </w:r>
          </w:p>
        </w:tc>
        <w:tc>
          <w:tcPr>
            <w:tcW w:w="1970" w:type="dxa"/>
            <w:tcBorders>
              <w:left w:val="single" w:sz="4" w:space="0" w:color="auto"/>
            </w:tcBorders>
            <w:shd w:val="clear" w:color="auto" w:fill="F4B083" w:themeFill="accent2" w:themeFillTint="99"/>
            <w:vAlign w:val="center"/>
          </w:tcPr>
          <w:p w14:paraId="4C5AA456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Survey and report or assume presence of vulnerable, imperiled, and critically imperiled. Maintain habitat &amp; viable populations.</w:t>
            </w:r>
          </w:p>
        </w:tc>
        <w:tc>
          <w:tcPr>
            <w:tcW w:w="1970" w:type="dxa"/>
            <w:shd w:val="clear" w:color="auto" w:fill="F4B083" w:themeFill="accent2" w:themeFillTint="99"/>
            <w:vAlign w:val="center"/>
          </w:tcPr>
          <w:p w14:paraId="4C5F58CC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Protect rare and threatened species and their habitats, considering absolute range and requirements.</w:t>
            </w:r>
          </w:p>
        </w:tc>
        <w:tc>
          <w:tcPr>
            <w:tcW w:w="1970" w:type="dxa"/>
            <w:shd w:val="clear" w:color="auto" w:fill="F7CAAC" w:themeFill="accent2" w:themeFillTint="66"/>
            <w:vAlign w:val="center"/>
          </w:tcPr>
          <w:p w14:paraId="00DE76FC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Program to protect threatened and endangered species and known sites. Protect viable occurrences of critically imperiled or imperiled species.</w:t>
            </w:r>
          </w:p>
        </w:tc>
        <w:tc>
          <w:tcPr>
            <w:tcW w:w="2140" w:type="dxa"/>
            <w:shd w:val="clear" w:color="auto" w:fill="FBE4D5" w:themeFill="accent2" w:themeFillTint="33"/>
            <w:vAlign w:val="center"/>
          </w:tcPr>
          <w:p w14:paraId="71875219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No exploitation of protected and endangered plant and animal species for commercial purposes, protected where necessary.</w:t>
            </w:r>
          </w:p>
        </w:tc>
      </w:tr>
      <w:tr w:rsidR="00E23B53" w:rsidRPr="005F3658" w14:paraId="536F02C3" w14:textId="77777777" w:rsidTr="00E23B53">
        <w:trPr>
          <w:trHeight w:val="261"/>
          <w:jc w:val="center"/>
        </w:trPr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9BA677" w14:textId="77777777" w:rsidR="00E23B53" w:rsidRPr="005F3658" w:rsidRDefault="00E23B53" w:rsidP="00035F98">
            <w:pPr>
              <w:pStyle w:val="TableText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Protected areas (non-special value forests)</w:t>
            </w:r>
          </w:p>
        </w:tc>
        <w:tc>
          <w:tcPr>
            <w:tcW w:w="1970" w:type="dxa"/>
            <w:tcBorders>
              <w:left w:val="single" w:sz="4" w:space="0" w:color="auto"/>
            </w:tcBorders>
            <w:shd w:val="clear" w:color="auto" w:fill="F4B083" w:themeFill="accent2" w:themeFillTint="99"/>
            <w:vAlign w:val="center"/>
          </w:tcPr>
          <w:p w14:paraId="254DE8D7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Conserve or restore representative area of natural ecosystems. Assess and maintain environmental values and necessary conservation measures.</w:t>
            </w:r>
          </w:p>
        </w:tc>
        <w:tc>
          <w:tcPr>
            <w:tcW w:w="1970" w:type="dxa"/>
            <w:shd w:val="clear" w:color="auto" w:fill="F7CAAC" w:themeFill="accent2" w:themeFillTint="66"/>
            <w:vAlign w:val="center"/>
          </w:tcPr>
          <w:p w14:paraId="38EA5021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Viable samples representative of existing ecosystems, types, successional phases, and/or communities are</w:t>
            </w:r>
            <w:r w:rsidRPr="005F3658">
              <w:rPr>
                <w:sz w:val="20"/>
                <w:szCs w:val="20"/>
                <w:u w:val="single"/>
              </w:rPr>
              <w:t xml:space="preserve"> </w:t>
            </w:r>
            <w:r w:rsidRPr="005F3658">
              <w:rPr>
                <w:sz w:val="20"/>
                <w:szCs w:val="20"/>
              </w:rPr>
              <w:t>permanently protected, recorded with gap analysis and stakeholder collaboration.</w:t>
            </w:r>
          </w:p>
        </w:tc>
        <w:tc>
          <w:tcPr>
            <w:tcW w:w="1970" w:type="dxa"/>
            <w:vAlign w:val="center"/>
          </w:tcPr>
          <w:p w14:paraId="1010DB88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No specific policy.</w:t>
            </w:r>
          </w:p>
        </w:tc>
        <w:tc>
          <w:tcPr>
            <w:tcW w:w="2140" w:type="dxa"/>
            <w:shd w:val="clear" w:color="auto" w:fill="F7CAAC" w:themeFill="accent2" w:themeFillTint="66"/>
            <w:vAlign w:val="center"/>
          </w:tcPr>
          <w:p w14:paraId="71C2A634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Identify and protect and/or conserve rare, sensitive, or representative ecosystems. Map and account for specific and recognized protective functions in management plan.</w:t>
            </w:r>
          </w:p>
        </w:tc>
      </w:tr>
      <w:tr w:rsidR="00E23B53" w:rsidRPr="005F3658" w14:paraId="79A11971" w14:textId="77777777" w:rsidTr="00E23B53">
        <w:trPr>
          <w:trHeight w:val="1370"/>
          <w:jc w:val="center"/>
        </w:trPr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C9E601" w14:textId="77777777" w:rsidR="00E23B53" w:rsidRPr="005F3658" w:rsidRDefault="00E23B53" w:rsidP="00035F98">
            <w:pPr>
              <w:pStyle w:val="TableText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Plantations</w:t>
            </w:r>
          </w:p>
        </w:tc>
        <w:tc>
          <w:tcPr>
            <w:tcW w:w="1970" w:type="dxa"/>
            <w:tcBorders>
              <w:left w:val="single" w:sz="4" w:space="0" w:color="auto"/>
            </w:tcBorders>
            <w:shd w:val="clear" w:color="auto" w:fill="F4B083" w:themeFill="accent2" w:themeFillTint="99"/>
            <w:vAlign w:val="center"/>
          </w:tcPr>
          <w:p w14:paraId="3089952C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No forest conversion after 1994.</w:t>
            </w:r>
          </w:p>
        </w:tc>
        <w:tc>
          <w:tcPr>
            <w:tcW w:w="1970" w:type="dxa"/>
            <w:shd w:val="clear" w:color="auto" w:fill="F4B083" w:themeFill="accent2" w:themeFillTint="99"/>
            <w:vAlign w:val="center"/>
          </w:tcPr>
          <w:p w14:paraId="292C8689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No forest conversion after 1994 except where additional conservation gain.</w:t>
            </w:r>
          </w:p>
        </w:tc>
        <w:tc>
          <w:tcPr>
            <w:tcW w:w="1970" w:type="dxa"/>
            <w:shd w:val="clear" w:color="auto" w:fill="FBE4D5" w:themeFill="accent2" w:themeFillTint="33"/>
            <w:vAlign w:val="center"/>
          </w:tcPr>
          <w:p w14:paraId="2C320F89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No forest conversion except in justified circumstances where ecological impacts are not significant, native forest type is not rare.</w:t>
            </w:r>
          </w:p>
        </w:tc>
        <w:tc>
          <w:tcPr>
            <w:tcW w:w="2140" w:type="dxa"/>
            <w:shd w:val="clear" w:color="auto" w:fill="F7CAAC" w:themeFill="accent2" w:themeFillTint="66"/>
            <w:vAlign w:val="center"/>
          </w:tcPr>
          <w:p w14:paraId="178AC57A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 xml:space="preserve">No forest conversion after 2010 except with long-term environmental, social, and economic benefits. </w:t>
            </w:r>
          </w:p>
          <w:p w14:paraId="41C69078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Endorses ITTO guidelines in tropical plantations.</w:t>
            </w:r>
          </w:p>
        </w:tc>
      </w:tr>
      <w:tr w:rsidR="00E23B53" w:rsidRPr="005F3658" w14:paraId="5E7B49E4" w14:textId="77777777" w:rsidTr="00E23B53">
        <w:trPr>
          <w:trHeight w:val="59"/>
          <w:jc w:val="center"/>
        </w:trPr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59F9B0" w14:textId="77777777" w:rsidR="00E23B53" w:rsidRPr="005F3658" w:rsidRDefault="00E23B53" w:rsidP="00035F98">
            <w:pPr>
              <w:pStyle w:val="TableText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GMOs (See Appendix)</w:t>
            </w:r>
          </w:p>
        </w:tc>
        <w:tc>
          <w:tcPr>
            <w:tcW w:w="1970" w:type="dxa"/>
            <w:tcBorders>
              <w:left w:val="single" w:sz="4" w:space="0" w:color="auto"/>
            </w:tcBorders>
            <w:shd w:val="clear" w:color="auto" w:fill="F4B083" w:themeFill="accent2" w:themeFillTint="99"/>
            <w:vAlign w:val="center"/>
          </w:tcPr>
          <w:p w14:paraId="7ACCB5AB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Prohibited.</w:t>
            </w:r>
          </w:p>
        </w:tc>
        <w:tc>
          <w:tcPr>
            <w:tcW w:w="1970" w:type="dxa"/>
            <w:shd w:val="clear" w:color="auto" w:fill="F4B083" w:themeFill="accent2" w:themeFillTint="99"/>
            <w:vAlign w:val="center"/>
          </w:tcPr>
          <w:p w14:paraId="1A624E12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Prohibited.</w:t>
            </w:r>
          </w:p>
        </w:tc>
        <w:tc>
          <w:tcPr>
            <w:tcW w:w="1970" w:type="dxa"/>
            <w:shd w:val="clear" w:color="auto" w:fill="F4B083" w:themeFill="accent2" w:themeFillTint="99"/>
            <w:vAlign w:val="center"/>
          </w:tcPr>
          <w:p w14:paraId="4859C036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Prohibited.</w:t>
            </w:r>
          </w:p>
        </w:tc>
        <w:tc>
          <w:tcPr>
            <w:tcW w:w="2140" w:type="dxa"/>
            <w:shd w:val="clear" w:color="auto" w:fill="F4B083" w:themeFill="accent2" w:themeFillTint="99"/>
            <w:vAlign w:val="center"/>
          </w:tcPr>
          <w:p w14:paraId="362FAFE2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Prohibited.</w:t>
            </w:r>
          </w:p>
        </w:tc>
      </w:tr>
    </w:tbl>
    <w:p w14:paraId="3ACE9309" w14:textId="77777777" w:rsidR="00E23B53" w:rsidRPr="005F3658" w:rsidRDefault="00E23B53" w:rsidP="00E23B53">
      <w:pPr>
        <w:pStyle w:val="Caption"/>
        <w:keepNext/>
        <w:ind w:left="1440" w:firstLine="720"/>
      </w:pPr>
      <w:r w:rsidRPr="005F3658">
        <w:lastRenderedPageBreak/>
        <w:t>Key areas of substantive diff</w:t>
      </w:r>
      <w:r>
        <w:t>erence in social standards (2016</w:t>
      </w:r>
      <w:r w:rsidRPr="005F3658">
        <w:t>)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7"/>
        <w:gridCol w:w="1997"/>
        <w:gridCol w:w="31"/>
        <w:gridCol w:w="1966"/>
        <w:gridCol w:w="1997"/>
        <w:gridCol w:w="2002"/>
      </w:tblGrid>
      <w:tr w:rsidR="00E23B53" w:rsidRPr="005F3658" w14:paraId="1CD23D41" w14:textId="77777777" w:rsidTr="00E23B53">
        <w:trPr>
          <w:trHeight w:val="260"/>
        </w:trPr>
        <w:tc>
          <w:tcPr>
            <w:tcW w:w="16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B86A1" w14:textId="77777777" w:rsidR="00E23B53" w:rsidRPr="005F3658" w:rsidRDefault="00E23B53" w:rsidP="00035F98">
            <w:pPr>
              <w:pStyle w:val="TableTex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98" w:type="dxa"/>
            <w:tcBorders>
              <w:left w:val="single" w:sz="4" w:space="0" w:color="auto"/>
            </w:tcBorders>
            <w:shd w:val="clear" w:color="auto" w:fill="C0C0C0"/>
            <w:noWrap/>
            <w:vAlign w:val="center"/>
          </w:tcPr>
          <w:p w14:paraId="63989777" w14:textId="77777777" w:rsidR="00E23B53" w:rsidRPr="005F3658" w:rsidRDefault="00E23B53" w:rsidP="00035F98">
            <w:pPr>
              <w:pStyle w:val="TableText"/>
              <w:jc w:val="center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FSC-US</w:t>
            </w:r>
          </w:p>
        </w:tc>
        <w:tc>
          <w:tcPr>
            <w:tcW w:w="1998" w:type="dxa"/>
            <w:gridSpan w:val="2"/>
            <w:shd w:val="clear" w:color="auto" w:fill="C0C0C0"/>
          </w:tcPr>
          <w:p w14:paraId="6FF7AD48" w14:textId="77777777" w:rsidR="00E23B53" w:rsidRPr="005F3658" w:rsidRDefault="00E23B53" w:rsidP="00035F98">
            <w:pPr>
              <w:pStyle w:val="TableText"/>
              <w:jc w:val="center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FSC P&amp;C</w:t>
            </w:r>
          </w:p>
        </w:tc>
        <w:tc>
          <w:tcPr>
            <w:tcW w:w="1998" w:type="dxa"/>
            <w:shd w:val="clear" w:color="auto" w:fill="C0C0C0"/>
            <w:noWrap/>
            <w:vAlign w:val="center"/>
          </w:tcPr>
          <w:p w14:paraId="0BBFA96E" w14:textId="77777777" w:rsidR="00E23B53" w:rsidRPr="005F3658" w:rsidRDefault="00E23B53" w:rsidP="00035F98">
            <w:pPr>
              <w:pStyle w:val="TableText"/>
              <w:jc w:val="center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SFI</w:t>
            </w:r>
          </w:p>
        </w:tc>
        <w:tc>
          <w:tcPr>
            <w:tcW w:w="1998" w:type="dxa"/>
            <w:shd w:val="clear" w:color="auto" w:fill="C0C0C0"/>
            <w:noWrap/>
            <w:vAlign w:val="center"/>
          </w:tcPr>
          <w:p w14:paraId="52D3A79E" w14:textId="77777777" w:rsidR="00E23B53" w:rsidRPr="005F3658" w:rsidRDefault="00E23B53" w:rsidP="00035F98">
            <w:pPr>
              <w:pStyle w:val="TableText"/>
              <w:jc w:val="center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PEFC</w:t>
            </w:r>
          </w:p>
        </w:tc>
      </w:tr>
      <w:tr w:rsidR="00E23B53" w:rsidRPr="005F3658" w14:paraId="27C6D6E9" w14:textId="77777777" w:rsidTr="00E23B53">
        <w:trPr>
          <w:trHeight w:val="2340"/>
        </w:trPr>
        <w:tc>
          <w:tcPr>
            <w:tcW w:w="163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84ACD2" w14:textId="77777777" w:rsidR="00E23B53" w:rsidRPr="005F3658" w:rsidRDefault="00E23B53" w:rsidP="00035F98">
            <w:pPr>
              <w:pStyle w:val="TableText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Community benefit</w:t>
            </w:r>
          </w:p>
        </w:tc>
        <w:tc>
          <w:tcPr>
            <w:tcW w:w="2029" w:type="dxa"/>
            <w:gridSpan w:val="2"/>
            <w:tcBorders>
              <w:left w:val="single" w:sz="4" w:space="0" w:color="auto"/>
            </w:tcBorders>
            <w:shd w:val="clear" w:color="auto" w:fill="F4B083" w:themeFill="accent2" w:themeFillTint="99"/>
            <w:vAlign w:val="center"/>
          </w:tcPr>
          <w:p w14:paraId="24E6D5B3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color w:val="000000"/>
                <w:sz w:val="20"/>
                <w:szCs w:val="20"/>
              </w:rPr>
              <w:t>Maintain long-term social and economic well-being. Strengthen and diversify local economy. Enhance value of forest services.</w:t>
            </w:r>
          </w:p>
        </w:tc>
        <w:tc>
          <w:tcPr>
            <w:tcW w:w="1967" w:type="dxa"/>
            <w:shd w:val="clear" w:color="auto" w:fill="F4B083" w:themeFill="accent2" w:themeFillTint="99"/>
            <w:vAlign w:val="center"/>
          </w:tcPr>
          <w:p w14:paraId="46A0EC99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color w:val="000000"/>
                <w:sz w:val="20"/>
                <w:szCs w:val="20"/>
              </w:rPr>
              <w:t>Maintain long-term social and economic well-being. Strengthen and diversify local economy. Enhance value of forest services.</w:t>
            </w:r>
          </w:p>
        </w:tc>
        <w:tc>
          <w:tcPr>
            <w:tcW w:w="1998" w:type="dxa"/>
            <w:vAlign w:val="center"/>
          </w:tcPr>
          <w:p w14:paraId="26A188BE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No specific policy.</w:t>
            </w:r>
          </w:p>
        </w:tc>
        <w:tc>
          <w:tcPr>
            <w:tcW w:w="1998" w:type="dxa"/>
            <w:shd w:val="clear" w:color="auto" w:fill="F4B083" w:themeFill="accent2" w:themeFillTint="99"/>
            <w:vAlign w:val="center"/>
          </w:tcPr>
          <w:p w14:paraId="1E07AEBA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color w:val="000000"/>
                <w:sz w:val="20"/>
                <w:szCs w:val="20"/>
              </w:rPr>
              <w:t>Promote the long-term health and well-being of communities within or adjacent.</w:t>
            </w:r>
          </w:p>
        </w:tc>
      </w:tr>
      <w:tr w:rsidR="00E23B53" w:rsidRPr="005F3658" w14:paraId="2AEA244B" w14:textId="77777777" w:rsidTr="00E23B53">
        <w:trPr>
          <w:trHeight w:val="1300"/>
        </w:trPr>
        <w:tc>
          <w:tcPr>
            <w:tcW w:w="163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2F6B1C" w14:textId="77777777" w:rsidR="00E23B53" w:rsidRPr="005F3658" w:rsidRDefault="00E23B53" w:rsidP="00035F98">
            <w:pPr>
              <w:pStyle w:val="TableText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Indigenous rights</w:t>
            </w:r>
          </w:p>
        </w:tc>
        <w:tc>
          <w:tcPr>
            <w:tcW w:w="2029" w:type="dxa"/>
            <w:gridSpan w:val="2"/>
            <w:tcBorders>
              <w:left w:val="single" w:sz="4" w:space="0" w:color="auto"/>
            </w:tcBorders>
            <w:shd w:val="clear" w:color="auto" w:fill="F4B083" w:themeFill="accent2" w:themeFillTint="99"/>
            <w:vAlign w:val="center"/>
          </w:tcPr>
          <w:p w14:paraId="402CC912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UNDRIP + recognize and uphold rights, customs, and culture.</w:t>
            </w:r>
          </w:p>
          <w:p w14:paraId="112A7E59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No threat to rights or resources.</w:t>
            </w:r>
          </w:p>
          <w:p w14:paraId="263DE8C3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Free, prior, and informed consent on public and private lands.</w:t>
            </w:r>
          </w:p>
          <w:p w14:paraId="30173ECF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Engage indigenous peoples and consult with affected groups.</w:t>
            </w:r>
          </w:p>
          <w:p w14:paraId="06D146FF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Cooperate to identify and protect significant sites.</w:t>
            </w:r>
          </w:p>
          <w:p w14:paraId="259D562B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Compensate for indigenous knowledge and utilize as requested.</w:t>
            </w:r>
          </w:p>
        </w:tc>
        <w:tc>
          <w:tcPr>
            <w:tcW w:w="1967" w:type="dxa"/>
            <w:shd w:val="clear" w:color="auto" w:fill="F4B083" w:themeFill="accent2" w:themeFillTint="99"/>
            <w:vAlign w:val="center"/>
          </w:tcPr>
          <w:p w14:paraId="1FFF6592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 xml:space="preserve">UNDRIP + recognize and uphold customary rights, recognized and unrecognized tribes. </w:t>
            </w:r>
          </w:p>
          <w:p w14:paraId="23E8637D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 xml:space="preserve">No </w:t>
            </w:r>
            <w:proofErr w:type="spellStart"/>
            <w:r w:rsidRPr="005F3658">
              <w:rPr>
                <w:sz w:val="20"/>
                <w:szCs w:val="20"/>
              </w:rPr>
              <w:t>adverse affects</w:t>
            </w:r>
            <w:proofErr w:type="spellEnd"/>
            <w:r w:rsidRPr="005F3658">
              <w:rPr>
                <w:sz w:val="20"/>
                <w:szCs w:val="20"/>
              </w:rPr>
              <w:t xml:space="preserve"> on tribal resources.</w:t>
            </w:r>
          </w:p>
          <w:p w14:paraId="253D76E6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Free and informed written consent on public and private lands.</w:t>
            </w:r>
          </w:p>
          <w:p w14:paraId="420709C8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Identify and invite participation of leaders.</w:t>
            </w:r>
          </w:p>
          <w:p w14:paraId="230F0849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Written contract to protect and compensate for indigenous knowledge.</w:t>
            </w:r>
          </w:p>
        </w:tc>
        <w:tc>
          <w:tcPr>
            <w:tcW w:w="1993" w:type="dxa"/>
            <w:shd w:val="clear" w:color="auto" w:fill="FBE4D5" w:themeFill="accent2" w:themeFillTint="33"/>
            <w:vAlign w:val="center"/>
          </w:tcPr>
          <w:p w14:paraId="12BDAF11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Written policy acknowledging a commitment to recognize and respect rights</w:t>
            </w:r>
          </w:p>
        </w:tc>
        <w:tc>
          <w:tcPr>
            <w:tcW w:w="2003" w:type="dxa"/>
            <w:shd w:val="clear" w:color="auto" w:fill="F7CAAC" w:themeFill="accent2" w:themeFillTint="66"/>
            <w:vAlign w:val="center"/>
          </w:tcPr>
          <w:p w14:paraId="11F1CACA" w14:textId="77777777" w:rsidR="00E23B53" w:rsidRPr="005F3658" w:rsidRDefault="00E23B53" w:rsidP="00035F98">
            <w:pPr>
              <w:pStyle w:val="TableText"/>
              <w:jc w:val="center"/>
              <w:rPr>
                <w:color w:val="000000"/>
                <w:sz w:val="20"/>
                <w:szCs w:val="20"/>
              </w:rPr>
            </w:pPr>
            <w:r w:rsidRPr="005F3658">
              <w:rPr>
                <w:color w:val="000000"/>
                <w:sz w:val="20"/>
                <w:szCs w:val="20"/>
              </w:rPr>
              <w:t>UNDRIP + recognize and respect customary rights.</w:t>
            </w:r>
          </w:p>
          <w:p w14:paraId="03FD4FEC" w14:textId="77777777" w:rsidR="00E23B53" w:rsidRPr="005F3658" w:rsidRDefault="00E23B53" w:rsidP="00035F98">
            <w:pPr>
              <w:pStyle w:val="TableText"/>
              <w:jc w:val="center"/>
              <w:rPr>
                <w:color w:val="000000"/>
                <w:sz w:val="20"/>
                <w:szCs w:val="20"/>
              </w:rPr>
            </w:pPr>
            <w:r w:rsidRPr="005F3658">
              <w:rPr>
                <w:color w:val="000000"/>
                <w:sz w:val="20"/>
                <w:szCs w:val="20"/>
              </w:rPr>
              <w:t>Free, prior, and informed consent on public and private lands.</w:t>
            </w:r>
          </w:p>
          <w:p w14:paraId="27EFCE7A" w14:textId="77777777" w:rsidR="00E23B53" w:rsidRPr="005F3658" w:rsidRDefault="00E23B53" w:rsidP="00035F98">
            <w:pPr>
              <w:pStyle w:val="TableText"/>
              <w:jc w:val="center"/>
              <w:rPr>
                <w:color w:val="000000"/>
                <w:sz w:val="20"/>
                <w:szCs w:val="20"/>
              </w:rPr>
            </w:pPr>
            <w:r w:rsidRPr="005F3658">
              <w:rPr>
                <w:color w:val="000000"/>
                <w:sz w:val="20"/>
                <w:szCs w:val="20"/>
              </w:rPr>
              <w:t xml:space="preserve"> Where rights are disputed, engage local peoples while respecting roles laid out in law. </w:t>
            </w:r>
          </w:p>
          <w:p w14:paraId="35D0EB93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color w:val="000000"/>
                <w:sz w:val="20"/>
                <w:szCs w:val="20"/>
              </w:rPr>
              <w:t>Make best use of local knowledge.</w:t>
            </w:r>
          </w:p>
        </w:tc>
      </w:tr>
      <w:tr w:rsidR="00E23B53" w:rsidRPr="005F3658" w14:paraId="12261E95" w14:textId="77777777" w:rsidTr="00E23B53">
        <w:trPr>
          <w:trHeight w:val="1560"/>
        </w:trPr>
        <w:tc>
          <w:tcPr>
            <w:tcW w:w="163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7F2C6E" w14:textId="77777777" w:rsidR="00E23B53" w:rsidRPr="005F3658" w:rsidRDefault="00E23B53" w:rsidP="00035F98">
            <w:pPr>
              <w:pStyle w:val="TableText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Public reporting and consultation</w:t>
            </w:r>
          </w:p>
        </w:tc>
        <w:tc>
          <w:tcPr>
            <w:tcW w:w="2029" w:type="dxa"/>
            <w:gridSpan w:val="2"/>
            <w:tcBorders>
              <w:left w:val="single" w:sz="4" w:space="0" w:color="auto"/>
            </w:tcBorders>
            <w:shd w:val="clear" w:color="auto" w:fill="F4B083" w:themeFill="accent2" w:themeFillTint="99"/>
            <w:vAlign w:val="center"/>
          </w:tcPr>
          <w:p w14:paraId="70D87A55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Required on public and private lands.</w:t>
            </w:r>
          </w:p>
        </w:tc>
        <w:tc>
          <w:tcPr>
            <w:tcW w:w="1967" w:type="dxa"/>
            <w:shd w:val="clear" w:color="auto" w:fill="F7CAAC" w:themeFill="accent2" w:themeFillTint="66"/>
            <w:vAlign w:val="center"/>
          </w:tcPr>
          <w:p w14:paraId="3BDA112E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Proactively and transparently engage affected stakeholders. Engage interested stakeholders on request.</w:t>
            </w:r>
          </w:p>
        </w:tc>
        <w:tc>
          <w:tcPr>
            <w:tcW w:w="1993" w:type="dxa"/>
            <w:shd w:val="clear" w:color="auto" w:fill="FBE4D5" w:themeFill="accent2" w:themeFillTint="33"/>
            <w:vAlign w:val="center"/>
          </w:tcPr>
          <w:p w14:paraId="37D1E6C1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Required on public lands.</w:t>
            </w:r>
          </w:p>
        </w:tc>
        <w:tc>
          <w:tcPr>
            <w:tcW w:w="2003" w:type="dxa"/>
            <w:shd w:val="clear" w:color="auto" w:fill="F7CAAC" w:themeFill="accent2" w:themeFillTint="66"/>
            <w:vAlign w:val="center"/>
          </w:tcPr>
          <w:p w14:paraId="0A8E5A2D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color w:val="000000"/>
                <w:sz w:val="20"/>
                <w:szCs w:val="20"/>
              </w:rPr>
              <w:t>Provide for effective communication and consultation with local people and other stakeholders.</w:t>
            </w:r>
          </w:p>
        </w:tc>
      </w:tr>
    </w:tbl>
    <w:p w14:paraId="5B6FF060" w14:textId="77777777" w:rsidR="00E23B53" w:rsidRPr="005F3658" w:rsidRDefault="00E23B53" w:rsidP="00E23B53">
      <w:pPr>
        <w:rPr>
          <w:rFonts w:ascii="Times New Roman" w:hAnsi="Times New Roman" w:cs="Times New Roman"/>
          <w:sz w:val="20"/>
          <w:szCs w:val="20"/>
        </w:rPr>
      </w:pPr>
    </w:p>
    <w:p w14:paraId="70658031" w14:textId="77777777" w:rsidR="00E23B53" w:rsidRPr="005F3658" w:rsidRDefault="00E23B53" w:rsidP="00E23B53">
      <w:pPr>
        <w:rPr>
          <w:rFonts w:ascii="Times New Roman" w:hAnsi="Times New Roman" w:cs="Times New Roman"/>
          <w:b/>
          <w:sz w:val="20"/>
          <w:szCs w:val="20"/>
        </w:rPr>
      </w:pPr>
      <w:r w:rsidRPr="005F3658">
        <w:rPr>
          <w:rFonts w:ascii="Times New Roman" w:hAnsi="Times New Roman" w:cs="Times New Roman"/>
          <w:sz w:val="20"/>
          <w:szCs w:val="20"/>
        </w:rPr>
        <w:tab/>
      </w:r>
    </w:p>
    <w:tbl>
      <w:tblPr>
        <w:tblpPr w:leftFromText="180" w:rightFromText="180" w:vertAnchor="text" w:horzAnchor="page" w:tblpX="2170" w:tblpY="140"/>
        <w:tblW w:w="8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998"/>
        <w:gridCol w:w="1998"/>
        <w:gridCol w:w="1998"/>
        <w:gridCol w:w="1998"/>
      </w:tblGrid>
      <w:tr w:rsidR="00E23B53" w:rsidRPr="005F3658" w14:paraId="0AB11B2B" w14:textId="77777777" w:rsidTr="00E23B53">
        <w:trPr>
          <w:trHeight w:val="350"/>
        </w:trPr>
        <w:tc>
          <w:tcPr>
            <w:tcW w:w="738" w:type="dxa"/>
            <w:vAlign w:val="center"/>
          </w:tcPr>
          <w:p w14:paraId="00F3D888" w14:textId="77777777" w:rsidR="00E23B53" w:rsidRPr="005F3658" w:rsidRDefault="00E23B53" w:rsidP="00E23B53">
            <w:pPr>
              <w:pStyle w:val="TableText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Key</w:t>
            </w:r>
          </w:p>
        </w:tc>
        <w:tc>
          <w:tcPr>
            <w:tcW w:w="1998" w:type="dxa"/>
            <w:shd w:val="clear" w:color="auto" w:fill="F4B083" w:themeFill="accent2" w:themeFillTint="99"/>
            <w:vAlign w:val="center"/>
          </w:tcPr>
          <w:p w14:paraId="25C68F48" w14:textId="77777777" w:rsidR="00E23B53" w:rsidRPr="005F3658" w:rsidRDefault="00E23B53" w:rsidP="00E23B53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Most Prescriptive requirements</w:t>
            </w:r>
          </w:p>
        </w:tc>
        <w:tc>
          <w:tcPr>
            <w:tcW w:w="1998" w:type="dxa"/>
            <w:shd w:val="clear" w:color="auto" w:fill="F7CAAC" w:themeFill="accent2" w:themeFillTint="66"/>
            <w:vAlign w:val="center"/>
          </w:tcPr>
          <w:p w14:paraId="4D7387A3" w14:textId="77777777" w:rsidR="00E23B53" w:rsidRPr="005F3658" w:rsidRDefault="00E23B53" w:rsidP="00E23B53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Prescriptive requirements</w:t>
            </w:r>
          </w:p>
        </w:tc>
        <w:tc>
          <w:tcPr>
            <w:tcW w:w="1998" w:type="dxa"/>
            <w:shd w:val="clear" w:color="auto" w:fill="FBE4D5" w:themeFill="accent2" w:themeFillTint="33"/>
            <w:vAlign w:val="center"/>
          </w:tcPr>
          <w:p w14:paraId="64274C52" w14:textId="77777777" w:rsidR="00E23B53" w:rsidRPr="005F3658" w:rsidRDefault="00E23B53" w:rsidP="00E23B53">
            <w:pPr>
              <w:pStyle w:val="TableText"/>
              <w:jc w:val="center"/>
              <w:rPr>
                <w:color w:val="000000"/>
                <w:sz w:val="20"/>
                <w:szCs w:val="20"/>
              </w:rPr>
            </w:pPr>
            <w:r w:rsidRPr="005F3658">
              <w:rPr>
                <w:color w:val="000000"/>
                <w:sz w:val="20"/>
                <w:szCs w:val="20"/>
              </w:rPr>
              <w:t>Some requirements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52A7CEB0" w14:textId="77777777" w:rsidR="00E23B53" w:rsidRPr="005F3658" w:rsidRDefault="00E23B53" w:rsidP="00E23B53">
            <w:pPr>
              <w:pStyle w:val="TableText"/>
              <w:jc w:val="center"/>
              <w:rPr>
                <w:color w:val="000000"/>
                <w:sz w:val="20"/>
                <w:szCs w:val="20"/>
              </w:rPr>
            </w:pPr>
            <w:r w:rsidRPr="005F3658">
              <w:rPr>
                <w:color w:val="000000"/>
                <w:sz w:val="20"/>
                <w:szCs w:val="20"/>
              </w:rPr>
              <w:t>No requirements</w:t>
            </w:r>
          </w:p>
        </w:tc>
      </w:tr>
    </w:tbl>
    <w:p w14:paraId="476C034F" w14:textId="77777777" w:rsidR="00E23B53" w:rsidRPr="005F3658" w:rsidRDefault="00E23B53" w:rsidP="00E23B53">
      <w:pPr>
        <w:rPr>
          <w:rFonts w:ascii="Times New Roman" w:hAnsi="Times New Roman" w:cs="Times New Roman"/>
          <w:b/>
          <w:sz w:val="20"/>
          <w:szCs w:val="20"/>
        </w:rPr>
      </w:pPr>
    </w:p>
    <w:p w14:paraId="15C7BA81" w14:textId="77777777" w:rsidR="00E23B53" w:rsidRDefault="00E23B53" w:rsidP="00E23B53">
      <w:pPr>
        <w:rPr>
          <w:rFonts w:ascii="Times New Roman" w:hAnsi="Times New Roman" w:cs="Times New Roman"/>
          <w:sz w:val="20"/>
          <w:szCs w:val="20"/>
        </w:rPr>
      </w:pPr>
    </w:p>
    <w:p w14:paraId="2A4AA14F" w14:textId="77777777" w:rsidR="00E23B53" w:rsidRDefault="00E23B53" w:rsidP="00E23B53">
      <w:pPr>
        <w:rPr>
          <w:rFonts w:ascii="Times New Roman" w:hAnsi="Times New Roman" w:cs="Times New Roman"/>
          <w:sz w:val="20"/>
          <w:szCs w:val="20"/>
        </w:rPr>
      </w:pPr>
    </w:p>
    <w:p w14:paraId="0C1B2141" w14:textId="77777777" w:rsidR="00E23B53" w:rsidRDefault="00E23B53" w:rsidP="00E23B53">
      <w:pPr>
        <w:rPr>
          <w:rFonts w:ascii="Times New Roman" w:hAnsi="Times New Roman" w:cs="Times New Roman"/>
          <w:sz w:val="20"/>
          <w:szCs w:val="20"/>
        </w:rPr>
      </w:pPr>
    </w:p>
    <w:p w14:paraId="07D76E05" w14:textId="77777777" w:rsidR="00E23B53" w:rsidRDefault="00E23B53" w:rsidP="00E23B53">
      <w:pPr>
        <w:ind w:left="1440" w:firstLine="72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5F3658">
        <w:rPr>
          <w:rFonts w:ascii="Times New Roman" w:hAnsi="Times New Roman" w:cs="Times New Roman"/>
          <w:sz w:val="20"/>
          <w:szCs w:val="20"/>
        </w:rPr>
        <w:t>*</w:t>
      </w:r>
      <w:r>
        <w:rPr>
          <w:rFonts w:ascii="Times New Roman" w:hAnsi="Times New Roman" w:cs="Times New Roman"/>
          <w:sz w:val="20"/>
          <w:szCs w:val="20"/>
        </w:rPr>
        <w:t>Shading</w:t>
      </w:r>
      <w:r w:rsidRPr="005F3658">
        <w:rPr>
          <w:rFonts w:ascii="Times New Roman" w:hAnsi="Times New Roman" w:cs="Times New Roman"/>
          <w:sz w:val="20"/>
          <w:szCs w:val="20"/>
        </w:rPr>
        <w:t xml:space="preserve"> represent relative, not absolute, differences in positions on issues.</w:t>
      </w:r>
    </w:p>
    <w:p w14:paraId="6EA45A27" w14:textId="77777777" w:rsidR="00E23B53" w:rsidRPr="005F3658" w:rsidRDefault="00E23B53" w:rsidP="00E23B53">
      <w:pPr>
        <w:rPr>
          <w:rFonts w:ascii="Times New Roman" w:hAnsi="Times New Roman" w:cs="Times New Roman"/>
          <w:sz w:val="20"/>
          <w:szCs w:val="20"/>
        </w:rPr>
      </w:pPr>
    </w:p>
    <w:p w14:paraId="32238E0B" w14:textId="77777777" w:rsidR="00BC534C" w:rsidRDefault="00E23B53"/>
    <w:sectPr w:rsidR="00BC534C" w:rsidSect="00445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B53"/>
    <w:rsid w:val="004450AA"/>
    <w:rsid w:val="00C27715"/>
    <w:rsid w:val="00E2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52A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3B5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E23B53"/>
    <w:pPr>
      <w:spacing w:before="240" w:after="240"/>
      <w:jc w:val="both"/>
    </w:pPr>
    <w:rPr>
      <w:rFonts w:ascii="Times New Roman" w:eastAsia="Times New Roman" w:hAnsi="Times New Roman" w:cs="Times New Roman"/>
      <w:b/>
    </w:rPr>
  </w:style>
  <w:style w:type="paragraph" w:customStyle="1" w:styleId="TableText">
    <w:name w:val="Table Text"/>
    <w:basedOn w:val="Normal"/>
    <w:rsid w:val="00E23B53"/>
    <w:pPr>
      <w:spacing w:before="120" w:after="12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673</Words>
  <Characters>3838</Characters>
  <Application>Microsoft Macintosh Word</Application>
  <DocSecurity>0</DocSecurity>
  <Lines>31</Lines>
  <Paragraphs>9</Paragraphs>
  <ScaleCrop>false</ScaleCrop>
  <LinksUpToDate>false</LinksUpToDate>
  <CharactersWithSpaces>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2018-02-22T02:51:00Z</dcterms:created>
  <dcterms:modified xsi:type="dcterms:W3CDTF">2018-02-22T02:56:00Z</dcterms:modified>
</cp:coreProperties>
</file>