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D4E65" w14:textId="3FD8A2E5" w:rsidR="00E23B53" w:rsidRDefault="001D2B17" w:rsidP="001D2B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</w:t>
      </w:r>
      <w:r w:rsidR="00E23B53" w:rsidRPr="005F3658">
        <w:rPr>
          <w:rFonts w:ascii="Times New Roman" w:hAnsi="Times New Roman" w:cs="Times New Roman"/>
          <w:b/>
        </w:rPr>
        <w:t>ubstantive difference</w:t>
      </w:r>
      <w:r>
        <w:rPr>
          <w:rFonts w:ascii="Times New Roman" w:hAnsi="Times New Roman" w:cs="Times New Roman"/>
          <w:b/>
        </w:rPr>
        <w:t>s on select high-salience issues (2017</w:t>
      </w:r>
      <w:r w:rsidR="00E23B53" w:rsidRPr="005F3658">
        <w:rPr>
          <w:rFonts w:ascii="Times New Roman" w:hAnsi="Times New Roman" w:cs="Times New Roman"/>
          <w:b/>
        </w:rPr>
        <w:t>)</w:t>
      </w:r>
    </w:p>
    <w:p w14:paraId="3FF56BDB" w14:textId="77777777" w:rsidR="00E23B53" w:rsidRPr="005F3658" w:rsidRDefault="00E23B53" w:rsidP="00E23B53">
      <w:pPr>
        <w:rPr>
          <w:rFonts w:ascii="Times New Roman" w:hAnsi="Times New Roman" w:cs="Times New Roman"/>
        </w:rPr>
      </w:pPr>
    </w:p>
    <w:tbl>
      <w:tblPr>
        <w:tblW w:w="9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5"/>
        <w:gridCol w:w="1970"/>
        <w:gridCol w:w="1970"/>
        <w:gridCol w:w="1970"/>
        <w:gridCol w:w="2140"/>
      </w:tblGrid>
      <w:tr w:rsidR="00E23B53" w:rsidRPr="005F3658" w14:paraId="3693D867" w14:textId="77777777" w:rsidTr="00E23B53">
        <w:trPr>
          <w:trHeight w:val="78"/>
          <w:jc w:val="center"/>
        </w:trPr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79171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left w:val="single" w:sz="4" w:space="0" w:color="auto"/>
            </w:tcBorders>
            <w:shd w:val="clear" w:color="auto" w:fill="C0C0C0"/>
            <w:noWrap/>
            <w:vAlign w:val="center"/>
          </w:tcPr>
          <w:p w14:paraId="7FD37091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US-FSC</w:t>
            </w:r>
          </w:p>
        </w:tc>
        <w:tc>
          <w:tcPr>
            <w:tcW w:w="1970" w:type="dxa"/>
            <w:shd w:val="clear" w:color="auto" w:fill="C0C0C0"/>
            <w:vAlign w:val="center"/>
          </w:tcPr>
          <w:p w14:paraId="6D9266AE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FSC P&amp;C</w:t>
            </w:r>
          </w:p>
        </w:tc>
        <w:tc>
          <w:tcPr>
            <w:tcW w:w="1970" w:type="dxa"/>
            <w:shd w:val="clear" w:color="auto" w:fill="C0C0C0"/>
            <w:noWrap/>
            <w:vAlign w:val="center"/>
          </w:tcPr>
          <w:p w14:paraId="247A12BB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SFI</w:t>
            </w:r>
          </w:p>
        </w:tc>
        <w:tc>
          <w:tcPr>
            <w:tcW w:w="2140" w:type="dxa"/>
            <w:shd w:val="clear" w:color="auto" w:fill="C0C0C0"/>
            <w:noWrap/>
            <w:vAlign w:val="center"/>
          </w:tcPr>
          <w:p w14:paraId="7A2D4A99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PEFC</w:t>
            </w:r>
          </w:p>
        </w:tc>
      </w:tr>
      <w:tr w:rsidR="00E23B53" w:rsidRPr="005F3658" w14:paraId="13A17A74" w14:textId="77777777" w:rsidTr="00E23B53">
        <w:trPr>
          <w:trHeight w:val="1148"/>
          <w:jc w:val="center"/>
        </w:trPr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E1B4F8" w14:textId="77777777" w:rsidR="00E23B53" w:rsidRPr="005F3658" w:rsidRDefault="00E23B53" w:rsidP="00035F98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Forest conversion to non-forest</w:t>
            </w:r>
          </w:p>
        </w:tc>
        <w:tc>
          <w:tcPr>
            <w:tcW w:w="1970" w:type="dxa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14:paraId="4DE867DB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Prohibited except limited areas where clear, substantial, additional, secure, long-term conservation benefits.</w:t>
            </w:r>
          </w:p>
        </w:tc>
        <w:tc>
          <w:tcPr>
            <w:tcW w:w="1970" w:type="dxa"/>
            <w:shd w:val="clear" w:color="auto" w:fill="F4B083" w:themeFill="accent2" w:themeFillTint="99"/>
            <w:vAlign w:val="center"/>
          </w:tcPr>
          <w:p w14:paraId="67E52DA0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Prohibited except limited areas where clear, substantial, additional, secure, long-term conservation benefits.</w:t>
            </w:r>
          </w:p>
        </w:tc>
        <w:tc>
          <w:tcPr>
            <w:tcW w:w="1970" w:type="dxa"/>
            <w:vAlign w:val="center"/>
          </w:tcPr>
          <w:p w14:paraId="5E1430A2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No specific policy.</w:t>
            </w:r>
          </w:p>
        </w:tc>
        <w:tc>
          <w:tcPr>
            <w:tcW w:w="2140" w:type="dxa"/>
            <w:shd w:val="clear" w:color="auto" w:fill="F7CAAC" w:themeFill="accent2" w:themeFillTint="66"/>
            <w:vAlign w:val="center"/>
          </w:tcPr>
          <w:p w14:paraId="479AAB11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color w:val="000000"/>
                <w:sz w:val="20"/>
                <w:szCs w:val="20"/>
              </w:rPr>
              <w:t>Prohibited except where small portion + long-term conservation, economic, and social benefits.</w:t>
            </w:r>
          </w:p>
        </w:tc>
      </w:tr>
      <w:tr w:rsidR="00E23B53" w:rsidRPr="005F3658" w14:paraId="53526FEF" w14:textId="77777777" w:rsidTr="00E23B53">
        <w:trPr>
          <w:trHeight w:val="1180"/>
          <w:jc w:val="center"/>
        </w:trPr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E36E5C" w14:textId="77777777" w:rsidR="00E23B53" w:rsidRPr="005F3658" w:rsidRDefault="00E23B53" w:rsidP="00035F98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Landscape-Scale Conservation Values</w:t>
            </w:r>
          </w:p>
        </w:tc>
        <w:tc>
          <w:tcPr>
            <w:tcW w:w="1970" w:type="dxa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14:paraId="140D9E6F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Precautionary, active and adaptive management must record and maintain conservation values in consultation with stakeholders and experts.</w:t>
            </w:r>
          </w:p>
        </w:tc>
        <w:tc>
          <w:tcPr>
            <w:tcW w:w="1970" w:type="dxa"/>
            <w:shd w:val="clear" w:color="auto" w:fill="F4B083" w:themeFill="accent2" w:themeFillTint="99"/>
            <w:vAlign w:val="center"/>
          </w:tcPr>
          <w:p w14:paraId="6983C816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Precautionary, active and adaptive management must record and maintain conservation values in consultation with stakeholders and scientists.</w:t>
            </w:r>
          </w:p>
        </w:tc>
        <w:tc>
          <w:tcPr>
            <w:tcW w:w="1970" w:type="dxa"/>
            <w:shd w:val="clear" w:color="auto" w:fill="FBE4D5" w:themeFill="accent2" w:themeFillTint="33"/>
            <w:vAlign w:val="center"/>
          </w:tcPr>
          <w:p w14:paraId="7F9FE3EE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Identify or select sites for protection of ecologically, geologically, historically, or culturally important qualities.</w:t>
            </w:r>
          </w:p>
        </w:tc>
        <w:tc>
          <w:tcPr>
            <w:tcW w:w="2140" w:type="dxa"/>
            <w:shd w:val="clear" w:color="auto" w:fill="F7CAAC" w:themeFill="accent2" w:themeFillTint="66"/>
            <w:vAlign w:val="center"/>
          </w:tcPr>
          <w:p w14:paraId="33F82FE7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Identify, protect, and/or conserve rare, sensitive, or representative ecosystems and globally, regionally, and nationally significant landscapes</w:t>
            </w:r>
          </w:p>
        </w:tc>
      </w:tr>
      <w:tr w:rsidR="00E23B53" w:rsidRPr="005F3658" w14:paraId="6F657DE5" w14:textId="77777777" w:rsidTr="00E23B53">
        <w:trPr>
          <w:trHeight w:val="1878"/>
          <w:jc w:val="center"/>
        </w:trPr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9CF473" w14:textId="77777777" w:rsidR="00E23B53" w:rsidRPr="005F3658" w:rsidRDefault="00E23B53" w:rsidP="00035F98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Species and Communities at Risk</w:t>
            </w:r>
          </w:p>
        </w:tc>
        <w:tc>
          <w:tcPr>
            <w:tcW w:w="1970" w:type="dxa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14:paraId="4C5AA456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Survey and report or assume presence of vulnerable, imperiled, and critically imperiled. Maintain habitat &amp; viable populations.</w:t>
            </w:r>
          </w:p>
        </w:tc>
        <w:tc>
          <w:tcPr>
            <w:tcW w:w="1970" w:type="dxa"/>
            <w:shd w:val="clear" w:color="auto" w:fill="F4B083" w:themeFill="accent2" w:themeFillTint="99"/>
            <w:vAlign w:val="center"/>
          </w:tcPr>
          <w:p w14:paraId="4C5F58CC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Protect rare and threatened species and their habitats, considering absolute range and requirements.</w:t>
            </w:r>
          </w:p>
        </w:tc>
        <w:tc>
          <w:tcPr>
            <w:tcW w:w="1970" w:type="dxa"/>
            <w:shd w:val="clear" w:color="auto" w:fill="F7CAAC" w:themeFill="accent2" w:themeFillTint="66"/>
            <w:vAlign w:val="center"/>
          </w:tcPr>
          <w:p w14:paraId="00DE76FC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Program to protect threatened and endangered species and known sites. Protect viable occurrences of critically imperiled or imperiled species.</w:t>
            </w:r>
          </w:p>
        </w:tc>
        <w:tc>
          <w:tcPr>
            <w:tcW w:w="2140" w:type="dxa"/>
            <w:shd w:val="clear" w:color="auto" w:fill="FBE4D5" w:themeFill="accent2" w:themeFillTint="33"/>
            <w:vAlign w:val="center"/>
          </w:tcPr>
          <w:p w14:paraId="71875219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No exploitation of protected and endangered plant and animal species for commercial purposes, protected where necessary.</w:t>
            </w:r>
          </w:p>
        </w:tc>
      </w:tr>
      <w:tr w:rsidR="00E23B53" w:rsidRPr="005F3658" w14:paraId="536F02C3" w14:textId="77777777" w:rsidTr="00E23B53">
        <w:trPr>
          <w:trHeight w:val="261"/>
          <w:jc w:val="center"/>
        </w:trPr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9BA677" w14:textId="77777777" w:rsidR="00E23B53" w:rsidRPr="005F3658" w:rsidRDefault="00E23B53" w:rsidP="00035F98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Protected areas (non-special value forests)</w:t>
            </w:r>
          </w:p>
        </w:tc>
        <w:tc>
          <w:tcPr>
            <w:tcW w:w="1970" w:type="dxa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14:paraId="254DE8D7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Conserve or restore representative area of natural ecosystems. Assess and maintain environmental values and necessary conservation measures.</w:t>
            </w:r>
          </w:p>
        </w:tc>
        <w:tc>
          <w:tcPr>
            <w:tcW w:w="1970" w:type="dxa"/>
            <w:shd w:val="clear" w:color="auto" w:fill="F7CAAC" w:themeFill="accent2" w:themeFillTint="66"/>
            <w:vAlign w:val="center"/>
          </w:tcPr>
          <w:p w14:paraId="38EA5021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Viable samples representative of existing ecosystems, types, successional phases, and/or communities are</w:t>
            </w:r>
            <w:r w:rsidRPr="005F3658">
              <w:rPr>
                <w:sz w:val="20"/>
                <w:szCs w:val="20"/>
                <w:u w:val="single"/>
              </w:rPr>
              <w:t xml:space="preserve"> </w:t>
            </w:r>
            <w:r w:rsidRPr="005F3658">
              <w:rPr>
                <w:sz w:val="20"/>
                <w:szCs w:val="20"/>
              </w:rPr>
              <w:t>permanently protected, recorded with gap analysis and stakeholder collaboration.</w:t>
            </w:r>
          </w:p>
        </w:tc>
        <w:tc>
          <w:tcPr>
            <w:tcW w:w="1970" w:type="dxa"/>
            <w:vAlign w:val="center"/>
          </w:tcPr>
          <w:p w14:paraId="1010DB88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No specific policy.</w:t>
            </w:r>
          </w:p>
        </w:tc>
        <w:tc>
          <w:tcPr>
            <w:tcW w:w="2140" w:type="dxa"/>
            <w:shd w:val="clear" w:color="auto" w:fill="F7CAAC" w:themeFill="accent2" w:themeFillTint="66"/>
            <w:vAlign w:val="center"/>
          </w:tcPr>
          <w:p w14:paraId="71C2A634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Identify and protect and/or conserve rare, sensitive, or representative ecosystems. Map and account for specific and recognized protective functions in management plan.</w:t>
            </w:r>
          </w:p>
        </w:tc>
      </w:tr>
      <w:tr w:rsidR="00E23B53" w:rsidRPr="005F3658" w14:paraId="79A11971" w14:textId="77777777" w:rsidTr="00E23B53">
        <w:trPr>
          <w:trHeight w:val="1370"/>
          <w:jc w:val="center"/>
        </w:trPr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C9E601" w14:textId="77777777" w:rsidR="00E23B53" w:rsidRPr="005F3658" w:rsidRDefault="00E23B53" w:rsidP="00035F98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Plantations</w:t>
            </w:r>
          </w:p>
        </w:tc>
        <w:tc>
          <w:tcPr>
            <w:tcW w:w="1970" w:type="dxa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14:paraId="3089952C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No forest conversion after 1994.</w:t>
            </w:r>
          </w:p>
        </w:tc>
        <w:tc>
          <w:tcPr>
            <w:tcW w:w="1970" w:type="dxa"/>
            <w:shd w:val="clear" w:color="auto" w:fill="F4B083" w:themeFill="accent2" w:themeFillTint="99"/>
            <w:vAlign w:val="center"/>
          </w:tcPr>
          <w:p w14:paraId="292C8689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No forest conversion after 1994 except where additional conservation gain.</w:t>
            </w:r>
          </w:p>
        </w:tc>
        <w:tc>
          <w:tcPr>
            <w:tcW w:w="1970" w:type="dxa"/>
            <w:shd w:val="clear" w:color="auto" w:fill="FBE4D5" w:themeFill="accent2" w:themeFillTint="33"/>
            <w:vAlign w:val="center"/>
          </w:tcPr>
          <w:p w14:paraId="2C320F89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No forest conversion except in justified circumstances where ecological impacts are not significant, native forest type is not rare.</w:t>
            </w:r>
          </w:p>
        </w:tc>
        <w:tc>
          <w:tcPr>
            <w:tcW w:w="2140" w:type="dxa"/>
            <w:shd w:val="clear" w:color="auto" w:fill="F7CAAC" w:themeFill="accent2" w:themeFillTint="66"/>
            <w:vAlign w:val="center"/>
          </w:tcPr>
          <w:p w14:paraId="178AC57A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 xml:space="preserve">No forest conversion after 2010 except with long-term environmental, social, and economic benefits. </w:t>
            </w:r>
          </w:p>
          <w:p w14:paraId="41C69078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Endorses ITTO guidelines in tropical plantations.</w:t>
            </w:r>
          </w:p>
        </w:tc>
      </w:tr>
      <w:tr w:rsidR="00E23B53" w:rsidRPr="005F3658" w14:paraId="5E7B49E4" w14:textId="77777777" w:rsidTr="00E23B53">
        <w:trPr>
          <w:trHeight w:val="59"/>
          <w:jc w:val="center"/>
        </w:trPr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59F9B0" w14:textId="77777777" w:rsidR="00E23B53" w:rsidRPr="005F3658" w:rsidRDefault="00E23B53" w:rsidP="00035F98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GMOs (See Appendix)</w:t>
            </w:r>
          </w:p>
        </w:tc>
        <w:tc>
          <w:tcPr>
            <w:tcW w:w="1970" w:type="dxa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14:paraId="7ACCB5AB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Prohibited.</w:t>
            </w:r>
          </w:p>
        </w:tc>
        <w:tc>
          <w:tcPr>
            <w:tcW w:w="1970" w:type="dxa"/>
            <w:shd w:val="clear" w:color="auto" w:fill="F4B083" w:themeFill="accent2" w:themeFillTint="99"/>
            <w:vAlign w:val="center"/>
          </w:tcPr>
          <w:p w14:paraId="1A624E12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Prohibited.</w:t>
            </w:r>
          </w:p>
        </w:tc>
        <w:tc>
          <w:tcPr>
            <w:tcW w:w="1970" w:type="dxa"/>
            <w:shd w:val="clear" w:color="auto" w:fill="F4B083" w:themeFill="accent2" w:themeFillTint="99"/>
            <w:vAlign w:val="center"/>
          </w:tcPr>
          <w:p w14:paraId="4859C036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Prohibited.</w:t>
            </w:r>
          </w:p>
        </w:tc>
        <w:tc>
          <w:tcPr>
            <w:tcW w:w="2140" w:type="dxa"/>
            <w:shd w:val="clear" w:color="auto" w:fill="F4B083" w:themeFill="accent2" w:themeFillTint="99"/>
            <w:vAlign w:val="center"/>
          </w:tcPr>
          <w:p w14:paraId="362FAFE2" w14:textId="77777777" w:rsidR="00E23B53" w:rsidRPr="005F3658" w:rsidRDefault="00E23B53" w:rsidP="00035F98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Prohibited.</w:t>
            </w:r>
          </w:p>
        </w:tc>
      </w:tr>
    </w:tbl>
    <w:p w14:paraId="3ACE9309" w14:textId="184AA97E" w:rsidR="00E23B53" w:rsidRPr="005F3658" w:rsidRDefault="001D2B17" w:rsidP="00E23B53">
      <w:pPr>
        <w:pStyle w:val="Caption"/>
        <w:keepNext/>
        <w:ind w:left="1440" w:firstLine="720"/>
      </w:pPr>
      <w:r w:rsidRPr="001D2B17">
        <w:lastRenderedPageBreak/>
        <w:t>Substantive differences on select high-salience issues</w:t>
      </w:r>
      <w:r>
        <w:rPr>
          <w:b w:val="0"/>
        </w:rPr>
        <w:t xml:space="preserve"> </w:t>
      </w:r>
      <w:r>
        <w:t>(2017</w:t>
      </w:r>
      <w:r w:rsidR="00E23B53" w:rsidRPr="005F3658">
        <w:t>)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1997"/>
        <w:gridCol w:w="31"/>
        <w:gridCol w:w="1966"/>
        <w:gridCol w:w="1997"/>
        <w:gridCol w:w="2002"/>
      </w:tblGrid>
      <w:tr w:rsidR="00E23B53" w:rsidRPr="005F3658" w14:paraId="1CD23D41" w14:textId="77777777" w:rsidTr="00E23B53">
        <w:trPr>
          <w:trHeight w:val="260"/>
        </w:trPr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B86A1" w14:textId="77777777" w:rsidR="00E23B53" w:rsidRPr="005F3658" w:rsidRDefault="00E23B53" w:rsidP="00035F98">
            <w:pPr>
              <w:pStyle w:val="TableTex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98" w:type="dxa"/>
            <w:tcBorders>
              <w:left w:val="single" w:sz="4" w:space="0" w:color="auto"/>
            </w:tcBorders>
            <w:shd w:val="clear" w:color="auto" w:fill="C0C0C0"/>
            <w:noWrap/>
            <w:vAlign w:val="center"/>
          </w:tcPr>
          <w:p w14:paraId="63989777" w14:textId="77777777" w:rsidR="00E23B53" w:rsidRPr="005F3658" w:rsidRDefault="00E23B53" w:rsidP="00035F98">
            <w:pPr>
              <w:pStyle w:val="TableText"/>
              <w:jc w:val="center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FSC-US</w:t>
            </w:r>
          </w:p>
        </w:tc>
        <w:tc>
          <w:tcPr>
            <w:tcW w:w="1998" w:type="dxa"/>
            <w:gridSpan w:val="2"/>
            <w:shd w:val="clear" w:color="auto" w:fill="C0C0C0"/>
          </w:tcPr>
          <w:p w14:paraId="6FF7AD48" w14:textId="77777777" w:rsidR="00E23B53" w:rsidRPr="005F3658" w:rsidRDefault="00E23B53" w:rsidP="00035F98">
            <w:pPr>
              <w:pStyle w:val="TableText"/>
              <w:jc w:val="center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FSC P&amp;C</w:t>
            </w:r>
          </w:p>
        </w:tc>
        <w:tc>
          <w:tcPr>
            <w:tcW w:w="1998" w:type="dxa"/>
            <w:shd w:val="clear" w:color="auto" w:fill="C0C0C0"/>
            <w:noWrap/>
            <w:vAlign w:val="center"/>
          </w:tcPr>
          <w:p w14:paraId="0BBFA96E" w14:textId="77777777" w:rsidR="00E23B53" w:rsidRPr="005F3658" w:rsidRDefault="00E23B53" w:rsidP="00035F98">
            <w:pPr>
              <w:pStyle w:val="TableText"/>
              <w:jc w:val="center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SFI</w:t>
            </w:r>
          </w:p>
        </w:tc>
        <w:tc>
          <w:tcPr>
            <w:tcW w:w="1998" w:type="dxa"/>
            <w:shd w:val="clear" w:color="auto" w:fill="C0C0C0"/>
            <w:noWrap/>
            <w:vAlign w:val="center"/>
          </w:tcPr>
          <w:p w14:paraId="52D3A79E" w14:textId="77777777" w:rsidR="00E23B53" w:rsidRPr="005F3658" w:rsidRDefault="00E23B53" w:rsidP="00035F98">
            <w:pPr>
              <w:pStyle w:val="TableText"/>
              <w:jc w:val="center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PEFC</w:t>
            </w:r>
          </w:p>
        </w:tc>
      </w:tr>
      <w:tr w:rsidR="00E23B53" w:rsidRPr="005F3658" w14:paraId="27C6D6E9" w14:textId="77777777" w:rsidTr="00E23B53">
        <w:trPr>
          <w:trHeight w:val="2340"/>
        </w:trPr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84ACD2" w14:textId="77777777" w:rsidR="00E23B53" w:rsidRPr="005F3658" w:rsidRDefault="00E23B53" w:rsidP="00035F98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Community benefit</w:t>
            </w:r>
          </w:p>
        </w:tc>
        <w:tc>
          <w:tcPr>
            <w:tcW w:w="2029" w:type="dxa"/>
            <w:gridSpan w:val="2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14:paraId="24E6D5B3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color w:val="000000"/>
                <w:sz w:val="20"/>
                <w:szCs w:val="20"/>
              </w:rPr>
              <w:t>Maintain long-term social and economic well-being. Strengthen and diversify local economy. Enhance value of forest services.</w:t>
            </w:r>
          </w:p>
        </w:tc>
        <w:tc>
          <w:tcPr>
            <w:tcW w:w="1967" w:type="dxa"/>
            <w:shd w:val="clear" w:color="auto" w:fill="F4B083" w:themeFill="accent2" w:themeFillTint="99"/>
            <w:vAlign w:val="center"/>
          </w:tcPr>
          <w:p w14:paraId="46A0EC99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color w:val="000000"/>
                <w:sz w:val="20"/>
                <w:szCs w:val="20"/>
              </w:rPr>
              <w:t>Maintain long-term social and economic well-being. Strengthen and diversify local economy. Enhance value of forest services.</w:t>
            </w:r>
          </w:p>
        </w:tc>
        <w:tc>
          <w:tcPr>
            <w:tcW w:w="1998" w:type="dxa"/>
            <w:vAlign w:val="center"/>
          </w:tcPr>
          <w:p w14:paraId="26A188BE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No specific policy.</w:t>
            </w:r>
          </w:p>
        </w:tc>
        <w:tc>
          <w:tcPr>
            <w:tcW w:w="1998" w:type="dxa"/>
            <w:shd w:val="clear" w:color="auto" w:fill="F4B083" w:themeFill="accent2" w:themeFillTint="99"/>
            <w:vAlign w:val="center"/>
          </w:tcPr>
          <w:p w14:paraId="1E07AEBA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color w:val="000000"/>
                <w:sz w:val="20"/>
                <w:szCs w:val="20"/>
              </w:rPr>
              <w:t>Promote the long-term health and well-being of communities within or adjacent.</w:t>
            </w:r>
          </w:p>
        </w:tc>
      </w:tr>
      <w:tr w:rsidR="00E23B53" w:rsidRPr="005F3658" w14:paraId="2AEA244B" w14:textId="77777777" w:rsidTr="00E23B53">
        <w:trPr>
          <w:trHeight w:val="1300"/>
        </w:trPr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2F6B1C" w14:textId="77777777" w:rsidR="00E23B53" w:rsidRPr="005F3658" w:rsidRDefault="00E23B53" w:rsidP="00035F98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Indigenous rights</w:t>
            </w:r>
          </w:p>
        </w:tc>
        <w:tc>
          <w:tcPr>
            <w:tcW w:w="2029" w:type="dxa"/>
            <w:gridSpan w:val="2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14:paraId="402CC912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UNDRIP + recognize and uphold rights, customs, and culture.</w:t>
            </w:r>
          </w:p>
          <w:p w14:paraId="112A7E59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No threat to rights or resources.</w:t>
            </w:r>
          </w:p>
          <w:p w14:paraId="263DE8C3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Free, prior, and informed consent on public and private lands.</w:t>
            </w:r>
          </w:p>
          <w:p w14:paraId="30173ECF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Engage indigenous peoples and consult with affected groups.</w:t>
            </w:r>
          </w:p>
          <w:p w14:paraId="06D146FF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Cooperate to identify and protect significant sites.</w:t>
            </w:r>
          </w:p>
          <w:p w14:paraId="259D562B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Compensate for indigenous knowledge and utilize as requested.</w:t>
            </w:r>
          </w:p>
        </w:tc>
        <w:tc>
          <w:tcPr>
            <w:tcW w:w="1967" w:type="dxa"/>
            <w:shd w:val="clear" w:color="auto" w:fill="F4B083" w:themeFill="accent2" w:themeFillTint="99"/>
            <w:vAlign w:val="center"/>
          </w:tcPr>
          <w:p w14:paraId="1FFF6592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 xml:space="preserve">UNDRIP + recognize and uphold customary rights, recognized and unrecognized tribes. </w:t>
            </w:r>
          </w:p>
          <w:p w14:paraId="23E8637D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No adverse affects on tribal resources.</w:t>
            </w:r>
          </w:p>
          <w:p w14:paraId="253D76E6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Free and informed written consent on public and private lands.</w:t>
            </w:r>
          </w:p>
          <w:p w14:paraId="420709C8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Identify and invite participation of leaders.</w:t>
            </w:r>
          </w:p>
          <w:p w14:paraId="230F0849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Written contract to protect and compensate for indigenous knowledge.</w:t>
            </w:r>
          </w:p>
        </w:tc>
        <w:tc>
          <w:tcPr>
            <w:tcW w:w="1993" w:type="dxa"/>
            <w:shd w:val="clear" w:color="auto" w:fill="FBE4D5" w:themeFill="accent2" w:themeFillTint="33"/>
            <w:vAlign w:val="center"/>
          </w:tcPr>
          <w:p w14:paraId="12BDAF11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Written policy acknowledging a commitment to recognize and respect rights</w:t>
            </w:r>
          </w:p>
        </w:tc>
        <w:tc>
          <w:tcPr>
            <w:tcW w:w="2003" w:type="dxa"/>
            <w:shd w:val="clear" w:color="auto" w:fill="F7CAAC" w:themeFill="accent2" w:themeFillTint="66"/>
            <w:vAlign w:val="center"/>
          </w:tcPr>
          <w:p w14:paraId="11F1CACA" w14:textId="77777777" w:rsidR="00E23B53" w:rsidRPr="005F3658" w:rsidRDefault="00E23B53" w:rsidP="00035F98">
            <w:pPr>
              <w:pStyle w:val="TableText"/>
              <w:jc w:val="center"/>
              <w:rPr>
                <w:color w:val="000000"/>
                <w:sz w:val="20"/>
                <w:szCs w:val="20"/>
              </w:rPr>
            </w:pPr>
            <w:r w:rsidRPr="005F3658">
              <w:rPr>
                <w:color w:val="000000"/>
                <w:sz w:val="20"/>
                <w:szCs w:val="20"/>
              </w:rPr>
              <w:t>UNDRIP + recognize and respect customary rights.</w:t>
            </w:r>
          </w:p>
          <w:p w14:paraId="03FD4FEC" w14:textId="77777777" w:rsidR="00E23B53" w:rsidRPr="005F3658" w:rsidRDefault="00E23B53" w:rsidP="00035F98">
            <w:pPr>
              <w:pStyle w:val="TableText"/>
              <w:jc w:val="center"/>
              <w:rPr>
                <w:color w:val="000000"/>
                <w:sz w:val="20"/>
                <w:szCs w:val="20"/>
              </w:rPr>
            </w:pPr>
            <w:r w:rsidRPr="005F3658">
              <w:rPr>
                <w:color w:val="000000"/>
                <w:sz w:val="20"/>
                <w:szCs w:val="20"/>
              </w:rPr>
              <w:t>Free, prior, and informed consent on public and private lands.</w:t>
            </w:r>
          </w:p>
          <w:p w14:paraId="27EFCE7A" w14:textId="77777777" w:rsidR="00E23B53" w:rsidRPr="005F3658" w:rsidRDefault="00E23B53" w:rsidP="00035F98">
            <w:pPr>
              <w:pStyle w:val="TableText"/>
              <w:jc w:val="center"/>
              <w:rPr>
                <w:color w:val="000000"/>
                <w:sz w:val="20"/>
                <w:szCs w:val="20"/>
              </w:rPr>
            </w:pPr>
            <w:r w:rsidRPr="005F3658">
              <w:rPr>
                <w:color w:val="000000"/>
                <w:sz w:val="20"/>
                <w:szCs w:val="20"/>
              </w:rPr>
              <w:t xml:space="preserve"> Where rights are disputed, engage local peoples while respecting roles laid out in law. </w:t>
            </w:r>
          </w:p>
          <w:p w14:paraId="35D0EB93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color w:val="000000"/>
                <w:sz w:val="20"/>
                <w:szCs w:val="20"/>
              </w:rPr>
              <w:t>Make best use of local knowledge.</w:t>
            </w:r>
          </w:p>
        </w:tc>
      </w:tr>
      <w:tr w:rsidR="00E23B53" w:rsidRPr="005F3658" w14:paraId="12261E95" w14:textId="77777777" w:rsidTr="00E23B53">
        <w:trPr>
          <w:trHeight w:val="1560"/>
        </w:trPr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7F2C6E" w14:textId="77777777" w:rsidR="00E23B53" w:rsidRPr="005F3658" w:rsidRDefault="00E23B53" w:rsidP="00035F98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Public reporting and consultation</w:t>
            </w:r>
          </w:p>
        </w:tc>
        <w:tc>
          <w:tcPr>
            <w:tcW w:w="2029" w:type="dxa"/>
            <w:gridSpan w:val="2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14:paraId="70D87A55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Required on public and private lands.</w:t>
            </w:r>
          </w:p>
        </w:tc>
        <w:tc>
          <w:tcPr>
            <w:tcW w:w="1967" w:type="dxa"/>
            <w:shd w:val="clear" w:color="auto" w:fill="F7CAAC" w:themeFill="accent2" w:themeFillTint="66"/>
            <w:vAlign w:val="center"/>
          </w:tcPr>
          <w:p w14:paraId="3BDA112E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Proactively and transparently engage affected stakeholders. Engage interested stakeholders on request.</w:t>
            </w:r>
          </w:p>
        </w:tc>
        <w:tc>
          <w:tcPr>
            <w:tcW w:w="1993" w:type="dxa"/>
            <w:shd w:val="clear" w:color="auto" w:fill="FBE4D5" w:themeFill="accent2" w:themeFillTint="33"/>
            <w:vAlign w:val="center"/>
          </w:tcPr>
          <w:p w14:paraId="37D1E6C1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Required on public lands.</w:t>
            </w:r>
          </w:p>
        </w:tc>
        <w:tc>
          <w:tcPr>
            <w:tcW w:w="2003" w:type="dxa"/>
            <w:shd w:val="clear" w:color="auto" w:fill="F7CAAC" w:themeFill="accent2" w:themeFillTint="66"/>
            <w:vAlign w:val="center"/>
          </w:tcPr>
          <w:p w14:paraId="0A8E5A2D" w14:textId="77777777" w:rsidR="00E23B53" w:rsidRPr="005F3658" w:rsidRDefault="00E23B53" w:rsidP="00035F98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color w:val="000000"/>
                <w:sz w:val="20"/>
                <w:szCs w:val="20"/>
              </w:rPr>
              <w:t>Provide for effective communication and consultation with local people and other stakeholders.</w:t>
            </w:r>
          </w:p>
        </w:tc>
      </w:tr>
    </w:tbl>
    <w:p w14:paraId="5B6FF060" w14:textId="77777777" w:rsidR="00E23B53" w:rsidRPr="005F3658" w:rsidRDefault="00E23B53" w:rsidP="00E23B53">
      <w:pPr>
        <w:rPr>
          <w:rFonts w:ascii="Times New Roman" w:hAnsi="Times New Roman" w:cs="Times New Roman"/>
          <w:sz w:val="20"/>
          <w:szCs w:val="20"/>
        </w:rPr>
      </w:pPr>
    </w:p>
    <w:p w14:paraId="70658031" w14:textId="77777777" w:rsidR="00E23B53" w:rsidRPr="005F3658" w:rsidRDefault="00E23B53" w:rsidP="00E23B53">
      <w:pPr>
        <w:rPr>
          <w:rFonts w:ascii="Times New Roman" w:hAnsi="Times New Roman" w:cs="Times New Roman"/>
          <w:b/>
          <w:sz w:val="20"/>
          <w:szCs w:val="20"/>
        </w:rPr>
      </w:pPr>
      <w:r w:rsidRPr="005F3658">
        <w:rPr>
          <w:rFonts w:ascii="Times New Roman" w:hAnsi="Times New Roman" w:cs="Times New Roman"/>
          <w:sz w:val="20"/>
          <w:szCs w:val="20"/>
        </w:rPr>
        <w:tab/>
      </w:r>
    </w:p>
    <w:tbl>
      <w:tblPr>
        <w:tblpPr w:leftFromText="180" w:rightFromText="180" w:vertAnchor="text" w:horzAnchor="page" w:tblpX="2170" w:tblpY="140"/>
        <w:tblW w:w="8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998"/>
        <w:gridCol w:w="1998"/>
        <w:gridCol w:w="1998"/>
        <w:gridCol w:w="1998"/>
      </w:tblGrid>
      <w:tr w:rsidR="00E23B53" w:rsidRPr="005F3658" w14:paraId="0AB11B2B" w14:textId="77777777" w:rsidTr="00E23B53">
        <w:trPr>
          <w:trHeight w:val="350"/>
        </w:trPr>
        <w:tc>
          <w:tcPr>
            <w:tcW w:w="738" w:type="dxa"/>
            <w:vAlign w:val="center"/>
          </w:tcPr>
          <w:p w14:paraId="00F3D888" w14:textId="77777777" w:rsidR="00E23B53" w:rsidRPr="005F3658" w:rsidRDefault="00E23B53" w:rsidP="00E23B53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1998" w:type="dxa"/>
            <w:shd w:val="clear" w:color="auto" w:fill="F4B083" w:themeFill="accent2" w:themeFillTint="99"/>
            <w:vAlign w:val="center"/>
          </w:tcPr>
          <w:p w14:paraId="25C68F48" w14:textId="77777777" w:rsidR="00E23B53" w:rsidRPr="005F3658" w:rsidRDefault="00E23B53" w:rsidP="00E23B53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Most Prescriptive requirements</w:t>
            </w:r>
          </w:p>
        </w:tc>
        <w:tc>
          <w:tcPr>
            <w:tcW w:w="1998" w:type="dxa"/>
            <w:shd w:val="clear" w:color="auto" w:fill="F7CAAC" w:themeFill="accent2" w:themeFillTint="66"/>
            <w:vAlign w:val="center"/>
          </w:tcPr>
          <w:p w14:paraId="4D7387A3" w14:textId="77777777" w:rsidR="00E23B53" w:rsidRPr="005F3658" w:rsidRDefault="00E23B53" w:rsidP="00E23B53">
            <w:pPr>
              <w:pStyle w:val="TableText"/>
              <w:jc w:val="center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Prescriptive requirements</w:t>
            </w:r>
          </w:p>
        </w:tc>
        <w:tc>
          <w:tcPr>
            <w:tcW w:w="1998" w:type="dxa"/>
            <w:shd w:val="clear" w:color="auto" w:fill="FBE4D5" w:themeFill="accent2" w:themeFillTint="33"/>
            <w:vAlign w:val="center"/>
          </w:tcPr>
          <w:p w14:paraId="64274C52" w14:textId="77777777" w:rsidR="00E23B53" w:rsidRPr="005F3658" w:rsidRDefault="00E23B53" w:rsidP="00E23B53">
            <w:pPr>
              <w:pStyle w:val="TableText"/>
              <w:jc w:val="center"/>
              <w:rPr>
                <w:color w:val="000000"/>
                <w:sz w:val="20"/>
                <w:szCs w:val="20"/>
              </w:rPr>
            </w:pPr>
            <w:r w:rsidRPr="005F3658">
              <w:rPr>
                <w:color w:val="000000"/>
                <w:sz w:val="20"/>
                <w:szCs w:val="20"/>
              </w:rPr>
              <w:t>Some requirements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52A7CEB0" w14:textId="77777777" w:rsidR="00E23B53" w:rsidRPr="005F3658" w:rsidRDefault="00E23B53" w:rsidP="00E23B53">
            <w:pPr>
              <w:pStyle w:val="TableText"/>
              <w:jc w:val="center"/>
              <w:rPr>
                <w:color w:val="000000"/>
                <w:sz w:val="20"/>
                <w:szCs w:val="20"/>
              </w:rPr>
            </w:pPr>
            <w:r w:rsidRPr="005F3658">
              <w:rPr>
                <w:color w:val="000000"/>
                <w:sz w:val="20"/>
                <w:szCs w:val="20"/>
              </w:rPr>
              <w:t>No requirements</w:t>
            </w:r>
          </w:p>
        </w:tc>
      </w:tr>
    </w:tbl>
    <w:p w14:paraId="476C034F" w14:textId="77777777" w:rsidR="00E23B53" w:rsidRPr="005F3658" w:rsidRDefault="00E23B53" w:rsidP="00E23B53">
      <w:pPr>
        <w:rPr>
          <w:rFonts w:ascii="Times New Roman" w:hAnsi="Times New Roman" w:cs="Times New Roman"/>
          <w:b/>
          <w:sz w:val="20"/>
          <w:szCs w:val="20"/>
        </w:rPr>
      </w:pPr>
    </w:p>
    <w:p w14:paraId="15C7BA81" w14:textId="77777777" w:rsidR="00E23B53" w:rsidRDefault="00E23B53" w:rsidP="00E23B53">
      <w:pPr>
        <w:rPr>
          <w:rFonts w:ascii="Times New Roman" w:hAnsi="Times New Roman" w:cs="Times New Roman"/>
          <w:sz w:val="20"/>
          <w:szCs w:val="20"/>
        </w:rPr>
      </w:pPr>
    </w:p>
    <w:p w14:paraId="2A4AA14F" w14:textId="77777777" w:rsidR="00E23B53" w:rsidRDefault="00E23B53" w:rsidP="00E23B53">
      <w:pPr>
        <w:rPr>
          <w:rFonts w:ascii="Times New Roman" w:hAnsi="Times New Roman" w:cs="Times New Roman"/>
          <w:sz w:val="20"/>
          <w:szCs w:val="20"/>
        </w:rPr>
      </w:pPr>
    </w:p>
    <w:p w14:paraId="0C1B2141" w14:textId="77777777" w:rsidR="00E23B53" w:rsidRDefault="00E23B53" w:rsidP="00E23B53">
      <w:pPr>
        <w:rPr>
          <w:rFonts w:ascii="Times New Roman" w:hAnsi="Times New Roman" w:cs="Times New Roman"/>
          <w:sz w:val="20"/>
          <w:szCs w:val="20"/>
        </w:rPr>
      </w:pPr>
    </w:p>
    <w:p w14:paraId="07D76E05" w14:textId="7B73C561" w:rsidR="00E23B53" w:rsidRDefault="00E23B53" w:rsidP="00E23B53">
      <w:pPr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5F3658">
        <w:rPr>
          <w:rFonts w:ascii="Times New Roman" w:hAnsi="Times New Roman" w:cs="Times New Roman"/>
          <w:sz w:val="20"/>
          <w:szCs w:val="20"/>
        </w:rPr>
        <w:t>*</w:t>
      </w:r>
      <w:r>
        <w:rPr>
          <w:rFonts w:ascii="Times New Roman" w:hAnsi="Times New Roman" w:cs="Times New Roman"/>
          <w:sz w:val="20"/>
          <w:szCs w:val="20"/>
        </w:rPr>
        <w:t>Shading</w:t>
      </w:r>
      <w:r w:rsidRPr="005F3658">
        <w:rPr>
          <w:rFonts w:ascii="Times New Roman" w:hAnsi="Times New Roman" w:cs="Times New Roman"/>
          <w:sz w:val="20"/>
          <w:szCs w:val="20"/>
        </w:rPr>
        <w:t xml:space="preserve"> represent</w:t>
      </w:r>
      <w:r w:rsidR="001D2B17">
        <w:rPr>
          <w:rFonts w:ascii="Times New Roman" w:hAnsi="Times New Roman" w:cs="Times New Roman"/>
          <w:sz w:val="20"/>
          <w:szCs w:val="20"/>
        </w:rPr>
        <w:t>s</w:t>
      </w:r>
      <w:r w:rsidRPr="005F3658">
        <w:rPr>
          <w:rFonts w:ascii="Times New Roman" w:hAnsi="Times New Roman" w:cs="Times New Roman"/>
          <w:sz w:val="20"/>
          <w:szCs w:val="20"/>
        </w:rPr>
        <w:t xml:space="preserve"> relative, not absolute, differences in positions on issues.</w:t>
      </w:r>
    </w:p>
    <w:p w14:paraId="6EA45A27" w14:textId="77777777" w:rsidR="00E23B53" w:rsidRDefault="00E23B53" w:rsidP="00E23B53">
      <w:pPr>
        <w:rPr>
          <w:rFonts w:ascii="Times New Roman" w:hAnsi="Times New Roman" w:cs="Times New Roman"/>
          <w:sz w:val="20"/>
          <w:szCs w:val="20"/>
        </w:rPr>
      </w:pPr>
    </w:p>
    <w:p w14:paraId="3A90C04B" w14:textId="77777777" w:rsidR="00E222C2" w:rsidRDefault="00E222C2" w:rsidP="00E23B53">
      <w:pPr>
        <w:rPr>
          <w:rFonts w:ascii="Times New Roman" w:hAnsi="Times New Roman" w:cs="Times New Roman"/>
          <w:sz w:val="20"/>
          <w:szCs w:val="20"/>
        </w:rPr>
      </w:pPr>
    </w:p>
    <w:p w14:paraId="5E2DC8D9" w14:textId="77777777" w:rsidR="00E222C2" w:rsidRDefault="00E222C2" w:rsidP="00E23B53">
      <w:pPr>
        <w:rPr>
          <w:rFonts w:ascii="Times New Roman" w:hAnsi="Times New Roman" w:cs="Times New Roman"/>
          <w:sz w:val="20"/>
          <w:szCs w:val="20"/>
        </w:rPr>
      </w:pPr>
    </w:p>
    <w:p w14:paraId="1D7F113D" w14:textId="77777777" w:rsidR="00E222C2" w:rsidRDefault="00E222C2" w:rsidP="00E23B53">
      <w:pPr>
        <w:rPr>
          <w:rFonts w:ascii="Times New Roman" w:hAnsi="Times New Roman" w:cs="Times New Roman"/>
          <w:sz w:val="20"/>
          <w:szCs w:val="20"/>
        </w:rPr>
      </w:pPr>
    </w:p>
    <w:p w14:paraId="2EC513EC" w14:textId="77777777" w:rsidR="00E222C2" w:rsidRDefault="00E222C2" w:rsidP="00E23B53">
      <w:pPr>
        <w:rPr>
          <w:rFonts w:ascii="Times New Roman" w:hAnsi="Times New Roman" w:cs="Times New Roman"/>
          <w:sz w:val="20"/>
          <w:szCs w:val="20"/>
        </w:rPr>
      </w:pPr>
    </w:p>
    <w:p w14:paraId="320D0BAD" w14:textId="3985A817" w:rsidR="00E222C2" w:rsidRDefault="00E222C2" w:rsidP="00E222C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</w:t>
      </w:r>
      <w:r w:rsidRPr="005F3658">
        <w:rPr>
          <w:rFonts w:ascii="Times New Roman" w:hAnsi="Times New Roman" w:cs="Times New Roman"/>
          <w:b/>
        </w:rPr>
        <w:t>ubstantive difference</w:t>
      </w:r>
      <w:r>
        <w:rPr>
          <w:rFonts w:ascii="Times New Roman" w:hAnsi="Times New Roman" w:cs="Times New Roman"/>
          <w:b/>
        </w:rPr>
        <w:t>s on select high-salience issues (2017</w:t>
      </w:r>
      <w:r w:rsidRPr="005F3658">
        <w:rPr>
          <w:rFonts w:ascii="Times New Roman" w:hAnsi="Times New Roman" w:cs="Times New Roman"/>
          <w:b/>
        </w:rPr>
        <w:t>)</w:t>
      </w:r>
    </w:p>
    <w:p w14:paraId="578E55B1" w14:textId="77777777" w:rsidR="00E222C2" w:rsidRPr="00E222C2" w:rsidRDefault="00E222C2" w:rsidP="00E222C2">
      <w:pPr>
        <w:jc w:val="center"/>
        <w:rPr>
          <w:rFonts w:ascii="Times New Roman" w:hAnsi="Times New Roman" w:cs="Times New Roman"/>
          <w:b/>
        </w:rPr>
      </w:pPr>
    </w:p>
    <w:tbl>
      <w:tblPr>
        <w:tblW w:w="92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9"/>
        <w:gridCol w:w="3919"/>
        <w:gridCol w:w="3690"/>
      </w:tblGrid>
      <w:tr w:rsidR="00E222C2" w:rsidRPr="005F3658" w14:paraId="48789528" w14:textId="77777777" w:rsidTr="00E222C2">
        <w:trPr>
          <w:trHeight w:val="78"/>
          <w:jc w:val="center"/>
        </w:trPr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337D7" w14:textId="77777777" w:rsidR="00E222C2" w:rsidRPr="005F3658" w:rsidRDefault="00E222C2" w:rsidP="00E222C2">
            <w:pPr>
              <w:pStyle w:val="TableText"/>
              <w:jc w:val="center"/>
              <w:rPr>
                <w:sz w:val="20"/>
                <w:szCs w:val="20"/>
              </w:rPr>
            </w:pPr>
          </w:p>
        </w:tc>
        <w:tc>
          <w:tcPr>
            <w:tcW w:w="3919" w:type="dxa"/>
            <w:tcBorders>
              <w:left w:val="single" w:sz="4" w:space="0" w:color="auto"/>
            </w:tcBorders>
            <w:shd w:val="clear" w:color="auto" w:fill="C0C0C0"/>
            <w:noWrap/>
            <w:vAlign w:val="center"/>
          </w:tcPr>
          <w:p w14:paraId="1211F2A6" w14:textId="7A8F1A7B" w:rsidR="00E222C2" w:rsidRPr="005F3658" w:rsidRDefault="00E222C2" w:rsidP="00E222C2">
            <w:pPr>
              <w:pStyle w:val="Table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Activist-backed </w:t>
            </w:r>
            <w:r w:rsidRPr="005F3658">
              <w:rPr>
                <w:sz w:val="20"/>
                <w:szCs w:val="20"/>
              </w:rPr>
              <w:t>US-FSC</w:t>
            </w:r>
          </w:p>
        </w:tc>
        <w:tc>
          <w:tcPr>
            <w:tcW w:w="3690" w:type="dxa"/>
            <w:shd w:val="clear" w:color="auto" w:fill="C0C0C0"/>
            <w:noWrap/>
            <w:vAlign w:val="center"/>
          </w:tcPr>
          <w:p w14:paraId="09923143" w14:textId="5EF7D040" w:rsidR="00E222C2" w:rsidRPr="005F3658" w:rsidRDefault="00E222C2" w:rsidP="00E222C2">
            <w:pPr>
              <w:pStyle w:val="Table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Industry-backed </w:t>
            </w:r>
            <w:r w:rsidRPr="005F3658">
              <w:rPr>
                <w:sz w:val="20"/>
                <w:szCs w:val="20"/>
              </w:rPr>
              <w:t>SFI</w:t>
            </w:r>
          </w:p>
        </w:tc>
      </w:tr>
      <w:tr w:rsidR="00E222C2" w:rsidRPr="005F3658" w14:paraId="6D140594" w14:textId="77777777" w:rsidTr="00E222C2">
        <w:trPr>
          <w:trHeight w:val="1148"/>
          <w:jc w:val="center"/>
        </w:trPr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FEF3C0" w14:textId="77777777" w:rsidR="00E222C2" w:rsidRPr="005F3658" w:rsidRDefault="00E222C2" w:rsidP="00E222C2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Forest conversion to non-forest</w:t>
            </w:r>
          </w:p>
        </w:tc>
        <w:tc>
          <w:tcPr>
            <w:tcW w:w="3919" w:type="dxa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14:paraId="53D9ECE2" w14:textId="77777777" w:rsidR="00E222C2" w:rsidRPr="005F3658" w:rsidRDefault="00E222C2" w:rsidP="00E222C2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Prohibited except limited areas where clear, substantial, additional, secure, long-term conservation benefits.</w:t>
            </w:r>
          </w:p>
        </w:tc>
        <w:tc>
          <w:tcPr>
            <w:tcW w:w="3690" w:type="dxa"/>
            <w:vAlign w:val="center"/>
          </w:tcPr>
          <w:p w14:paraId="37EBD340" w14:textId="77777777" w:rsidR="00E222C2" w:rsidRPr="005F3658" w:rsidRDefault="00E222C2" w:rsidP="00E222C2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No specific policy.</w:t>
            </w:r>
          </w:p>
        </w:tc>
      </w:tr>
      <w:tr w:rsidR="00E222C2" w:rsidRPr="005F3658" w14:paraId="79EAE89B" w14:textId="77777777" w:rsidTr="00E222C2">
        <w:trPr>
          <w:trHeight w:val="1180"/>
          <w:jc w:val="center"/>
        </w:trPr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26FBF9" w14:textId="77777777" w:rsidR="00E222C2" w:rsidRPr="005F3658" w:rsidRDefault="00E222C2" w:rsidP="00E222C2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Landscape-Scale Conservation Values</w:t>
            </w:r>
          </w:p>
        </w:tc>
        <w:tc>
          <w:tcPr>
            <w:tcW w:w="3919" w:type="dxa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14:paraId="569D4703" w14:textId="77777777" w:rsidR="00E222C2" w:rsidRPr="005F3658" w:rsidRDefault="00E222C2" w:rsidP="00E222C2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Precautionary, active and adaptive management must record and maintain conservation values in consultation with stakeholders and experts.</w:t>
            </w:r>
          </w:p>
        </w:tc>
        <w:tc>
          <w:tcPr>
            <w:tcW w:w="3690" w:type="dxa"/>
            <w:shd w:val="clear" w:color="auto" w:fill="FBE4D5" w:themeFill="accent2" w:themeFillTint="33"/>
            <w:vAlign w:val="center"/>
          </w:tcPr>
          <w:p w14:paraId="02E3D83A" w14:textId="77777777" w:rsidR="00E222C2" w:rsidRPr="005F3658" w:rsidRDefault="00E222C2" w:rsidP="00E222C2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Identify or select sites for protection of ecologically, geologically, historically, or culturally important qualities.</w:t>
            </w:r>
          </w:p>
        </w:tc>
      </w:tr>
      <w:tr w:rsidR="00E222C2" w:rsidRPr="005F3658" w14:paraId="25BD34CD" w14:textId="77777777" w:rsidTr="00E222C2">
        <w:trPr>
          <w:trHeight w:val="1878"/>
          <w:jc w:val="center"/>
        </w:trPr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EA83B6" w14:textId="77777777" w:rsidR="00E222C2" w:rsidRPr="005F3658" w:rsidRDefault="00E222C2" w:rsidP="00E222C2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Species and Communities at Risk</w:t>
            </w:r>
          </w:p>
        </w:tc>
        <w:tc>
          <w:tcPr>
            <w:tcW w:w="3919" w:type="dxa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14:paraId="16CBC233" w14:textId="77777777" w:rsidR="00E222C2" w:rsidRPr="005F3658" w:rsidRDefault="00E222C2" w:rsidP="00E222C2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Survey and report or assume presence of vulnerable, imperiled, and critically imperiled. Maintain habitat &amp; viable populations.</w:t>
            </w:r>
          </w:p>
        </w:tc>
        <w:tc>
          <w:tcPr>
            <w:tcW w:w="3690" w:type="dxa"/>
            <w:shd w:val="clear" w:color="auto" w:fill="F7CAAC" w:themeFill="accent2" w:themeFillTint="66"/>
            <w:vAlign w:val="center"/>
          </w:tcPr>
          <w:p w14:paraId="08E71FD7" w14:textId="77777777" w:rsidR="00E222C2" w:rsidRPr="005F3658" w:rsidRDefault="00E222C2" w:rsidP="00E222C2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Program to protect threatened and endangered species and known sites. Protect viable occurrences of critically imperiled or imperiled species.</w:t>
            </w:r>
          </w:p>
        </w:tc>
      </w:tr>
      <w:tr w:rsidR="00E222C2" w:rsidRPr="005F3658" w14:paraId="3323322F" w14:textId="77777777" w:rsidTr="00E222C2">
        <w:trPr>
          <w:trHeight w:val="261"/>
          <w:jc w:val="center"/>
        </w:trPr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9F7111" w14:textId="77777777" w:rsidR="00E222C2" w:rsidRPr="005F3658" w:rsidRDefault="00E222C2" w:rsidP="00E222C2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Protected areas (non-special value forests)</w:t>
            </w:r>
          </w:p>
        </w:tc>
        <w:tc>
          <w:tcPr>
            <w:tcW w:w="3919" w:type="dxa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14:paraId="0DC175CA" w14:textId="77777777" w:rsidR="00E222C2" w:rsidRPr="005F3658" w:rsidRDefault="00E222C2" w:rsidP="00E222C2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Conserve or restore representative area of natural ecosystems. Assess and maintain environmental values and necessary conservation measures.</w:t>
            </w:r>
          </w:p>
        </w:tc>
        <w:tc>
          <w:tcPr>
            <w:tcW w:w="3690" w:type="dxa"/>
            <w:vAlign w:val="center"/>
          </w:tcPr>
          <w:p w14:paraId="48CB1CF8" w14:textId="77777777" w:rsidR="00E222C2" w:rsidRPr="005F3658" w:rsidRDefault="00E222C2" w:rsidP="00E222C2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No specific policy.</w:t>
            </w:r>
          </w:p>
        </w:tc>
      </w:tr>
      <w:tr w:rsidR="00E222C2" w:rsidRPr="005F3658" w14:paraId="4B90B089" w14:textId="77777777" w:rsidTr="00E222C2">
        <w:trPr>
          <w:trHeight w:val="1370"/>
          <w:jc w:val="center"/>
        </w:trPr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48F19D" w14:textId="77777777" w:rsidR="00E222C2" w:rsidRPr="005F3658" w:rsidRDefault="00E222C2" w:rsidP="00E222C2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Plantations</w:t>
            </w:r>
          </w:p>
        </w:tc>
        <w:tc>
          <w:tcPr>
            <w:tcW w:w="3919" w:type="dxa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14:paraId="516A0B3F" w14:textId="77777777" w:rsidR="00E222C2" w:rsidRPr="005F3658" w:rsidRDefault="00E222C2" w:rsidP="00E222C2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No forest conversion after 1994.</w:t>
            </w:r>
          </w:p>
        </w:tc>
        <w:tc>
          <w:tcPr>
            <w:tcW w:w="3690" w:type="dxa"/>
            <w:shd w:val="clear" w:color="auto" w:fill="FBE4D5" w:themeFill="accent2" w:themeFillTint="33"/>
            <w:vAlign w:val="center"/>
          </w:tcPr>
          <w:p w14:paraId="2C90D6E4" w14:textId="77777777" w:rsidR="00E222C2" w:rsidRPr="005F3658" w:rsidRDefault="00E222C2" w:rsidP="00E222C2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No forest conversion except in justified circumstances where ecological impacts are not significant, native forest type is not rare.</w:t>
            </w:r>
          </w:p>
        </w:tc>
      </w:tr>
      <w:tr w:rsidR="00E222C2" w:rsidRPr="005F3658" w14:paraId="6BE481F4" w14:textId="77777777" w:rsidTr="00E222C2">
        <w:trPr>
          <w:trHeight w:val="59"/>
          <w:jc w:val="center"/>
        </w:trPr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D14B18" w14:textId="77777777" w:rsidR="00E222C2" w:rsidRPr="005F3658" w:rsidRDefault="00E222C2" w:rsidP="00E222C2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GMOs (See Appendix)</w:t>
            </w:r>
          </w:p>
        </w:tc>
        <w:tc>
          <w:tcPr>
            <w:tcW w:w="3919" w:type="dxa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14:paraId="603A8A98" w14:textId="77777777" w:rsidR="00E222C2" w:rsidRPr="005F3658" w:rsidRDefault="00E222C2" w:rsidP="00E222C2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Prohibited.</w:t>
            </w:r>
          </w:p>
        </w:tc>
        <w:tc>
          <w:tcPr>
            <w:tcW w:w="3690" w:type="dxa"/>
            <w:shd w:val="clear" w:color="auto" w:fill="F4B083" w:themeFill="accent2" w:themeFillTint="99"/>
            <w:vAlign w:val="center"/>
          </w:tcPr>
          <w:p w14:paraId="7EAA7201" w14:textId="77777777" w:rsidR="00E222C2" w:rsidRPr="005F3658" w:rsidRDefault="00E222C2" w:rsidP="00E222C2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Prohibited.</w:t>
            </w:r>
          </w:p>
        </w:tc>
      </w:tr>
      <w:tr w:rsidR="00E222C2" w:rsidRPr="005F3658" w14:paraId="76AC979D" w14:textId="77777777" w:rsidTr="00E222C2">
        <w:trPr>
          <w:trHeight w:val="59"/>
          <w:jc w:val="center"/>
        </w:trPr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84A37D" w14:textId="77777777" w:rsidR="00E222C2" w:rsidRPr="005F3658" w:rsidRDefault="00E222C2" w:rsidP="00E222C2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Community benefit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2680C5E2" w14:textId="77777777" w:rsidR="00E222C2" w:rsidRPr="005F3658" w:rsidRDefault="00E222C2" w:rsidP="00E222C2">
            <w:pPr>
              <w:pStyle w:val="TableText"/>
              <w:rPr>
                <w:sz w:val="20"/>
                <w:szCs w:val="20"/>
              </w:rPr>
            </w:pPr>
            <w:r w:rsidRPr="00E222C2">
              <w:rPr>
                <w:sz w:val="20"/>
                <w:szCs w:val="20"/>
              </w:rPr>
              <w:t xml:space="preserve">Maintain long-term social and economic </w:t>
            </w:r>
            <w:proofErr w:type="gramStart"/>
            <w:r w:rsidRPr="00E222C2">
              <w:rPr>
                <w:sz w:val="20"/>
                <w:szCs w:val="20"/>
              </w:rPr>
              <w:t>well-being</w:t>
            </w:r>
            <w:proofErr w:type="gramEnd"/>
            <w:r w:rsidRPr="00E222C2">
              <w:rPr>
                <w:sz w:val="20"/>
                <w:szCs w:val="20"/>
              </w:rPr>
              <w:t>. Strengthen and diversify local economy. Enhance value of forest services.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F026B" w14:textId="77777777" w:rsidR="00E222C2" w:rsidRPr="005F3658" w:rsidRDefault="00E222C2" w:rsidP="00E222C2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No specific policy.</w:t>
            </w:r>
          </w:p>
        </w:tc>
      </w:tr>
      <w:tr w:rsidR="00E222C2" w:rsidRPr="005F3658" w14:paraId="2A6515E8" w14:textId="77777777" w:rsidTr="00E222C2">
        <w:trPr>
          <w:trHeight w:val="59"/>
          <w:jc w:val="center"/>
        </w:trPr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414C95" w14:textId="77777777" w:rsidR="00E222C2" w:rsidRPr="005F3658" w:rsidRDefault="00E222C2" w:rsidP="00E222C2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Indigenous rights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7C17C960" w14:textId="19389181" w:rsidR="00E222C2" w:rsidRPr="005F3658" w:rsidRDefault="00E222C2" w:rsidP="00E222C2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UNDRIP + recognize and uphold rights, customs, and culture.</w:t>
            </w:r>
            <w:r>
              <w:rPr>
                <w:sz w:val="20"/>
                <w:szCs w:val="20"/>
              </w:rPr>
              <w:t xml:space="preserve"> </w:t>
            </w:r>
            <w:r w:rsidRPr="005F3658">
              <w:rPr>
                <w:sz w:val="20"/>
                <w:szCs w:val="20"/>
              </w:rPr>
              <w:t>No threat to rights or resources.</w:t>
            </w:r>
            <w:r>
              <w:rPr>
                <w:sz w:val="20"/>
                <w:szCs w:val="20"/>
              </w:rPr>
              <w:t xml:space="preserve"> </w:t>
            </w:r>
            <w:r w:rsidRPr="005F3658">
              <w:rPr>
                <w:sz w:val="20"/>
                <w:szCs w:val="20"/>
              </w:rPr>
              <w:t>Free, prior, and informed consent on public and private lands.</w:t>
            </w:r>
            <w:r>
              <w:rPr>
                <w:sz w:val="20"/>
                <w:szCs w:val="20"/>
              </w:rPr>
              <w:t xml:space="preserve"> </w:t>
            </w:r>
            <w:r w:rsidRPr="005F3658">
              <w:rPr>
                <w:sz w:val="20"/>
                <w:szCs w:val="20"/>
              </w:rPr>
              <w:t>Engage indigenous peoples and consult with affected groups.</w:t>
            </w:r>
            <w:r>
              <w:rPr>
                <w:sz w:val="20"/>
                <w:szCs w:val="20"/>
              </w:rPr>
              <w:t xml:space="preserve"> </w:t>
            </w:r>
            <w:r w:rsidRPr="005F3658">
              <w:rPr>
                <w:sz w:val="20"/>
                <w:szCs w:val="20"/>
              </w:rPr>
              <w:t>Cooperate to identify and protect significant sites.</w:t>
            </w:r>
            <w:r>
              <w:rPr>
                <w:sz w:val="20"/>
                <w:szCs w:val="20"/>
              </w:rPr>
              <w:t xml:space="preserve"> </w:t>
            </w:r>
            <w:r w:rsidRPr="005F3658">
              <w:rPr>
                <w:sz w:val="20"/>
                <w:szCs w:val="20"/>
              </w:rPr>
              <w:t>Compensate for indigenous knowledge and utilize as requested.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2A40BCA" w14:textId="77777777" w:rsidR="00E222C2" w:rsidRPr="005F3658" w:rsidRDefault="00E222C2" w:rsidP="00E222C2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Written policy acknowledging a commitment to recognize and respect rights</w:t>
            </w:r>
          </w:p>
        </w:tc>
      </w:tr>
      <w:tr w:rsidR="00E222C2" w:rsidRPr="005F3658" w14:paraId="02044176" w14:textId="77777777" w:rsidTr="00E222C2">
        <w:trPr>
          <w:trHeight w:val="59"/>
          <w:jc w:val="center"/>
        </w:trPr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0630BD" w14:textId="77777777" w:rsidR="00E222C2" w:rsidRPr="005F3658" w:rsidRDefault="00E222C2" w:rsidP="00E222C2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Public reporting and consultation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1F8872C4" w14:textId="77777777" w:rsidR="00E222C2" w:rsidRPr="005F3658" w:rsidRDefault="00E222C2" w:rsidP="00E222C2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Required on public and private lands.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7ED9F47" w14:textId="77777777" w:rsidR="00E222C2" w:rsidRPr="005F3658" w:rsidRDefault="00E222C2" w:rsidP="00E222C2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Required on public lands.</w:t>
            </w:r>
          </w:p>
        </w:tc>
      </w:tr>
    </w:tbl>
    <w:p w14:paraId="75EB4273" w14:textId="22126497" w:rsidR="00E222C2" w:rsidRDefault="00E222C2"/>
    <w:p w14:paraId="36A9BE49" w14:textId="3CE834A2" w:rsidR="00E222C2" w:rsidRDefault="00E222C2">
      <w:bookmarkStart w:id="0" w:name="_GoBack"/>
      <w:bookmarkEnd w:id="0"/>
    </w:p>
    <w:p w14:paraId="3C359429" w14:textId="77777777" w:rsidR="00E222C2" w:rsidRDefault="00E222C2" w:rsidP="00E222C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</w:t>
      </w:r>
      <w:r w:rsidRPr="005F3658">
        <w:rPr>
          <w:rFonts w:ascii="Times New Roman" w:hAnsi="Times New Roman" w:cs="Times New Roman"/>
          <w:b/>
        </w:rPr>
        <w:t>ubstantive difference</w:t>
      </w:r>
      <w:r>
        <w:rPr>
          <w:rFonts w:ascii="Times New Roman" w:hAnsi="Times New Roman" w:cs="Times New Roman"/>
          <w:b/>
        </w:rPr>
        <w:t>s on select high-salience issues (2017</w:t>
      </w:r>
      <w:r w:rsidRPr="005F3658">
        <w:rPr>
          <w:rFonts w:ascii="Times New Roman" w:hAnsi="Times New Roman" w:cs="Times New Roman"/>
          <w:b/>
        </w:rPr>
        <w:t>)</w:t>
      </w:r>
    </w:p>
    <w:p w14:paraId="6E81AAC1" w14:textId="77777777" w:rsidR="00E222C2" w:rsidRPr="005F3658" w:rsidRDefault="00E222C2" w:rsidP="00E222C2">
      <w:pPr>
        <w:rPr>
          <w:rFonts w:ascii="Times New Roman" w:hAnsi="Times New Roman" w:cs="Times New Roman"/>
        </w:rPr>
      </w:pPr>
    </w:p>
    <w:tbl>
      <w:tblPr>
        <w:tblW w:w="100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5"/>
        <w:gridCol w:w="4207"/>
        <w:gridCol w:w="4230"/>
      </w:tblGrid>
      <w:tr w:rsidR="00E222C2" w:rsidRPr="005F3658" w14:paraId="17019A32" w14:textId="77777777" w:rsidTr="00E222C2">
        <w:trPr>
          <w:trHeight w:val="78"/>
          <w:jc w:val="center"/>
        </w:trPr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0A159" w14:textId="77777777" w:rsidR="00E222C2" w:rsidRPr="005F3658" w:rsidRDefault="00E222C2" w:rsidP="00B87A05">
            <w:pPr>
              <w:pStyle w:val="TableText"/>
              <w:jc w:val="center"/>
              <w:rPr>
                <w:sz w:val="20"/>
                <w:szCs w:val="20"/>
              </w:rPr>
            </w:pPr>
          </w:p>
        </w:tc>
        <w:tc>
          <w:tcPr>
            <w:tcW w:w="4207" w:type="dxa"/>
            <w:shd w:val="clear" w:color="auto" w:fill="C0C0C0"/>
            <w:vAlign w:val="center"/>
          </w:tcPr>
          <w:p w14:paraId="106E6835" w14:textId="1A82B8CB" w:rsidR="00E222C2" w:rsidRPr="005F3658" w:rsidRDefault="00E222C2" w:rsidP="00B87A05">
            <w:pPr>
              <w:pStyle w:val="Table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Activist-backed </w:t>
            </w:r>
            <w:r w:rsidRPr="005F3658">
              <w:rPr>
                <w:sz w:val="20"/>
                <w:szCs w:val="20"/>
              </w:rPr>
              <w:t>FSC P&amp;C</w:t>
            </w:r>
          </w:p>
        </w:tc>
        <w:tc>
          <w:tcPr>
            <w:tcW w:w="4230" w:type="dxa"/>
            <w:shd w:val="clear" w:color="auto" w:fill="C0C0C0"/>
            <w:noWrap/>
            <w:vAlign w:val="center"/>
          </w:tcPr>
          <w:p w14:paraId="0352B54A" w14:textId="23F7F56D" w:rsidR="00E222C2" w:rsidRPr="005F3658" w:rsidRDefault="00E222C2" w:rsidP="00B87A05">
            <w:pPr>
              <w:pStyle w:val="Table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Industry-backed </w:t>
            </w:r>
            <w:r w:rsidRPr="005F3658">
              <w:rPr>
                <w:sz w:val="20"/>
                <w:szCs w:val="20"/>
              </w:rPr>
              <w:t>PEFC</w:t>
            </w:r>
          </w:p>
        </w:tc>
      </w:tr>
      <w:tr w:rsidR="00E222C2" w:rsidRPr="005F3658" w14:paraId="07EF4919" w14:textId="77777777" w:rsidTr="00E222C2">
        <w:trPr>
          <w:trHeight w:val="1148"/>
          <w:jc w:val="center"/>
        </w:trPr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85407E" w14:textId="77777777" w:rsidR="00E222C2" w:rsidRPr="005F3658" w:rsidRDefault="00E222C2" w:rsidP="00B87A05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Forest conversion to non-forest</w:t>
            </w:r>
          </w:p>
        </w:tc>
        <w:tc>
          <w:tcPr>
            <w:tcW w:w="4207" w:type="dxa"/>
            <w:shd w:val="clear" w:color="auto" w:fill="F4B083" w:themeFill="accent2" w:themeFillTint="99"/>
            <w:vAlign w:val="center"/>
          </w:tcPr>
          <w:p w14:paraId="3B6154D8" w14:textId="77777777" w:rsidR="00E222C2" w:rsidRPr="005F3658" w:rsidRDefault="00E222C2" w:rsidP="00B87A05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Prohibited except limited areas where clear, substantial, additional, secure, long-term conservation benefits.</w:t>
            </w:r>
          </w:p>
        </w:tc>
        <w:tc>
          <w:tcPr>
            <w:tcW w:w="4230" w:type="dxa"/>
            <w:shd w:val="clear" w:color="auto" w:fill="F7CAAC" w:themeFill="accent2" w:themeFillTint="66"/>
            <w:vAlign w:val="center"/>
          </w:tcPr>
          <w:p w14:paraId="544576E6" w14:textId="77777777" w:rsidR="00E222C2" w:rsidRPr="005F3658" w:rsidRDefault="00E222C2" w:rsidP="00B87A05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color w:val="000000"/>
                <w:sz w:val="20"/>
                <w:szCs w:val="20"/>
              </w:rPr>
              <w:t>Prohibited except where small portion + long-term conservation, economic, and social benefits.</w:t>
            </w:r>
          </w:p>
        </w:tc>
      </w:tr>
      <w:tr w:rsidR="00E222C2" w:rsidRPr="005F3658" w14:paraId="0B682A86" w14:textId="77777777" w:rsidTr="00E222C2">
        <w:trPr>
          <w:trHeight w:val="1180"/>
          <w:jc w:val="center"/>
        </w:trPr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1D3FB02" w14:textId="77777777" w:rsidR="00E222C2" w:rsidRPr="005F3658" w:rsidRDefault="00E222C2" w:rsidP="00B87A05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Landscape-Scale Conservation Values</w:t>
            </w:r>
          </w:p>
        </w:tc>
        <w:tc>
          <w:tcPr>
            <w:tcW w:w="4207" w:type="dxa"/>
            <w:shd w:val="clear" w:color="auto" w:fill="F4B083" w:themeFill="accent2" w:themeFillTint="99"/>
            <w:vAlign w:val="center"/>
          </w:tcPr>
          <w:p w14:paraId="125E8621" w14:textId="77777777" w:rsidR="00E222C2" w:rsidRPr="005F3658" w:rsidRDefault="00E222C2" w:rsidP="00B87A05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Precautionary, active and adaptive management must record and maintain conservation values in consultation with stakeholders and scientists.</w:t>
            </w:r>
          </w:p>
        </w:tc>
        <w:tc>
          <w:tcPr>
            <w:tcW w:w="4230" w:type="dxa"/>
            <w:shd w:val="clear" w:color="auto" w:fill="F7CAAC" w:themeFill="accent2" w:themeFillTint="66"/>
            <w:vAlign w:val="center"/>
          </w:tcPr>
          <w:p w14:paraId="3CB51EB7" w14:textId="77777777" w:rsidR="00E222C2" w:rsidRPr="005F3658" w:rsidRDefault="00E222C2" w:rsidP="00B87A05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Identify, protect, and/or conserve rare, sensitive, or representative ecosystems and globally, regionally, and nationally significant landscapes</w:t>
            </w:r>
          </w:p>
        </w:tc>
      </w:tr>
      <w:tr w:rsidR="00E222C2" w:rsidRPr="005F3658" w14:paraId="41AA0F8D" w14:textId="77777777" w:rsidTr="00E222C2">
        <w:trPr>
          <w:trHeight w:val="1878"/>
          <w:jc w:val="center"/>
        </w:trPr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341A91" w14:textId="77777777" w:rsidR="00E222C2" w:rsidRPr="005F3658" w:rsidRDefault="00E222C2" w:rsidP="00B87A05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Species and Communities at Risk</w:t>
            </w:r>
          </w:p>
        </w:tc>
        <w:tc>
          <w:tcPr>
            <w:tcW w:w="4207" w:type="dxa"/>
            <w:shd w:val="clear" w:color="auto" w:fill="F4B083" w:themeFill="accent2" w:themeFillTint="99"/>
            <w:vAlign w:val="center"/>
          </w:tcPr>
          <w:p w14:paraId="0244A457" w14:textId="77777777" w:rsidR="00E222C2" w:rsidRPr="005F3658" w:rsidRDefault="00E222C2" w:rsidP="00B87A05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Protect rare and threatened species and their habitats, considering absolute range and requirements.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57EEF2B" w14:textId="77777777" w:rsidR="00E222C2" w:rsidRPr="005F3658" w:rsidRDefault="00E222C2" w:rsidP="00B87A05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No exploitation of protected and endangered plant and animal species for commercial purposes, protected where necessary.</w:t>
            </w:r>
          </w:p>
        </w:tc>
      </w:tr>
      <w:tr w:rsidR="00E222C2" w:rsidRPr="005F3658" w14:paraId="7C5C8307" w14:textId="77777777" w:rsidTr="00E222C2">
        <w:trPr>
          <w:trHeight w:val="261"/>
          <w:jc w:val="center"/>
        </w:trPr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236047" w14:textId="77777777" w:rsidR="00E222C2" w:rsidRPr="005F3658" w:rsidRDefault="00E222C2" w:rsidP="00B87A05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Protected areas (non-special value forests)</w:t>
            </w:r>
          </w:p>
        </w:tc>
        <w:tc>
          <w:tcPr>
            <w:tcW w:w="4207" w:type="dxa"/>
            <w:shd w:val="clear" w:color="auto" w:fill="F7CAAC" w:themeFill="accent2" w:themeFillTint="66"/>
            <w:vAlign w:val="center"/>
          </w:tcPr>
          <w:p w14:paraId="193BAB8F" w14:textId="77777777" w:rsidR="00E222C2" w:rsidRPr="005F3658" w:rsidRDefault="00E222C2" w:rsidP="00B87A05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Viable samples representative of existing ecosystems, types, successional phases, and/or communities are</w:t>
            </w:r>
            <w:r w:rsidRPr="005F3658">
              <w:rPr>
                <w:sz w:val="20"/>
                <w:szCs w:val="20"/>
                <w:u w:val="single"/>
              </w:rPr>
              <w:t xml:space="preserve"> </w:t>
            </w:r>
            <w:r w:rsidRPr="005F3658">
              <w:rPr>
                <w:sz w:val="20"/>
                <w:szCs w:val="20"/>
              </w:rPr>
              <w:t>permanently protected, recorded with gap analysis and stakeholder collaboration.</w:t>
            </w:r>
          </w:p>
        </w:tc>
        <w:tc>
          <w:tcPr>
            <w:tcW w:w="4230" w:type="dxa"/>
            <w:shd w:val="clear" w:color="auto" w:fill="F7CAAC" w:themeFill="accent2" w:themeFillTint="66"/>
            <w:vAlign w:val="center"/>
          </w:tcPr>
          <w:p w14:paraId="78EECDDD" w14:textId="77777777" w:rsidR="00E222C2" w:rsidRPr="005F3658" w:rsidRDefault="00E222C2" w:rsidP="00B87A05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Identify and protect and/or conserve rare, sensitive, or representative ecosystems. Map and account for specific and recognized protective functions in management plan.</w:t>
            </w:r>
          </w:p>
        </w:tc>
      </w:tr>
      <w:tr w:rsidR="00E222C2" w:rsidRPr="005F3658" w14:paraId="16A088DF" w14:textId="77777777" w:rsidTr="00E222C2">
        <w:trPr>
          <w:trHeight w:val="1370"/>
          <w:jc w:val="center"/>
        </w:trPr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1BAB8B" w14:textId="77777777" w:rsidR="00E222C2" w:rsidRPr="005F3658" w:rsidRDefault="00E222C2" w:rsidP="00B87A05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Plantations</w:t>
            </w:r>
          </w:p>
        </w:tc>
        <w:tc>
          <w:tcPr>
            <w:tcW w:w="4207" w:type="dxa"/>
            <w:shd w:val="clear" w:color="auto" w:fill="F4B083" w:themeFill="accent2" w:themeFillTint="99"/>
            <w:vAlign w:val="center"/>
          </w:tcPr>
          <w:p w14:paraId="2A8B0557" w14:textId="77777777" w:rsidR="00E222C2" w:rsidRPr="005F3658" w:rsidRDefault="00E222C2" w:rsidP="00B87A05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No forest conversion after 1994 except where additional conservation gain.</w:t>
            </w:r>
          </w:p>
        </w:tc>
        <w:tc>
          <w:tcPr>
            <w:tcW w:w="4230" w:type="dxa"/>
            <w:shd w:val="clear" w:color="auto" w:fill="F7CAAC" w:themeFill="accent2" w:themeFillTint="66"/>
            <w:vAlign w:val="center"/>
          </w:tcPr>
          <w:p w14:paraId="3230D678" w14:textId="26C624E9" w:rsidR="00E222C2" w:rsidRPr="005F3658" w:rsidRDefault="00E222C2" w:rsidP="00B87A05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No forest conversion after 2010 except with long-term environmental, social, and economic benefits. Endorses ITTO guidelines in tropical plantations.</w:t>
            </w:r>
          </w:p>
        </w:tc>
      </w:tr>
      <w:tr w:rsidR="00E222C2" w:rsidRPr="005F3658" w14:paraId="1B88C84F" w14:textId="77777777" w:rsidTr="00E222C2">
        <w:trPr>
          <w:trHeight w:val="59"/>
          <w:jc w:val="center"/>
        </w:trPr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AF8D3C" w14:textId="77777777" w:rsidR="00E222C2" w:rsidRPr="005F3658" w:rsidRDefault="00E222C2" w:rsidP="00B87A05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GMOs (See Appendix)</w:t>
            </w:r>
          </w:p>
        </w:tc>
        <w:tc>
          <w:tcPr>
            <w:tcW w:w="4207" w:type="dxa"/>
            <w:shd w:val="clear" w:color="auto" w:fill="F4B083" w:themeFill="accent2" w:themeFillTint="99"/>
            <w:vAlign w:val="center"/>
          </w:tcPr>
          <w:p w14:paraId="21F3A82E" w14:textId="77777777" w:rsidR="00E222C2" w:rsidRPr="005F3658" w:rsidRDefault="00E222C2" w:rsidP="00B87A05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Prohibited.</w:t>
            </w:r>
          </w:p>
        </w:tc>
        <w:tc>
          <w:tcPr>
            <w:tcW w:w="4230" w:type="dxa"/>
            <w:shd w:val="clear" w:color="auto" w:fill="F4B083" w:themeFill="accent2" w:themeFillTint="99"/>
            <w:vAlign w:val="center"/>
          </w:tcPr>
          <w:p w14:paraId="40691CF5" w14:textId="77777777" w:rsidR="00E222C2" w:rsidRPr="005F3658" w:rsidRDefault="00E222C2" w:rsidP="00B87A05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Prohibited.</w:t>
            </w:r>
          </w:p>
        </w:tc>
      </w:tr>
      <w:tr w:rsidR="00E222C2" w:rsidRPr="005F3658" w14:paraId="4CE3EB88" w14:textId="77777777" w:rsidTr="00E222C2">
        <w:trPr>
          <w:trHeight w:val="59"/>
          <w:jc w:val="center"/>
        </w:trPr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DAF779" w14:textId="77777777" w:rsidR="00E222C2" w:rsidRPr="005F3658" w:rsidRDefault="00E222C2" w:rsidP="00B87A05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Community benefit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3252002D" w14:textId="77777777" w:rsidR="00E222C2" w:rsidRPr="005F3658" w:rsidRDefault="00E222C2" w:rsidP="00E222C2">
            <w:pPr>
              <w:pStyle w:val="TableText"/>
              <w:rPr>
                <w:sz w:val="20"/>
                <w:szCs w:val="20"/>
              </w:rPr>
            </w:pPr>
            <w:r w:rsidRPr="00E222C2">
              <w:rPr>
                <w:sz w:val="20"/>
                <w:szCs w:val="20"/>
              </w:rPr>
              <w:t xml:space="preserve">Maintain long-term social and economic </w:t>
            </w:r>
            <w:proofErr w:type="gramStart"/>
            <w:r w:rsidRPr="00E222C2">
              <w:rPr>
                <w:sz w:val="20"/>
                <w:szCs w:val="20"/>
              </w:rPr>
              <w:t>well-being</w:t>
            </w:r>
            <w:proofErr w:type="gramEnd"/>
            <w:r w:rsidRPr="00E222C2">
              <w:rPr>
                <w:sz w:val="20"/>
                <w:szCs w:val="20"/>
              </w:rPr>
              <w:t>. Strengthen and diversify local economy. Enhance value of forest services.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61BA8DEF" w14:textId="77777777" w:rsidR="00E222C2" w:rsidRPr="005F3658" w:rsidRDefault="00E222C2" w:rsidP="00E222C2">
            <w:pPr>
              <w:pStyle w:val="TableText"/>
              <w:rPr>
                <w:sz w:val="20"/>
                <w:szCs w:val="20"/>
              </w:rPr>
            </w:pPr>
            <w:r w:rsidRPr="00E222C2">
              <w:rPr>
                <w:sz w:val="20"/>
                <w:szCs w:val="20"/>
              </w:rPr>
              <w:t xml:space="preserve">Promote the long-term health and </w:t>
            </w:r>
            <w:proofErr w:type="gramStart"/>
            <w:r w:rsidRPr="00E222C2">
              <w:rPr>
                <w:sz w:val="20"/>
                <w:szCs w:val="20"/>
              </w:rPr>
              <w:t>well-being</w:t>
            </w:r>
            <w:proofErr w:type="gramEnd"/>
            <w:r w:rsidRPr="00E222C2">
              <w:rPr>
                <w:sz w:val="20"/>
                <w:szCs w:val="20"/>
              </w:rPr>
              <w:t xml:space="preserve"> of communities within or adjacent.</w:t>
            </w:r>
          </w:p>
        </w:tc>
      </w:tr>
      <w:tr w:rsidR="00E222C2" w:rsidRPr="005F3658" w14:paraId="361A0A33" w14:textId="77777777" w:rsidTr="00E222C2">
        <w:trPr>
          <w:trHeight w:val="59"/>
          <w:jc w:val="center"/>
        </w:trPr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CF94D9" w14:textId="77777777" w:rsidR="00E222C2" w:rsidRPr="005F3658" w:rsidRDefault="00E222C2" w:rsidP="00B87A05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Indigenous rights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1592F7A8" w14:textId="1384E5DF" w:rsidR="00E222C2" w:rsidRPr="005F3658" w:rsidRDefault="00E222C2" w:rsidP="00E222C2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UNDRIP + recognize and uphold customary rights, recognized and unrecognized tribes. No adverse affects on tribal resources.</w:t>
            </w:r>
            <w:r>
              <w:rPr>
                <w:sz w:val="20"/>
                <w:szCs w:val="20"/>
              </w:rPr>
              <w:t xml:space="preserve"> </w:t>
            </w:r>
            <w:r w:rsidRPr="005F3658">
              <w:rPr>
                <w:sz w:val="20"/>
                <w:szCs w:val="20"/>
              </w:rPr>
              <w:t>Free and informed written consent on public and private lands.</w:t>
            </w:r>
            <w:r>
              <w:rPr>
                <w:sz w:val="20"/>
                <w:szCs w:val="20"/>
              </w:rPr>
              <w:t xml:space="preserve"> </w:t>
            </w:r>
            <w:r w:rsidRPr="005F3658">
              <w:rPr>
                <w:sz w:val="20"/>
                <w:szCs w:val="20"/>
              </w:rPr>
              <w:t>Identify and invite participation of leaders.</w:t>
            </w:r>
            <w:r>
              <w:rPr>
                <w:sz w:val="20"/>
                <w:szCs w:val="20"/>
              </w:rPr>
              <w:t xml:space="preserve"> </w:t>
            </w:r>
            <w:r w:rsidRPr="005F3658">
              <w:rPr>
                <w:sz w:val="20"/>
                <w:szCs w:val="20"/>
              </w:rPr>
              <w:t>Written contract to protect and compensate for indigenous knowledge.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159FFF83" w14:textId="5D83DD1A" w:rsidR="00E222C2" w:rsidRPr="005F3658" w:rsidRDefault="00E222C2" w:rsidP="00E222C2">
            <w:pPr>
              <w:pStyle w:val="TableText"/>
              <w:rPr>
                <w:sz w:val="20"/>
                <w:szCs w:val="20"/>
              </w:rPr>
            </w:pPr>
            <w:r w:rsidRPr="00E222C2">
              <w:rPr>
                <w:sz w:val="20"/>
                <w:szCs w:val="20"/>
              </w:rPr>
              <w:t>UNDRIP + recognize and respect customary rights</w:t>
            </w:r>
            <w:r>
              <w:rPr>
                <w:sz w:val="20"/>
                <w:szCs w:val="20"/>
              </w:rPr>
              <w:t xml:space="preserve">. </w:t>
            </w:r>
            <w:r w:rsidRPr="00E222C2">
              <w:rPr>
                <w:sz w:val="20"/>
                <w:szCs w:val="20"/>
              </w:rPr>
              <w:t>Free, prior, and informed consent on public and private lands.</w:t>
            </w:r>
            <w:r>
              <w:rPr>
                <w:sz w:val="20"/>
                <w:szCs w:val="20"/>
              </w:rPr>
              <w:t xml:space="preserve"> </w:t>
            </w:r>
            <w:r w:rsidRPr="00E222C2">
              <w:rPr>
                <w:sz w:val="20"/>
                <w:szCs w:val="20"/>
              </w:rPr>
              <w:t>Where rights are disputed, engage local peoples while respecting roles laid out in law.</w:t>
            </w:r>
            <w:r>
              <w:rPr>
                <w:sz w:val="20"/>
                <w:szCs w:val="20"/>
              </w:rPr>
              <w:t xml:space="preserve"> </w:t>
            </w:r>
            <w:r w:rsidRPr="00E222C2">
              <w:rPr>
                <w:sz w:val="20"/>
                <w:szCs w:val="20"/>
              </w:rPr>
              <w:t>Make best use of local knowledge.</w:t>
            </w:r>
          </w:p>
        </w:tc>
      </w:tr>
      <w:tr w:rsidR="00E222C2" w:rsidRPr="005F3658" w14:paraId="545CB749" w14:textId="77777777" w:rsidTr="00E222C2">
        <w:trPr>
          <w:trHeight w:val="59"/>
          <w:jc w:val="center"/>
        </w:trPr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06168E" w14:textId="77777777" w:rsidR="00E222C2" w:rsidRPr="005F3658" w:rsidRDefault="00E222C2" w:rsidP="00B87A05">
            <w:pPr>
              <w:pStyle w:val="TableText"/>
              <w:rPr>
                <w:b/>
                <w:sz w:val="20"/>
                <w:szCs w:val="20"/>
              </w:rPr>
            </w:pPr>
            <w:r w:rsidRPr="005F3658">
              <w:rPr>
                <w:b/>
                <w:sz w:val="20"/>
                <w:szCs w:val="20"/>
              </w:rPr>
              <w:t>Public reporting and consultation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0EA32D01" w14:textId="77777777" w:rsidR="00E222C2" w:rsidRPr="005F3658" w:rsidRDefault="00E222C2" w:rsidP="00E222C2">
            <w:pPr>
              <w:pStyle w:val="TableText"/>
              <w:rPr>
                <w:sz w:val="20"/>
                <w:szCs w:val="20"/>
              </w:rPr>
            </w:pPr>
            <w:r w:rsidRPr="005F3658">
              <w:rPr>
                <w:sz w:val="20"/>
                <w:szCs w:val="20"/>
              </w:rPr>
              <w:t>Proactively and transparently engage affected stakeholders. Engage interested stakeholders on request.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14:paraId="62CC581A" w14:textId="77777777" w:rsidR="00E222C2" w:rsidRPr="005F3658" w:rsidRDefault="00E222C2" w:rsidP="00E222C2">
            <w:pPr>
              <w:pStyle w:val="TableText"/>
              <w:rPr>
                <w:sz w:val="20"/>
                <w:szCs w:val="20"/>
              </w:rPr>
            </w:pPr>
            <w:r w:rsidRPr="00E222C2">
              <w:rPr>
                <w:sz w:val="20"/>
                <w:szCs w:val="20"/>
              </w:rPr>
              <w:t>Provide for effective communication and consultation with local people and other stakeholders.</w:t>
            </w:r>
          </w:p>
        </w:tc>
      </w:tr>
    </w:tbl>
    <w:p w14:paraId="17D00311" w14:textId="77777777" w:rsidR="00BC534C" w:rsidRDefault="00E222C2"/>
    <w:sectPr w:rsidR="00BC534C" w:rsidSect="00445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B53"/>
    <w:rsid w:val="001D2B17"/>
    <w:rsid w:val="004450AA"/>
    <w:rsid w:val="00C27715"/>
    <w:rsid w:val="00E222C2"/>
    <w:rsid w:val="00E2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E52A4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B5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23B53"/>
    <w:pPr>
      <w:spacing w:before="240" w:after="240"/>
      <w:jc w:val="both"/>
    </w:pPr>
    <w:rPr>
      <w:rFonts w:ascii="Times New Roman" w:eastAsia="Times New Roman" w:hAnsi="Times New Roman" w:cs="Times New Roman"/>
      <w:b/>
    </w:rPr>
  </w:style>
  <w:style w:type="paragraph" w:customStyle="1" w:styleId="TableText">
    <w:name w:val="Table Text"/>
    <w:basedOn w:val="Normal"/>
    <w:rsid w:val="00E23B53"/>
    <w:pPr>
      <w:spacing w:before="120" w:after="120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B5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23B53"/>
    <w:pPr>
      <w:spacing w:before="240" w:after="240"/>
      <w:jc w:val="both"/>
    </w:pPr>
    <w:rPr>
      <w:rFonts w:ascii="Times New Roman" w:eastAsia="Times New Roman" w:hAnsi="Times New Roman" w:cs="Times New Roman"/>
      <w:b/>
    </w:rPr>
  </w:style>
  <w:style w:type="paragraph" w:customStyle="1" w:styleId="TableText">
    <w:name w:val="Table Text"/>
    <w:basedOn w:val="Normal"/>
    <w:rsid w:val="00E23B53"/>
    <w:pPr>
      <w:spacing w:before="120" w:after="12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1361</Words>
  <Characters>7758</Characters>
  <Application>Microsoft Macintosh Word</Application>
  <DocSecurity>0</DocSecurity>
  <Lines>64</Lines>
  <Paragraphs>18</Paragraphs>
  <ScaleCrop>false</ScaleCrop>
  <Company/>
  <LinksUpToDate>false</LinksUpToDate>
  <CharactersWithSpaces>9101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DJL</cp:lastModifiedBy>
  <cp:revision>3</cp:revision>
  <dcterms:created xsi:type="dcterms:W3CDTF">2018-10-28T18:40:00Z</dcterms:created>
  <dcterms:modified xsi:type="dcterms:W3CDTF">2018-10-28T18:51:00Z</dcterms:modified>
</cp:coreProperties>
</file>