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05EDB" w14:textId="77777777" w:rsidR="00425F0F" w:rsidRDefault="00425F0F" w:rsidP="00425F0F">
      <w:r>
        <w:t>Abstract: [150 words]</w:t>
      </w:r>
    </w:p>
    <w:p w14:paraId="22F3DCB7" w14:textId="62B431B7" w:rsidR="00425F0F" w:rsidRDefault="00425F0F" w:rsidP="00425F0F">
      <w:r>
        <w:t>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w:t>
      </w:r>
      <w:r>
        <w:t xml:space="preserve"> and their allies</w:t>
      </w:r>
      <w:r>
        <w:t>, the other by the American Forest &amp; Paper Association. We find “upward” but also divergent policy prescriptiv</w:t>
      </w:r>
      <w:r>
        <w:t>eness, with the activist-backed</w:t>
      </w:r>
      <w:r>
        <w:t xml:space="preserve"> program adding requirements that impose costs on firms and the industry-backed program mostly adding re</w:t>
      </w:r>
      <w:bookmarkStart w:id="0" w:name="_GoBack"/>
      <w:bookmarkEnd w:id="0"/>
      <w:r>
        <w:t xml:space="preserv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w:t>
      </w:r>
      <w:proofErr w:type="gramStart"/>
      <w:r>
        <w:t>testing</w:t>
      </w:r>
      <w:proofErr w:type="gramEnd"/>
      <w:r>
        <w:t>.</w:t>
      </w:r>
    </w:p>
    <w:p w14:paraId="00671434" w14:textId="77777777" w:rsidR="00425F0F" w:rsidRDefault="00425F0F" w:rsidP="00425F0F">
      <w:r>
        <w:t xml:space="preserve">--&gt; </w:t>
      </w:r>
    </w:p>
    <w:p w14:paraId="0D7EB974" w14:textId="77777777" w:rsidR="00425F0F" w:rsidRDefault="00425F0F" w:rsidP="00425F0F"/>
    <w:p w14:paraId="519D5136" w14:textId="77777777" w:rsidR="00425F0F" w:rsidRDefault="00425F0F" w:rsidP="00425F0F">
      <w:r>
        <w:t># Introduction</w:t>
      </w:r>
    </w:p>
    <w:p w14:paraId="1B41640F" w14:textId="77777777" w:rsidR="00425F0F" w:rsidRDefault="00425F0F" w:rsidP="00425F0F">
      <w:r>
        <w:t xml:space="preserve">Private governance initiatives, such as product certification programs, have targeted farm and factory working conditions, greenhouse gas emissions, and fishery, mine, and forest management [@Auld2014; @Bartley2003; @Bozzi2012; @Hudson2003; @VanderVen2015; @Vince2017]. </w:t>
      </w:r>
      <w:proofErr w:type="gramStart"/>
      <w:r>
        <w:t>Many of these programs were founded by activists who were dissatisfied with public regulations</w:t>
      </w:r>
      <w:proofErr w:type="gramEnd"/>
      <w:r>
        <w:t xml:space="preserve">. Using tactics such as boycotts as “sticks” and brand-boosting praise as “carrots,” activists attempt to pressure companies to comply with their preferred certification programs  [@Cashore2002]. When buyers add certification criteria to their purchasing policies and contracts, those certification programs gain power to regulate how commodities are produced. In some sectors, such as forestry, activist-backed programs have met resistance from industry groups that ended up launching competing certification programs to offer more “business-friendly” alternatives. Debates among supporters of activists and industry-backed alternatives ensued, often about the relative stringency of each program’s regulatory requirements. </w:t>
      </w:r>
    </w:p>
    <w:p w14:paraId="36A85E87" w14:textId="77777777" w:rsidR="00425F0F" w:rsidRDefault="00425F0F" w:rsidP="00425F0F"/>
    <w:p w14:paraId="743F3B07" w14:textId="77777777" w:rsidR="00425F0F" w:rsidRDefault="00425F0F" w:rsidP="00425F0F">
      <w:r>
        <w:t xml:space="preserve">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While private governance scholars have made great strides [@Grabs2018], imprecise, incomplete, and inconsistent measures regulatory stringency hinder efforts to compare these regulations and assess theories about why they change. We </w:t>
      </w:r>
      <w:r>
        <w:lastRenderedPageBreak/>
        <w:t>argue that more attention to measurement concepts can explain seemingly contradictory findings and will allow more tractable statements of theory.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38C88184" w14:textId="77777777" w:rsidR="00425F0F" w:rsidRDefault="00425F0F" w:rsidP="00425F0F">
      <w:r>
        <w:t xml:space="preserve"> </w:t>
      </w:r>
    </w:p>
    <w:p w14:paraId="7F1D7619" w14:textId="77777777" w:rsidR="00425F0F" w:rsidRDefault="00425F0F" w:rsidP="00425F0F">
      <w:r>
        <w:t>To address this gap, we build on taxonomies from public policy scholarship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2848926C" w14:textId="77777777" w:rsidR="00425F0F" w:rsidRDefault="00425F0F" w:rsidP="00425F0F"/>
    <w:p w14:paraId="0325FE19" w14:textId="77777777" w:rsidR="00425F0F" w:rsidRDefault="00425F0F" w:rsidP="00425F0F">
      <w: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Section five discusses the implications of our results for theory and outlines steps for future research.</w:t>
      </w:r>
    </w:p>
    <w:p w14:paraId="6391B5C9" w14:textId="77777777" w:rsidR="00425F0F" w:rsidRDefault="00425F0F" w:rsidP="00425F0F"/>
    <w:p w14:paraId="67F7BC68" w14:textId="77777777" w:rsidR="00425F0F" w:rsidRDefault="00425F0F" w:rsidP="00425F0F">
      <w:r>
        <w:t xml:space="preserve"># Regulatory stringency </w:t>
      </w:r>
    </w:p>
    <w:p w14:paraId="2603D134" w14:textId="77777777" w:rsidR="00425F0F" w:rsidRDefault="00425F0F" w:rsidP="00425F0F">
      <w:r>
        <w:t xml:space="preserve">Measuring regulatory stringency is often necessary to assess how activist campaigns, market forces, and competition among programs shape policy content (i.e., as the dependent variable), and likewise, to assess how policy content shapes activist support, market adoption, impact, and how other programs respond (i.e., as the explanatory variable). </w:t>
      </w:r>
    </w:p>
    <w:p w14:paraId="7B7D6F2F" w14:textId="77777777" w:rsidR="00425F0F" w:rsidRDefault="00425F0F" w:rsidP="00425F0F"/>
    <w:p w14:paraId="161F603A" w14:textId="77777777" w:rsidR="00425F0F" w:rsidRDefault="00425F0F" w:rsidP="00425F0F">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 for these outcomes.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w:t>
      </w:r>
      <w:r>
        <w:lastRenderedPageBreak/>
        <w:t xml:space="preserve">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4CBB582D" w14:textId="77777777" w:rsidR="00425F0F" w:rsidRDefault="00425F0F" w:rsidP="00425F0F"/>
    <w:p w14:paraId="4A329EA6" w14:textId="77777777" w:rsidR="00425F0F" w:rsidRDefault="00425F0F" w:rsidP="00425F0F">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Together, these studies suggest that changes in regulatory stringency may have a wide range of effects, but assessing them is often hampered by inadequate attention to defining and measuring stringency as an explanatory variable.</w:t>
      </w:r>
    </w:p>
    <w:p w14:paraId="12FD1A27" w14:textId="77777777" w:rsidR="00425F0F" w:rsidRDefault="00425F0F" w:rsidP="00425F0F"/>
    <w:p w14:paraId="12E10776" w14:textId="77777777" w:rsidR="00425F0F" w:rsidRDefault="00425F0F" w:rsidP="00425F0F">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5DE803AC" w14:textId="77777777" w:rsidR="00425F0F" w:rsidRDefault="00425F0F" w:rsidP="00425F0F"/>
    <w:p w14:paraId="28E1B41A" w14:textId="77777777" w:rsidR="00425F0F" w:rsidRDefault="00425F0F" w:rsidP="00425F0F">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75C72262" w14:textId="77777777" w:rsidR="00425F0F" w:rsidRDefault="00425F0F" w:rsidP="00425F0F"/>
    <w:p w14:paraId="737EFABE" w14:textId="77777777" w:rsidR="00425F0F" w:rsidRDefault="00425F0F" w:rsidP="00425F0F">
      <w:r>
        <w:lastRenderedPageBreak/>
        <w:t xml:space="preserve">Others seek to explain variation in regulatory stringency as a result of endogenous interactions among private authorities [@DeLeon2009; @Eberlein2014; @Green2017; @Gulbrandsen2014; @Howard-Grenville2008; @Li2015; @Mills2016d]. For example, @Smith2010 </w:t>
      </w:r>
      <w:proofErr w:type="gramStart"/>
      <w:r>
        <w:t>suggest</w:t>
      </w:r>
      <w:proofErr w:type="gramEnd"/>
      <w:r>
        <w:t xml:space="preserve"> that competing private regulations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14:paraId="69662FA6" w14:textId="77777777" w:rsidR="00425F0F" w:rsidRDefault="00425F0F" w:rsidP="00425F0F"/>
    <w:p w14:paraId="103EF16A" w14:textId="77777777" w:rsidR="00425F0F" w:rsidRDefault="00425F0F" w:rsidP="00425F0F">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59C01785" w14:textId="77777777" w:rsidR="00425F0F" w:rsidRDefault="00425F0F" w:rsidP="00425F0F"/>
    <w:p w14:paraId="39532302" w14:textId="77777777" w:rsidR="00425F0F" w:rsidRDefault="00425F0F" w:rsidP="00425F0F">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4572C776" w14:textId="77777777" w:rsidR="00425F0F" w:rsidRDefault="00425F0F" w:rsidP="00425F0F"/>
    <w:p w14:paraId="5F5ADB7F" w14:textId="77777777" w:rsidR="00425F0F" w:rsidRDefault="00425F0F" w:rsidP="00425F0F">
      <w:r>
        <w:t xml:space="preserve">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3BA38AFA" w14:textId="77777777" w:rsidR="00425F0F" w:rsidRDefault="00425F0F" w:rsidP="00425F0F"/>
    <w:p w14:paraId="0C176B9F" w14:textId="77777777" w:rsidR="00425F0F" w:rsidRDefault="00425F0F" w:rsidP="00425F0F"/>
    <w:p w14:paraId="79885B38" w14:textId="77777777" w:rsidR="00425F0F" w:rsidRDefault="00425F0F" w:rsidP="00425F0F">
      <w:r>
        <w:t xml:space="preserve">## Concepts &amp; Measurement of Variation in Private Regulations </w:t>
      </w:r>
    </w:p>
    <w:p w14:paraId="7F2076D7" w14:textId="77777777" w:rsidR="00425F0F" w:rsidRDefault="00425F0F" w:rsidP="00425F0F">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14:paraId="1B7C0DEB" w14:textId="77777777" w:rsidR="00425F0F" w:rsidRDefault="00425F0F" w:rsidP="00425F0F"/>
    <w:p w14:paraId="012EB4EF" w14:textId="77777777" w:rsidR="00425F0F" w:rsidRDefault="00425F0F" w:rsidP="00425F0F">
      <w:r>
        <w:t>Overall, concepts of stringency in existing work tend to be either insufficiently precise to be consistently applied across programs, insufficiently comprehensive to yield consistent results, or completely absent. Similar problems plague public policy scholarship [@Brunel2016].</w:t>
      </w:r>
    </w:p>
    <w:p w14:paraId="77DFF004" w14:textId="77777777" w:rsidR="00425F0F" w:rsidRDefault="00425F0F" w:rsidP="00425F0F"/>
    <w:p w14:paraId="6507B653" w14:textId="77777777" w:rsidR="00425F0F" w:rsidRDefault="00425F0F" w:rsidP="00425F0F">
      <w:r>
        <w:t>\</w:t>
      </w:r>
      <w:proofErr w:type="gramStart"/>
      <w:r>
        <w:t>input</w:t>
      </w:r>
      <w:proofErr w:type="gramEnd"/>
      <w:r>
        <w:t>{tables/review}</w:t>
      </w:r>
    </w:p>
    <w:p w14:paraId="73EA70AE" w14:textId="77777777" w:rsidR="00425F0F" w:rsidRDefault="00425F0F" w:rsidP="00425F0F"/>
    <w:p w14:paraId="03F1BDF3" w14:textId="77777777" w:rsidR="00425F0F" w:rsidRDefault="00425F0F" w:rsidP="00425F0F">
      <w:r>
        <w:t xml:space="preserve">In the absence of consistent measures of regulatory stringency, scholars have turned to proxy measures. For example, @Darnall2010 </w:t>
      </w:r>
      <w:proofErr w:type="gramStart"/>
      <w:r>
        <w:t>suggest</w:t>
      </w:r>
      <w:proofErr w:type="gramEnd"/>
      <w:r>
        <w:t xml:space="preserve">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C10B4C5" w14:textId="77777777" w:rsidR="00425F0F" w:rsidRDefault="00425F0F" w:rsidP="00425F0F"/>
    <w:p w14:paraId="57F3CAD2" w14:textId="77777777" w:rsidR="00425F0F" w:rsidRDefault="00425F0F" w:rsidP="00425F0F">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w:t>
      </w:r>
      <w:r>
        <w:lastRenderedPageBreak/>
        <w:t>in measurement; Cashore et al. focus on substantive prescriptiveness rather than procedural “best practices.”</w:t>
      </w:r>
    </w:p>
    <w:p w14:paraId="3EB8D1CD" w14:textId="77777777" w:rsidR="00425F0F" w:rsidRDefault="00425F0F" w:rsidP="00425F0F"/>
    <w:p w14:paraId="53557472" w14:textId="77777777" w:rsidR="00425F0F" w:rsidRDefault="00425F0F" w:rsidP="00425F0F">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w:t>
      </w:r>
      <w:proofErr w:type="gramStart"/>
      <w:r>
        <w:t>examine</w:t>
      </w:r>
      <w:proofErr w:type="gramEnd"/>
      <w:r>
        <w:t xml:space="preserv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Here, different measurement strategies led to different conclusions that appear to support conflicting theories of change.</w:t>
      </w:r>
    </w:p>
    <w:p w14:paraId="1061247D" w14:textId="77777777" w:rsidR="00425F0F" w:rsidRDefault="00425F0F" w:rsidP="00425F0F"/>
    <w:p w14:paraId="79C19889" w14:textId="77777777" w:rsidR="00425F0F" w:rsidRDefault="00425F0F" w:rsidP="00425F0F">
      <w:r>
        <w:t xml:space="preserve">Efforts to identify patterns of change face two common challenges. First, results vary depending on the policy components we study. @McDermott2008 </w:t>
      </w:r>
      <w:proofErr w:type="gramStart"/>
      <w:r>
        <w:t>identify</w:t>
      </w:r>
      <w:proofErr w:type="gramEnd"/>
      <w:r>
        <w:t xml:space="preserve">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1305CAC4" w14:textId="77777777" w:rsidR="00425F0F" w:rsidRDefault="00425F0F" w:rsidP="00425F0F"/>
    <w:p w14:paraId="60407294" w14:textId="77777777" w:rsidR="00425F0F" w:rsidRDefault="00425F0F" w:rsidP="00425F0F">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Overdevest and Zeitlin’s study and Cashore et al.’s study by distinguishing between the scope of issues covered and the prescriptiveness of requirements as two distinct dimensions of regulatory stringency.  </w:t>
      </w:r>
    </w:p>
    <w:p w14:paraId="23788C82" w14:textId="77777777" w:rsidR="00425F0F" w:rsidRDefault="00425F0F" w:rsidP="00425F0F"/>
    <w:p w14:paraId="62B30A8D" w14:textId="77777777" w:rsidR="00425F0F" w:rsidRDefault="00425F0F" w:rsidP="00425F0F">
      <w:r>
        <w:t xml:space="preserve">To address these challenges, we distinguish three types of regulatory stringency and illustrate how doing so enables scholars to compare programs across issues and over time more systematically. </w:t>
      </w:r>
    </w:p>
    <w:p w14:paraId="09A8AD53" w14:textId="77777777" w:rsidR="00425F0F" w:rsidRDefault="00425F0F" w:rsidP="00425F0F"/>
    <w:p w14:paraId="270E046C" w14:textId="77777777" w:rsidR="00425F0F" w:rsidRDefault="00425F0F" w:rsidP="00425F0F">
      <w:r>
        <w:t xml:space="preserve"># A Framework to classify change in private regulations </w:t>
      </w:r>
    </w:p>
    <w:p w14:paraId="5FCC70B5" w14:textId="77777777" w:rsidR="00425F0F" w:rsidRDefault="00425F0F" w:rsidP="00425F0F">
      <w:r>
        <w:t>Different types of regulatory stringency might have different causes or effects. 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the distinction between policy ends and means. Similarly, policy change, another core concept in public policy scholarship, remains underdeveloped in research on private regulation. We thus draw on public policy scholarship to address these gaps by offering a framework to (1) measure different types stringency and (2) characterize change over time.</w:t>
      </w:r>
    </w:p>
    <w:p w14:paraId="410CC8EA" w14:textId="77777777" w:rsidR="00425F0F" w:rsidRDefault="00425F0F" w:rsidP="00425F0F"/>
    <w:p w14:paraId="228487D6" w14:textId="77777777" w:rsidR="00425F0F" w:rsidRDefault="00425F0F" w:rsidP="00425F0F">
      <w:r>
        <w:t>## Step 1: Measuring scope, prescriptiveness, and policy settings</w:t>
      </w:r>
    </w:p>
    <w:p w14:paraId="515BD384" w14:textId="77777777" w:rsidR="00425F0F" w:rsidRDefault="00425F0F" w:rsidP="00425F0F">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4ACE4053" w14:textId="77777777" w:rsidR="00425F0F" w:rsidRDefault="00425F0F" w:rsidP="00425F0F"/>
    <w:p w14:paraId="65869408" w14:textId="77777777" w:rsidR="00425F0F" w:rsidRDefault="00425F0F" w:rsidP="00425F0F">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76E9D59D" w14:textId="77777777" w:rsidR="00425F0F" w:rsidRDefault="00425F0F" w:rsidP="00425F0F"/>
    <w:p w14:paraId="03B4D8A8" w14:textId="77777777" w:rsidR="00425F0F" w:rsidRDefault="00425F0F" w:rsidP="00425F0F">
      <w:r>
        <w:t>\</w:t>
      </w:r>
      <w:proofErr w:type="gramStart"/>
      <w:r>
        <w:t>input</w:t>
      </w:r>
      <w:proofErr w:type="gramEnd"/>
      <w:r>
        <w:t>{tables/types-of-stringency}</w:t>
      </w:r>
    </w:p>
    <w:p w14:paraId="4BE858CE" w14:textId="77777777" w:rsidR="00425F0F" w:rsidRDefault="00425F0F" w:rsidP="00425F0F"/>
    <w:p w14:paraId="2BA3C462" w14:textId="77777777" w:rsidR="00425F0F" w:rsidRDefault="00425F0F" w:rsidP="00425F0F">
      <w:r>
        <w:t>*Scope</w:t>
      </w:r>
      <w:proofErr w:type="gramStart"/>
      <w:r>
        <w:t>:*</w:t>
      </w:r>
      <w:proofErr w:type="gramEnd"/>
      <w:r>
        <w:t xml:space="preserv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B1AC82" w14:textId="77777777" w:rsidR="00425F0F" w:rsidRDefault="00425F0F" w:rsidP="00425F0F"/>
    <w:p w14:paraId="6F33C6F3" w14:textId="77777777" w:rsidR="00425F0F" w:rsidRDefault="00425F0F" w:rsidP="00425F0F">
      <w:r>
        <w:t>*Prescriptiveness</w:t>
      </w:r>
      <w:proofErr w:type="gramStart"/>
      <w:r>
        <w:t>:*</w:t>
      </w:r>
      <w:proofErr w:type="gramEnd"/>
      <w:r>
        <w:t xml:space="preserve">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30643C4F" w14:textId="77777777" w:rsidR="00425F0F" w:rsidRDefault="00425F0F" w:rsidP="00425F0F"/>
    <w:p w14:paraId="106A690F" w14:textId="77777777" w:rsidR="00425F0F" w:rsidRDefault="00425F0F" w:rsidP="00425F0F">
      <w:r>
        <w:t>\</w:t>
      </w:r>
      <w:proofErr w:type="gramStart"/>
      <w:r>
        <w:t>input</w:t>
      </w:r>
      <w:proofErr w:type="gramEnd"/>
      <w:r>
        <w:t>{tables/prescriptiveness}</w:t>
      </w:r>
    </w:p>
    <w:p w14:paraId="5D4D2D6E" w14:textId="77777777" w:rsidR="00425F0F" w:rsidRDefault="00425F0F" w:rsidP="00425F0F"/>
    <w:p w14:paraId="74D4ABA6" w14:textId="77777777" w:rsidR="00425F0F" w:rsidRDefault="00425F0F" w:rsidP="00425F0F">
      <w:r>
        <w:t>*Policy settings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1DCA0594" w14:textId="77777777" w:rsidR="00425F0F" w:rsidRDefault="00425F0F" w:rsidP="00425F0F"/>
    <w:p w14:paraId="6A44C56C" w14:textId="77777777" w:rsidR="00425F0F" w:rsidRDefault="00425F0F" w:rsidP="00425F0F">
      <w:r>
        <w:lastRenderedPageBreak/>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6B56A516" w14:textId="77777777" w:rsidR="00425F0F" w:rsidRDefault="00425F0F" w:rsidP="00425F0F"/>
    <w:p w14:paraId="7608298F" w14:textId="77777777" w:rsidR="00425F0F" w:rsidRDefault="00425F0F" w:rsidP="00425F0F">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322F5ACC" w14:textId="77777777" w:rsidR="00425F0F" w:rsidRDefault="00425F0F" w:rsidP="00425F0F"/>
    <w:p w14:paraId="5DBB03B9" w14:textId="77777777" w:rsidR="00425F0F" w:rsidRDefault="00425F0F" w:rsidP="00425F0F">
      <w:r>
        <w:t>## Step 2: Classifying Patterns of Change</w:t>
      </w:r>
    </w:p>
    <w:p w14:paraId="6A8AB236" w14:textId="77777777" w:rsidR="00425F0F" w:rsidRDefault="00425F0F" w:rsidP="00425F0F">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theories about regulatory stringency from Table 1 should be able to be expressed in terms of the dimension(s) to which the theory applies, the absolute directions of change they predict, and relative relationships they anticipate.</w:t>
      </w:r>
    </w:p>
    <w:p w14:paraId="65E3B1EF" w14:textId="77777777" w:rsidR="00425F0F" w:rsidRDefault="00425F0F" w:rsidP="00425F0F"/>
    <w:p w14:paraId="6B2E0260" w14:textId="77777777" w:rsidR="00425F0F" w:rsidRDefault="00425F0F" w:rsidP="00425F0F">
      <w:r>
        <w:t>\</w:t>
      </w:r>
      <w:proofErr w:type="gramStart"/>
      <w:r>
        <w:t>input</w:t>
      </w:r>
      <w:proofErr w:type="gramEnd"/>
      <w:r>
        <w:t>{tables/patterns}</w:t>
      </w:r>
    </w:p>
    <w:p w14:paraId="5F1E13EF" w14:textId="77777777" w:rsidR="00425F0F" w:rsidRDefault="00425F0F" w:rsidP="00425F0F"/>
    <w:p w14:paraId="1FEFA9CB" w14:textId="77777777" w:rsidR="00425F0F" w:rsidRDefault="00425F0F" w:rsidP="00425F0F">
      <w:r>
        <w:lastRenderedPageBreak/>
        <w:t>*Conclusion</w:t>
      </w:r>
      <w:proofErr w:type="gramStart"/>
      <w:r>
        <w:t>:*</w:t>
      </w:r>
      <w:proofErr w:type="gramEnd"/>
      <w:r>
        <w:t xml:space="preserve">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capture qualitative differences in policy settings.  </w:t>
      </w:r>
    </w:p>
    <w:p w14:paraId="48518EC9" w14:textId="77777777" w:rsidR="00425F0F" w:rsidRDefault="00425F0F" w:rsidP="00425F0F"/>
    <w:p w14:paraId="7BDF9E24" w14:textId="77777777" w:rsidR="00425F0F" w:rsidRDefault="00425F0F" w:rsidP="00425F0F">
      <w:r>
        <w:t>## Theorizing in terms of scope, prescriptiveness, and policy settings</w:t>
      </w:r>
    </w:p>
    <w:p w14:paraId="4CC2C536" w14:textId="77777777" w:rsidR="00425F0F" w:rsidRDefault="00425F0F" w:rsidP="00425F0F">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67148574" w14:textId="77777777" w:rsidR="00425F0F" w:rsidRDefault="00425F0F" w:rsidP="00425F0F"/>
    <w:p w14:paraId="19508F01" w14:textId="77777777" w:rsidR="00425F0F" w:rsidRDefault="00425F0F" w:rsidP="00425F0F">
      <w:r>
        <w:t>*Compliance costs and competition</w:t>
      </w:r>
      <w:proofErr w:type="gramStart"/>
      <w:r>
        <w:t>:*</w:t>
      </w:r>
      <w:proofErr w:type="gramEnd"/>
      <w:r>
        <w:t xml:space="preserve">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428AE75D" w14:textId="77777777" w:rsidR="00425F0F" w:rsidRDefault="00425F0F" w:rsidP="00425F0F"/>
    <w:p w14:paraId="65DAB7FE" w14:textId="77777777" w:rsidR="00425F0F" w:rsidRDefault="00425F0F" w:rsidP="00425F0F">
      <w:r>
        <w:t>*Revised compliance cost hypotheses</w:t>
      </w:r>
      <w:proofErr w:type="gramStart"/>
      <w:r>
        <w:t>:*</w:t>
      </w:r>
      <w:proofErr w:type="gramEnd"/>
      <w:r>
        <w:t xml:space="preserve"> If broadening scope is low-cost for firms but increasing prescriptiveness and performance levels are high-cost,</w:t>
      </w:r>
    </w:p>
    <w:p w14:paraId="12D189FB" w14:textId="77777777" w:rsidR="00425F0F" w:rsidRDefault="00425F0F" w:rsidP="00425F0F"/>
    <w:p w14:paraId="0BA71B95" w14:textId="77777777" w:rsidR="00425F0F" w:rsidRDefault="00425F0F" w:rsidP="00425F0F">
      <w:r>
        <w:t>&gt;**H1.1</w:t>
      </w:r>
      <w:proofErr w:type="gramStart"/>
      <w:r>
        <w:t>:*</w:t>
      </w:r>
      <w:proofErr w:type="gramEnd"/>
      <w:r>
        <w:t>* An industry-backed regulation will be more similar to an activist-backed regulation in scope than in prescriptiveness or performance levels.</w:t>
      </w:r>
    </w:p>
    <w:p w14:paraId="24D9DBDA" w14:textId="77777777" w:rsidR="00425F0F" w:rsidRDefault="00425F0F" w:rsidP="00425F0F"/>
    <w:p w14:paraId="54D400ED" w14:textId="77777777" w:rsidR="00425F0F" w:rsidRDefault="00425F0F" w:rsidP="00425F0F">
      <w:r>
        <w:t>&gt;**H1.2</w:t>
      </w:r>
      <w:proofErr w:type="gramStart"/>
      <w:r>
        <w:t>:*</w:t>
      </w:r>
      <w:proofErr w:type="gramEnd"/>
      <w:r>
        <w:t>* An industry-backed regulation will be more likely to respond to changes in an activist backed regulation by converging in scope than in prescriptiveness or performance levels.</w:t>
      </w:r>
    </w:p>
    <w:p w14:paraId="64346FEB" w14:textId="77777777" w:rsidR="00425F0F" w:rsidRDefault="00425F0F" w:rsidP="00425F0F"/>
    <w:p w14:paraId="4AB672D2" w14:textId="77777777" w:rsidR="00425F0F" w:rsidRDefault="00425F0F" w:rsidP="00425F0F">
      <w:r>
        <w:t>*Differentiation</w:t>
      </w:r>
      <w:proofErr w:type="gramStart"/>
      <w:r>
        <w:t>:*</w:t>
      </w:r>
      <w:proofErr w:type="gramEnd"/>
      <w:r>
        <w:t xml:space="preserve"> Another core theoretical claim is that different coalitions will establish qualitatively different policies [@Botzem2012; @Hsueh2012]. By distinguishing types of stringency, we can reflect on existing literature to identify qualitative differences in how stringency varies across programs.</w:t>
      </w:r>
    </w:p>
    <w:p w14:paraId="545FC412" w14:textId="77777777" w:rsidR="00425F0F" w:rsidRDefault="00425F0F" w:rsidP="00425F0F"/>
    <w:p w14:paraId="78F1C1F3" w14:textId="77777777" w:rsidR="00425F0F" w:rsidRDefault="00425F0F" w:rsidP="00425F0F">
      <w:r>
        <w:t>For instance, we expect that the relative stringency of an industry-backed program on a given issue will depend on whether the requirements results in net benefits to the industry. In contrast, we would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to be broader on issues where industry-backed programs can more easily foster an impression of stringency or where compliance costs are relatively higher.</w:t>
      </w:r>
    </w:p>
    <w:p w14:paraId="6DAA7831" w14:textId="77777777" w:rsidR="00425F0F" w:rsidRDefault="00425F0F" w:rsidP="00425F0F"/>
    <w:p w14:paraId="3FD1E5D0" w14:textId="77777777" w:rsidR="00425F0F" w:rsidRDefault="00425F0F" w:rsidP="00425F0F">
      <w:r>
        <w:t xml:space="preserve">The opposite result is likely on issues where requirements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xml:space="preserve">.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w:t>
      </w:r>
      <w:proofErr w:type="gramStart"/>
      <w:r>
        <w:t>individuals that have net benefits but that requires</w:t>
      </w:r>
      <w:proofErr w:type="gramEnd"/>
      <w:r>
        <w:t xml:space="preserve">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726A39B2" w14:textId="77777777" w:rsidR="00425F0F" w:rsidRDefault="00425F0F" w:rsidP="00425F0F"/>
    <w:p w14:paraId="70345966" w14:textId="77777777" w:rsidR="00425F0F" w:rsidRDefault="00425F0F" w:rsidP="00425F0F">
      <w:r>
        <w:t>*Revised differentiation hypotheses</w:t>
      </w:r>
      <w:proofErr w:type="gramStart"/>
      <w:r>
        <w:t>:*</w:t>
      </w:r>
      <w:proofErr w:type="gramEnd"/>
      <w:r>
        <w:t xml:space="preserve"> Where activist-backed and industry-backed private regulations compete, </w:t>
      </w:r>
    </w:p>
    <w:p w14:paraId="23568216" w14:textId="77777777" w:rsidR="00425F0F" w:rsidRDefault="00425F0F" w:rsidP="00425F0F"/>
    <w:p w14:paraId="48C94C5A" w14:textId="77777777" w:rsidR="00425F0F" w:rsidRDefault="00425F0F" w:rsidP="00425F0F">
      <w:r>
        <w:t>&gt;**H2.1</w:t>
      </w:r>
      <w:proofErr w:type="gramStart"/>
      <w:r>
        <w:t>:*</w:t>
      </w:r>
      <w:proofErr w:type="gramEnd"/>
      <w:r>
        <w:t xml:space="preserve">* Activist-backed regulations will have more comprehensive coverage, more prescriptive requirements, and higher performance thresholds on costly issues. </w:t>
      </w:r>
    </w:p>
    <w:p w14:paraId="6D82E1AC" w14:textId="77777777" w:rsidR="00425F0F" w:rsidRDefault="00425F0F" w:rsidP="00425F0F"/>
    <w:p w14:paraId="5118808A" w14:textId="77777777" w:rsidR="00425F0F" w:rsidRDefault="00425F0F" w:rsidP="00425F0F">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34080E1E" w14:textId="77777777" w:rsidR="00425F0F" w:rsidRDefault="00425F0F" w:rsidP="00425F0F"/>
    <w:p w14:paraId="34126286" w14:textId="77777777" w:rsidR="00425F0F" w:rsidRDefault="00425F0F" w:rsidP="00425F0F">
      <w:r>
        <w:t xml:space="preserve">These hypotheses illustrate how scholars could revise many of the theories reviewed in section 2 in light of our core methodological critique. We can assess </w:t>
      </w:r>
      <w:r>
        <w:lastRenderedPageBreak/>
        <w:t>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405A8F6A" w14:textId="77777777" w:rsidR="00425F0F" w:rsidRDefault="00425F0F" w:rsidP="00425F0F"/>
    <w:p w14:paraId="6D3C9C16" w14:textId="77777777" w:rsidR="00425F0F" w:rsidRDefault="00425F0F" w:rsidP="00425F0F">
      <w:r>
        <w:t># Competing US Forest Certification Programs</w:t>
      </w:r>
    </w:p>
    <w:p w14:paraId="493CFC3E" w14:textId="77777777" w:rsidR="00425F0F" w:rsidRDefault="00425F0F" w:rsidP="00425F0F">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3A5A0ED" w14:textId="77777777" w:rsidR="00425F0F" w:rsidRDefault="00425F0F" w:rsidP="00425F0F"/>
    <w:p w14:paraId="441B8C19" w14:textId="77777777" w:rsidR="00425F0F" w:rsidRDefault="00425F0F" w:rsidP="00425F0F">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6FDA796A" w14:textId="77777777" w:rsidR="00425F0F" w:rsidRDefault="00425F0F" w:rsidP="00425F0F"/>
    <w:p w14:paraId="2B70CBA6" w14:textId="77777777" w:rsidR="00425F0F" w:rsidRDefault="00425F0F" w:rsidP="00425F0F">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 </w:t>
      </w:r>
    </w:p>
    <w:p w14:paraId="214167C3" w14:textId="77777777" w:rsidR="00425F0F" w:rsidRDefault="00425F0F" w:rsidP="00425F0F"/>
    <w:p w14:paraId="6536701D" w14:textId="77777777" w:rsidR="00425F0F" w:rsidRDefault="00425F0F" w:rsidP="00425F0F">
      <w:proofErr w:type="gramStart"/>
      <w:r>
        <w:t>![</w:t>
      </w:r>
      <w:proofErr w:type="gramEnd"/>
      <w:r>
        <w:t>U.S. Timberland by ownership and certification scheme](Figs/acres-1.png)</w:t>
      </w:r>
    </w:p>
    <w:p w14:paraId="7478054A" w14:textId="77777777" w:rsidR="00425F0F" w:rsidRDefault="00425F0F" w:rsidP="00425F0F"/>
    <w:p w14:paraId="3B6FD248" w14:textId="77777777" w:rsidR="00425F0F" w:rsidRDefault="00425F0F" w:rsidP="00425F0F">
      <w:r>
        <w:t>*Origin of the FSC</w:t>
      </w:r>
      <w:proofErr w:type="gramStart"/>
      <w:r>
        <w:t>:*</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w:t>
      </w:r>
      <w:r>
        <w:lastRenderedPageBreak/>
        <w:t xml:space="preserve">are used by national-level organizations to develop more specific indicators.  Our analysis of the FSC in the U.S. thus assesses both the international P&amp;C and the FSC-US national standard. </w:t>
      </w:r>
    </w:p>
    <w:p w14:paraId="4BE2EB4C" w14:textId="77777777" w:rsidR="00425F0F" w:rsidRDefault="00425F0F" w:rsidP="00425F0F"/>
    <w:p w14:paraId="5B69A5F7" w14:textId="77777777" w:rsidR="00425F0F" w:rsidRDefault="00425F0F" w:rsidP="00425F0F">
      <w:r>
        <w:t>*Origin of the SFI</w:t>
      </w:r>
      <w:proofErr w:type="gramStart"/>
      <w:r>
        <w:t>:*</w:t>
      </w:r>
      <w:proofErr w:type="gramEnd"/>
      <w: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t>third-party</w:t>
      </w:r>
      <w:proofErr w:type="gramEnd"/>
      <w: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t>SFI has since been endorsed by the global Program</w:t>
      </w:r>
      <w:proofErr w:type="gramEnd"/>
      <w: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F10C905" w14:textId="77777777" w:rsidR="00425F0F" w:rsidRDefault="00425F0F" w:rsidP="00425F0F"/>
    <w:p w14:paraId="41FCD248" w14:textId="77777777" w:rsidR="00425F0F" w:rsidRDefault="00425F0F" w:rsidP="00425F0F">
      <w:r>
        <w:t>*“Sustainable” Forestry</w:t>
      </w:r>
      <w:proofErr w:type="gramStart"/>
      <w:r>
        <w:t>:*</w:t>
      </w:r>
      <w:proofErr w:type="gramEnd"/>
      <w:r>
        <w:t xml:space="preserve">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1BEB9A" w14:textId="77777777" w:rsidR="00425F0F" w:rsidRDefault="00425F0F" w:rsidP="00425F0F"/>
    <w:p w14:paraId="192A2573" w14:textId="77777777" w:rsidR="00425F0F" w:rsidRDefault="00425F0F" w:rsidP="00425F0F">
      <w:r>
        <w:t>## Scope, prescriptiveness, and policy settings in forestry</w:t>
      </w:r>
    </w:p>
    <w:p w14:paraId="00EB7097" w14:textId="77777777" w:rsidR="00425F0F" w:rsidRDefault="00425F0F" w:rsidP="00425F0F">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634B1317" w14:textId="77777777" w:rsidR="00425F0F" w:rsidRDefault="00425F0F" w:rsidP="00425F0F"/>
    <w:p w14:paraId="52284913" w14:textId="77777777" w:rsidR="00425F0F" w:rsidRDefault="00425F0F" w:rsidP="00425F0F">
      <w:r>
        <w:t xml:space="preserve">To measure prescriptiveness, we assess the precise wording of the text on each issue.  If firms have discretion among performance levels, only the least demanding levels are prescriptive. For example, if firms are required to “maintain or enhance” </w:t>
      </w:r>
      <w:r>
        <w:lastRenderedPageBreak/>
        <w:t xml:space="preserve">water </w:t>
      </w:r>
      <w:proofErr w:type="gramStart"/>
      <w:r>
        <w:t>quality,</w:t>
      </w:r>
      <w:proofErr w:type="gramEnd"/>
      <w:r>
        <w:t xml:space="preserve"> the option to merely “maintain” means that there is no mandatory requirement to “enhance” water quality. </w:t>
      </w:r>
    </w:p>
    <w:p w14:paraId="6E883C89" w14:textId="77777777" w:rsidR="00425F0F" w:rsidRDefault="00425F0F" w:rsidP="00425F0F"/>
    <w:p w14:paraId="7B873D6A" w14:textId="77777777" w:rsidR="00425F0F" w:rsidRDefault="00425F0F" w:rsidP="00425F0F">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E4C1036" w14:textId="77777777" w:rsidR="00425F0F" w:rsidRDefault="00425F0F" w:rsidP="00425F0F"/>
    <w:p w14:paraId="17168F1B" w14:textId="77777777" w:rsidR="00425F0F" w:rsidRDefault="00425F0F" w:rsidP="00425F0F">
      <w:r>
        <w:t>## Results</w:t>
      </w:r>
    </w:p>
    <w:p w14:paraId="577CCE15" w14:textId="77777777" w:rsidR="00425F0F" w:rsidRDefault="00425F0F" w:rsidP="00425F0F">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69FADC36" w14:textId="77777777" w:rsidR="00425F0F" w:rsidRDefault="00425F0F" w:rsidP="00425F0F"/>
    <w:p w14:paraId="57DEE2A0" w14:textId="77777777" w:rsidR="00425F0F" w:rsidRDefault="00425F0F" w:rsidP="00425F0F">
      <w:r>
        <w:t>### Comparing FSC’s and PEFC’s international requirements</w:t>
      </w:r>
    </w:p>
    <w:p w14:paraId="1CA8FA41" w14:textId="77777777" w:rsidR="00425F0F" w:rsidRDefault="00425F0F" w:rsidP="00425F0F">
      <w:r>
        <w:t>*Scope</w:t>
      </w:r>
      <w:proofErr w:type="gramStart"/>
      <w:r>
        <w:t>:*</w:t>
      </w:r>
      <w:proofErr w:type="gramEnd"/>
      <w:r>
        <w:t xml:space="preserv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19955932" w14:textId="77777777" w:rsidR="00425F0F" w:rsidRDefault="00425F0F" w:rsidP="00425F0F"/>
    <w:p w14:paraId="118B94E1" w14:textId="77777777" w:rsidR="00425F0F" w:rsidRDefault="00425F0F" w:rsidP="00425F0F">
      <w:r>
        <w:t>*Prescriptiveness</w:t>
      </w:r>
      <w:proofErr w:type="gramStart"/>
      <w:r>
        <w:t>:*</w:t>
      </w:r>
      <w:proofErr w:type="gramEnd"/>
      <w:r>
        <w:t xml:space="preserve">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w:t>
      </w:r>
      <w:r>
        <w:lastRenderedPageBreak/>
        <w:t xml:space="preserve">P&amp;C contain more prescriptive language on most ecological criteria, including protected areas and restrictions on conversion to plantations. </w:t>
      </w:r>
    </w:p>
    <w:p w14:paraId="32DB3AAE" w14:textId="77777777" w:rsidR="00425F0F" w:rsidRDefault="00425F0F" w:rsidP="00425F0F"/>
    <w:p w14:paraId="1F66EEDE" w14:textId="77777777" w:rsidR="00425F0F" w:rsidRDefault="00425F0F" w:rsidP="00425F0F">
      <w:r>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4AE68354" w14:textId="77777777" w:rsidR="00425F0F" w:rsidRDefault="00425F0F" w:rsidP="00425F0F"/>
    <w:p w14:paraId="08490EB4" w14:textId="77777777" w:rsidR="00425F0F" w:rsidRDefault="00425F0F" w:rsidP="00425F0F">
      <w:proofErr w:type="gramStart"/>
      <w:r>
        <w:t>![</w:t>
      </w:r>
      <w:proofErr w:type="gramEnd"/>
      <w:r>
        <w:t>Scope and Prescriptiveness of FSC P&amp;C and PEFC 2008-2015](Figs/FSC-PEFC-1.png)</w:t>
      </w:r>
    </w:p>
    <w:p w14:paraId="75C5B30E" w14:textId="77777777" w:rsidR="00425F0F" w:rsidRDefault="00425F0F" w:rsidP="00425F0F"/>
    <w:p w14:paraId="3C730B9C" w14:textId="77777777" w:rsidR="00425F0F" w:rsidRDefault="00425F0F" w:rsidP="00425F0F">
      <w:r>
        <w:t>*Policy settings</w:t>
      </w:r>
      <w:proofErr w:type="gramStart"/>
      <w:r>
        <w:t>:*</w:t>
      </w:r>
      <w:proofErr w:type="gramEnd"/>
      <w:r>
        <w:t xml:space="preserve">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t>PEFC</w:t>
      </w:r>
      <w:proofErr w:type="gramEnd"/>
      <w: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24912C53" w14:textId="77777777" w:rsidR="00425F0F" w:rsidRDefault="00425F0F" w:rsidP="00425F0F"/>
    <w:p w14:paraId="705E3F05" w14:textId="77777777" w:rsidR="00425F0F" w:rsidRDefault="00425F0F" w:rsidP="00425F0F">
      <w: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to “interested stakeholders” while PEFC requirements for “local people and other stakeholders” are the </w:t>
      </w:r>
      <w:proofErr w:type="gramStart"/>
      <w:r>
        <w:t>same.</w:t>
      </w:r>
      <w:proofErr w:type="gramEnd"/>
    </w:p>
    <w:p w14:paraId="6AA49EF8" w14:textId="77777777" w:rsidR="00425F0F" w:rsidRDefault="00425F0F" w:rsidP="00425F0F"/>
    <w:p w14:paraId="48738F8C" w14:textId="77777777" w:rsidR="00425F0F" w:rsidRDefault="00425F0F" w:rsidP="00425F0F">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w:t>
      </w:r>
      <w:r>
        <w:lastRenderedPageBreak/>
        <w:t xml:space="preserve">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456C694" w14:textId="77777777" w:rsidR="00425F0F" w:rsidRDefault="00425F0F" w:rsidP="00425F0F"/>
    <w:p w14:paraId="600CD1A3" w14:textId="77777777" w:rsidR="00425F0F" w:rsidRDefault="00425F0F" w:rsidP="00425F0F">
      <w:r>
        <w:t>*Summary</w:t>
      </w:r>
      <w:proofErr w:type="gramStart"/>
      <w:r>
        <w:t>:*</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66D34B0E" w14:textId="77777777" w:rsidR="00425F0F" w:rsidRDefault="00425F0F" w:rsidP="00425F0F"/>
    <w:p w14:paraId="52F3470E" w14:textId="77777777" w:rsidR="00425F0F" w:rsidRDefault="00425F0F" w:rsidP="00425F0F">
      <w:r>
        <w:t>4.2.2 Comparing the FSC-US and SFI</w:t>
      </w:r>
    </w:p>
    <w:p w14:paraId="59F9BE4C" w14:textId="77777777" w:rsidR="00425F0F" w:rsidRDefault="00425F0F" w:rsidP="00425F0F">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5D065E1F" w14:textId="77777777" w:rsidR="00425F0F" w:rsidRDefault="00425F0F" w:rsidP="00425F0F"/>
    <w:p w14:paraId="5855B668" w14:textId="77777777" w:rsidR="00425F0F" w:rsidRDefault="00425F0F" w:rsidP="00425F0F">
      <w:r>
        <w:t>*Prescriptiveness</w:t>
      </w:r>
      <w:proofErr w:type="gramStart"/>
      <w:r>
        <w:t>:*</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B43AA3E" w14:textId="77777777" w:rsidR="00425F0F" w:rsidRDefault="00425F0F" w:rsidP="00425F0F"/>
    <w:p w14:paraId="1DE6ED09" w14:textId="77777777" w:rsidR="00425F0F" w:rsidRDefault="00425F0F" w:rsidP="00425F0F">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3F2023F3" w14:textId="77777777" w:rsidR="00425F0F" w:rsidRDefault="00425F0F" w:rsidP="00425F0F"/>
    <w:p w14:paraId="4F0FE529" w14:textId="77777777" w:rsidR="00425F0F" w:rsidRDefault="00425F0F" w:rsidP="00425F0F">
      <w:proofErr w:type="gramStart"/>
      <w:r>
        <w:t>![</w:t>
      </w:r>
      <w:proofErr w:type="gramEnd"/>
      <w:r>
        <w:t>Scope and Prescriptiveness of FSC-US and SFI 2008-2016](Figs/FSC-SFI-1.png)</w:t>
      </w:r>
    </w:p>
    <w:p w14:paraId="2FD74577" w14:textId="77777777" w:rsidR="00425F0F" w:rsidRDefault="00425F0F" w:rsidP="00425F0F"/>
    <w:p w14:paraId="7090AB76" w14:textId="77777777" w:rsidR="00425F0F" w:rsidRDefault="00425F0F" w:rsidP="00425F0F">
      <w:r>
        <w:t>*Policy Settings</w:t>
      </w:r>
      <w:proofErr w:type="gramStart"/>
      <w:r>
        <w:t>:*</w:t>
      </w:r>
      <w:proofErr w:type="gramEnd"/>
      <w:r>
        <w:t xml:space="preserve"> Issues such as clearcut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FSC-US also limits harvesting with 20 percent tree retention to a 100-acre average and 80-acre maximum, with further restrictions based on region and forest type (Figure 4). </w:t>
      </w:r>
    </w:p>
    <w:p w14:paraId="790EC7C6" w14:textId="77777777" w:rsidR="00425F0F" w:rsidRDefault="00425F0F" w:rsidP="00425F0F"/>
    <w:p w14:paraId="4712E526" w14:textId="77777777" w:rsidR="00425F0F" w:rsidRDefault="00425F0F" w:rsidP="00425F0F">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we can only compare other policy settings qualitatively, the FSC-US clearly requires higher levels of performance on many social and ecological issues (Table 4)</w:t>
      </w:r>
    </w:p>
    <w:p w14:paraId="3AEDC423" w14:textId="77777777" w:rsidR="00425F0F" w:rsidRDefault="00425F0F" w:rsidP="00425F0F"/>
    <w:p w14:paraId="4E8A4AAE" w14:textId="77777777" w:rsidR="00425F0F" w:rsidRDefault="00425F0F" w:rsidP="00425F0F">
      <w:proofErr w:type="gramStart"/>
      <w:r>
        <w:t>![</w:t>
      </w:r>
      <w:proofErr w:type="gramEnd"/>
      <w:r>
        <w:t>Limits on Clearcut Size](Figs/clearcuts-1.png)</w:t>
      </w:r>
    </w:p>
    <w:p w14:paraId="2A5FD87E" w14:textId="77777777" w:rsidR="00425F0F" w:rsidRDefault="00425F0F" w:rsidP="00425F0F"/>
    <w:p w14:paraId="3A01271A" w14:textId="77777777" w:rsidR="00425F0F" w:rsidRDefault="00425F0F" w:rsidP="00425F0F">
      <w:proofErr w:type="gramStart"/>
      <w:r>
        <w:t>![</w:t>
      </w:r>
      <w:proofErr w:type="gramEnd"/>
      <w:r>
        <w:t>Limits on Harvesting Near Streams](Figs/riparian-1.png)</w:t>
      </w:r>
    </w:p>
    <w:p w14:paraId="5945D54E" w14:textId="77777777" w:rsidR="00425F0F" w:rsidRDefault="00425F0F" w:rsidP="00425F0F"/>
    <w:p w14:paraId="6714E867" w14:textId="77777777" w:rsidR="00425F0F" w:rsidRDefault="00425F0F" w:rsidP="00425F0F">
      <w:r>
        <w:t>\</w:t>
      </w:r>
      <w:proofErr w:type="gramStart"/>
      <w:r>
        <w:t>input</w:t>
      </w:r>
      <w:proofErr w:type="gramEnd"/>
      <w:r>
        <w:t>{tables/issues}</w:t>
      </w:r>
    </w:p>
    <w:p w14:paraId="282493CE" w14:textId="77777777" w:rsidR="00425F0F" w:rsidRDefault="00425F0F" w:rsidP="00425F0F"/>
    <w:p w14:paraId="1E471E41" w14:textId="77777777" w:rsidR="00425F0F" w:rsidRDefault="00425F0F" w:rsidP="00425F0F">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96063FA" w14:textId="77777777" w:rsidR="00425F0F" w:rsidRDefault="00425F0F" w:rsidP="00425F0F"/>
    <w:p w14:paraId="71E848C8" w14:textId="77777777" w:rsidR="00425F0F" w:rsidRDefault="00425F0F" w:rsidP="00425F0F">
      <w:r>
        <w:lastRenderedPageBreak/>
        <w:t>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773D0E20" w14:textId="77777777" w:rsidR="00425F0F" w:rsidRDefault="00425F0F" w:rsidP="00425F0F"/>
    <w:p w14:paraId="7C53C9FF" w14:textId="77777777" w:rsidR="00425F0F" w:rsidRDefault="00425F0F" w:rsidP="00425F0F">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5793CE4" w14:textId="77777777" w:rsidR="00425F0F" w:rsidRDefault="00425F0F" w:rsidP="00425F0F"/>
    <w:p w14:paraId="0721B70C" w14:textId="77777777" w:rsidR="00425F0F" w:rsidRDefault="00425F0F" w:rsidP="00425F0F">
      <w:r>
        <w:t>*Summary</w:t>
      </w:r>
      <w:proofErr w:type="gramStart"/>
      <w:r>
        <w:t>:*</w:t>
      </w:r>
      <w:proofErr w:type="gramEnd"/>
      <w:r>
        <w:t xml:space="preserve">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w:t>
      </w:r>
      <w:r>
        <w:lastRenderedPageBreak/>
        <w:t xml:space="preserve">reputation. These included aesthetics, public reporting, education, training, and utilization. </w:t>
      </w:r>
    </w:p>
    <w:p w14:paraId="3377EE06" w14:textId="77777777" w:rsidR="00425F0F" w:rsidRDefault="00425F0F" w:rsidP="00425F0F"/>
    <w:p w14:paraId="1AF32B88" w14:textId="77777777" w:rsidR="00425F0F" w:rsidRDefault="00425F0F" w:rsidP="00425F0F">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DD9C197" w14:textId="77777777" w:rsidR="00425F0F" w:rsidRDefault="00425F0F" w:rsidP="00425F0F"/>
    <w:p w14:paraId="25E4BF1C" w14:textId="77777777" w:rsidR="00425F0F" w:rsidRDefault="00425F0F" w:rsidP="00425F0F">
      <w:r>
        <w:t># Discussion</w:t>
      </w:r>
    </w:p>
    <w:p w14:paraId="53845562" w14:textId="77777777" w:rsidR="00425F0F" w:rsidRDefault="00425F0F" w:rsidP="00425F0F">
      <w:r>
        <w:t>## Overall comparison</w:t>
      </w:r>
    </w:p>
    <w:p w14:paraId="16CC83FE" w14:textId="77777777" w:rsidR="00425F0F" w:rsidRDefault="00425F0F" w:rsidP="00425F0F">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3EF0769F" w14:textId="77777777" w:rsidR="00425F0F" w:rsidRDefault="00425F0F" w:rsidP="00425F0F"/>
    <w:p w14:paraId="2A039950" w14:textId="77777777" w:rsidR="00425F0F" w:rsidRDefault="00425F0F" w:rsidP="00425F0F">
      <w:r>
        <w:t xml:space="preserve">Overall our results are consistent with the expectation that activist based programs are likely to increase on more costly types of stringency. 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programs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671D6CF3" w14:textId="77777777" w:rsidR="00425F0F" w:rsidRDefault="00425F0F" w:rsidP="00425F0F"/>
    <w:p w14:paraId="6EE98CC7" w14:textId="77777777" w:rsidR="00425F0F" w:rsidRDefault="00425F0F" w:rsidP="00425F0F">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10CA9AB8" w14:textId="77777777" w:rsidR="00425F0F" w:rsidRDefault="00425F0F" w:rsidP="00425F0F"/>
    <w:p w14:paraId="479E3206" w14:textId="77777777" w:rsidR="00425F0F" w:rsidRDefault="00425F0F" w:rsidP="00425F0F">
      <w:r>
        <w:t>## Patterns of change</w:t>
      </w:r>
    </w:p>
    <w:p w14:paraId="1AF1FE54" w14:textId="77777777" w:rsidR="00425F0F" w:rsidRDefault="00425F0F" w:rsidP="00425F0F">
      <w:r>
        <w:t xml:space="preserve">Upward divergence was the dominant pattern of change. In most years, neither program changed on any issue (the center cell in Table 3, “equilibrium”). Most </w:t>
      </w:r>
      <w:r>
        <w:lastRenderedPageBreak/>
        <w:t xml:space="preserve">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50B69071" w14:textId="77777777" w:rsidR="00425F0F" w:rsidRDefault="00425F0F" w:rsidP="00425F0F"/>
    <w:p w14:paraId="06D0142C" w14:textId="77777777" w:rsidR="00425F0F" w:rsidRDefault="00425F0F" w:rsidP="00425F0F">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77A29CA5" w14:textId="77777777" w:rsidR="00425F0F" w:rsidRDefault="00425F0F" w:rsidP="00425F0F"/>
    <w:p w14:paraId="34605CC7" w14:textId="77777777" w:rsidR="00425F0F" w:rsidRDefault="00425F0F" w:rsidP="00425F0F">
      <w:r>
        <w:t>\</w:t>
      </w:r>
      <w:proofErr w:type="gramStart"/>
      <w:r>
        <w:t>input</w:t>
      </w:r>
      <w:proofErr w:type="gramEnd"/>
      <w:r>
        <w:t>{tables/patterns-2010-2015}</w:t>
      </w:r>
    </w:p>
    <w:p w14:paraId="6FD41B6D" w14:textId="77777777" w:rsidR="00425F0F" w:rsidRDefault="00425F0F" w:rsidP="00425F0F"/>
    <w:p w14:paraId="372D1C55" w14:textId="77777777" w:rsidR="00425F0F" w:rsidRDefault="00425F0F" w:rsidP="00425F0F">
      <w: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than those added by the SFI.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No issues exhibited downward parallel or downward diverging trajectories. </w:t>
      </w:r>
    </w:p>
    <w:p w14:paraId="58A4CCE8" w14:textId="77777777" w:rsidR="00425F0F" w:rsidRDefault="00425F0F" w:rsidP="00425F0F"/>
    <w:p w14:paraId="4555CCED" w14:textId="77777777" w:rsidR="00425F0F" w:rsidRDefault="00425F0F" w:rsidP="00425F0F">
      <w:r>
        <w:t xml:space="preserve">Since the significant revisions of both programs in 2010, only SFI has updated its national-level requirements, mostly in 2015. In contrast to the 2010 changes, the </w:t>
      </w:r>
      <w:r>
        <w:lastRenderedPageBreak/>
        <w:t xml:space="preserve">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07A3887A" w14:textId="77777777" w:rsidR="00425F0F" w:rsidRDefault="00425F0F" w:rsidP="00425F0F"/>
    <w:p w14:paraId="27B764C6" w14:textId="77777777" w:rsidR="00425F0F" w:rsidRDefault="00425F0F" w:rsidP="00425F0F">
      <w:r>
        <w:t>Overall, the dominant pattern of change from 2008 to 2016 is upwardly diverging prescriptiveness and no change in scopes. Qualitatively, the upward diverging trend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41A1B91A" w14:textId="77777777" w:rsidR="00425F0F" w:rsidRDefault="00425F0F" w:rsidP="00425F0F"/>
    <w:p w14:paraId="7446E49F" w14:textId="77777777" w:rsidR="00425F0F" w:rsidRDefault="00425F0F" w:rsidP="00425F0F">
      <w:r>
        <w:t>## Implications for theory</w:t>
      </w:r>
    </w:p>
    <w:p w14:paraId="5EBDA138" w14:textId="77777777" w:rsidR="00425F0F" w:rsidRDefault="00425F0F" w:rsidP="00425F0F">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BDECC1E" w14:textId="77777777" w:rsidR="00425F0F" w:rsidRDefault="00425F0F" w:rsidP="00425F0F"/>
    <w:p w14:paraId="1D496E85" w14:textId="77777777" w:rsidR="00425F0F" w:rsidRDefault="00425F0F" w:rsidP="00425F0F">
      <w: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2521B311" w14:textId="77777777" w:rsidR="00425F0F" w:rsidRDefault="00425F0F" w:rsidP="00425F0F"/>
    <w:p w14:paraId="18DF6959" w14:textId="77777777" w:rsidR="00425F0F" w:rsidRDefault="00425F0F" w:rsidP="00425F0F">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DD92A76" w14:textId="77777777" w:rsidR="00425F0F" w:rsidRDefault="00425F0F" w:rsidP="00425F0F"/>
    <w:p w14:paraId="1F3ED460" w14:textId="77777777" w:rsidR="00425F0F" w:rsidRDefault="00425F0F" w:rsidP="00425F0F">
      <w:r>
        <w:t xml:space="preserve">Our findings are also somewhat consistent with Hypothesis 1.2, again more clearly for prescriptiveness than for the scope of issues addressed. We observe overall </w:t>
      </w:r>
      <w:r>
        <w:lastRenderedPageBreak/>
        <w:t xml:space="preserve">divergence on prescriptiveness, most clearly on ecological issues. As neither program changed significantly in the scope of issues addressed,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86622BE" w14:textId="77777777" w:rsidR="00425F0F" w:rsidRDefault="00425F0F" w:rsidP="00425F0F"/>
    <w:p w14:paraId="114FB1E3" w14:textId="77777777" w:rsidR="00425F0F" w:rsidRDefault="00425F0F" w:rsidP="00425F0F">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3968034B" w14:textId="77777777" w:rsidR="00425F0F" w:rsidRDefault="00425F0F" w:rsidP="00425F0F"/>
    <w:p w14:paraId="66532611" w14:textId="77777777" w:rsidR="00425F0F" w:rsidRDefault="00425F0F" w:rsidP="00425F0F">
      <w:r>
        <w:t>## Industry-backed certification programs as a form of collective action</w:t>
      </w:r>
    </w:p>
    <w:p w14:paraId="1EE84181" w14:textId="77777777" w:rsidR="00425F0F" w:rsidRDefault="00425F0F" w:rsidP="00425F0F">
      <w:r>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4F25B7D9" w14:textId="77777777" w:rsidR="00425F0F" w:rsidRDefault="00425F0F" w:rsidP="00425F0F"/>
    <w:p w14:paraId="750ACC55" w14:textId="77777777" w:rsidR="00425F0F" w:rsidRDefault="00425F0F" w:rsidP="00425F0F">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3A4DC42D" w14:textId="77777777" w:rsidR="00425F0F" w:rsidRDefault="00425F0F" w:rsidP="00425F0F"/>
    <w:p w14:paraId="546BD062" w14:textId="77777777" w:rsidR="00425F0F" w:rsidRDefault="00425F0F" w:rsidP="00425F0F">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472617DE" w14:textId="77777777" w:rsidR="00425F0F" w:rsidRDefault="00425F0F" w:rsidP="00425F0F"/>
    <w:p w14:paraId="1B6E7871" w14:textId="77777777" w:rsidR="00425F0F" w:rsidRDefault="00425F0F" w:rsidP="00425F0F">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780F43E4" w14:textId="77777777" w:rsidR="00425F0F" w:rsidRDefault="00425F0F" w:rsidP="00425F0F"/>
    <w:p w14:paraId="7CAC6E8C" w14:textId="77777777" w:rsidR="00425F0F" w:rsidRDefault="00425F0F" w:rsidP="00425F0F">
      <w:r>
        <w:t># Conclusion</w:t>
      </w:r>
    </w:p>
    <w:p w14:paraId="7E19E046" w14:textId="77777777" w:rsidR="00425F0F" w:rsidRDefault="00425F0F" w:rsidP="00425F0F">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t>incommensurate</w:t>
      </w:r>
      <w:proofErr w:type="gramEnd"/>
      <w: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41BDE187" w14:textId="77777777" w:rsidR="00425F0F" w:rsidRDefault="00425F0F" w:rsidP="00425F0F"/>
    <w:p w14:paraId="2C81DAE0" w14:textId="77777777" w:rsidR="00425F0F" w:rsidRDefault="00425F0F" w:rsidP="00425F0F">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w:t>
      </w:r>
      <w:r>
        <w:lastRenderedPageBreak/>
        <w:t xml:space="preserve">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0CB68D42" w14:textId="77777777" w:rsidR="00425F0F" w:rsidRDefault="00425F0F" w:rsidP="00425F0F"/>
    <w:p w14:paraId="5255D433" w14:textId="77777777" w:rsidR="00425F0F" w:rsidRDefault="00425F0F" w:rsidP="00425F0F">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the effects on the ground.</w:t>
      </w:r>
    </w:p>
    <w:p w14:paraId="41BA7D59" w14:textId="77777777" w:rsidR="00425F0F" w:rsidRDefault="00425F0F" w:rsidP="00425F0F"/>
    <w:p w14:paraId="5BB036FB" w14:textId="2A678A7D" w:rsidR="002F4C61" w:rsidRPr="00425F0F" w:rsidRDefault="00425F0F" w:rsidP="00425F0F">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RPr="00425F0F" w:rsidSect="002F4C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101E9"/>
    <w:rsid w:val="000609F7"/>
    <w:rsid w:val="000D14B2"/>
    <w:rsid w:val="00151EA2"/>
    <w:rsid w:val="00152220"/>
    <w:rsid w:val="00183566"/>
    <w:rsid w:val="0019247C"/>
    <w:rsid w:val="001C2192"/>
    <w:rsid w:val="001C2C45"/>
    <w:rsid w:val="00262743"/>
    <w:rsid w:val="0026645E"/>
    <w:rsid w:val="00280D6A"/>
    <w:rsid w:val="00287054"/>
    <w:rsid w:val="002B100E"/>
    <w:rsid w:val="002D2109"/>
    <w:rsid w:val="002D5A0D"/>
    <w:rsid w:val="002F4C61"/>
    <w:rsid w:val="00306A36"/>
    <w:rsid w:val="00322A69"/>
    <w:rsid w:val="00352A50"/>
    <w:rsid w:val="00390536"/>
    <w:rsid w:val="003F075D"/>
    <w:rsid w:val="003F61A1"/>
    <w:rsid w:val="00402113"/>
    <w:rsid w:val="00406248"/>
    <w:rsid w:val="004068F4"/>
    <w:rsid w:val="00425F0F"/>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2CE"/>
    <w:rsid w:val="00872E0F"/>
    <w:rsid w:val="00876802"/>
    <w:rsid w:val="008E26D0"/>
    <w:rsid w:val="00904436"/>
    <w:rsid w:val="00921FEE"/>
    <w:rsid w:val="009635F3"/>
    <w:rsid w:val="009877E9"/>
    <w:rsid w:val="00996DD7"/>
    <w:rsid w:val="009C2FCC"/>
    <w:rsid w:val="00A04087"/>
    <w:rsid w:val="00A163F7"/>
    <w:rsid w:val="00A4752E"/>
    <w:rsid w:val="00A5571D"/>
    <w:rsid w:val="00A75C5E"/>
    <w:rsid w:val="00AD2028"/>
    <w:rsid w:val="00B07F19"/>
    <w:rsid w:val="00BA549E"/>
    <w:rsid w:val="00BD4CAE"/>
    <w:rsid w:val="00BD69B0"/>
    <w:rsid w:val="00BE0346"/>
    <w:rsid w:val="00C17333"/>
    <w:rsid w:val="00C40DA9"/>
    <w:rsid w:val="00C57A86"/>
    <w:rsid w:val="00C729D9"/>
    <w:rsid w:val="00C964EA"/>
    <w:rsid w:val="00D35A21"/>
    <w:rsid w:val="00D45E2E"/>
    <w:rsid w:val="00D4632D"/>
    <w:rsid w:val="00D61E02"/>
    <w:rsid w:val="00E03C22"/>
    <w:rsid w:val="00E21E60"/>
    <w:rsid w:val="00E579F0"/>
    <w:rsid w:val="00E66BCD"/>
    <w:rsid w:val="00E856DD"/>
    <w:rsid w:val="00EA6619"/>
    <w:rsid w:val="00EB0173"/>
    <w:rsid w:val="00EF48EE"/>
    <w:rsid w:val="00F23F5F"/>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6/09/relationships/commentsIds" Target="commentsIds.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24</Pages>
  <Words>11012</Words>
  <Characters>62772</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68</cp:revision>
  <dcterms:created xsi:type="dcterms:W3CDTF">2019-03-15T15:17:00Z</dcterms:created>
  <dcterms:modified xsi:type="dcterms:W3CDTF">2019-03-18T17:47:00Z</dcterms:modified>
</cp:coreProperties>
</file>