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AA6E" w14:textId="77777777" w:rsidR="00786DB3" w:rsidRDefault="00786DB3" w:rsidP="00786DB3">
      <w:pPr>
        <w:pStyle w:val="Title"/>
      </w:pPr>
      <w:bookmarkStart w:id="0" w:name="introduction"/>
      <w:bookmarkEnd w:id="0"/>
      <w:r w:rsidRPr="00786DB3">
        <w:t>Do Private Regulations Ratchet Up?</w:t>
      </w:r>
    </w:p>
    <w:p w14:paraId="27D118D5" w14:textId="7FC783A1" w:rsidR="00786DB3" w:rsidRDefault="00786DB3" w:rsidP="00786DB3">
      <w:pPr>
        <w:pStyle w:val="Subtitle"/>
        <w:rPr>
          <w:rFonts w:ascii="Cambria Math" w:hAnsi="Cambria Math" w:cs="Cambria Math"/>
        </w:rPr>
      </w:pPr>
      <w:r w:rsidRPr="00786DB3">
        <w:t>How to distinguish types of regulatory stringency and patterns of change</w:t>
      </w:r>
    </w:p>
    <w:p w14:paraId="2610C655" w14:textId="77777777" w:rsidR="00786DB3" w:rsidRDefault="00786DB3" w:rsidP="00786DB3">
      <w:pPr>
        <w:spacing w:after="0"/>
        <w:rPr>
          <w:rFonts w:ascii="Times New Roman" w:eastAsia="Times New Roman" w:hAnsi="Times New Roman" w:cs="Times New Roman"/>
        </w:rPr>
      </w:pPr>
    </w:p>
    <w:p w14:paraId="3D06300E" w14:textId="77777777" w:rsidR="00786DB3" w:rsidRDefault="00786DB3" w:rsidP="00786DB3">
      <w:pPr>
        <w:pStyle w:val="Author"/>
      </w:pPr>
      <w:r w:rsidRPr="00786DB3">
        <w:t xml:space="preserve">Devin Judge-Lord </w:t>
      </w:r>
    </w:p>
    <w:p w14:paraId="702F8E4A" w14:textId="77777777" w:rsidR="00786DB3" w:rsidRDefault="00786DB3" w:rsidP="00786DB3">
      <w:pPr>
        <w:pStyle w:val="Author"/>
      </w:pPr>
      <w:r w:rsidRPr="00786DB3">
        <w:t xml:space="preserve">University of Wisconsin–Madison </w:t>
      </w:r>
    </w:p>
    <w:p w14:paraId="259B6274" w14:textId="77777777" w:rsidR="00786DB3" w:rsidRDefault="00786DB3" w:rsidP="00786DB3">
      <w:pPr>
        <w:pStyle w:val="Author"/>
      </w:pPr>
    </w:p>
    <w:p w14:paraId="4B4D3241" w14:textId="77777777" w:rsidR="00786DB3" w:rsidRDefault="00786DB3" w:rsidP="00786DB3">
      <w:pPr>
        <w:pStyle w:val="Author"/>
      </w:pPr>
      <w:r w:rsidRPr="00786DB3">
        <w:t xml:space="preserve">Constance L. McDermott </w:t>
      </w:r>
    </w:p>
    <w:p w14:paraId="3B7F2B91" w14:textId="77777777" w:rsidR="00786DB3" w:rsidRDefault="00786DB3" w:rsidP="00786DB3">
      <w:pPr>
        <w:pStyle w:val="Author"/>
      </w:pPr>
      <w:r w:rsidRPr="00786DB3">
        <w:t xml:space="preserve">Oxford University </w:t>
      </w:r>
    </w:p>
    <w:p w14:paraId="47909D01" w14:textId="77777777" w:rsidR="00786DB3" w:rsidRDefault="00786DB3" w:rsidP="00786DB3">
      <w:pPr>
        <w:pStyle w:val="Author"/>
      </w:pPr>
    </w:p>
    <w:p w14:paraId="742522DA" w14:textId="77777777" w:rsidR="00786DB3" w:rsidRDefault="00786DB3" w:rsidP="00786DB3">
      <w:pPr>
        <w:pStyle w:val="Author"/>
      </w:pPr>
      <w:r w:rsidRPr="00786DB3">
        <w:t xml:space="preserve">Benjamin </w:t>
      </w:r>
      <w:proofErr w:type="spellStart"/>
      <w:r w:rsidRPr="00786DB3">
        <w:t>Cashore</w:t>
      </w:r>
      <w:proofErr w:type="spellEnd"/>
      <w:r w:rsidRPr="00786DB3">
        <w:t xml:space="preserve"> </w:t>
      </w:r>
    </w:p>
    <w:p w14:paraId="3BB2E7AA" w14:textId="77777777" w:rsidR="00786DB3" w:rsidRDefault="00786DB3" w:rsidP="00786DB3">
      <w:pPr>
        <w:pStyle w:val="Author"/>
      </w:pPr>
      <w:r w:rsidRPr="00786DB3">
        <w:t xml:space="preserve">Yale University </w:t>
      </w:r>
    </w:p>
    <w:p w14:paraId="73DA76F8" w14:textId="77777777" w:rsidR="00786DB3" w:rsidRDefault="00786DB3" w:rsidP="00786DB3">
      <w:pPr>
        <w:spacing w:after="0"/>
        <w:rPr>
          <w:rFonts w:ascii="Times New Roman" w:eastAsia="Times New Roman" w:hAnsi="Times New Roman" w:cs="Times New Roman"/>
        </w:rPr>
      </w:pPr>
    </w:p>
    <w:p w14:paraId="368010CF" w14:textId="77777777" w:rsidR="00786DB3" w:rsidRDefault="00786DB3" w:rsidP="00786DB3">
      <w:pPr>
        <w:pStyle w:val="Date"/>
      </w:pPr>
      <w:r w:rsidRPr="00786DB3">
        <w:t xml:space="preserve">March 18, 2019 </w:t>
      </w:r>
    </w:p>
    <w:p w14:paraId="44A87678" w14:textId="77777777" w:rsidR="00786DB3" w:rsidRDefault="00786DB3" w:rsidP="00786DB3">
      <w:pPr>
        <w:spacing w:after="0"/>
        <w:rPr>
          <w:rFonts w:ascii="Times New Roman" w:eastAsia="Times New Roman" w:hAnsi="Times New Roman" w:cs="Times New Roman"/>
        </w:rPr>
      </w:pPr>
    </w:p>
    <w:p w14:paraId="12608C49" w14:textId="7FC0FCF0" w:rsidR="00786DB3" w:rsidRDefault="00786DB3" w:rsidP="00786DB3">
      <w:pPr>
        <w:pStyle w:val="Abstract"/>
      </w:pPr>
      <w:r w:rsidRPr="00786DB3">
        <w:t xml:space="preserve">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 </w:t>
      </w:r>
      <w:r>
        <w:br w:type="page"/>
      </w:r>
    </w:p>
    <w:p w14:paraId="69FC14A9" w14:textId="0128B97C" w:rsidR="00E25645" w:rsidRDefault="00216B70" w:rsidP="00216B70">
      <w:pPr>
        <w:pStyle w:val="Heading1"/>
        <w:spacing w:line="480" w:lineRule="auto"/>
      </w:pPr>
      <w:bookmarkStart w:id="1" w:name="_GoBack"/>
      <w:bookmarkEnd w:id="1"/>
      <w:r>
        <w:lastRenderedPageBreak/>
        <w:t>Introduction</w:t>
      </w:r>
    </w:p>
    <w:p w14:paraId="06B18970" w14:textId="77777777" w:rsidR="00E25645" w:rsidRDefault="00216B70" w:rsidP="00216B70">
      <w:pPr>
        <w:pStyle w:val="FirstParagraph"/>
        <w:spacing w:line="480" w:lineRule="auto"/>
      </w:pPr>
      <w:r>
        <w:t>Private governance initiatives, such as product certification programs, have targeted farm and factory working conditions, greenhouse gas emissions, and fishery, mine, and forest management (Auld 2014; Bartley 2003; Bozzi et al. 2012; I. Hudson and Hudson 2003; Ven 2015; Vince and Haward 2017). Many of these programs were founded by activists who were dissatisfied with public regulations. Using tactics such as boycotts as “sticks” and brand-boosting praise as “carrots,” activists attempt to pressure companies to comply with certification programs that go beyond the requirements of public laws (Cashore 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w:t>
      </w:r>
    </w:p>
    <w:p w14:paraId="63F252B2" w14:textId="77777777" w:rsidR="00E25645" w:rsidRDefault="00216B70" w:rsidP="00216B70">
      <w:pPr>
        <w:pStyle w:val="BodyText"/>
        <w:spacing w:line="480" w:lineRule="auto"/>
      </w:pPr>
      <w:r>
        <w:t>Debates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 2007; Bodansky 1999; Cashore 2002). One way they achieve and maintain legitimacy is through claims about the stringency of their requirements.</w:t>
      </w:r>
    </w:p>
    <w:p w14:paraId="625B5BAA" w14:textId="77777777" w:rsidR="00E25645" w:rsidRDefault="00216B70" w:rsidP="00216B70">
      <w:pPr>
        <w:pStyle w:val="BodyText"/>
        <w:spacing w:line="480" w:lineRule="auto"/>
      </w:pPr>
      <w:r>
        <w:t xml:space="preserve">Concepts of regulatory stringency are also at the center of conflicting theoretical and empirical claims from scholars across political science, economics, and sociology </w:t>
      </w:r>
      <w:r>
        <w:lastRenderedPageBreak/>
        <w:t>about the potential effects of these programs and how and why they evolve. A key motivation behind this research is understanding whether the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 and Dore 1996; Rodrik, Subramanian, and Trebbi 2004; Vogel 1995). While private governance scholars have made great strides, imprecise, incomplete, and inconsistent measures of regulatory stringency have hindered efforts to compare these regulations and assess theories about why they change. We argue that more attention to measurement can explain seemingly contradictory findings and allow for more tractable statements of theory. To be sure, concepts of regulatory stringency interest students of both public policy and private governance, but whereas a rich public policy scholarship has emerged to measure and explain public policy change (Green-Pedersen 2007; Hall 1993; Howlett and Cashore 2014), private governance scholarship gives much less attention to the concept of policy change.</w:t>
      </w:r>
    </w:p>
    <w:p w14:paraId="65D88343" w14:textId="77777777" w:rsidR="00E25645" w:rsidRDefault="00216B70" w:rsidP="00216B70">
      <w:pPr>
        <w:pStyle w:val="BodyText"/>
        <w:spacing w:line="480" w:lineRule="auto"/>
      </w:pPr>
      <w:r>
        <w:t xml:space="preserve">To address this gap, we build on taxonomies from the public policy literature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w:t>
      </w:r>
      <w:r>
        <w:lastRenderedPageBreak/>
        <w:t>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Distinguishing among types of regulatory stringency and patterns of change leads to hypotheses that are more conceptually precise and thus more tractable for empirical testing than those advanced by extant literature.</w:t>
      </w:r>
    </w:p>
    <w:p w14:paraId="3E30A0DE" w14:textId="77777777" w:rsidR="00E25645" w:rsidRDefault="00216B70" w:rsidP="00216B70">
      <w:pPr>
        <w:pStyle w:val="BodyText"/>
        <w:spacing w:line="480" w:lineRule="auto"/>
      </w:pPr>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Section four applies the framework to compare competing certification programs in the U.S. forestry sector, arguably one of the most institutionalized cases of private regulation. Section five discusses the implications of our results for theory and outlines steps for future research.</w:t>
      </w:r>
    </w:p>
    <w:p w14:paraId="6A984454" w14:textId="77777777" w:rsidR="00E25645" w:rsidRDefault="00216B70" w:rsidP="00216B70">
      <w:pPr>
        <w:pStyle w:val="Heading1"/>
        <w:spacing w:line="480" w:lineRule="auto"/>
      </w:pPr>
      <w:bookmarkStart w:id="2" w:name="regulatory-stringency"/>
      <w:bookmarkEnd w:id="2"/>
      <w:r>
        <w:t>Regulatory stringency</w:t>
      </w:r>
    </w:p>
    <w:p w14:paraId="6E8248FE" w14:textId="77777777" w:rsidR="00E25645" w:rsidRDefault="00216B70" w:rsidP="00216B70">
      <w:pPr>
        <w:pStyle w:val="FirstParagraph"/>
        <w:spacing w:line="480" w:lineRule="auto"/>
      </w:pPr>
      <w:r>
        <w:t>Measuring regulatory stringency is often necessary to assess how activist campaigns, market forces, and competition among programs shape policy content (i.e., regulatory requirements as the dependent variable), and likewise, to assess how policy content shapes activist support, market adoption, impact, and how other programs respond (i.e., regulatory requirements as the explanatory variable).</w:t>
      </w:r>
    </w:p>
    <w:p w14:paraId="1737297E" w14:textId="77777777" w:rsidR="00E25645" w:rsidRDefault="00216B70" w:rsidP="00216B70">
      <w:pPr>
        <w:pStyle w:val="BodyText"/>
        <w:spacing w:line="480" w:lineRule="auto"/>
      </w:pPr>
      <w:r>
        <w:rPr>
          <w:i/>
        </w:rPr>
        <w:lastRenderedPageBreak/>
        <w:t>Stringency as an explanatory variable:</w:t>
      </w:r>
      <w:r>
        <w:t xml:space="preserve"> Scholars who study how private regulations gain legitimacy, trust, or support from various audiences posit that regulatory stringency is a key explanatory variable for these outcomes. For example, McDermott (2012) argues that stringency may reduce trust by mandating formulaic, top-down approaches. Perceived stringency may increase market demand for certified products (Atkinson and Rosenthal 2014), but finds may also reduces adoption by firms (Prado 2013). Changes in stringency that disadvantage some firms or groups may catalyze these actors to create alternative private regulatory programs (Meidinger 2003). Alternatively, those disadvantaged by changes to private regulation may then opt to pursue their aims through public policy (Weimer 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and Montiel 2008; Kollman and Prakash 2001; T. P. Lyon and Maxwell 2008).</w:t>
      </w:r>
    </w:p>
    <w:p w14:paraId="3A3F8BEF" w14:textId="77777777" w:rsidR="00E25645" w:rsidRDefault="00216B70" w:rsidP="00216B70">
      <w:pPr>
        <w:pStyle w:val="BodyText"/>
        <w:spacing w:line="480" w:lineRule="auto"/>
      </w:pPr>
      <w:r>
        <w:t xml:space="preserve">The effects of stringency on trust, legitimacy, compliance cost, and adoption matter because understanding the likely future impact of private regulations “on the ground” requires understanding their evolutionary trajectories (Ven, Rothacker, and Cashore 2018). Even activist-backed programs that establish stringent requirements on one issue at one point in time may not do so on other issues and at other times (LeBaron and Burgoon 2018). Nuanced gaps in otherwise stringent private regulations—“regulatory loopholes”—may also explain their lack of success </w:t>
      </w:r>
      <w:r>
        <w:lastRenderedPageBreak/>
        <w:t xml:space="preserve">in addressing problems like deforestation (Ven, Rothacker, and Cashore 2018). Together, these studies suggest that changes in regulatory stringency </w:t>
      </w:r>
      <w:r>
        <w:rPr>
          <w:i/>
        </w:rPr>
        <w:t>may</w:t>
      </w:r>
      <w:r>
        <w:t xml:space="preserve"> have a wide range of effects. Sadly, assessing them has been hampered by inadequate attention to defining and measuring stringency as an explanatory variable.</w:t>
      </w:r>
    </w:p>
    <w:p w14:paraId="32E81C67" w14:textId="77777777" w:rsidR="00E25645" w:rsidRDefault="00216B70" w:rsidP="00216B70">
      <w:pPr>
        <w:pStyle w:val="BodyText"/>
        <w:spacing w:line="480" w:lineRule="auto"/>
      </w:pPr>
      <w:r>
        <w:rPr>
          <w:i/>
        </w:rPr>
        <w:t>Stringency as a dependent variable:</w:t>
      </w:r>
      <w:r>
        <w:t xml:space="preserve"> Regulatory stringency is also a key variable in studies of the reverse causal relationships: how ideological, economic, political, and social forces shape and constrain policy content (Bartley 2003; Cashore, Auld, and Newsom 2004; Fischer and Lyon 2014). Scholars theorize that various forces either promote or hinder stringent regulation. For example, ideas about the political responsibilities of businesses shape both activist demands for private governance and firms’ responses to private governance efforts (Bartley 2003; Djelic and Etchanchu 2017). These different ideas are then embodied in more or less stringent policies depending on which coalitions gain rulemaking authority (Botzem and Dobusch 2012; Hsueh and Prakash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Cashore 2002; Grabosky 2013; Green 2013; Loconto and Fouilleux 2014; T. P. Lyon and Maxwell 2008; Maxwell, Lyon, and Hackett 2000; Prakash 2000). Abbott and Snidal (2009) suggest that the content of public and private regulations are a joint result of bargaining between activists and firms. The common thread is that each of these studies aims to explain relative differences or changes in policy.</w:t>
      </w:r>
    </w:p>
    <w:p w14:paraId="0D966753" w14:textId="77777777" w:rsidR="00E25645" w:rsidRDefault="00216B70" w:rsidP="00216B70">
      <w:pPr>
        <w:pStyle w:val="BodyText"/>
        <w:spacing w:line="480" w:lineRule="auto"/>
      </w:pPr>
      <w:r>
        <w:lastRenderedPageBreak/>
        <w:t>Others seek to explain variation in regulatory stringency as a result of endogenous interactions among private authorities (DeLeon and Rivera 2009; Eberlein et al. 2014; Green 2017; Gulbrandsen 2014; Howard-Grenville, Nash, and Coglianese 2008; Li and van ’t Veld 2015; Mills 2016). For example, Smith and Fischlein (2010) suggest that competing private regulations change frequently and often imitate each other. Similarly, Eberlein et al. (2014) identify “frequent rule revision” or “differentiation among rule systems” as potential effects of such interaction.</w:t>
      </w:r>
    </w:p>
    <w:p w14:paraId="5E068EB4" w14:textId="77777777" w:rsidR="00E25645" w:rsidRDefault="00216B70" w:rsidP="00216B70">
      <w:pPr>
        <w:pStyle w:val="BodyText"/>
        <w:spacing w:line="480" w:lineRule="auto"/>
      </w:pPr>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and Snidal 2010; Fransen 2011; Gulbrandsen 2004). In contrast, others find competition causing “weak” regulations to be “revised upwards” as activists invite public comparisons with the requirements of “higher” regulations (Overdevest 2005; Overdevest 2010). And still others find both patterns occurring, depending on market and industry structures (Cashore, Auld, and Newsom 2004; Hassel 2008; Ven 2015). Cashore, Auld, and Newsom (2004) highlight how market and institutional logics initially work to pressure coalitions to “lower” stringency but then, later, work to maintain differences.</w:t>
      </w:r>
    </w:p>
    <w:p w14:paraId="3C9D6808" w14:textId="77777777" w:rsidR="00E25645" w:rsidRDefault="00216B70" w:rsidP="00216B70">
      <w:pPr>
        <w:pStyle w:val="BodyText"/>
        <w:spacing w:line="480" w:lineRule="auto"/>
      </w:pPr>
      <w:r>
        <w:t xml:space="preserve">Concepts of regulatory stringency are also at the core of formal models of private governance. Models by Abderrazak and Youssef (2009) and Fischer and Lyon (2014) suggest that standards may increase or decrease stringency under different </w:t>
      </w:r>
      <w:r>
        <w:lastRenderedPageBreak/>
        <w:t>conditions, such as increases or decreases in compliance costs or market demand. Game-theoretic models (Fischer and Lyon 2014; Li and van ’t Veld 2015; Poret 2016) and empirical research (Cashore, Auld, and Newsom 2004) both suggest that asymmetric incentives lead competing programs to adopt different levels of stringency in equilibrium. Where an activist-backed regulation competes with an industry-backed regulation, these theories predict that the activist-backed program will ultimately be more stringent.</w:t>
      </w:r>
    </w:p>
    <w:p w14:paraId="7DACD02C" w14:textId="77777777" w:rsidR="00E25645" w:rsidRDefault="00216B70" w:rsidP="00216B70">
      <w:pPr>
        <w:pStyle w:val="BodyText"/>
        <w:spacing w:line="480" w:lineRule="auto"/>
      </w:pPr>
      <w:r>
        <w:t>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 2005; Overdevest 2010; Overdevest and Zeitlin 2014). Other scholars posit—and find evidence for—the exact opposite pattern, in which competitive pressures lead a “race to the bottom” with more stringent programs decreasing stringency and converging toward less stringent ones in (Abbott and Snidal 2010; Fransen 2011; Gulbrandsen 2004). Still others posit—and find evidence for—yet another pattern where programs maintain different levels of stringency, i.e., they remain distinct, neither converging to the “top” nor the “bottom” (Fischer and Lyon 2014; Li and van ’t Veld 2015; Poret 2016; Cashore, Auld, and Newsom 2004). While these three sets of findings seem incompatible, we argue that they are the result of different measurement strategies. Reconciling them thus requires a set of shared concepts and measures of regulatory stringency.</w:t>
      </w:r>
    </w:p>
    <w:p w14:paraId="69BB1CF2" w14:textId="77777777" w:rsidR="00E25645" w:rsidRDefault="00216B70" w:rsidP="00216B70">
      <w:pPr>
        <w:pStyle w:val="Heading2"/>
        <w:spacing w:line="480" w:lineRule="auto"/>
      </w:pPr>
      <w:bookmarkStart w:id="3" w:name="concepts-measurement-of-variation-in-pri"/>
      <w:bookmarkEnd w:id="3"/>
      <w:r>
        <w:lastRenderedPageBreak/>
        <w:t>Concepts &amp; Measurement of Variation in Private Regulations</w:t>
      </w:r>
    </w:p>
    <w:p w14:paraId="4A525E95" w14:textId="77777777" w:rsidR="00E25645" w:rsidRDefault="00216B70" w:rsidP="00216B70">
      <w:pPr>
        <w:pStyle w:val="FirstParagraph"/>
        <w:spacing w:line="480" w:lineRule="auto"/>
      </w:pPr>
      <w:r>
        <w:t>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and Lyon 2014; Li and van ’t Veld 2015). Others evoke horizontal notions of variation, describing the width or breadth of issues covered (Auld 2014; Heyes and Martin 2017). Cashore and Howlett (2007) call attention to variation in prescriptiveness versus flexibility, i.e., the extent to which regulations use mandatory and substantive performance thresholds. Others measure height in a relative sense, defining the “benchmark” as the higher standard (Overdevest 2005; Overdevest 2010). Still others combine concepts of breadth and prescriptiveness into one broader notion of stringency (Fransen 2011).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many of these concepts to so narrow that they measure only a few select components of just one (see Table 1).</w:t>
      </w:r>
    </w:p>
    <w:p w14:paraId="55035ED5" w14:textId="77777777" w:rsidR="00216B70" w:rsidRDefault="00216B70" w:rsidP="00216B70">
      <w:pPr>
        <w:pStyle w:val="BodyText"/>
      </w:pPr>
    </w:p>
    <w:p w14:paraId="7D59F003" w14:textId="77777777" w:rsidR="00216B70" w:rsidRDefault="00216B70" w:rsidP="00216B70">
      <w:pPr>
        <w:pStyle w:val="BodyText"/>
      </w:pPr>
      <w:r>
        <w:t>Table 1</w:t>
      </w:r>
    </w:p>
    <w:p w14:paraId="7E598CBC" w14:textId="77777777" w:rsidR="00216B70" w:rsidRDefault="00216B70" w:rsidP="00216B70">
      <w:pPr>
        <w:pStyle w:val="BodyText"/>
      </w:pPr>
    </w:p>
    <w:p w14:paraId="4C790CFF" w14:textId="77777777" w:rsidR="00216B70" w:rsidRPr="00216B70" w:rsidRDefault="00216B70" w:rsidP="00216B70">
      <w:pPr>
        <w:pStyle w:val="BodyText"/>
      </w:pPr>
    </w:p>
    <w:p w14:paraId="5AF4607C" w14:textId="77777777" w:rsidR="00E25645" w:rsidRDefault="00216B70" w:rsidP="00216B70">
      <w:pPr>
        <w:pStyle w:val="BodyText"/>
        <w:spacing w:line="480" w:lineRule="auto"/>
      </w:pPr>
      <w:r>
        <w:lastRenderedPageBreak/>
        <w:t>Overall, concepts of stringency in existing work tend to be either insufficiently precise to be consistently applied across programs, insufficiently comprehensive to yield consistent results, or completely absent. Similar problems plague public policy scholarship (Brunel and Levinson 2016).</w:t>
      </w:r>
    </w:p>
    <w:p w14:paraId="6C266AAF" w14:textId="77777777" w:rsidR="00E25645" w:rsidRDefault="00E25645" w:rsidP="00216B70">
      <w:pPr>
        <w:pStyle w:val="BodyText"/>
        <w:spacing w:line="480" w:lineRule="auto"/>
      </w:pPr>
    </w:p>
    <w:p w14:paraId="18D79C29" w14:textId="77777777" w:rsidR="00E25645" w:rsidRDefault="00216B70" w:rsidP="00216B70">
      <w:pPr>
        <w:pStyle w:val="BodyText"/>
        <w:spacing w:line="480" w:lineRule="auto"/>
      </w:pPr>
      <w:r>
        <w:t>In the absence of consistent measures of regulatory stringency, scholars have turned to proxy measures. For example, Darnall, Potoski, and Prakash (2010) suggest that a program’s sponsor is a signal of its stringency. In the broadest study to date, Ven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228E899E" w14:textId="77777777" w:rsidR="00E25645" w:rsidRDefault="00216B70" w:rsidP="00216B70">
      <w:pPr>
        <w:pStyle w:val="BodyText"/>
        <w:spacing w:line="480" w:lineRule="auto"/>
      </w:pPr>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Auld, and Newsom (2004) that </w:t>
      </w:r>
      <w:r>
        <w:lastRenderedPageBreak/>
        <w:t>industry-backed programs set less stringent requirements. However, this is due to differences in measurement; Cashore et al. focus on the substantive prescriptiveness of regulations governing operations, while van der Ven focuses on stakeholder engagement and others forms of procedural “best practices.”</w:t>
      </w:r>
    </w:p>
    <w:p w14:paraId="51423921" w14:textId="77777777" w:rsidR="00E25645" w:rsidRDefault="00216B70" w:rsidP="00216B70">
      <w:pPr>
        <w:pStyle w:val="BodyText"/>
        <w:spacing w:line="480" w:lineRule="auto"/>
      </w:pPr>
      <w:r>
        <w:t xml:space="preserve">Two common challenges have hindered efforts to identify patterns of change. First, results vary depending on the policy components studied. Even the handful of scholars who have developed direct and precise measures of stringency (the top of Table ) tend to only focus on a few salient policy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 Auld, and Newsom (2004) assess prescriptiveness on seven issues related to ecological protection (plantations, chemicals, clearcuts, exotics, reserves, streamside riparian zones, and genetically modified organisms) and find large enduring differences between activist-backed and industry-backed programs. In contrast, Overdevest and Zeitlin (2014) find that these same program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policy change. It </w:t>
      </w:r>
      <w:r>
        <w:lastRenderedPageBreak/>
        <w:t>is entirely plausible that if Overdevest and Zeitlin had chosen Cashore et al.’s set of issues or vice versa, each might have found the opposite pattern.</w:t>
      </w:r>
    </w:p>
    <w:p w14:paraId="749692CF" w14:textId="77777777" w:rsidR="00E25645" w:rsidRDefault="00216B70" w:rsidP="00216B70">
      <w:pPr>
        <w:pStyle w:val="BodyText"/>
        <w:spacing w:line="480"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 and Zeitlin (2014) assert that the industry-backed program moved in the direction of the activist-backed program within the </w:t>
      </w:r>
      <w:r>
        <w:rPr>
          <w:i/>
        </w:rPr>
        <w:t>scope</w:t>
      </w:r>
      <w:r>
        <w:t xml:space="preserve"> of issues related to public reporting and consultation, while Cashore, Auld, and Newsom (2004) found that these competing programs did not converge in </w:t>
      </w:r>
      <w:r>
        <w:rPr>
          <w:i/>
        </w:rPr>
        <w:t>prescriptiveness</w:t>
      </w:r>
      <w:r>
        <w:t xml:space="preserve"> on issues related to ecological protection. The apparent conflict between Overdevest and Zeitlin’s study and Cashore et al.’s study is thus largely resolved by distinguishing findings about the scope of issues covered versus the prescriptiveness of regulatory requirements.</w:t>
      </w:r>
    </w:p>
    <w:p w14:paraId="4F8AF7A6" w14:textId="77777777" w:rsidR="00E25645" w:rsidRDefault="00216B70" w:rsidP="00216B70">
      <w:pPr>
        <w:pStyle w:val="BodyText"/>
        <w:spacing w:line="480" w:lineRule="auto"/>
      </w:pPr>
      <w:r>
        <w:t>If selection and measurement decisions explain variation in findings, the remedy is methods that allow more systematic comparisons. We address this need by offering a framework to (1) measure three types of stringency and (2) characterize change over time.</w:t>
      </w:r>
    </w:p>
    <w:p w14:paraId="214B7D3D" w14:textId="77777777" w:rsidR="00E25645" w:rsidRDefault="00216B70" w:rsidP="00216B70">
      <w:pPr>
        <w:pStyle w:val="Heading1"/>
        <w:spacing w:line="480" w:lineRule="auto"/>
      </w:pPr>
      <w:bookmarkStart w:id="4" w:name="a-framework-to-classify-change-in-privat"/>
      <w:bookmarkEnd w:id="4"/>
      <w:r>
        <w:lastRenderedPageBreak/>
        <w:t>A Framework to classify change in private regulations</w:t>
      </w:r>
    </w:p>
    <w:p w14:paraId="68105025" w14:textId="77777777" w:rsidR="00E25645" w:rsidRDefault="00216B70" w:rsidP="00216B70">
      <w:pPr>
        <w:pStyle w:val="FirstParagraph"/>
        <w:spacing w:line="480" w:lineRule="auto"/>
      </w:pPr>
      <w:r>
        <w:t>The first step for scholars who wish to make claims about stringency involves three tasks: describing policy content according to policy settings, scope, and prescriptiveness (Table 2). Comparing across programs requires a second step: measuring relative stringency and change on each dimension (see Table 4). First, we elaborate on step one.</w:t>
      </w:r>
    </w:p>
    <w:p w14:paraId="54DF841E" w14:textId="77777777" w:rsidR="00E25645" w:rsidRDefault="00216B70" w:rsidP="00216B70">
      <w:pPr>
        <w:pStyle w:val="Heading2"/>
        <w:spacing w:line="480" w:lineRule="auto"/>
      </w:pPr>
      <w:bookmarkStart w:id="5" w:name="step-1-measuring-scope-prescriptiveness-"/>
      <w:bookmarkEnd w:id="5"/>
      <w:r>
        <w:t>Step 1: Measuring scope, prescriptiveness, and policy settings</w:t>
      </w:r>
    </w:p>
    <w:p w14:paraId="1DDC4339" w14:textId="77777777" w:rsidR="00E25645" w:rsidRDefault="00216B70" w:rsidP="00216B70">
      <w:pPr>
        <w:pStyle w:val="FirstParagraph"/>
        <w:spacing w:line="480"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260BB0C2" w14:textId="77777777" w:rsidR="00216B70" w:rsidRDefault="00216B70" w:rsidP="00216B70">
      <w:pPr>
        <w:pStyle w:val="BodyText"/>
      </w:pPr>
    </w:p>
    <w:p w14:paraId="2988CE28" w14:textId="77777777" w:rsidR="00216B70" w:rsidRPr="00216B70" w:rsidRDefault="00216B70" w:rsidP="00216B70">
      <w:pPr>
        <w:pStyle w:val="BodyText"/>
      </w:pPr>
      <w:r>
        <w:t>Table 2</w:t>
      </w:r>
    </w:p>
    <w:p w14:paraId="0059998B" w14:textId="77777777" w:rsidR="00E25645" w:rsidRDefault="00E25645" w:rsidP="00216B70">
      <w:pPr>
        <w:pStyle w:val="BodyText"/>
        <w:spacing w:line="480" w:lineRule="auto"/>
      </w:pPr>
    </w:p>
    <w:p w14:paraId="08642824" w14:textId="77777777" w:rsidR="00E25645" w:rsidRDefault="00216B70" w:rsidP="00216B70">
      <w:pPr>
        <w:pStyle w:val="BodyText"/>
        <w:spacing w:line="480" w:lineRule="auto"/>
      </w:pPr>
      <w:r>
        <w:rPr>
          <w:i/>
        </w:rPr>
        <w:lastRenderedPageBreak/>
        <w:t>Scope:</w:t>
      </w:r>
      <w:r>
        <w:t xml:space="preserve"> Given the differences within and across programs,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issues.</w:t>
      </w:r>
      <w:r>
        <w:rPr>
          <w:rStyle w:val="FootnoteReference"/>
        </w:rPr>
        <w:footnoteReference w:id="1"/>
      </w:r>
      <w:r>
        <w:t xml:space="preserve"> With the measurement concept of issue scope, one can assess a regulation’s absolute requirements (i.e., how many key issues it addresses); its relative requirements (i.e., how many more or fewer issues does it it address than its competitor), and in change over time (i.e. how many changes occurred between time 1 and time 2).</w:t>
      </w:r>
    </w:p>
    <w:p w14:paraId="05649ADD" w14:textId="77777777" w:rsidR="00E25645" w:rsidRDefault="00216B70" w:rsidP="00216B70">
      <w:pPr>
        <w:pStyle w:val="BodyText"/>
        <w:spacing w:line="480" w:lineRule="auto"/>
      </w:pPr>
      <w:r>
        <w:rPr>
          <w:i/>
        </w:rPr>
        <w:t>Prescriptiveness:</w:t>
      </w:r>
      <w:r>
        <w:t xml:space="preserve"> Second, we measure the extent to which each requirement is prescriptive, i.e., has substantive and mandatory features such as performance thresholds (see Table 3 adapted from Cashore and Howlett (2007)). In forestry, thresholds include the maximum size of permitted clearcuts or minimum size of buffer zones around streams. Because “prescriptive versus flexible” refers to how </w:t>
      </w:r>
      <w:r>
        <w:lastRenderedPageBreak/>
        <w:t>each issue is addressed (whether a regulation has mandatory thresholds), not the ends of the policy (the levels of those thresholds), we can compare prescriptiveness across substantive requirements.</w:t>
      </w:r>
    </w:p>
    <w:p w14:paraId="7F95D176" w14:textId="77777777" w:rsidR="00216B70" w:rsidRDefault="00216B70" w:rsidP="00216B70">
      <w:pPr>
        <w:pStyle w:val="BodyText"/>
        <w:spacing w:line="480" w:lineRule="auto"/>
      </w:pPr>
      <w:r>
        <w:t>Table 3</w:t>
      </w:r>
    </w:p>
    <w:p w14:paraId="31918DDD" w14:textId="77777777" w:rsidR="00E25645" w:rsidRDefault="00216B70" w:rsidP="00216B70">
      <w:pPr>
        <w:pStyle w:val="BodyText"/>
        <w:spacing w:line="480" w:lineRule="auto"/>
      </w:pPr>
      <w:r>
        <w:t>Prescriptiveness is a continuum. Discretionary guidelines, practices, processes,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to mandatory performance thresholds, even mandatory requirements to follow local “best management practices” are less prescriptive because these practices may not include substantive requirements.</w:t>
      </w:r>
    </w:p>
    <w:p w14:paraId="37FC1CBF" w14:textId="77777777" w:rsidR="00E25645" w:rsidRDefault="00216B70" w:rsidP="00216B70">
      <w:pPr>
        <w:pStyle w:val="BodyText"/>
        <w:spacing w:line="480" w:lineRule="auto"/>
      </w:pPr>
      <w:r>
        <w:t xml:space="preserve">On each issue, our framework identifies both absolute and relative measures of prescriptiveness. This leads to three possibilities: “no prescriptive requirements” or “some prescriptive requirements”—and then, if the latter, whether they are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w:t>
      </w:r>
      <w:r>
        <w:lastRenderedPageBreak/>
        <w:t>less prescriptive on each issue, thus capturing the direction of change in prescriptiveness.</w:t>
      </w:r>
    </w:p>
    <w:p w14:paraId="5DE78D79" w14:textId="77777777" w:rsidR="00E25645" w:rsidRDefault="00E25645" w:rsidP="00216B70">
      <w:pPr>
        <w:pStyle w:val="BodyText"/>
        <w:spacing w:line="480" w:lineRule="auto"/>
      </w:pPr>
    </w:p>
    <w:p w14:paraId="172B3CBE" w14:textId="77777777" w:rsidR="00E25645" w:rsidRDefault="00216B70" w:rsidP="00216B70">
      <w:pPr>
        <w:pStyle w:val="BodyText"/>
        <w:spacing w:line="480" w:lineRule="auto"/>
      </w:pPr>
      <w:r>
        <w:rPr>
          <w:i/>
        </w:rPr>
        <w:t>Policy settings:</w:t>
      </w:r>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70C5FA12" w14:textId="77777777" w:rsidR="00E25645" w:rsidRDefault="00216B70" w:rsidP="00216B70">
      <w:pPr>
        <w:pStyle w:val="BodyText"/>
        <w:spacing w:line="480" w:lineRule="auto"/>
      </w:pPr>
      <w:r>
        <w:lastRenderedPageBreak/>
        <w:t>At its most stylized, step one, comparing two hypothetical programs (A and B) in a policy space with two issues (Hazardous Chemicals and Worker Training) might look like this: A researcher examines regulations in this policy area and inductively identifies a total of two issues. Both programs have some prescriptive requirements on both issues, so they are equal in 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Program A focusing on ecologically harmful chemicals and program B targeting those most harmful to humans, so the researcher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qualitatively. Yet a pattern emerges: Program A, the overall more prescriptive program, is also more focused on ecological protection, possibly due to being more influenced by environmental activists. In contrast, program B is more focused on worker safety, possibly to reduce the risk that worker injuries at one firm will impose reputational or regulatory costs for the whole industry.</w:t>
      </w:r>
    </w:p>
    <w:p w14:paraId="76177574" w14:textId="77777777" w:rsidR="00E25645" w:rsidRDefault="00216B70" w:rsidP="00216B70">
      <w:pPr>
        <w:pStyle w:val="BodyText"/>
        <w:spacing w:line="480" w:lineRule="auto"/>
      </w:pPr>
      <w:r>
        <w:t xml:space="preserve">As this example illustrates, the combination of precise and comprehensive measurement can avoid problems with using any one approach alone. Measuring </w:t>
      </w:r>
      <w:r>
        <w:lastRenderedPageBreak/>
        <w:t>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D01D926" w14:textId="77777777" w:rsidR="00E25645" w:rsidRDefault="00216B70" w:rsidP="00216B70">
      <w:pPr>
        <w:pStyle w:val="Heading2"/>
        <w:spacing w:line="480" w:lineRule="auto"/>
      </w:pPr>
      <w:bookmarkStart w:id="6" w:name="step-2-classifying-patterns-of-change"/>
      <w:bookmarkEnd w:id="6"/>
      <w:r>
        <w:t>Step 2: Classifying Patterns of Change</w:t>
      </w:r>
    </w:p>
    <w:p w14:paraId="4AF48A4E" w14:textId="77777777" w:rsidR="00E25645" w:rsidRDefault="00216B70" w:rsidP="00216B70">
      <w:pPr>
        <w:pStyle w:val="FirstParagraph"/>
        <w:spacing w:line="480" w:lineRule="auto"/>
      </w:pPr>
      <w:r>
        <w:t>Building on Baumgartner (2002) and Howlett and Cashore (2007), we also emphasize the importance of the direction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 and, in relative terms, regulations may be converging, in equilibrium, or diverging on each dimension over any given period (Table 4). Thus, in aggregate, nine relationships fully capture the possible dynamics for each dimension of change. All of the theories about regulatory stringency from Table 1 should be able to be expressed in terms of the dimension(s) to which the theory applies, the absolute directions of change they predict, and relative relationships they anticipate.</w:t>
      </w:r>
    </w:p>
    <w:p w14:paraId="226AA3C9" w14:textId="77777777" w:rsidR="00216B70" w:rsidRDefault="00216B70" w:rsidP="00216B70">
      <w:pPr>
        <w:pStyle w:val="BodyText"/>
      </w:pPr>
    </w:p>
    <w:p w14:paraId="701A1A80" w14:textId="77777777" w:rsidR="00216B70" w:rsidRPr="00216B70" w:rsidRDefault="00216B70" w:rsidP="00216B70">
      <w:pPr>
        <w:pStyle w:val="BodyText"/>
      </w:pPr>
      <w:r>
        <w:t>Table 4</w:t>
      </w:r>
    </w:p>
    <w:p w14:paraId="3477A174" w14:textId="77777777" w:rsidR="00E25645" w:rsidRDefault="00E25645" w:rsidP="00216B70">
      <w:pPr>
        <w:pStyle w:val="BodyText"/>
        <w:spacing w:line="480" w:lineRule="auto"/>
      </w:pPr>
    </w:p>
    <w:p w14:paraId="6C79A9D7" w14:textId="77777777" w:rsidR="00E25645" w:rsidRDefault="00216B70" w:rsidP="00216B70">
      <w:pPr>
        <w:pStyle w:val="BodyText"/>
        <w:spacing w:line="480" w:lineRule="auto"/>
      </w:pPr>
      <w:r>
        <w:rPr>
          <w:i/>
        </w:rPr>
        <w:lastRenderedPageBreak/>
        <w:t>Conclusion:</w:t>
      </w:r>
      <w:r>
        <w:t xml:space="preserve"> This framework for measuring regulatory stringency helps researchers accomplish several important tasks. For example, Brunel and Levinson (2016)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one satisfies these five criteria and step two goes on to classify relative change over time.</w:t>
      </w:r>
    </w:p>
    <w:p w14:paraId="1275A0FB" w14:textId="77777777" w:rsidR="00E25645" w:rsidRDefault="00216B70" w:rsidP="00216B70">
      <w:pPr>
        <w:pStyle w:val="Heading2"/>
        <w:spacing w:line="480" w:lineRule="auto"/>
      </w:pPr>
      <w:bookmarkStart w:id="7" w:name="theorizing-in-terms-of-scope-prescriptiv"/>
      <w:bookmarkEnd w:id="7"/>
      <w:r>
        <w:t>Theorizing in terms of scope, prescriptiveness, and policy settings</w:t>
      </w:r>
    </w:p>
    <w:p w14:paraId="45AD8B09" w14:textId="77777777" w:rsidR="00E25645" w:rsidRDefault="00216B70" w:rsidP="00216B70">
      <w:pPr>
        <w:pStyle w:val="FirstParagraph"/>
        <w:spacing w:line="480" w:lineRule="auto"/>
      </w:pPr>
      <w:r>
        <w:t>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w:t>
      </w:r>
    </w:p>
    <w:p w14:paraId="2DBBA78C" w14:textId="77777777" w:rsidR="00E25645" w:rsidRDefault="00216B70" w:rsidP="00216B70">
      <w:pPr>
        <w:pStyle w:val="BodyText"/>
        <w:spacing w:line="480" w:lineRule="auto"/>
      </w:pPr>
      <w:r>
        <w:rPr>
          <w:i/>
        </w:rPr>
        <w:lastRenderedPageBreak/>
        <w:t>Compliance costs and competition:</w:t>
      </w:r>
      <w:r>
        <w:t xml:space="preserve"> By breaking down stringency into three distinct dimensions, we expand on two related propositions: (1) Compliance costs cause competing programs to set different levels of stringency. Specifically, Cashore, Auld, and Newsom (2004) and Fischer and Lyon (2014) theorize that industry-backed programs set less stringent regulatory requirements than activist-backed programs because industry-backed programs are less willing to impose costs on firms. (2) Programs change in response to changes by their competitor. Specifically, when private authorities compete for market share, if one changes its requirements, the other will change in a similar direction (Fischer and Lyon 2014; Smith and Fischlein 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13176015" w14:textId="77777777" w:rsidR="00E25645" w:rsidRDefault="00216B70" w:rsidP="00216B70">
      <w:pPr>
        <w:pStyle w:val="BodyText"/>
        <w:spacing w:line="480" w:lineRule="auto"/>
      </w:pPr>
      <w:r>
        <w:rPr>
          <w:i/>
        </w:rPr>
        <w:t>Revised compliance cost hypotheses:</w:t>
      </w:r>
      <w:r>
        <w:t xml:space="preserve"> If broadening scope is low-cost for firms but increasing prescriptiveness and performance levels are high-cost,</w:t>
      </w:r>
    </w:p>
    <w:p w14:paraId="02CDBE47" w14:textId="77777777" w:rsidR="00E25645" w:rsidRDefault="00216B70" w:rsidP="00216B70">
      <w:pPr>
        <w:pStyle w:val="BlockText"/>
        <w:spacing w:line="480" w:lineRule="auto"/>
      </w:pPr>
      <w:r>
        <w:rPr>
          <w:b/>
        </w:rPr>
        <w:t>H1.1:</w:t>
      </w:r>
      <w:r>
        <w:t xml:space="preserve"> An industry-backed regulation will be more similar to an activist-backed regulation in scope than in prescriptiveness or performance levels.</w:t>
      </w:r>
    </w:p>
    <w:p w14:paraId="2A09698F" w14:textId="77777777" w:rsidR="00E25645" w:rsidRDefault="00216B70" w:rsidP="00216B70">
      <w:pPr>
        <w:pStyle w:val="BlockText"/>
        <w:spacing w:line="480" w:lineRule="auto"/>
      </w:pPr>
      <w:r>
        <w:rPr>
          <w:b/>
        </w:rPr>
        <w:t>H1.2:</w:t>
      </w:r>
      <w:r>
        <w:t xml:space="preserve"> An industry-backed regulation will be more likely to respond to changes in an activist backed regulation by converging in scope than in prescriptiveness or performance levels.</w:t>
      </w:r>
    </w:p>
    <w:p w14:paraId="46235C88" w14:textId="77777777" w:rsidR="00E25645" w:rsidRDefault="00216B70" w:rsidP="00216B70">
      <w:pPr>
        <w:pStyle w:val="FirstParagraph"/>
        <w:spacing w:line="480" w:lineRule="auto"/>
      </w:pPr>
      <w:r>
        <w:rPr>
          <w:i/>
        </w:rPr>
        <w:lastRenderedPageBreak/>
        <w:t>Differentiation:</w:t>
      </w:r>
      <w:r>
        <w:t xml:space="preserve"> Another core theoretical claim is that different coalitions will establish qualitatively different policies (Botzem and Dobusch 2012; Hsueh and Prakash 2012). By distinguishing types of stringency, we identify qualitative differences in how stringency varies across programs.</w:t>
      </w:r>
    </w:p>
    <w:p w14:paraId="55A1A61F" w14:textId="77777777" w:rsidR="00E25645" w:rsidRDefault="00216B70" w:rsidP="00216B70">
      <w:pPr>
        <w:pStyle w:val="BodyText"/>
        <w:spacing w:line="480" w:lineRule="auto"/>
      </w:pPr>
      <w:r>
        <w:t>Specifically, we expect that the relative stringency of an industry-backed program on a given issue will depend on whether the requirements results in net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between programs to be larger on issues where compliance costs are relatively higher or where industry-backed programs can more easily foster an impression of stringency without imposing costly requirements.</w:t>
      </w:r>
    </w:p>
    <w:p w14:paraId="356ECF80" w14:textId="77777777" w:rsidR="00E25645" w:rsidRDefault="00216B70" w:rsidP="00216B70">
      <w:pPr>
        <w:pStyle w:val="BodyText"/>
        <w:spacing w:line="480" w:lineRule="auto"/>
      </w:pPr>
      <w:r>
        <w:t xml:space="preserve">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w:t>
      </w:r>
      <w:r>
        <w:lastRenderedPageBreak/>
        <w:t>collective goods like technical knowledge or a skilled workforce). By “collective action,” we merely mean actions across individuals or firms that have net benefits but that requires a coordinating institution. Like industry associations,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771B2BFA" w14:textId="77777777" w:rsidR="00E25645" w:rsidRDefault="00216B70" w:rsidP="00216B70">
      <w:pPr>
        <w:pStyle w:val="BodyText"/>
        <w:spacing w:line="480" w:lineRule="auto"/>
      </w:pPr>
      <w:r>
        <w:rPr>
          <w:i/>
        </w:rPr>
        <w:t>Revised differentiation hypotheses:</w:t>
      </w:r>
      <w:r>
        <w:t xml:space="preserve"> Where activist-backed and industry-backed private regulations compete,</w:t>
      </w:r>
    </w:p>
    <w:p w14:paraId="687304C9" w14:textId="77777777" w:rsidR="00E25645" w:rsidRDefault="00216B70" w:rsidP="00216B70">
      <w:pPr>
        <w:pStyle w:val="BlockText"/>
        <w:spacing w:line="480" w:lineRule="auto"/>
      </w:pPr>
      <w:r>
        <w:rPr>
          <w:b/>
        </w:rPr>
        <w:t>H2.1:</w:t>
      </w:r>
      <w:r>
        <w:t xml:space="preserve"> Activist-backed regulations will have more comprehensive coverage, more prescriptive requirements, and higher performance thresholds on costly issues.</w:t>
      </w:r>
    </w:p>
    <w:p w14:paraId="1F8B93AC" w14:textId="77777777" w:rsidR="00E25645" w:rsidRDefault="00216B70" w:rsidP="00216B70">
      <w:pPr>
        <w:pStyle w:val="BlockText"/>
        <w:spacing w:line="480" w:lineRule="auto"/>
      </w:pPr>
      <w:r>
        <w:rPr>
          <w:b/>
        </w:rPr>
        <w:t>H2.2:</w:t>
      </w:r>
      <w:r>
        <w:t xml:space="preserve"> Industry-backed regulations have more comprehensive coverage, more prescriptive requirements, and higher performance thresholds on business-friendly issues, such as those that firms do anyway or those related to industry collective action problems.</w:t>
      </w:r>
    </w:p>
    <w:p w14:paraId="48AD029A" w14:textId="77777777" w:rsidR="00E25645" w:rsidRDefault="00216B70" w:rsidP="00216B70">
      <w:pPr>
        <w:pStyle w:val="FirstParagraph"/>
        <w:spacing w:line="480" w:lineRule="auto"/>
      </w:pPr>
      <w:r>
        <w:t xml:space="preserve">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w:t>
      </w:r>
      <w:r>
        <w:lastRenderedPageBreak/>
        <w:t>prescriptiveness, and policy settings of forestry certification programs do follow different patterns and that existing theories cannot fully account for these changes.</w:t>
      </w:r>
    </w:p>
    <w:p w14:paraId="3049B4F9" w14:textId="77777777" w:rsidR="00E25645" w:rsidRDefault="00216B70" w:rsidP="00216B70">
      <w:pPr>
        <w:pStyle w:val="Heading1"/>
        <w:spacing w:line="480" w:lineRule="auto"/>
      </w:pPr>
      <w:bookmarkStart w:id="8" w:name="competing-us-forest-certification-progra"/>
      <w:bookmarkEnd w:id="8"/>
      <w:r>
        <w:t>Competing US Forest Certification Programs</w:t>
      </w:r>
    </w:p>
    <w:p w14:paraId="16B084EF" w14:textId="77777777" w:rsidR="00E25645" w:rsidRDefault="00216B70" w:rsidP="00216B70">
      <w:pPr>
        <w:pStyle w:val="FirstParagraph"/>
        <w:spacing w:line="480" w:lineRule="auto"/>
      </w:pPr>
      <w:r>
        <w:t>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w:t>
      </w:r>
    </w:p>
    <w:p w14:paraId="0CE87B73" w14:textId="77777777" w:rsidR="00E25645" w:rsidRDefault="00216B70" w:rsidP="00216B70">
      <w:pPr>
        <w:pStyle w:val="BodyText"/>
        <w:spacing w:line="480" w:lineRule="auto"/>
      </w:pPr>
      <w:r>
        <w:t>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 2017). This scale of impact on the industry makes forest certification an important case.</w:t>
      </w:r>
    </w:p>
    <w:p w14:paraId="4DD4AE36" w14:textId="77777777" w:rsidR="00E25645" w:rsidRDefault="00216B70" w:rsidP="00216B70">
      <w:pPr>
        <w:pStyle w:val="BodyText"/>
        <w:spacing w:line="480" w:lineRule="auto"/>
      </w:pPr>
      <w:r>
        <w:lastRenderedPageBreak/>
        <w:t>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 2013).</w:t>
      </w:r>
    </w:p>
    <w:p w14:paraId="732C39BC" w14:textId="77777777" w:rsidR="00216B70" w:rsidRDefault="00216B70" w:rsidP="00216B70">
      <w:pPr>
        <w:pStyle w:val="BodyText"/>
        <w:spacing w:line="480" w:lineRule="auto"/>
      </w:pPr>
    </w:p>
    <w:p w14:paraId="02AFE5A0" w14:textId="77777777" w:rsidR="00E25645" w:rsidRDefault="00216B70" w:rsidP="00216B70">
      <w:pPr>
        <w:pStyle w:val="ImageCaption"/>
        <w:spacing w:line="480" w:lineRule="auto"/>
      </w:pPr>
      <w:r>
        <w:t>Figure 1: U.S. Timberland by ownership and certification scheme</w:t>
      </w:r>
    </w:p>
    <w:p w14:paraId="3108D636" w14:textId="77777777" w:rsidR="00E25645" w:rsidRDefault="00216B70" w:rsidP="00216B70">
      <w:pPr>
        <w:pStyle w:val="BodyText"/>
        <w:spacing w:line="480" w:lineRule="auto"/>
      </w:pPr>
      <w:r>
        <w:rPr>
          <w:i/>
        </w:rPr>
        <w:t>Origin of the FSC:</w:t>
      </w:r>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w:t>
      </w:r>
    </w:p>
    <w:p w14:paraId="3B0E9A1B" w14:textId="77777777" w:rsidR="00E25645" w:rsidRDefault="00216B70" w:rsidP="00216B70">
      <w:pPr>
        <w:pStyle w:val="BodyText"/>
        <w:spacing w:line="480" w:lineRule="auto"/>
      </w:pPr>
      <w:r>
        <w:rPr>
          <w:i/>
        </w:rPr>
        <w:t>Origin of the SFI:</w:t>
      </w:r>
      <w:r>
        <w:t xml:space="preserve"> In 1995, in response to the emergence of the FSC, the U.S.-based industry association, the American Forest &amp; Paper Association, established a forest </w:t>
      </w:r>
      <w:r>
        <w:lastRenderedPageBreak/>
        <w:t>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by some measures, less stringent requirements than PEFC benchmarks.</w:t>
      </w:r>
    </w:p>
    <w:p w14:paraId="3A3AC90A" w14:textId="77777777" w:rsidR="00E25645" w:rsidRDefault="00216B70" w:rsidP="00216B70">
      <w:pPr>
        <w:pStyle w:val="BodyText"/>
        <w:spacing w:line="480" w:lineRule="auto"/>
      </w:pPr>
      <w:r>
        <w:rPr>
          <w:i/>
        </w:rPr>
        <w:t>“Sustainable” Forestry:</w:t>
      </w:r>
      <w: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w:t>
      </w:r>
      <w:r>
        <w:lastRenderedPageBreak/>
        <w:t>include requirements to leave economically valuable timber behind for animal habitat or soil health. Disagreements become concrete in the details of such requirements. Thus, a meaningful assessment of similarities and differences between regulations requires attention to detail.</w:t>
      </w:r>
    </w:p>
    <w:p w14:paraId="7C3F4631" w14:textId="77777777" w:rsidR="00E25645" w:rsidRDefault="00216B70" w:rsidP="00216B70">
      <w:pPr>
        <w:pStyle w:val="Heading2"/>
        <w:spacing w:line="480" w:lineRule="auto"/>
      </w:pPr>
      <w:bookmarkStart w:id="9" w:name="scope-prescriptiveness-and-policy-settin"/>
      <w:bookmarkEnd w:id="9"/>
      <w:r>
        <w:t>Scope, prescriptiveness, and policy settings in forestry</w:t>
      </w:r>
    </w:p>
    <w:p w14:paraId="2274C388" w14:textId="77777777" w:rsidR="00E25645" w:rsidRDefault="00216B70" w:rsidP="00216B70">
      <w:pPr>
        <w:pStyle w:val="FirstParagraph"/>
        <w:spacing w:line="480" w:lineRule="auto"/>
      </w:pPr>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 Cashore, and Kanowski 2010).</w:t>
      </w:r>
    </w:p>
    <w:p w14:paraId="747E0A73" w14:textId="77777777" w:rsidR="00E25645" w:rsidRDefault="00216B70" w:rsidP="00216B70">
      <w:pPr>
        <w:pStyle w:val="BodyText"/>
        <w:spacing w:line="480" w:lineRule="auto"/>
      </w:pPr>
      <w:r>
        <w:t>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w:t>
      </w:r>
    </w:p>
    <w:p w14:paraId="2263DA03" w14:textId="77777777" w:rsidR="00E25645" w:rsidRDefault="00216B70" w:rsidP="00216B70">
      <w:pPr>
        <w:pStyle w:val="BodyText"/>
        <w:spacing w:line="480" w:lineRule="auto"/>
      </w:pPr>
      <w:r>
        <w:t xml:space="preserve">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t>
      </w:r>
      <w:r>
        <w:lastRenderedPageBreak/>
        <w:t>with a comprehensive scope of potential issues. Doing so allows us to classify each specific change, the types of issues that changed, and difference on issues that may be important but not (yet) salient in the public debates.</w:t>
      </w:r>
    </w:p>
    <w:p w14:paraId="6BAF5EDB" w14:textId="77777777" w:rsidR="00E25645" w:rsidRDefault="00216B70" w:rsidP="00216B70">
      <w:pPr>
        <w:pStyle w:val="Heading2"/>
        <w:spacing w:line="480" w:lineRule="auto"/>
      </w:pPr>
      <w:bookmarkStart w:id="10" w:name="results"/>
      <w:bookmarkEnd w:id="10"/>
      <w:r>
        <w:t>Results</w:t>
      </w:r>
    </w:p>
    <w:p w14:paraId="41D6F97C" w14:textId="77777777" w:rsidR="00E25645" w:rsidRDefault="00216B70" w:rsidP="00216B70">
      <w:pPr>
        <w:pStyle w:val="FirstParagraph"/>
        <w:spacing w:line="480" w:lineRule="auto"/>
      </w:pPr>
      <w:r>
        <w:t>Here we compare each standard to its previous version and the contemporary version from its competitor. We assess revisions in the FSC- International’s 2012 Revised Principles and Criteria 01-001 Version 5-0 (FSC–P&amp;C) and compare them to revisions in the PEFC’s Sustainable Forest Management Standards 1003:2010. Similarly, we compare the 2010 FSC-U.S. Forest Management Standard Version 1.0 to the FSC-US National Indicators and regional standards it replaced and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online appendix).</w:t>
      </w:r>
    </w:p>
    <w:p w14:paraId="6F2DE2AF" w14:textId="77777777" w:rsidR="00E25645" w:rsidRDefault="00216B70" w:rsidP="00216B70">
      <w:pPr>
        <w:pStyle w:val="Heading3"/>
        <w:spacing w:line="480" w:lineRule="auto"/>
      </w:pPr>
      <w:bookmarkStart w:id="11" w:name="comparing-fscs-and-pefcs-international-r"/>
      <w:bookmarkEnd w:id="11"/>
      <w:r>
        <w:t>Comparing FSC’s and PEFC’s international requirements</w:t>
      </w:r>
    </w:p>
    <w:p w14:paraId="4E5E4F35" w14:textId="77777777" w:rsidR="00E25645" w:rsidRDefault="00216B70" w:rsidP="00216B70">
      <w:pPr>
        <w:pStyle w:val="FirstParagraph"/>
        <w:spacing w:line="480" w:lineRule="auto"/>
      </w:pPr>
      <w:r>
        <w:rPr>
          <w:i/>
        </w:rPr>
        <w:t>Scope:</w:t>
      </w:r>
      <w:r>
        <w:t xml:space="preserv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w:t>
      </w:r>
      <w:r>
        <w:lastRenderedPageBreak/>
        <w:t>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w:t>
      </w:r>
    </w:p>
    <w:p w14:paraId="13117302" w14:textId="77777777" w:rsidR="00E25645" w:rsidRDefault="00216B70" w:rsidP="00216B70">
      <w:pPr>
        <w:pStyle w:val="BodyText"/>
        <w:spacing w:line="480" w:lineRule="auto"/>
      </w:pPr>
      <w:r>
        <w:rPr>
          <w:i/>
        </w:rPr>
        <w:t>Prescriptiveness:</w:t>
      </w:r>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w:t>
      </w:r>
    </w:p>
    <w:p w14:paraId="1F75C388" w14:textId="77777777" w:rsidR="00E25645" w:rsidRDefault="00216B70" w:rsidP="00216B70">
      <w:pPr>
        <w:pStyle w:val="BodyText"/>
        <w:spacing w:line="480" w:lineRule="auto"/>
      </w:pPr>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w:t>
      </w:r>
      <w:r>
        <w:lastRenderedPageBreak/>
        <w:t>more issues than did FSC P&amp;C, the resulting pattern is an “upward convergence” (the bottom panel of Figure 2).</w:t>
      </w:r>
    </w:p>
    <w:p w14:paraId="03DB0DE7" w14:textId="77777777" w:rsidR="00E25645" w:rsidRDefault="00E25645" w:rsidP="00216B70">
      <w:pPr>
        <w:pStyle w:val="FigurewithCaption"/>
        <w:spacing w:line="480" w:lineRule="auto"/>
      </w:pPr>
    </w:p>
    <w:p w14:paraId="05B11410" w14:textId="77777777" w:rsidR="00E25645" w:rsidRDefault="00216B70" w:rsidP="00216B70">
      <w:pPr>
        <w:pStyle w:val="ImageCaption"/>
        <w:spacing w:line="480" w:lineRule="auto"/>
      </w:pPr>
      <w:r>
        <w:t>Figure 2: Scope and Prescriptiveness of FSC P&amp;C and PEFC 2008-2015</w:t>
      </w:r>
    </w:p>
    <w:p w14:paraId="755B65AD" w14:textId="77777777" w:rsidR="00216B70" w:rsidRDefault="00216B70" w:rsidP="00216B70">
      <w:pPr>
        <w:pStyle w:val="ImageCaption"/>
        <w:spacing w:line="480" w:lineRule="auto"/>
      </w:pPr>
    </w:p>
    <w:p w14:paraId="4E58A312" w14:textId="77777777" w:rsidR="00E25645" w:rsidRDefault="00216B70" w:rsidP="00216B70">
      <w:pPr>
        <w:pStyle w:val="BodyText"/>
        <w:spacing w:line="480" w:lineRule="auto"/>
      </w:pPr>
      <w:r>
        <w:rPr>
          <w:i/>
        </w:rPr>
        <w:t>Policy settings:</w:t>
      </w:r>
      <w:r>
        <w:t xml:space="preserve"> One particularly controversial issue is the conversion of natural forests to timber plantations. Both programs permit certification of natural forest converted to plantation forestry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3974C1E1" w14:textId="77777777" w:rsidR="00E25645" w:rsidRDefault="00216B70" w:rsidP="00216B70">
      <w:pPr>
        <w:pStyle w:val="BodyText"/>
        <w:spacing w:line="480" w:lineRule="auto"/>
      </w:pPr>
      <w:r>
        <w:t xml:space="preserve">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w:t>
      </w:r>
      <w:r>
        <w:lastRenderedPageBreak/>
        <w:t>and compensation for the use of traditional knowledge. Both standards also recognized legal, traditional, and customary rights. However, the FSC-P&amp;C are more prescriptive, defining topics on which forest managers must consult with indigenous peoples, while the PEFC standards are more procedural, requiring only that engagement takes place. The FSC’s criteria regarding public consultation include special obligations to “affected stakeholders” compared to “interested stakeholders” while PEFC requirements regarding “local people and other stakeholders” are the same.</w:t>
      </w:r>
    </w:p>
    <w:p w14:paraId="4F3EB47F" w14:textId="77777777" w:rsidR="00E25645" w:rsidRDefault="00216B70" w:rsidP="00216B70">
      <w:pPr>
        <w:pStyle w:val="BodyText"/>
        <w:spacing w:line="480" w:lineRule="auto"/>
      </w:pPr>
      <w:r>
        <w:t>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w:t>
      </w:r>
    </w:p>
    <w:p w14:paraId="339F4B39" w14:textId="77777777" w:rsidR="00E25645" w:rsidRDefault="00216B70" w:rsidP="00216B70">
      <w:pPr>
        <w:pStyle w:val="BodyText"/>
        <w:spacing w:line="480" w:lineRule="auto"/>
      </w:pPr>
      <w:r>
        <w:rPr>
          <w:i/>
        </w:rPr>
        <w:lastRenderedPageBreak/>
        <w:t>Summary:</w:t>
      </w:r>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exhibited more convergence on both scope and prescriptiveness (compare Figures 3 and 4) though many differences in policy settings remained.</w:t>
      </w:r>
    </w:p>
    <w:p w14:paraId="01159072" w14:textId="77777777" w:rsidR="00E25645" w:rsidRDefault="00216B70" w:rsidP="00216B70">
      <w:pPr>
        <w:pStyle w:val="Heading3"/>
        <w:spacing w:line="480" w:lineRule="auto"/>
      </w:pPr>
      <w:bookmarkStart w:id="12" w:name="comparing-the-fsc-us-and-sfi"/>
      <w:bookmarkEnd w:id="12"/>
      <w:r>
        <w:t>Comparing the FSC-US and SFI</w:t>
      </w:r>
    </w:p>
    <w:p w14:paraId="33530483" w14:textId="77777777" w:rsidR="00E25645" w:rsidRDefault="00216B70" w:rsidP="00216B70">
      <w:pPr>
        <w:pStyle w:val="FirstParagraph"/>
        <w:spacing w:line="480" w:lineRule="auto"/>
      </w:pPr>
      <w:r>
        <w:rPr>
          <w:i/>
        </w:rPr>
        <w:t>Scope:</w:t>
      </w:r>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w:t>
      </w:r>
      <w:r>
        <w:lastRenderedPageBreak/>
        <w:t>converted from natural forests before 1994. FSC-US also requires a portion of these plantations to be maintained as, or restored to, natural conditions.</w:t>
      </w:r>
    </w:p>
    <w:p w14:paraId="12E0D7AE" w14:textId="77777777" w:rsidR="00E25645" w:rsidRDefault="00216B70" w:rsidP="00216B70">
      <w:pPr>
        <w:pStyle w:val="BodyText"/>
        <w:spacing w:line="480" w:lineRule="auto"/>
      </w:pPr>
      <w:r>
        <w:rPr>
          <w:i/>
        </w:rPr>
        <w:t>Prescriptiveness:</w:t>
      </w:r>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w:t>
      </w:r>
    </w:p>
    <w:p w14:paraId="56BEF521" w14:textId="77777777" w:rsidR="00E25645" w:rsidRDefault="00216B70" w:rsidP="00216B70">
      <w:pPr>
        <w:pStyle w:val="BodyText"/>
        <w:spacing w:line="480" w:lineRule="auto"/>
      </w:pPr>
      <w:r>
        <w:t>Counting changes made to the FSC-US and SFI standards between 2008 and 2016 reveals an “upward diverging” pattern, where the FSC-US became more prescriptive than did the SFI (the bottom panel of Figure 3). Of 48 key issues, the FSC-US became more prescriptive on 20, whereas SFI became more prescriptive on 12 (eight in 2010, one more in 2013, and three more in 2015).</w:t>
      </w:r>
    </w:p>
    <w:p w14:paraId="76CEDD0C" w14:textId="77777777" w:rsidR="00E25645" w:rsidRDefault="00E25645" w:rsidP="00216B70">
      <w:pPr>
        <w:pStyle w:val="FigurewithCaption"/>
        <w:spacing w:line="480" w:lineRule="auto"/>
      </w:pPr>
    </w:p>
    <w:p w14:paraId="790306A6" w14:textId="77777777" w:rsidR="00E25645" w:rsidRDefault="00216B70" w:rsidP="00216B70">
      <w:pPr>
        <w:pStyle w:val="ImageCaption"/>
        <w:spacing w:line="480" w:lineRule="auto"/>
      </w:pPr>
      <w:r>
        <w:t>Figure 3: Scope and Prescriptiveness of FSC-US and SFI 2008-2016</w:t>
      </w:r>
    </w:p>
    <w:p w14:paraId="042300B9" w14:textId="77777777" w:rsidR="00E25645" w:rsidRDefault="00216B70" w:rsidP="00216B70">
      <w:pPr>
        <w:pStyle w:val="BodyText"/>
        <w:spacing w:line="480" w:lineRule="auto"/>
      </w:pPr>
      <w:r>
        <w:rPr>
          <w:i/>
        </w:rPr>
        <w:t>Policy Settings:</w:t>
      </w:r>
      <w:r>
        <w:t xml:space="preserve"> Issues such as clearcut size limits and limits on harvesting near streams clearly illustrate enduring differences between the SFI and the FSC-US </w:t>
      </w:r>
      <w:r>
        <w:lastRenderedPageBreak/>
        <w:t>because we can compare policy settings on these issues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The FSC-US also limits harvesting with 20 percent tree retention to a 100-acre average and 80-acre maximum, with further restrictions based on region and forest type (Figure 4).</w:t>
      </w:r>
    </w:p>
    <w:p w14:paraId="4DDF7AC5" w14:textId="77777777" w:rsidR="00E25645" w:rsidRDefault="00216B70" w:rsidP="00216B70">
      <w:pPr>
        <w:pStyle w:val="BodyText"/>
        <w:spacing w:line="480" w:lineRule="auto"/>
      </w:pPr>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5).</w:t>
      </w:r>
    </w:p>
    <w:p w14:paraId="1175AEF0" w14:textId="77777777" w:rsidR="00E25645" w:rsidRDefault="00E25645" w:rsidP="00216B70">
      <w:pPr>
        <w:pStyle w:val="FigurewithCaption"/>
        <w:spacing w:line="480" w:lineRule="auto"/>
      </w:pPr>
    </w:p>
    <w:p w14:paraId="6AC4D8B8" w14:textId="77777777" w:rsidR="00E25645" w:rsidRDefault="00216B70" w:rsidP="00216B70">
      <w:pPr>
        <w:pStyle w:val="ImageCaption"/>
        <w:spacing w:line="480" w:lineRule="auto"/>
      </w:pPr>
      <w:r>
        <w:t>Figure 4: Limits on Clearcut Size</w:t>
      </w:r>
    </w:p>
    <w:p w14:paraId="1CBAF924" w14:textId="77777777" w:rsidR="00E25645" w:rsidRDefault="00E25645" w:rsidP="00216B70">
      <w:pPr>
        <w:pStyle w:val="FigurewithCaption"/>
        <w:spacing w:line="480" w:lineRule="auto"/>
      </w:pPr>
    </w:p>
    <w:p w14:paraId="4BF49BF1" w14:textId="77777777" w:rsidR="00E25645" w:rsidRDefault="00216B70" w:rsidP="00216B70">
      <w:pPr>
        <w:pStyle w:val="ImageCaption"/>
        <w:spacing w:line="480" w:lineRule="auto"/>
      </w:pPr>
      <w:r>
        <w:t>Figure 5:Limits on Harvesting Near Streams</w:t>
      </w:r>
    </w:p>
    <w:p w14:paraId="020F396E" w14:textId="77777777" w:rsidR="00E25645" w:rsidRDefault="00E25645" w:rsidP="00216B70">
      <w:pPr>
        <w:pStyle w:val="BodyText"/>
        <w:spacing w:line="480" w:lineRule="auto"/>
      </w:pPr>
    </w:p>
    <w:p w14:paraId="1D1AF260" w14:textId="77777777" w:rsidR="00E25645" w:rsidRDefault="00216B70" w:rsidP="00216B70">
      <w:pPr>
        <w:pStyle w:val="BodyText"/>
        <w:spacing w:line="480"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DD1164F" w14:textId="77777777" w:rsidR="00E25645" w:rsidRDefault="00216B70" w:rsidP="00216B70">
      <w:pPr>
        <w:pStyle w:val="BodyText"/>
        <w:spacing w:line="480" w:lineRule="auto"/>
      </w:pPr>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w:t>
      </w:r>
      <w:r>
        <w:lastRenderedPageBreak/>
        <w:t>(designations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49519F7A" w14:textId="77777777" w:rsidR="00E25645" w:rsidRDefault="00216B70" w:rsidP="00216B70">
      <w:pPr>
        <w:pStyle w:val="BodyText"/>
        <w:spacing w:line="480" w:lineRule="auto"/>
      </w:pPr>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 and Hewitt 2005), while SFI’s FECV requirements have been criticized as not significantly exceeding legal baselines (state and federal endangered species acts) which already protect threatened and endangered species. The FSC-US then added even more prescriptive </w:t>
      </w:r>
      <w:r>
        <w:lastRenderedPageBreak/>
        <w:t>requirements requiring certain areas to be designated HCVFs and prescriptive accountability mechanisms for HCVF management.</w:t>
      </w:r>
    </w:p>
    <w:p w14:paraId="5B5FEFCC" w14:textId="77777777" w:rsidR="00E25645" w:rsidRDefault="00216B70" w:rsidP="00216B70">
      <w:pPr>
        <w:pStyle w:val="BodyText"/>
        <w:spacing w:line="480" w:lineRule="auto"/>
      </w:pPr>
      <w:r>
        <w:rPr>
          <w:i/>
        </w:rPr>
        <w:t>Summary:</w:t>
      </w:r>
      <w:r>
        <w:t xml:space="preserve">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w:t>
      </w:r>
    </w:p>
    <w:p w14:paraId="0A7F5535" w14:textId="77777777" w:rsidR="00E25645" w:rsidRDefault="00216B70" w:rsidP="00216B70">
      <w:pPr>
        <w:pStyle w:val="BodyText"/>
        <w:spacing w:line="480" w:lineRule="auto"/>
      </w:pPr>
      <w:r>
        <w:t>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converted to plantations, and requiring a written policy to recognize and respect indigenous rights.</w:t>
      </w:r>
    </w:p>
    <w:p w14:paraId="51F47B8A" w14:textId="77777777" w:rsidR="00E25645" w:rsidRDefault="00216B70" w:rsidP="00216B70">
      <w:pPr>
        <w:pStyle w:val="Heading1"/>
        <w:spacing w:line="480" w:lineRule="auto"/>
      </w:pPr>
      <w:bookmarkStart w:id="13" w:name="discussion"/>
      <w:bookmarkEnd w:id="13"/>
      <w:r>
        <w:lastRenderedPageBreak/>
        <w:t>Discussion</w:t>
      </w:r>
    </w:p>
    <w:p w14:paraId="2B343A32" w14:textId="77777777" w:rsidR="00E25645" w:rsidRDefault="00216B70" w:rsidP="00216B70">
      <w:pPr>
        <w:pStyle w:val="Heading2"/>
        <w:spacing w:line="480" w:lineRule="auto"/>
      </w:pPr>
      <w:bookmarkStart w:id="14" w:name="overall-comparison"/>
      <w:bookmarkEnd w:id="14"/>
      <w:r>
        <w:t>Overall comparison</w:t>
      </w:r>
    </w:p>
    <w:p w14:paraId="0DA95A92" w14:textId="77777777" w:rsidR="00E25645" w:rsidRDefault="00216B70" w:rsidP="00216B70">
      <w:pPr>
        <w:pStyle w:val="FirstParagraph"/>
        <w:spacing w:line="480" w:lineRule="auto"/>
      </w:pPr>
      <w:r>
        <w:t>By distinguishing different types of stringency on a comprehensive set of issues, our framework improves upon blunt measures of “high” or “low” standards based on generalizations or on only a few issues.</w:t>
      </w:r>
    </w:p>
    <w:p w14:paraId="350454AD" w14:textId="77777777" w:rsidR="00E25645" w:rsidRDefault="00216B70" w:rsidP="00216B70">
      <w:pPr>
        <w:pStyle w:val="BodyText"/>
        <w:spacing w:line="480" w:lineRule="auto"/>
      </w:pPr>
      <w:r>
        <w:t>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requires that local communities benefit from harvesting in ways that were unmatched by SFI’s standard. Numerically, FSC-US had a broader scope of social benefits, but the programs did present tradeoffs between conceptions of the public good. On prescriptiveness, the contrast was more stark,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w:t>
      </w:r>
    </w:p>
    <w:p w14:paraId="02314F30" w14:textId="77777777" w:rsidR="00E25645" w:rsidRDefault="00216B70" w:rsidP="00216B70">
      <w:pPr>
        <w:pStyle w:val="BodyText"/>
        <w:spacing w:line="480" w:lineRule="auto"/>
      </w:pPr>
      <w:r>
        <w:lastRenderedPageBreak/>
        <w:t>On more business-oriented goals such as efficiency (e.g. levels of cut tree utilization), industry capacity (e.g. workforce training and research), and industry reputation (e.g., public education and aesthetics), the patterns were largely reversed. SFI was slightly broader in scope, requiring contributions to research where FSC did not, was more prescriptive, and required increasingly demanding performance levels on many business-friendly issues.</w:t>
      </w:r>
    </w:p>
    <w:p w14:paraId="38B78BDA" w14:textId="77777777" w:rsidR="00E25645" w:rsidRDefault="00216B70" w:rsidP="00216B70">
      <w:pPr>
        <w:pStyle w:val="Heading2"/>
        <w:spacing w:line="480" w:lineRule="auto"/>
      </w:pPr>
      <w:bookmarkStart w:id="15" w:name="patterns-of-change"/>
      <w:bookmarkEnd w:id="15"/>
      <w:r>
        <w:t>Patterns of change</w:t>
      </w:r>
    </w:p>
    <w:p w14:paraId="747CF280" w14:textId="77777777" w:rsidR="00E25645" w:rsidRDefault="00216B70" w:rsidP="00216B70">
      <w:pPr>
        <w:pStyle w:val="FirstParagraph"/>
        <w:spacing w:line="480" w:lineRule="auto"/>
      </w:pPr>
      <w:r>
        <w:t>In most years between 2008 and 2016, neither the FSC nor the SFI changed on any issue (the center cell in Table 6, “equilibrium”).</w:t>
      </w:r>
    </w:p>
    <w:p w14:paraId="78701434" w14:textId="77777777" w:rsidR="00E25645" w:rsidRDefault="00216B70" w:rsidP="00216B70">
      <w:pPr>
        <w:pStyle w:val="BodyText"/>
        <w:spacing w:line="480" w:lineRule="auto"/>
      </w:pPr>
      <w:r>
        <w:t>When they did change, upwardly diverging prescriptiveness was the dominant pattern. Most changes for both programs occurred in 2010 where the overall pattern was divergence, rather than convergence or stability.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w:t>
      </w:r>
    </w:p>
    <w:p w14:paraId="7EC40AE5" w14:textId="77777777" w:rsidR="00E25645" w:rsidRDefault="00216B70" w:rsidP="00216B70">
      <w:pPr>
        <w:pStyle w:val="BodyText"/>
        <w:spacing w:line="480" w:lineRule="auto"/>
      </w:pPr>
      <w:r>
        <w:t xml:space="preserve">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prescriptive program stayed the same, leading to upward divergence. On three </w:t>
      </w:r>
      <w:r>
        <w:lastRenderedPageBreak/>
        <w:t>issues, the less prescriptive program decreased prescriptiveness, leading to opposing divergence (see Table 6).</w:t>
      </w:r>
    </w:p>
    <w:p w14:paraId="41E2E4B5" w14:textId="77777777" w:rsidR="00E25645" w:rsidRDefault="00E25645" w:rsidP="00216B70">
      <w:pPr>
        <w:pStyle w:val="BodyText"/>
        <w:spacing w:line="480" w:lineRule="auto"/>
      </w:pPr>
    </w:p>
    <w:p w14:paraId="386CD4C9" w14:textId="77777777" w:rsidR="00E25645" w:rsidRDefault="00216B70" w:rsidP="00216B70">
      <w:pPr>
        <w:pStyle w:val="BodyText"/>
        <w:spacing w:line="480" w:lineRule="auto"/>
      </w:pPr>
      <w:r>
        <w:t>Convergence was rare. In 2010, upward convergence only occurred where FSC-US added requirements on the issue of “continual improvement” of harvesting operations, an issue usually associated more with the SFI. This outcome is interesting because scholars generally predict that less stringent private regulations will converge toward “benchmark” standards like FSC’s (Overdevest 2005; Overdevest 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w:t>
      </w:r>
    </w:p>
    <w:p w14:paraId="422C057A" w14:textId="77777777" w:rsidR="00E25645" w:rsidRDefault="00216B70" w:rsidP="00216B70">
      <w:pPr>
        <w:pStyle w:val="BodyText"/>
        <w:spacing w:line="480" w:lineRule="auto"/>
      </w:pPr>
      <w:r>
        <w:t xml:space="preserve">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w:t>
      </w:r>
      <w:r>
        <w:lastRenderedPageBreak/>
        <w:t>than those added by the SFI. No issues exhibited downward parallel change, as “race to the bottom” theory anticipates.</w:t>
      </w:r>
    </w:p>
    <w:p w14:paraId="2DDAE6B9" w14:textId="77777777" w:rsidR="00E25645" w:rsidRDefault="00216B70" w:rsidP="00216B70">
      <w:pPr>
        <w:pStyle w:val="BodyText"/>
        <w:spacing w:line="480" w:lineRule="auto"/>
      </w:pPr>
      <w:r>
        <w:t>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w:t>
      </w:r>
    </w:p>
    <w:p w14:paraId="41D21309" w14:textId="77777777" w:rsidR="00E25645" w:rsidRDefault="00216B70" w:rsidP="00216B70">
      <w:pPr>
        <w:pStyle w:val="Heading2"/>
        <w:spacing w:line="480" w:lineRule="auto"/>
      </w:pPr>
      <w:bookmarkStart w:id="16" w:name="implications-for-theory"/>
      <w:bookmarkEnd w:id="16"/>
      <w:r>
        <w:t>Implications for theory</w:t>
      </w:r>
    </w:p>
    <w:p w14:paraId="33311337" w14:textId="77777777" w:rsidR="00E25645" w:rsidRDefault="00216B70" w:rsidP="00216B70">
      <w:pPr>
        <w:pStyle w:val="FirstParagraph"/>
        <w:spacing w:line="480" w:lineRule="auto"/>
      </w:pPr>
      <w:r>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overall upward by diverging trajectories of the SFI and FSC-US do not exactly fit a “race to the top” either.</w:t>
      </w:r>
    </w:p>
    <w:p w14:paraId="7CBB01BD" w14:textId="77777777" w:rsidR="00E25645" w:rsidRDefault="00216B70" w:rsidP="00216B70">
      <w:pPr>
        <w:pStyle w:val="BodyText"/>
        <w:spacing w:line="480" w:lineRule="auto"/>
      </w:pPr>
      <w:r>
        <w:lastRenderedPageBreak/>
        <w:t>Our results do support, with some caveats, hypotheses 1.1, 2.1 , and 2.2 outlined in Section 2.3. We ended up with no evidence either way on hypothesis 1.2.</w:t>
      </w:r>
    </w:p>
    <w:p w14:paraId="2D3EAAEB" w14:textId="77777777" w:rsidR="00E25645" w:rsidRDefault="00216B70" w:rsidP="00216B70">
      <w:pPr>
        <w:pStyle w:val="BodyText"/>
        <w:spacing w:line="480" w:lineRule="auto"/>
      </w:pPr>
      <w:r>
        <w:t>Regarding H1.1, the industry-backed program often had language similar to that of the activist-driven standard (i.e., it had a similar scope), but often lacked mandatory performance thresholds (i.e., it did not have similar prescriptiveness). If “talk is cheap,” but prescriptive requirements are costly, it makes sense that an industry-backed program would cover similar issues as its competitor without adopting costly performance thresholds.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w:t>
      </w:r>
    </w:p>
    <w:p w14:paraId="582FCB91" w14:textId="77777777" w:rsidR="00E25645" w:rsidRDefault="00216B70" w:rsidP="00216B70">
      <w:pPr>
        <w:pStyle w:val="BodyText"/>
        <w:spacing w:line="480" w:lineRule="auto"/>
      </w:pPr>
      <w:r>
        <w:t xml:space="preserve">Regarding H2.1, we find differentiation between the FSC-US and the SFI; the activist-backed program was more comprehensive in scope, was more prescriptive, and had higher performance levels on issues that cost firms’, while the industry-backed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w:t>
      </w:r>
      <w:r>
        <w:lastRenderedPageBreak/>
        <w:t>to test these and other hypotheses, using similarly precise and comprehensive measures of regulatory stringency. Specifically, while “ratcheting up” theories anticipate the general upward direction we observe, more attention is needed to explain why programs may increase prescriptiveness on different issues, especially issues where they already have the more stringent requirements.</w:t>
      </w:r>
    </w:p>
    <w:p w14:paraId="3CA15D7B" w14:textId="77777777" w:rsidR="00E25645" w:rsidRDefault="00216B70" w:rsidP="00216B70">
      <w:pPr>
        <w:pStyle w:val="Heading2"/>
        <w:spacing w:line="480" w:lineRule="auto"/>
      </w:pPr>
      <w:bookmarkStart w:id="17" w:name="industry-backed-certification-programs-a"/>
      <w:bookmarkEnd w:id="17"/>
      <w:r>
        <w:t>Industry-backed certification programs as a form of collective action</w:t>
      </w:r>
    </w:p>
    <w:p w14:paraId="158C0F6D" w14:textId="77777777" w:rsidR="00E25645" w:rsidRDefault="00216B70" w:rsidP="00216B70">
      <w:pPr>
        <w:pStyle w:val="FirstParagraph"/>
        <w:spacing w:line="480" w:lineRule="auto"/>
      </w:pPr>
      <w:r>
        <w:t>Our finding that the SFI and FSC-US were each more prescriptive and continued to become more prescriptive on qualitatively different issues highlights how industry-backed certification programs can serve their industry in two ways. First, they provide individual firms with a service—a signal of “social responsibility” that requires a credible third party. Such a signal would be more expensive to send by complying with an activist-backed regulation. Second, they provide a mechanism for an industry to improve its collective reputation and capacity by coordinating contributions to collective goods, a common function of industry associations.</w:t>
      </w:r>
    </w:p>
    <w:p w14:paraId="393896F9" w14:textId="77777777" w:rsidR="00E25645" w:rsidRDefault="00216B70" w:rsidP="00216B70">
      <w:pPr>
        <w:pStyle w:val="BodyText"/>
        <w:spacing w:line="480" w:lineRule="auto"/>
      </w:pPr>
      <w:r>
        <w:t xml:space="preserve">Regarding the first, industry-backed programs are often created to save firms money by offering a label that sends “green” or “socially responsible” signals in the market without some of the more costly demands of activist-backed programs or public regulations. Such signals are often based on perceived stringency, which may </w:t>
      </w:r>
      <w:r>
        <w:lastRenderedPageBreak/>
        <w:t>vary from actual stringency.</w:t>
      </w:r>
      <w:r>
        <w:rPr>
          <w:rStyle w:val="FootnoteReference"/>
        </w:rPr>
        <w:footnoteReference w:id="2"/>
      </w:r>
      <w:r>
        <w:t xml:space="preserve"> Nevertheless, maintaining legitimacy may require some prescriptive requirements on costly issues. On these issues levels of prescriptiveness and policy change are likely driven by competition with activist-backed standards.</w:t>
      </w:r>
    </w:p>
    <w:p w14:paraId="4B04A825" w14:textId="77777777" w:rsidR="00E25645" w:rsidRDefault="00216B70" w:rsidP="00216B70">
      <w:pPr>
        <w:pStyle w:val="BodyText"/>
        <w:spacing w:line="480" w:lineRule="auto"/>
      </w:pPr>
      <w:r>
        <w:t xml:space="preserve">Regarding the second, the fact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w:t>
      </w:r>
      <w:r>
        <w:lastRenderedPageBreak/>
        <w:t>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0CB37D8B" w14:textId="77777777" w:rsidR="00E25645" w:rsidRDefault="00216B70" w:rsidP="00216B70">
      <w:pPr>
        <w:pStyle w:val="BodyText"/>
        <w:spacing w:line="480" w:lineRule="auto"/>
      </w:pPr>
      <w:r>
        <w:t>In short, where the SFI developed more prescriptive requirements than the FSC, it required things that firms may do anyway (e.g., train workers or educate the public), 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w:t>
      </w:r>
    </w:p>
    <w:p w14:paraId="5CE3F8C3" w14:textId="77777777" w:rsidR="00E25645" w:rsidRDefault="00216B70" w:rsidP="00216B70">
      <w:pPr>
        <w:pStyle w:val="Heading1"/>
        <w:spacing w:line="480" w:lineRule="auto"/>
      </w:pPr>
      <w:bookmarkStart w:id="18" w:name="conclusion"/>
      <w:bookmarkEnd w:id="18"/>
      <w:r>
        <w:t>Conclusion</w:t>
      </w:r>
    </w:p>
    <w:p w14:paraId="30CB44AE" w14:textId="77777777" w:rsidR="00E25645" w:rsidRDefault="00216B70" w:rsidP="00216B70">
      <w:pPr>
        <w:pStyle w:val="FirstParagraph"/>
        <w:spacing w:line="480" w:lineRule="auto"/>
      </w:pPr>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regulatory stringency, and for using longitudinal data to classify patterns of change, offers a foundation for further research about how competing regulatory programs compare, how they evolve, and why. There is no perfect way to compare incommensurate policies. We </w:t>
      </w:r>
      <w:r>
        <w:lastRenderedPageBreak/>
        <w:t>have nonetheless made our best effort to offer a method to do so. By applying this method, we have systematically quantified differences that can be quantified and described as richly as possible those comparisons that one can only make qualitatively.</w:t>
      </w:r>
    </w:p>
    <w:p w14:paraId="01169A03" w14:textId="77777777" w:rsidR="00E25645" w:rsidRDefault="00216B70" w:rsidP="00216B70">
      <w:pPr>
        <w:pStyle w:val="BodyText"/>
        <w:spacing w:line="480" w:lineRule="auto"/>
      </w:pPr>
      <w:r>
        <w:t>Through the case of forestry standards in the U.S.,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were correct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We hope that this deep dive into defining regulatory stringency and policy change in one domain not only enables scholarship on the causes of public and private regulation in forestry but that it also offers a model for similar research in other policy domains.</w:t>
      </w:r>
    </w:p>
    <w:p w14:paraId="5B1F0D8D" w14:textId="77777777" w:rsidR="00E25645" w:rsidRDefault="00216B70" w:rsidP="00216B70">
      <w:pPr>
        <w:pStyle w:val="BodyText"/>
        <w:spacing w:line="480" w:lineRule="auto"/>
      </w:pPr>
      <w:r>
        <w:lastRenderedPageBreak/>
        <w:t>This approach also has practical value. First, the power dynamics among groups that promote programs like the FSC or the SFI have created an environment in which competing claims about what exactly each program requires and how this has changed confuse buyers. The politics of private regulation revolve around “public comparisons that would resolve the debate about whose standards were higher” (Overdevest 2010). We offer concepts to clarify what “higher” standards may mean. Second, it is impossible to measure the impact of a set of regulatory requirements without disentangling their component parts. Thus, our analysis of written requirements is a necessary first step for efforts to assess the effects on the ground.</w:t>
      </w:r>
    </w:p>
    <w:p w14:paraId="5157B75C" w14:textId="77777777" w:rsidR="00E25645" w:rsidRDefault="00216B70" w:rsidP="00216B70">
      <w:pPr>
        <w:pStyle w:val="BodyText"/>
        <w:spacing w:line="480"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D222142" w14:textId="77777777" w:rsidR="00E25645" w:rsidRDefault="00216B70" w:rsidP="00216B70">
      <w:pPr>
        <w:pStyle w:val="Bibliography"/>
        <w:spacing w:line="480" w:lineRule="auto"/>
        <w:ind w:hanging="720"/>
      </w:pPr>
      <w:r>
        <w:t xml:space="preserve">Abbott, Kenneth W., and Duncan Snidal. 2009. “The Governance Triangle: Regulatory Standards Institutions and The Shadow of the State.” In </w:t>
      </w:r>
      <w:r>
        <w:rPr>
          <w:i/>
        </w:rPr>
        <w:t>The Politics of Global Regulation</w:t>
      </w:r>
      <w:r>
        <w:t xml:space="preserve">, edited by Walter Mattli and Ngaire Woods. Princeton, N.J.: Princeton University Press. </w:t>
      </w:r>
      <w:hyperlink r:id="rId7">
        <w:r>
          <w:rPr>
            <w:rStyle w:val="Hyperlink"/>
          </w:rPr>
          <w:t xml:space="preserve">https://www.researchgate.net/profile/Kenneth{\_}Abbott/                   publication/   </w:t>
        </w:r>
        <w:r>
          <w:rPr>
            <w:rStyle w:val="Hyperlink"/>
          </w:rPr>
          <w:lastRenderedPageBreak/>
          <w:t>228677087{\_}The{\_}Governance{\_}Triangle{\_}Regulatory{\_}Standards{\_}Institutions{\_}and{\_}the{\_}Shadow{\_}of{\_}the{\_}State/links/00b49537fe7e97835f000000.pdf</w:t>
        </w:r>
      </w:hyperlink>
      <w:r>
        <w:t>.</w:t>
      </w:r>
    </w:p>
    <w:p w14:paraId="1162BCD8" w14:textId="77777777" w:rsidR="00E25645" w:rsidRDefault="00216B70" w:rsidP="00216B70">
      <w:pPr>
        <w:pStyle w:val="Bibliography"/>
        <w:spacing w:line="480" w:lineRule="auto"/>
        <w:ind w:hanging="720"/>
      </w:pPr>
      <w:r>
        <w:t xml:space="preserve">———. 2010. “International regulation without international government: Improving IO performance through orchestration.” </w:t>
      </w:r>
      <w:r>
        <w:rPr>
          <w:i/>
        </w:rPr>
        <w:t>The Review of International Organizations</w:t>
      </w:r>
      <w:r>
        <w:t xml:space="preserve"> 5 (3). Springer US: 315–44. doi:</w:t>
      </w:r>
      <w:hyperlink r:id="rId8">
        <w:r>
          <w:rPr>
            <w:rStyle w:val="Hyperlink"/>
          </w:rPr>
          <w:t>10.1007/s11558-010-9092-3</w:t>
        </w:r>
      </w:hyperlink>
      <w:r>
        <w:t>.</w:t>
      </w:r>
    </w:p>
    <w:p w14:paraId="13F3521C" w14:textId="77777777" w:rsidR="00E25645" w:rsidRDefault="00216B70" w:rsidP="00216B70">
      <w:pPr>
        <w:pStyle w:val="Bibliography"/>
        <w:spacing w:line="480" w:lineRule="auto"/>
        <w:ind w:hanging="720"/>
      </w:pPr>
      <w:r>
        <w:t xml:space="preserve">Abderrazak, Chema, and Adel Ben Youssef. 2009. “Multiplicity of eco-labels, competition, and the environment.” </w:t>
      </w:r>
      <w:r>
        <w:rPr>
          <w:i/>
        </w:rPr>
        <w:t>Journal of Agricultural and Food Industrial Organization</w:t>
      </w:r>
      <w:r>
        <w:t xml:space="preserve"> 7 (2): 1–22. doi:</w:t>
      </w:r>
      <w:hyperlink r:id="rId9">
        <w:r>
          <w:rPr>
            <w:rStyle w:val="Hyperlink"/>
          </w:rPr>
          <w:t>10.2202/1542-0485.1271&gt;</w:t>
        </w:r>
      </w:hyperlink>
      <w:r>
        <w:t>.</w:t>
      </w:r>
    </w:p>
    <w:p w14:paraId="78A1B304" w14:textId="77777777" w:rsidR="00E25645" w:rsidRDefault="00216B70" w:rsidP="00216B70">
      <w:pPr>
        <w:pStyle w:val="Bibliography"/>
        <w:spacing w:line="480" w:lineRule="auto"/>
        <w:ind w:hanging="720"/>
      </w:pPr>
      <w:r>
        <w:t xml:space="preserve">Atkinson, Lucy, and Sonny Rosenthal. 2014. “Signaling the Green Sell: The Influence of Eco-Label Source, Argument Specificity, and Product Involvement on Consumer Trust.” </w:t>
      </w:r>
      <w:r>
        <w:rPr>
          <w:i/>
        </w:rPr>
        <w:t>Journal of Advertising</w:t>
      </w:r>
      <w:r>
        <w:t xml:space="preserve"> 43 (1): 33–45. doi:</w:t>
      </w:r>
      <w:hyperlink r:id="rId10">
        <w:r>
          <w:rPr>
            <w:rStyle w:val="Hyperlink"/>
          </w:rPr>
          <w:t>10.1080/00913367.2013.834803</w:t>
        </w:r>
      </w:hyperlink>
      <w:r>
        <w:t>.</w:t>
      </w:r>
    </w:p>
    <w:p w14:paraId="6E5D9F28" w14:textId="77777777" w:rsidR="00E25645" w:rsidRDefault="00216B70" w:rsidP="00216B70">
      <w:pPr>
        <w:pStyle w:val="Bibliography"/>
        <w:spacing w:line="480" w:lineRule="auto"/>
        <w:ind w:hanging="720"/>
      </w:pPr>
      <w:r>
        <w:t xml:space="preserve">Auld, Graeme. 2014. </w:t>
      </w:r>
      <w:r>
        <w:rPr>
          <w:i/>
        </w:rPr>
        <w:t>Constructing private governance: The rise and evolution of forest, coffee, and fisheries certification</w:t>
      </w:r>
      <w:r>
        <w:t xml:space="preserve">. New Haven: Yale University Press. </w:t>
      </w:r>
      <w:hyperlink r:id="rId11">
        <w:r>
          <w:rPr>
            <w:rStyle w:val="Hyperlink"/>
          </w:rPr>
          <w:t>https://books.google.ca/books?id=be6uBAAAQBAJ{\&amp;}lr={\&amp;                   }source=gbs{\_}navlinks{\_}s</w:t>
        </w:r>
      </w:hyperlink>
      <w:r>
        <w:t>.</w:t>
      </w:r>
    </w:p>
    <w:p w14:paraId="18AFA15E" w14:textId="77777777" w:rsidR="00E25645" w:rsidRDefault="00216B70" w:rsidP="00216B70">
      <w:pPr>
        <w:pStyle w:val="Bibliography"/>
        <w:spacing w:line="480" w:lineRule="auto"/>
        <w:ind w:hanging="720"/>
      </w:pPr>
      <w:r>
        <w:t xml:space="preserve">Bartley, Tim. 2003. “Certifying Forests and Factories: States, Social Movements, and the Rise of Private Regulation in the Apparel and Forest Products Fields.” </w:t>
      </w:r>
      <w:r>
        <w:rPr>
          <w:i/>
        </w:rPr>
        <w:t>Politics &amp; Society</w:t>
      </w:r>
      <w:r>
        <w:t xml:space="preserve"> 31 (3): 433–64. doi:</w:t>
      </w:r>
      <w:hyperlink r:id="rId12">
        <w:r>
          <w:rPr>
            <w:rStyle w:val="Hyperlink"/>
          </w:rPr>
          <w:t>10.1177/0032329203254863</w:t>
        </w:r>
      </w:hyperlink>
      <w:r>
        <w:t>.</w:t>
      </w:r>
    </w:p>
    <w:p w14:paraId="24CE52EA" w14:textId="77777777" w:rsidR="00E25645" w:rsidRDefault="00216B70" w:rsidP="00216B70">
      <w:pPr>
        <w:pStyle w:val="Bibliography"/>
        <w:spacing w:line="480" w:lineRule="auto"/>
        <w:ind w:hanging="720"/>
      </w:pPr>
      <w:r>
        <w:lastRenderedPageBreak/>
        <w:t xml:space="preserve">———. 2007. “Institutional Emergence in an Era of Globalization: The Rise of Transnational Private Regulation of Labor and Environmental Conditions.” </w:t>
      </w:r>
      <w:r>
        <w:rPr>
          <w:i/>
        </w:rPr>
        <w:t>American Journal of Sociology</w:t>
      </w:r>
      <w:r>
        <w:t xml:space="preserve"> 113 (2): 297–351. doi:</w:t>
      </w:r>
      <w:hyperlink r:id="rId13">
        <w:r>
          <w:rPr>
            <w:rStyle w:val="Hyperlink"/>
          </w:rPr>
          <w:t>10.1086/518871</w:t>
        </w:r>
      </w:hyperlink>
      <w:r>
        <w:t>.</w:t>
      </w:r>
    </w:p>
    <w:p w14:paraId="1A4FA497" w14:textId="77777777" w:rsidR="00E25645" w:rsidRDefault="00216B70" w:rsidP="00216B70">
      <w:pPr>
        <w:pStyle w:val="Bibliography"/>
        <w:spacing w:line="480" w:lineRule="auto"/>
        <w:ind w:hanging="720"/>
      </w:pPr>
      <w:r>
        <w:t xml:space="preserve">Baumgartner, Frank R. 2002. “Positive and negative feedback in politics.” In </w:t>
      </w:r>
      <w:r>
        <w:rPr>
          <w:i/>
        </w:rPr>
        <w:t>Policy Dynamics</w:t>
      </w:r>
      <w:r>
        <w:t>, edited by F R Baumgartner and B D Jones. Chicago: University of Chicago Press.</w:t>
      </w:r>
    </w:p>
    <w:p w14:paraId="7C69F690" w14:textId="77777777" w:rsidR="00E25645" w:rsidRDefault="00216B70" w:rsidP="00216B70">
      <w:pPr>
        <w:pStyle w:val="Bibliography"/>
        <w:spacing w:line="480" w:lineRule="auto"/>
        <w:ind w:hanging="720"/>
      </w:pPr>
      <w:r>
        <w:t xml:space="preserve">Berger, Suzanne., and Ronald Dore. 1996. </w:t>
      </w:r>
      <w:r>
        <w:rPr>
          <w:i/>
        </w:rPr>
        <w:t>National diversity and global capitalism</w:t>
      </w:r>
      <w:r>
        <w:t>. Cornell University Press.</w:t>
      </w:r>
    </w:p>
    <w:p w14:paraId="0824FDFC" w14:textId="77777777" w:rsidR="00E25645" w:rsidRDefault="00216B70" w:rsidP="00216B70">
      <w:pPr>
        <w:pStyle w:val="Bibliography"/>
        <w:spacing w:line="480" w:lineRule="auto"/>
        <w:ind w:hanging="720"/>
      </w:pPr>
      <w:r>
        <w:t xml:space="preserve">Bodansky, Daniel. 1999. “The Legitimacy of International Governance: A Coming Challenge for International Environmental Law?” </w:t>
      </w:r>
      <w:r>
        <w:rPr>
          <w:i/>
        </w:rPr>
        <w:t>The American Journal of International Law</w:t>
      </w:r>
      <w:r>
        <w:t xml:space="preserve"> 93 (3). Cambridge University Press: 596. doi:</w:t>
      </w:r>
      <w:hyperlink r:id="rId14">
        <w:r>
          <w:rPr>
            <w:rStyle w:val="Hyperlink"/>
          </w:rPr>
          <w:t>10.2307/2555262</w:t>
        </w:r>
      </w:hyperlink>
      <w:r>
        <w:t>.</w:t>
      </w:r>
    </w:p>
    <w:p w14:paraId="0E304FD7" w14:textId="77777777" w:rsidR="00E25645" w:rsidRDefault="00216B70" w:rsidP="00216B70">
      <w:pPr>
        <w:pStyle w:val="Bibliography"/>
        <w:spacing w:line="480" w:lineRule="auto"/>
        <w:ind w:hanging="720"/>
      </w:pPr>
      <w:r>
        <w:t xml:space="preserve">Botzem, Sebastian, and Leonhard Dobusch. 2012. “Standardization Cycles: A Process Perspective on the Formation and Diffusion of Transnational Standards.” </w:t>
      </w:r>
      <w:r>
        <w:rPr>
          <w:i/>
        </w:rPr>
        <w:t>Organization Studies</w:t>
      </w:r>
      <w:r>
        <w:t xml:space="preserve"> 33 (5-6). SAGE PublicationsSage UK: London, England: 737–62. doi:</w:t>
      </w:r>
      <w:hyperlink r:id="rId15">
        <w:r>
          <w:rPr>
            <w:rStyle w:val="Hyperlink"/>
          </w:rPr>
          <w:t>10.1177/0170840612443626</w:t>
        </w:r>
      </w:hyperlink>
      <w:r>
        <w:t>.</w:t>
      </w:r>
    </w:p>
    <w:p w14:paraId="6E73B3C9" w14:textId="77777777" w:rsidR="00E25645" w:rsidRDefault="00216B70" w:rsidP="00216B70">
      <w:pPr>
        <w:pStyle w:val="Bibliography"/>
        <w:spacing w:line="480" w:lineRule="auto"/>
        <w:ind w:hanging="720"/>
      </w:pPr>
      <w:r>
        <w:t xml:space="preserve">Bozzi, Laura, Benjamin Cashore, Kelly Levin, and Constance McDermott. 2012. “The Role of Private Voluntary Climate Programs Affecting Forests: Assessing their Direct and Intersecting Effects.” In </w:t>
      </w:r>
      <w:r>
        <w:rPr>
          <w:i/>
        </w:rPr>
        <w:t>Business and Climate Policy: The Potentials and Pitfalls of Private Voluntary Programs</w:t>
      </w:r>
      <w:r>
        <w:t>, edited by Karsten Ronit. United Nations University Press.</w:t>
      </w:r>
    </w:p>
    <w:p w14:paraId="67C50733" w14:textId="77777777" w:rsidR="00E25645" w:rsidRDefault="00216B70" w:rsidP="00216B70">
      <w:pPr>
        <w:pStyle w:val="Bibliography"/>
        <w:spacing w:line="480" w:lineRule="auto"/>
        <w:ind w:hanging="720"/>
      </w:pPr>
      <w:r>
        <w:lastRenderedPageBreak/>
        <w:t xml:space="preserve">Brunel, Claire, and Arik Levinson. 2016. “Measuring the Stringency of Environmental Regulations.” </w:t>
      </w:r>
      <w:r>
        <w:rPr>
          <w:i/>
        </w:rPr>
        <w:t>Review of Environmental Economics and Policy</w:t>
      </w:r>
      <w:r>
        <w:t xml:space="preserve"> 10 (1). Oxford University Press: 47–67. doi:</w:t>
      </w:r>
      <w:hyperlink r:id="rId16">
        <w:r>
          <w:rPr>
            <w:rStyle w:val="Hyperlink"/>
          </w:rPr>
          <w:t>10.1093/reep/rev019</w:t>
        </w:r>
      </w:hyperlink>
      <w:r>
        <w:t>.</w:t>
      </w:r>
    </w:p>
    <w:p w14:paraId="0CB22000" w14:textId="77777777" w:rsidR="00E25645" w:rsidRDefault="00216B70" w:rsidP="00216B70">
      <w:pPr>
        <w:pStyle w:val="Bibliography"/>
        <w:spacing w:line="480" w:lineRule="auto"/>
        <w:ind w:hanging="720"/>
      </w:pPr>
      <w:r>
        <w:t xml:space="preserve">Cashore, Benjamin. 2002. “Legitimacy and the Privatization of Environmental Governance: How Non-State Market-Driven (NSMD) Governance Systems Gain Rule-Making Authority.” </w:t>
      </w:r>
      <w:r>
        <w:rPr>
          <w:i/>
        </w:rPr>
        <w:t>Governance</w:t>
      </w:r>
      <w:r>
        <w:t xml:space="preserve"> 15 (4): 503–29. doi:</w:t>
      </w:r>
      <w:hyperlink r:id="rId17">
        <w:r>
          <w:rPr>
            <w:rStyle w:val="Hyperlink"/>
          </w:rPr>
          <w:t>10.1111/1468-0491.00199</w:t>
        </w:r>
      </w:hyperlink>
      <w:r>
        <w:t>.</w:t>
      </w:r>
    </w:p>
    <w:p w14:paraId="288245C4" w14:textId="77777777" w:rsidR="00E25645" w:rsidRDefault="00216B70" w:rsidP="00216B70">
      <w:pPr>
        <w:pStyle w:val="Bibliography"/>
        <w:spacing w:line="480" w:lineRule="auto"/>
        <w:ind w:hanging="720"/>
      </w:pPr>
      <w:r>
        <w:t xml:space="preserve">Cashore, Benjamin, and Michael Howlett. 2007. “Punctuating Which Equilibrium? Understanding Thermostatic Policy Dynamics in Pacific Northwest Forestry.” </w:t>
      </w:r>
      <w:r>
        <w:rPr>
          <w:i/>
        </w:rPr>
        <w:t>American Journal of Political Science</w:t>
      </w:r>
      <w:r>
        <w:t xml:space="preserve"> 51 (3): 532–51. </w:t>
      </w:r>
      <w:hyperlink r:id="rId18">
        <w:r>
          <w:rPr>
            <w:rStyle w:val="Hyperlink"/>
          </w:rPr>
          <w:t>http://www.ajps.org/</w:t>
        </w:r>
      </w:hyperlink>
      <w:r>
        <w:t>.</w:t>
      </w:r>
    </w:p>
    <w:p w14:paraId="28BB38A9" w14:textId="77777777" w:rsidR="00E25645" w:rsidRDefault="00216B70" w:rsidP="00216B70">
      <w:pPr>
        <w:pStyle w:val="Bibliography"/>
        <w:spacing w:line="480" w:lineRule="auto"/>
        <w:ind w:hanging="720"/>
      </w:pPr>
      <w:r>
        <w:t xml:space="preserve">Cashore, Benjamin, Graeme Auld, and Deanna Newsom. 2004. </w:t>
      </w:r>
      <w:r>
        <w:rPr>
          <w:i/>
        </w:rPr>
        <w:t>Governing Through Markets: Forest Certification and the Emergence of Non-state Authority</w:t>
      </w:r>
      <w:r>
        <w:t xml:space="preserve">. Yale University Press. </w:t>
      </w:r>
      <w:hyperlink r:id="rId19">
        <w:r>
          <w:rPr>
            <w:rStyle w:val="Hyperlink"/>
          </w:rPr>
          <w:t>http://politicalscience.yale.edu/publications/governing-                   through-markets-forest-certification-and-emergence-non-state-                   authority</w:t>
        </w:r>
      </w:hyperlink>
      <w:r>
        <w:t>.</w:t>
      </w:r>
    </w:p>
    <w:p w14:paraId="317977AC" w14:textId="77777777" w:rsidR="00E25645" w:rsidRDefault="00216B70" w:rsidP="00216B70">
      <w:pPr>
        <w:pStyle w:val="Bibliography"/>
        <w:spacing w:line="480" w:lineRule="auto"/>
        <w:ind w:hanging="720"/>
      </w:pPr>
      <w:r>
        <w:t xml:space="preserve">Darnall, N., M. Potoski, and A. Prakash. 2010. “Sponsorship Matters: Assessing Business Participation in Government- and Industry-Sponsored Voluntary Environmental Programs.” </w:t>
      </w:r>
      <w:r>
        <w:rPr>
          <w:i/>
        </w:rPr>
        <w:t>Journal of Public Administration Research and Theory</w:t>
      </w:r>
      <w:r>
        <w:t xml:space="preserve"> 20 (2). USEPA, Washington, DC: 283–307. doi:</w:t>
      </w:r>
      <w:hyperlink r:id="rId20">
        <w:r>
          <w:rPr>
            <w:rStyle w:val="Hyperlink"/>
          </w:rPr>
          <w:t>10.1093/jopart/mup014</w:t>
        </w:r>
      </w:hyperlink>
      <w:r>
        <w:t>.</w:t>
      </w:r>
    </w:p>
    <w:p w14:paraId="1BF0D7E1" w14:textId="77777777" w:rsidR="00E25645" w:rsidRDefault="00216B70" w:rsidP="00216B70">
      <w:pPr>
        <w:pStyle w:val="Bibliography"/>
        <w:spacing w:line="480" w:lineRule="auto"/>
        <w:ind w:hanging="720"/>
      </w:pPr>
      <w:r>
        <w:t xml:space="preserve">DeLeon, Peter, and Jorge E. Rivera. 2009. </w:t>
      </w:r>
      <w:r>
        <w:rPr>
          <w:i/>
        </w:rPr>
        <w:t>Voluntary Environmental Programs : a Policy Perspective.</w:t>
      </w:r>
      <w:r>
        <w:t xml:space="preserve"> Lanham: Lexington Books. </w:t>
      </w:r>
      <w:hyperlink r:id="rId21">
        <w:r>
          <w:rPr>
            <w:rStyle w:val="Hyperlink"/>
          </w:rPr>
          <w:t>http://www.worldcat.org/title/voluntary-environmental-                   programs-a-policy-perspective/oclc/440281013</w:t>
        </w:r>
      </w:hyperlink>
      <w:r>
        <w:t>.</w:t>
      </w:r>
    </w:p>
    <w:p w14:paraId="019696C7" w14:textId="77777777" w:rsidR="00E25645" w:rsidRDefault="00216B70" w:rsidP="00216B70">
      <w:pPr>
        <w:pStyle w:val="Bibliography"/>
        <w:spacing w:line="480" w:lineRule="auto"/>
        <w:ind w:hanging="720"/>
      </w:pPr>
      <w:r>
        <w:lastRenderedPageBreak/>
        <w:t xml:space="preserve">Delmas, Magali, and Ivan Montiel. 2008. “The Diffusion of Voluntary International Management Standards: Responsible Care, ISO 9000, and ISO 14001 in the Chemical Industry.” </w:t>
      </w:r>
      <w:r>
        <w:rPr>
          <w:i/>
        </w:rPr>
        <w:t>Policy Studies Journal</w:t>
      </w:r>
      <w:r>
        <w:t xml:space="preserve"> 36 (1). Blackwell Publishing Inc: 65–93. doi:</w:t>
      </w:r>
      <w:hyperlink r:id="rId22">
        <w:r>
          <w:rPr>
            <w:rStyle w:val="Hyperlink"/>
          </w:rPr>
          <w:t>10.1111/j.1541-0072.2007.00254.x</w:t>
        </w:r>
      </w:hyperlink>
      <w:r>
        <w:t>.</w:t>
      </w:r>
    </w:p>
    <w:p w14:paraId="09230113" w14:textId="77777777" w:rsidR="00E25645" w:rsidRDefault="00216B70" w:rsidP="00216B70">
      <w:pPr>
        <w:pStyle w:val="Bibliography"/>
        <w:spacing w:line="480" w:lineRule="auto"/>
        <w:ind w:hanging="720"/>
      </w:pPr>
      <w:r>
        <w:t xml:space="preserve">Djelic, Marie-Laure, and Helen Etchanchu. 2017. “Contextualizing Corporate Political Responsibilities: Neoliberal CSR in Historical Perspective.” </w:t>
      </w:r>
      <w:r>
        <w:rPr>
          <w:i/>
        </w:rPr>
        <w:t>Journal of Business Ethics</w:t>
      </w:r>
      <w:r>
        <w:t xml:space="preserve"> 142 (4): 641–61. doi:</w:t>
      </w:r>
      <w:hyperlink r:id="rId23">
        <w:r>
          <w:rPr>
            <w:rStyle w:val="Hyperlink"/>
          </w:rPr>
          <w:t>10.1007/s10551-015-2879-7</w:t>
        </w:r>
      </w:hyperlink>
      <w:r>
        <w:t>.</w:t>
      </w:r>
    </w:p>
    <w:p w14:paraId="1EECF2E6" w14:textId="77777777" w:rsidR="00E25645" w:rsidRDefault="00216B70" w:rsidP="00216B70">
      <w:pPr>
        <w:pStyle w:val="Bibliography"/>
        <w:spacing w:line="480" w:lineRule="auto"/>
        <w:ind w:hanging="720"/>
      </w:pPr>
      <w:r>
        <w:t xml:space="preserve">Eberlein, Burkard, Kenneth W. Abbott, Julia Black, Errol Meidinger, and Stepan Wood. 2014. “Transnational business governance interactions: Conceptualization and framework for analysis.” </w:t>
      </w:r>
      <w:r>
        <w:rPr>
          <w:i/>
        </w:rPr>
        <w:t>Regulation &amp; Governance</w:t>
      </w:r>
      <w:r>
        <w:t xml:space="preserve"> 8 (1): 1–21. doi:</w:t>
      </w:r>
      <w:hyperlink r:id="rId24">
        <w:r>
          <w:rPr>
            <w:rStyle w:val="Hyperlink"/>
          </w:rPr>
          <w:t>10.1111/rego.12030</w:t>
        </w:r>
      </w:hyperlink>
      <w:r>
        <w:t>.</w:t>
      </w:r>
    </w:p>
    <w:p w14:paraId="032F1AFE" w14:textId="77777777" w:rsidR="00E25645" w:rsidRDefault="00216B70" w:rsidP="00216B70">
      <w:pPr>
        <w:pStyle w:val="Bibliography"/>
        <w:spacing w:line="480" w:lineRule="auto"/>
        <w:ind w:hanging="720"/>
      </w:pPr>
      <w:r>
        <w:t xml:space="preserve">Fischer, Carolyn, and Thomas P. Lyon. 2014. “Competing Environmental Labels.” </w:t>
      </w:r>
      <w:r>
        <w:rPr>
          <w:i/>
        </w:rPr>
        <w:t>Journal of Economics &amp; Management Strategy</w:t>
      </w:r>
      <w:r>
        <w:t xml:space="preserve"> 23 (3): 692–716. doi:</w:t>
      </w:r>
      <w:hyperlink r:id="rId25">
        <w:r>
          <w:rPr>
            <w:rStyle w:val="Hyperlink"/>
          </w:rPr>
          <w:t>10.1111/jems.12061</w:t>
        </w:r>
      </w:hyperlink>
      <w:r>
        <w:t>.</w:t>
      </w:r>
    </w:p>
    <w:p w14:paraId="412B2B4C" w14:textId="77777777" w:rsidR="00E25645" w:rsidRDefault="00216B70" w:rsidP="00216B70">
      <w:pPr>
        <w:pStyle w:val="Bibliography"/>
        <w:spacing w:line="480" w:lineRule="auto"/>
        <w:ind w:hanging="720"/>
      </w:pPr>
      <w:r>
        <w:t xml:space="preserve">Fransen, Luc. 2011. “Why Do Private Governance Organizations Not Converge? A Political-Institutional Analysis of Transnational Labor Standards Regulation.” </w:t>
      </w:r>
      <w:r>
        <w:rPr>
          <w:i/>
        </w:rPr>
        <w:t>Governance</w:t>
      </w:r>
      <w:r>
        <w:t xml:space="preserve"> 24 (2). Blackwell Publishing Inc: 359–87. doi:</w:t>
      </w:r>
      <w:hyperlink r:id="rId26">
        <w:r>
          <w:rPr>
            <w:rStyle w:val="Hyperlink"/>
          </w:rPr>
          <w:t>10.1111/j.1468-0491.2011.01519.x</w:t>
        </w:r>
      </w:hyperlink>
      <w:r>
        <w:t>.</w:t>
      </w:r>
    </w:p>
    <w:p w14:paraId="3028DA77" w14:textId="77777777" w:rsidR="00E25645" w:rsidRDefault="00216B70" w:rsidP="00216B70">
      <w:pPr>
        <w:pStyle w:val="Bibliography"/>
        <w:spacing w:line="480" w:lineRule="auto"/>
        <w:ind w:hanging="720"/>
      </w:pPr>
      <w:r>
        <w:t xml:space="preserve">Grabosky, Peter. 2013. “Beyond Responsive Regulation: The expanding role of non-state actors in the regulatory process.” </w:t>
      </w:r>
      <w:r>
        <w:rPr>
          <w:i/>
        </w:rPr>
        <w:t>Regulation &amp; Governance</w:t>
      </w:r>
      <w:r>
        <w:t xml:space="preserve"> 7 (1). Blackwell Publishing Asia: 114–23. doi:</w:t>
      </w:r>
      <w:hyperlink r:id="rId27">
        <w:r>
          <w:rPr>
            <w:rStyle w:val="Hyperlink"/>
          </w:rPr>
          <w:t>10.1111/j.1748-5991.2012.01147.x</w:t>
        </w:r>
      </w:hyperlink>
      <w:r>
        <w:t>.</w:t>
      </w:r>
    </w:p>
    <w:p w14:paraId="2A51E3D8" w14:textId="77777777" w:rsidR="00E25645" w:rsidRDefault="00216B70" w:rsidP="00216B70">
      <w:pPr>
        <w:pStyle w:val="Bibliography"/>
        <w:spacing w:line="480" w:lineRule="auto"/>
        <w:ind w:hanging="720"/>
      </w:pPr>
      <w:r>
        <w:t xml:space="preserve">Green, Jessica F. 2013. </w:t>
      </w:r>
      <w:r>
        <w:rPr>
          <w:i/>
        </w:rPr>
        <w:t>Rethinking private authority: Agents and entrepreneurs in global environmental governance</w:t>
      </w:r>
      <w:r>
        <w:t xml:space="preserve">. Princeton, NJ: Princeton University Press. </w:t>
      </w:r>
      <w:hyperlink r:id="rId28">
        <w:r>
          <w:rPr>
            <w:rStyle w:val="Hyperlink"/>
          </w:rPr>
          <w:t>https://books.google.ca/books?id=RaX3AAAAQBAJ{\&amp;}lr={\&amp;                   }source=gbs{\_}navlinks{\_}s</w:t>
        </w:r>
      </w:hyperlink>
      <w:r>
        <w:t>.</w:t>
      </w:r>
    </w:p>
    <w:p w14:paraId="229E9C6E" w14:textId="77777777" w:rsidR="00E25645" w:rsidRDefault="00216B70" w:rsidP="00216B70">
      <w:pPr>
        <w:pStyle w:val="Bibliography"/>
        <w:spacing w:line="480" w:lineRule="auto"/>
        <w:ind w:hanging="720"/>
      </w:pPr>
      <w:r>
        <w:t xml:space="preserve">———. 2017. “Blurred Lines: Public-Private Interactions in Carbon Regulations.” </w:t>
      </w:r>
      <w:r>
        <w:rPr>
          <w:i/>
        </w:rPr>
        <w:t>International Interactions</w:t>
      </w:r>
      <w:r>
        <w:t xml:space="preserve"> 43 (1). Routledge: 103–28. doi:</w:t>
      </w:r>
      <w:hyperlink r:id="rId29">
        <w:r>
          <w:rPr>
            <w:rStyle w:val="Hyperlink"/>
          </w:rPr>
          <w:t>10.1080/03050629.2016.1210943</w:t>
        </w:r>
      </w:hyperlink>
      <w:r>
        <w:t>.</w:t>
      </w:r>
    </w:p>
    <w:p w14:paraId="39E3DBF6" w14:textId="77777777" w:rsidR="00E25645" w:rsidRDefault="00216B70" w:rsidP="00216B70">
      <w:pPr>
        <w:pStyle w:val="Bibliography"/>
        <w:spacing w:line="480" w:lineRule="auto"/>
        <w:ind w:hanging="720"/>
      </w:pPr>
      <w:r>
        <w:t xml:space="preserve">Green-Pedersen, Christoffer. 2007. “The Dependent Variable Problem within the Study of Welfare State Retrenchment: Defining the Problem and Looking for Solutions.” </w:t>
      </w:r>
      <w:r>
        <w:rPr>
          <w:i/>
        </w:rPr>
        <w:t>Journal of Comparative Policy Analysis: Research and Practice</w:t>
      </w:r>
      <w:r>
        <w:t xml:space="preserve"> 6 (1): 3–14. doi:</w:t>
      </w:r>
      <w:hyperlink r:id="rId30">
        <w:r>
          <w:rPr>
            <w:rStyle w:val="Hyperlink"/>
          </w:rPr>
          <w:t>10.1080/1387698042000222763</w:t>
        </w:r>
      </w:hyperlink>
      <w:r>
        <w:t>.</w:t>
      </w:r>
    </w:p>
    <w:p w14:paraId="757A4873" w14:textId="77777777" w:rsidR="00E25645" w:rsidRDefault="00216B70" w:rsidP="00216B70">
      <w:pPr>
        <w:pStyle w:val="Bibliography"/>
        <w:spacing w:line="480" w:lineRule="auto"/>
        <w:ind w:hanging="720"/>
      </w:pPr>
      <w:r>
        <w:t xml:space="preserve">Gulbrandsen, Lars H. 2004. “Overlapping Public and Private Governance: Can Forest Certification Fill the Gaps in the Global Forest Regime?” </w:t>
      </w:r>
      <w:r>
        <w:rPr>
          <w:i/>
        </w:rPr>
        <w:t>Global Environmental Politics</w:t>
      </w:r>
      <w:r>
        <w:t xml:space="preserve"> 4 (2). MIT Press 238 Main St., Suite 500, Cambridge, MA 02142-1046 USA journals-info@mit.edu: 75–99. doi:</w:t>
      </w:r>
      <w:hyperlink r:id="rId31">
        <w:r>
          <w:rPr>
            <w:rStyle w:val="Hyperlink"/>
          </w:rPr>
          <w:t>10.1162/152638004323074200</w:t>
        </w:r>
      </w:hyperlink>
      <w:r>
        <w:t>.</w:t>
      </w:r>
    </w:p>
    <w:p w14:paraId="6F3A6D0B" w14:textId="77777777" w:rsidR="00E25645" w:rsidRDefault="00216B70" w:rsidP="00216B70">
      <w:pPr>
        <w:pStyle w:val="Bibliography"/>
        <w:spacing w:line="480" w:lineRule="auto"/>
        <w:ind w:hanging="720"/>
      </w:pPr>
      <w:r>
        <w:t xml:space="preserve">———. 2014. “Dynamic governance interactions: Evolutionary effects of state responses to non-state certification programs.” </w:t>
      </w:r>
      <w:r>
        <w:rPr>
          <w:i/>
        </w:rPr>
        <w:t>Regulation &amp; Governance</w:t>
      </w:r>
      <w:r>
        <w:t xml:space="preserve"> 8 (1): 74–92. doi:</w:t>
      </w:r>
      <w:hyperlink r:id="rId32">
        <w:r>
          <w:rPr>
            <w:rStyle w:val="Hyperlink"/>
          </w:rPr>
          <w:t>10.1111/rego.12005</w:t>
        </w:r>
      </w:hyperlink>
      <w:r>
        <w:t>.</w:t>
      </w:r>
    </w:p>
    <w:p w14:paraId="2F763635" w14:textId="77777777" w:rsidR="00E25645" w:rsidRDefault="00216B70" w:rsidP="00216B70">
      <w:pPr>
        <w:pStyle w:val="Bibliography"/>
        <w:spacing w:line="480" w:lineRule="auto"/>
        <w:ind w:hanging="720"/>
      </w:pPr>
      <w:r>
        <w:t xml:space="preserve">Hall, Peter A. 1993. “Policy Paradigms, Social Learning, and the State: The Case of Economic Policymaking in Britain.” </w:t>
      </w:r>
      <w:r>
        <w:rPr>
          <w:i/>
        </w:rPr>
        <w:t>Comparative Politics</w:t>
      </w:r>
      <w:r>
        <w:t xml:space="preserve"> 25 (3): 275. doi:</w:t>
      </w:r>
      <w:hyperlink r:id="rId33">
        <w:r>
          <w:rPr>
            <w:rStyle w:val="Hyperlink"/>
          </w:rPr>
          <w:t>10.2307/422246</w:t>
        </w:r>
      </w:hyperlink>
      <w:r>
        <w:t>.</w:t>
      </w:r>
    </w:p>
    <w:p w14:paraId="650A68CB" w14:textId="77777777" w:rsidR="00E25645" w:rsidRDefault="00216B70" w:rsidP="00216B70">
      <w:pPr>
        <w:pStyle w:val="Bibliography"/>
        <w:spacing w:line="480" w:lineRule="auto"/>
        <w:ind w:hanging="720"/>
      </w:pPr>
      <w:r>
        <w:t xml:space="preserve">Hassel, Anke. 2008. “The Evolution of a Global Labor Governance Regime.” </w:t>
      </w:r>
      <w:r>
        <w:rPr>
          <w:i/>
        </w:rPr>
        <w:t>Governance</w:t>
      </w:r>
      <w:r>
        <w:t xml:space="preserve"> 21 (2). Blackwell Publishing Inc: 231–51. doi:</w:t>
      </w:r>
      <w:hyperlink r:id="rId34">
        <w:r>
          <w:rPr>
            <w:rStyle w:val="Hyperlink"/>
          </w:rPr>
          <w:t>10.1111/j.1468-0491.2008.00397.x</w:t>
        </w:r>
      </w:hyperlink>
      <w:r>
        <w:t>.</w:t>
      </w:r>
    </w:p>
    <w:p w14:paraId="5B630FE8" w14:textId="77777777" w:rsidR="00E25645" w:rsidRDefault="00216B70" w:rsidP="00216B70">
      <w:pPr>
        <w:pStyle w:val="Bibliography"/>
        <w:spacing w:line="480" w:lineRule="auto"/>
        <w:ind w:hanging="720"/>
      </w:pPr>
      <w:r>
        <w:lastRenderedPageBreak/>
        <w:t xml:space="preserve">Heyes, Anthony, and Steve Martin. 2017. “Social Labeling by Competing NGOs: A Model with Multiple Issues and Entry.” </w:t>
      </w:r>
      <w:r>
        <w:rPr>
          <w:i/>
        </w:rPr>
        <w:t>Management Science</w:t>
      </w:r>
      <w:r>
        <w:t xml:space="preserve"> 63 (6). INFORMS: 1800–1813. doi:</w:t>
      </w:r>
      <w:hyperlink r:id="rId35">
        <w:r>
          <w:rPr>
            <w:rStyle w:val="Hyperlink"/>
          </w:rPr>
          <w:t>10.1287/mnsc.2015.2419</w:t>
        </w:r>
      </w:hyperlink>
      <w:r>
        <w:t>.</w:t>
      </w:r>
    </w:p>
    <w:p w14:paraId="02662129" w14:textId="77777777" w:rsidR="00E25645" w:rsidRDefault="00216B70" w:rsidP="00216B70">
      <w:pPr>
        <w:pStyle w:val="Bibliography"/>
        <w:spacing w:line="480" w:lineRule="auto"/>
        <w:ind w:hanging="720"/>
      </w:pPr>
      <w:r>
        <w:t xml:space="preserve">Howard-Grenville, Jennifer, Jennifer Nash, and Cary Coglianese. 2008. “Constructing the License to Operate: Internal Factors and Their Influence on Corporate Environmental Decisions.” </w:t>
      </w:r>
      <w:r>
        <w:rPr>
          <w:i/>
        </w:rPr>
        <w:t>Law &amp; Policy</w:t>
      </w:r>
      <w:r>
        <w:t xml:space="preserve"> 30 (1): 73–107. doi:</w:t>
      </w:r>
      <w:hyperlink r:id="rId36">
        <w:r>
          <w:rPr>
            <w:rStyle w:val="Hyperlink"/>
          </w:rPr>
          <w:t>10.1111/j.1467-9930.2008.00270.x</w:t>
        </w:r>
      </w:hyperlink>
      <w:r>
        <w:t>.</w:t>
      </w:r>
    </w:p>
    <w:p w14:paraId="2312C843" w14:textId="77777777" w:rsidR="00E25645" w:rsidRDefault="00216B70" w:rsidP="00216B70">
      <w:pPr>
        <w:pStyle w:val="Bibliography"/>
        <w:spacing w:line="480" w:lineRule="auto"/>
        <w:ind w:hanging="720"/>
      </w:pPr>
      <w:r>
        <w:t xml:space="preserve">Howlett, Michael, and Ben Cashore. 2014. “Conceptualizing Public Policy.” </w:t>
      </w:r>
      <w:r>
        <w:rPr>
          <w:i/>
        </w:rPr>
        <w:t>Comparative Policy Studies : Conceptual and Methodological Challenges</w:t>
      </w:r>
      <w:r>
        <w:t>, 17–33. doi:</w:t>
      </w:r>
      <w:hyperlink r:id="rId37">
        <w:r>
          <w:rPr>
            <w:rStyle w:val="Hyperlink"/>
          </w:rPr>
          <w:t>10.1057/9781137314154.0006</w:t>
        </w:r>
      </w:hyperlink>
      <w:r>
        <w:t>.</w:t>
      </w:r>
    </w:p>
    <w:p w14:paraId="229965D2" w14:textId="77777777" w:rsidR="00E25645" w:rsidRDefault="00216B70" w:rsidP="00216B70">
      <w:pPr>
        <w:pStyle w:val="Bibliography"/>
        <w:spacing w:line="480" w:lineRule="auto"/>
        <w:ind w:hanging="720"/>
      </w:pPr>
      <w:r>
        <w:t xml:space="preserve">Howlett, Michael, and Benjamin Cashore. 2007. “Re-Visiting the New Orthodoxy of Policy Dynamics: The Dependent Variable and Re-Aggregation Problems in the Study of Policy Change.” </w:t>
      </w:r>
      <w:r>
        <w:rPr>
          <w:i/>
        </w:rPr>
        <w:t>Canadian Political Science Review</w:t>
      </w:r>
      <w:r>
        <w:t xml:space="preserve"> 1 (2): 1–14.</w:t>
      </w:r>
    </w:p>
    <w:p w14:paraId="71E3EB99" w14:textId="77777777" w:rsidR="00E25645" w:rsidRDefault="00216B70" w:rsidP="00216B70">
      <w:pPr>
        <w:pStyle w:val="Bibliography"/>
        <w:spacing w:line="480" w:lineRule="auto"/>
        <w:ind w:hanging="720"/>
      </w:pPr>
      <w:r>
        <w:t xml:space="preserve">Hsueh, Lily, and Aseem Prakash. 2012. “Incentivizing self-regulation: Federal vs. state-level voluntary programs in US climate change policies.” </w:t>
      </w:r>
      <w:r>
        <w:rPr>
          <w:i/>
        </w:rPr>
        <w:t>Regulation &amp; Governance</w:t>
      </w:r>
      <w:r>
        <w:t xml:space="preserve"> 6 (4). Blackwell Publishing Asia: 445–73. doi:</w:t>
      </w:r>
      <w:hyperlink r:id="rId38">
        <w:r>
          <w:rPr>
            <w:rStyle w:val="Hyperlink"/>
          </w:rPr>
          <w:t>10.1111/j.1748-5991.2012.01140.x</w:t>
        </w:r>
      </w:hyperlink>
      <w:r>
        <w:t>.</w:t>
      </w:r>
    </w:p>
    <w:p w14:paraId="4FD24345" w14:textId="77777777" w:rsidR="00E25645" w:rsidRDefault="00216B70" w:rsidP="00216B70">
      <w:pPr>
        <w:pStyle w:val="Bibliography"/>
        <w:spacing w:line="480" w:lineRule="auto"/>
        <w:ind w:hanging="720"/>
      </w:pPr>
      <w:r>
        <w:t xml:space="preserve">Hudson, Ian, and Mark Hudson. 2003. “Removing the Veil?: Commodity Fetishism, Fair Trade, and the Environment.” </w:t>
      </w:r>
      <w:r>
        <w:rPr>
          <w:i/>
        </w:rPr>
        <w:t>Organization &amp; Environment</w:t>
      </w:r>
      <w:r>
        <w:t xml:space="preserve"> 16 (4). SAGE Publications: 413–30. doi:</w:t>
      </w:r>
      <w:hyperlink r:id="rId39">
        <w:r>
          <w:rPr>
            <w:rStyle w:val="Hyperlink"/>
          </w:rPr>
          <w:t>10.1177/1086026603258926</w:t>
        </w:r>
      </w:hyperlink>
      <w:r>
        <w:t>.</w:t>
      </w:r>
    </w:p>
    <w:p w14:paraId="506B7D1D" w14:textId="77777777" w:rsidR="00E25645" w:rsidRDefault="00216B70" w:rsidP="00216B70">
      <w:pPr>
        <w:pStyle w:val="Bibliography"/>
        <w:spacing w:line="480" w:lineRule="auto"/>
        <w:ind w:hanging="720"/>
      </w:pPr>
      <w:r>
        <w:t>Judge-Lord, Devin. 2013. “Mechanisms of Policy Feedback: Interactions among Regulations and Public Investments in US Farm and Forest Politics.” PhD thesis, Yale University.</w:t>
      </w:r>
    </w:p>
    <w:p w14:paraId="46ABB393" w14:textId="77777777" w:rsidR="00E25645" w:rsidRDefault="00216B70" w:rsidP="00216B70">
      <w:pPr>
        <w:pStyle w:val="Bibliography"/>
        <w:spacing w:line="480" w:lineRule="auto"/>
        <w:ind w:hanging="720"/>
      </w:pPr>
      <w:r>
        <w:lastRenderedPageBreak/>
        <w:t xml:space="preserve">Kollman, Kelly, and Aseem Prakash. 2001. “Green by Choice? Cross-National Variations in Firms’ Responses to EMS-Based Environmental Regimes.” </w:t>
      </w:r>
      <w:r>
        <w:rPr>
          <w:i/>
        </w:rPr>
        <w:t>World Politics</w:t>
      </w:r>
      <w:r>
        <w:t xml:space="preserve"> 53: 399–430. </w:t>
      </w:r>
      <w:hyperlink r:id="rId40">
        <w:r>
          <w:rPr>
            <w:rStyle w:val="Hyperlink"/>
          </w:rPr>
          <w:t>http://faculty.washington.edu/aseem/kollman-prakash.pdf</w:t>
        </w:r>
      </w:hyperlink>
      <w:r>
        <w:t>.</w:t>
      </w:r>
    </w:p>
    <w:p w14:paraId="4414F9C6" w14:textId="77777777" w:rsidR="00E25645" w:rsidRDefault="00216B70" w:rsidP="00216B70">
      <w:pPr>
        <w:pStyle w:val="Bibliography"/>
        <w:spacing w:line="480" w:lineRule="auto"/>
        <w:ind w:hanging="720"/>
      </w:pPr>
      <w:r>
        <w:t>LeBaron, G., and B. Burgoon. 2018. “Explaining Patterns of Labor Protection and Exploitation in the Global Tea Supply Chain: Evidence from India.” SPERI-Petgov Workshop Paper.</w:t>
      </w:r>
    </w:p>
    <w:p w14:paraId="73BF05EE" w14:textId="77777777" w:rsidR="00E25645" w:rsidRDefault="00216B70" w:rsidP="00216B70">
      <w:pPr>
        <w:pStyle w:val="Bibliography"/>
        <w:spacing w:line="480" w:lineRule="auto"/>
        <w:ind w:hanging="720"/>
      </w:pPr>
      <w:r>
        <w:t xml:space="preserve">Li, Yuanhao, and Klaas van ’t Veld. 2015. “Green, greener, greenest: Eco-label gradation and competition.” </w:t>
      </w:r>
      <w:r>
        <w:rPr>
          <w:i/>
        </w:rPr>
        <w:t>Journal of Environmental Economics and Management</w:t>
      </w:r>
      <w:r>
        <w:t xml:space="preserve"> 72 (C): 164–76. doi:</w:t>
      </w:r>
      <w:hyperlink r:id="rId41">
        <w:r>
          <w:rPr>
            <w:rStyle w:val="Hyperlink"/>
          </w:rPr>
          <w:t>10.1016/j.jeem.2015.05.003</w:t>
        </w:r>
      </w:hyperlink>
      <w:r>
        <w:t>.</w:t>
      </w:r>
    </w:p>
    <w:p w14:paraId="025375F9" w14:textId="77777777" w:rsidR="00E25645" w:rsidRDefault="00216B70" w:rsidP="00216B70">
      <w:pPr>
        <w:pStyle w:val="Bibliography"/>
        <w:spacing w:line="480" w:lineRule="auto"/>
        <w:ind w:hanging="720"/>
      </w:pPr>
      <w:r>
        <w:t xml:space="preserve">Loconto, Allison, and Eve Fouilleux. 2014. “Politics of private regulation: ISEAL and the shaping of transnational sustainability governance.” </w:t>
      </w:r>
      <w:r>
        <w:rPr>
          <w:i/>
        </w:rPr>
        <w:t>Regulation &amp; Governance</w:t>
      </w:r>
      <w:r>
        <w:t xml:space="preserve"> 8 (2): 166–85. doi:</w:t>
      </w:r>
      <w:hyperlink r:id="rId42">
        <w:r>
          <w:rPr>
            <w:rStyle w:val="Hyperlink"/>
          </w:rPr>
          <w:t>10.1111/rego.12028</w:t>
        </w:r>
      </w:hyperlink>
      <w:r>
        <w:t>.</w:t>
      </w:r>
    </w:p>
    <w:p w14:paraId="56E18455" w14:textId="77777777" w:rsidR="00E25645" w:rsidRDefault="00216B70" w:rsidP="00216B70">
      <w:pPr>
        <w:pStyle w:val="Bibliography"/>
        <w:spacing w:line="480" w:lineRule="auto"/>
        <w:ind w:hanging="720"/>
      </w:pPr>
      <w:r>
        <w:t xml:space="preserve">Lyon, Thomas. P., and John W. Maxwell. 2008. “Corporate Social Responsibility and the Environment: A Theoretical Perspective.” </w:t>
      </w:r>
      <w:r>
        <w:rPr>
          <w:i/>
        </w:rPr>
        <w:t>Review of Environmental Economics and Policy</w:t>
      </w:r>
      <w:r>
        <w:t xml:space="preserve"> 2 (2). Oxford University Press: 240–60. doi:</w:t>
      </w:r>
      <w:hyperlink r:id="rId43">
        <w:r>
          <w:rPr>
            <w:rStyle w:val="Hyperlink"/>
          </w:rPr>
          <w:t>10.1093/reep/ren004</w:t>
        </w:r>
      </w:hyperlink>
      <w:r>
        <w:t>.</w:t>
      </w:r>
    </w:p>
    <w:p w14:paraId="249E9789" w14:textId="77777777" w:rsidR="00E25645" w:rsidRDefault="00216B70" w:rsidP="00216B70">
      <w:pPr>
        <w:pStyle w:val="Bibliography"/>
        <w:spacing w:line="480" w:lineRule="auto"/>
        <w:ind w:hanging="720"/>
      </w:pPr>
      <w:r>
        <w:t xml:space="preserve">Maxwell, John W., Thomas P. Lyon, and Steven C. Hackett. 2000. “Self‐Regulation and Social Welfare: The Political Economy of Corporate Environmentalism.” </w:t>
      </w:r>
      <w:r>
        <w:rPr>
          <w:i/>
        </w:rPr>
        <w:t>The Journal of Law and Economics</w:t>
      </w:r>
      <w:r>
        <w:t xml:space="preserve"> 43 (2): 583–618. doi:</w:t>
      </w:r>
      <w:hyperlink r:id="rId44">
        <w:r>
          <w:rPr>
            <w:rStyle w:val="Hyperlink"/>
          </w:rPr>
          <w:t>10.1086/467466</w:t>
        </w:r>
      </w:hyperlink>
      <w:r>
        <w:t>.</w:t>
      </w:r>
    </w:p>
    <w:p w14:paraId="73282767" w14:textId="77777777" w:rsidR="00E25645" w:rsidRDefault="00216B70" w:rsidP="00216B70">
      <w:pPr>
        <w:pStyle w:val="Bibliography"/>
        <w:spacing w:line="480" w:lineRule="auto"/>
        <w:ind w:hanging="720"/>
      </w:pPr>
      <w:r>
        <w:t xml:space="preserve">McDermott, Constance. 2012. “Trust, Legitimacy and Power in Forest Certification: A case study of the FSC in British Columbia.” </w:t>
      </w:r>
      <w:r>
        <w:rPr>
          <w:i/>
        </w:rPr>
        <w:t>Geoforum</w:t>
      </w:r>
      <w:r>
        <w:t xml:space="preserve"> 43: 643–44. doi:</w:t>
      </w:r>
      <w:hyperlink r:id="rId45">
        <w:r>
          <w:rPr>
            <w:rStyle w:val="Hyperlink"/>
          </w:rPr>
          <w:t>10.1016/j.geoforum.2011.11.002</w:t>
        </w:r>
      </w:hyperlink>
      <w:r>
        <w:t>.</w:t>
      </w:r>
    </w:p>
    <w:p w14:paraId="667C82F1" w14:textId="77777777" w:rsidR="00E25645" w:rsidRDefault="00216B70" w:rsidP="00216B70">
      <w:pPr>
        <w:pStyle w:val="Bibliography"/>
        <w:spacing w:line="480" w:lineRule="auto"/>
        <w:ind w:hanging="720"/>
      </w:pPr>
      <w:r>
        <w:lastRenderedPageBreak/>
        <w:t xml:space="preserve">McDermott, Constance, Benjamin Cashore, and Peter Kanowski. 2010. </w:t>
      </w:r>
      <w:r>
        <w:rPr>
          <w:i/>
        </w:rPr>
        <w:t>Global Environmental Forest Policies: An International Comparison</w:t>
      </w:r>
      <w:r>
        <w:t>. London: Earthscan.</w:t>
      </w:r>
    </w:p>
    <w:p w14:paraId="51B84060" w14:textId="77777777" w:rsidR="00E25645" w:rsidRDefault="00216B70" w:rsidP="00216B70">
      <w:pPr>
        <w:pStyle w:val="Bibliography"/>
        <w:spacing w:line="480" w:lineRule="auto"/>
        <w:ind w:hanging="720"/>
      </w:pPr>
      <w:r>
        <w:t xml:space="preserve">Meidinger, Errol. 2003. “Forest Certification as Environmental Law Making by Global Civil Society.” In </w:t>
      </w:r>
      <w:r>
        <w:rPr>
          <w:i/>
        </w:rPr>
        <w:t>Social and Political Dimensions of Forest Certification</w:t>
      </w:r>
      <w:r>
        <w:t>, edited by Erol Meidinger, C Elliot, and Oesten G, 293–329. Forstbuch: Remegen-Oberwinter.</w:t>
      </w:r>
    </w:p>
    <w:p w14:paraId="248A8123" w14:textId="77777777" w:rsidR="00E25645" w:rsidRDefault="00216B70" w:rsidP="00216B70">
      <w:pPr>
        <w:pStyle w:val="Bibliography"/>
        <w:spacing w:line="480" w:lineRule="auto"/>
        <w:ind w:hanging="720"/>
      </w:pPr>
      <w:r>
        <w:t xml:space="preserve">Mills, Russell W. 2016. “The interaction of private and public regulatory governance: The case of association-led voluntary aviation safety programs.” </w:t>
      </w:r>
      <w:r>
        <w:rPr>
          <w:i/>
        </w:rPr>
        <w:t>Policy and Society</w:t>
      </w:r>
      <w:r>
        <w:t xml:space="preserve"> 35 (1). Taylor &amp; Francis: 43–55. doi:</w:t>
      </w:r>
      <w:hyperlink r:id="rId46">
        <w:r>
          <w:rPr>
            <w:rStyle w:val="Hyperlink"/>
          </w:rPr>
          <w:t>10.1016/j.polsoc.2015.12.002</w:t>
        </w:r>
      </w:hyperlink>
      <w:r>
        <w:t>.</w:t>
      </w:r>
    </w:p>
    <w:p w14:paraId="7088E285" w14:textId="77777777" w:rsidR="00E25645" w:rsidRDefault="00216B70" w:rsidP="00216B70">
      <w:pPr>
        <w:pStyle w:val="Bibliography"/>
        <w:spacing w:line="480" w:lineRule="auto"/>
        <w:ind w:hanging="720"/>
      </w:pPr>
      <w:r>
        <w:t xml:space="preserve">Newsom, Deanna, and Daphne Hewitt. 2005. “The Global Impacts of SmartWood Certification.” Rainforest Alliance. </w:t>
      </w:r>
      <w:hyperlink r:id="rId47">
        <w:r>
          <w:rPr>
            <w:rStyle w:val="Hyperlink"/>
          </w:rPr>
          <w:t>http://citeseerx.ist.psu.edu/viewdoc/                   download;jsessionid=DE68D23595F4CD19670A0B39CEFE9B3D?                   doi=10.1.1.518.3936{\&amp;}rep=rep1{\&amp;}type=pdf</w:t>
        </w:r>
      </w:hyperlink>
      <w:r>
        <w:t>.</w:t>
      </w:r>
    </w:p>
    <w:p w14:paraId="4E66FB1B" w14:textId="77777777" w:rsidR="00E25645" w:rsidRDefault="00216B70" w:rsidP="00216B70">
      <w:pPr>
        <w:pStyle w:val="Bibliography"/>
        <w:spacing w:line="480" w:lineRule="auto"/>
        <w:ind w:hanging="720"/>
      </w:pPr>
      <w:r>
        <w:t xml:space="preserve">Overdevest, Christine. 2005. “Treadmill Politics, Information Politics, and Public Policy.” </w:t>
      </w:r>
      <w:r>
        <w:rPr>
          <w:i/>
        </w:rPr>
        <w:t>Organization &amp; Environment</w:t>
      </w:r>
      <w:r>
        <w:t xml:space="preserve"> 18 (1). Sage PublicationsSage CA: Thousand Oaks, CA: 72–90. doi:</w:t>
      </w:r>
      <w:hyperlink r:id="rId48">
        <w:r>
          <w:rPr>
            <w:rStyle w:val="Hyperlink"/>
          </w:rPr>
          <w:t>10.1177/1086026604270460</w:t>
        </w:r>
      </w:hyperlink>
      <w:r>
        <w:t>.</w:t>
      </w:r>
    </w:p>
    <w:p w14:paraId="5FBC1F23" w14:textId="77777777" w:rsidR="00E25645" w:rsidRDefault="00216B70" w:rsidP="00216B70">
      <w:pPr>
        <w:pStyle w:val="Bibliography"/>
        <w:spacing w:line="480" w:lineRule="auto"/>
        <w:ind w:hanging="720"/>
      </w:pPr>
      <w:r>
        <w:t xml:space="preserve">———. 2010. “Comparing forest certification schemes: the case of ratcheting standards in the forest sector.” </w:t>
      </w:r>
      <w:r>
        <w:rPr>
          <w:i/>
        </w:rPr>
        <w:t>Socio-Economic Review</w:t>
      </w:r>
      <w:r>
        <w:t xml:space="preserve"> 8 (1). Oxford University Press: 47–76. doi:</w:t>
      </w:r>
      <w:hyperlink r:id="rId49">
        <w:r>
          <w:rPr>
            <w:rStyle w:val="Hyperlink"/>
          </w:rPr>
          <w:t>10.1093/ser/mwp028</w:t>
        </w:r>
      </w:hyperlink>
      <w:r>
        <w:t>.</w:t>
      </w:r>
    </w:p>
    <w:p w14:paraId="4F0363DF" w14:textId="77777777" w:rsidR="00E25645" w:rsidRDefault="00216B70" w:rsidP="00216B70">
      <w:pPr>
        <w:pStyle w:val="Bibliography"/>
        <w:spacing w:line="480" w:lineRule="auto"/>
        <w:ind w:hanging="720"/>
      </w:pPr>
      <w:r>
        <w:t xml:space="preserve">Overdevest, Christine, and Jonathan Zeitlin. 2014. “Assembling an experimentalist regime: Transnational governance interactions in the forest sector.” </w:t>
      </w:r>
      <w:r>
        <w:rPr>
          <w:i/>
        </w:rPr>
        <w:t xml:space="preserve">Regulation &amp; </w:t>
      </w:r>
      <w:r>
        <w:rPr>
          <w:i/>
        </w:rPr>
        <w:lastRenderedPageBreak/>
        <w:t>Governance</w:t>
      </w:r>
      <w:r>
        <w:t xml:space="preserve"> 8 (1). Blackwell Publishing Asia: 22–48. doi:</w:t>
      </w:r>
      <w:hyperlink r:id="rId50">
        <w:r>
          <w:rPr>
            <w:rStyle w:val="Hyperlink"/>
          </w:rPr>
          <w:t>10.1111/j.1748-5991.2012.01133.x</w:t>
        </w:r>
      </w:hyperlink>
      <w:r>
        <w:t>.</w:t>
      </w:r>
    </w:p>
    <w:p w14:paraId="501B39E7" w14:textId="77777777" w:rsidR="00E25645" w:rsidRDefault="00216B70" w:rsidP="00216B70">
      <w:pPr>
        <w:pStyle w:val="Bibliography"/>
        <w:spacing w:line="480" w:lineRule="auto"/>
        <w:ind w:hanging="720"/>
      </w:pPr>
      <w:r>
        <w:t>Poret, Sylvaine. 2016. “Label Battles: Competition among NGOs as Standard Setters.” ALISS. INRA.</w:t>
      </w:r>
    </w:p>
    <w:p w14:paraId="3F892F3B" w14:textId="77777777" w:rsidR="00E25645" w:rsidRDefault="00216B70" w:rsidP="00216B70">
      <w:pPr>
        <w:pStyle w:val="Bibliography"/>
        <w:spacing w:line="480" w:lineRule="auto"/>
        <w:ind w:hanging="720"/>
      </w:pPr>
      <w:r>
        <w:t xml:space="preserve">Prado, Andrea M. 2013. “Competition Among Self-Regulatory Institutions.” </w:t>
      </w:r>
      <w:r>
        <w:rPr>
          <w:i/>
        </w:rPr>
        <w:t>Business &amp; Society</w:t>
      </w:r>
      <w:r>
        <w:t xml:space="preserve"> 52 (4). SAGE PublicationsSage CA: Los Angeles, CA: 686–707. doi:</w:t>
      </w:r>
      <w:hyperlink r:id="rId51">
        <w:r>
          <w:rPr>
            <w:rStyle w:val="Hyperlink"/>
          </w:rPr>
          <w:t>10.1177/0007650313493990</w:t>
        </w:r>
      </w:hyperlink>
      <w:r>
        <w:t>.</w:t>
      </w:r>
    </w:p>
    <w:p w14:paraId="0CE5BBE2" w14:textId="77777777" w:rsidR="00E25645" w:rsidRDefault="00216B70" w:rsidP="00216B70">
      <w:pPr>
        <w:pStyle w:val="Bibliography"/>
        <w:spacing w:line="480" w:lineRule="auto"/>
        <w:ind w:hanging="720"/>
      </w:pPr>
      <w:r>
        <w:t xml:space="preserve">Prakash, Aseem. 2000. </w:t>
      </w:r>
      <w:r>
        <w:rPr>
          <w:i/>
        </w:rPr>
        <w:t>Greening of the Firm: The Politics of Corporate Environmentalism</w:t>
      </w:r>
      <w:r>
        <w:t>. Cambridge: Cambridge University Press.</w:t>
      </w:r>
    </w:p>
    <w:p w14:paraId="64659196" w14:textId="77777777" w:rsidR="00E25645" w:rsidRDefault="00216B70" w:rsidP="00216B70">
      <w:pPr>
        <w:pStyle w:val="Bibliography"/>
        <w:spacing w:line="480" w:lineRule="auto"/>
        <w:ind w:hanging="720"/>
      </w:pPr>
      <w:r>
        <w:t xml:space="preserve">Rodrik, Dani, Arvind Subramanian, and Francesco Trebbi. 2004. “Institutions Rule: The Primacy of Institutions over Geography and Integration in Economic Development.” </w:t>
      </w:r>
      <w:r>
        <w:rPr>
          <w:i/>
        </w:rPr>
        <w:t>Journal of Economic Growth</w:t>
      </w:r>
      <w:r>
        <w:t xml:space="preserve"> 9 (2). Cambridge, MA: National Bureau of Economic Research; Kluwer Academic Publishers: 131–65. doi:</w:t>
      </w:r>
      <w:hyperlink r:id="rId52">
        <w:r>
          <w:rPr>
            <w:rStyle w:val="Hyperlink"/>
          </w:rPr>
          <w:t>10.3386/w9305</w:t>
        </w:r>
      </w:hyperlink>
      <w:r>
        <w:t>.</w:t>
      </w:r>
    </w:p>
    <w:p w14:paraId="278F0215" w14:textId="77777777" w:rsidR="00E25645" w:rsidRDefault="00216B70" w:rsidP="00216B70">
      <w:pPr>
        <w:pStyle w:val="Bibliography"/>
        <w:spacing w:line="480" w:lineRule="auto"/>
        <w:ind w:hanging="720"/>
      </w:pPr>
      <w:r>
        <w:t xml:space="preserve">Smith, Timothy M., and Miriam Fischlein. 2010. “Rival private governance networks: Competing to define the rules of sustainability performance.” </w:t>
      </w:r>
      <w:r>
        <w:rPr>
          <w:i/>
        </w:rPr>
        <w:t>Global Environmental Change</w:t>
      </w:r>
      <w:r>
        <w:t xml:space="preserve"> 20 (3). Pergamon: 511–22. doi:</w:t>
      </w:r>
      <w:hyperlink r:id="rId53">
        <w:r>
          <w:rPr>
            <w:rStyle w:val="Hyperlink"/>
          </w:rPr>
          <w:t>10.1016/J.GLOENVCHA.2010.03.006</w:t>
        </w:r>
      </w:hyperlink>
      <w:r>
        <w:t>.</w:t>
      </w:r>
    </w:p>
    <w:p w14:paraId="344FAA42" w14:textId="77777777" w:rsidR="00E25645" w:rsidRDefault="00216B70" w:rsidP="00216B70">
      <w:pPr>
        <w:pStyle w:val="Bibliography"/>
        <w:spacing w:line="480" w:lineRule="auto"/>
        <w:ind w:hanging="720"/>
      </w:pPr>
      <w:r>
        <w:t xml:space="preserve">Tigar, Jon S. 2017. “Resolute Forest Products, Inc. et al. v. Greenpeace International et al.” </w:t>
      </w:r>
      <w:hyperlink r:id="rId54">
        <w:r>
          <w:rPr>
            <w:rStyle w:val="Hyperlink"/>
          </w:rPr>
          <w:t>https://law.justia.com/cases/federal/district-courts/                   california/candce/4:2017cv02824/311874/104/</w:t>
        </w:r>
      </w:hyperlink>
      <w:r>
        <w:t>.</w:t>
      </w:r>
    </w:p>
    <w:p w14:paraId="6F437C84" w14:textId="77777777" w:rsidR="00E25645" w:rsidRDefault="00216B70" w:rsidP="00216B70">
      <w:pPr>
        <w:pStyle w:val="Bibliography"/>
        <w:spacing w:line="480" w:lineRule="auto"/>
        <w:ind w:hanging="720"/>
      </w:pPr>
      <w:r>
        <w:lastRenderedPageBreak/>
        <w:t xml:space="preserve">Ven, Hamish van der. 2015. “Correlates of rigorous and credible transnational governance: A cross-sectoral analysis of best practice compliance in eco-labeling.” </w:t>
      </w:r>
      <w:r>
        <w:rPr>
          <w:i/>
        </w:rPr>
        <w:t>Regulation &amp; Governance</w:t>
      </w:r>
      <w:r>
        <w:t xml:space="preserve"> 9 (3): 276–93. doi:</w:t>
      </w:r>
      <w:hyperlink r:id="rId55">
        <w:r>
          <w:rPr>
            <w:rStyle w:val="Hyperlink"/>
          </w:rPr>
          <w:t>10.1111/rego.12092</w:t>
        </w:r>
      </w:hyperlink>
      <w:r>
        <w:t>.</w:t>
      </w:r>
    </w:p>
    <w:p w14:paraId="0B0CCC4B" w14:textId="77777777" w:rsidR="00E25645" w:rsidRDefault="00216B70" w:rsidP="00216B70">
      <w:pPr>
        <w:pStyle w:val="Bibliography"/>
        <w:spacing w:line="480" w:lineRule="auto"/>
        <w:ind w:hanging="720"/>
      </w:pPr>
      <w:r>
        <w:t>Ven, Hamish van der, Catherine Rothacker, and Benjamin Cashore. 2018. “More Eco-Labels but Fewer Forests: Lessons from Non-State Market Driven Governance in the Soy, Palm Oil, and Cocoa Sectors.”</w:t>
      </w:r>
    </w:p>
    <w:p w14:paraId="050601F0" w14:textId="77777777" w:rsidR="00E25645" w:rsidRDefault="00216B70" w:rsidP="00216B70">
      <w:pPr>
        <w:pStyle w:val="Bibliography"/>
        <w:spacing w:line="480" w:lineRule="auto"/>
        <w:ind w:hanging="720"/>
      </w:pPr>
      <w:r>
        <w:t xml:space="preserve">Vince, Joanna, and Marcus Haward. 2017. “Hybrid governance of aquaculture: Opportunities and challenges.” </w:t>
      </w:r>
      <w:r>
        <w:rPr>
          <w:i/>
        </w:rPr>
        <w:t>Journal of Environmental Management</w:t>
      </w:r>
      <w:r>
        <w:t xml:space="preserve"> 201 (October): 138–44. doi:</w:t>
      </w:r>
      <w:hyperlink r:id="rId56">
        <w:r>
          <w:rPr>
            <w:rStyle w:val="Hyperlink"/>
          </w:rPr>
          <w:t>10.1016/j.jenvman.2017.06.039</w:t>
        </w:r>
      </w:hyperlink>
      <w:r>
        <w:t>.</w:t>
      </w:r>
    </w:p>
    <w:p w14:paraId="5284F980" w14:textId="77777777" w:rsidR="00E25645" w:rsidRDefault="00216B70" w:rsidP="00216B70">
      <w:pPr>
        <w:pStyle w:val="Bibliography"/>
        <w:spacing w:line="480" w:lineRule="auto"/>
        <w:ind w:hanging="720"/>
      </w:pPr>
      <w:r>
        <w:t xml:space="preserve">Vogel, David. 1995. </w:t>
      </w:r>
      <w:r>
        <w:rPr>
          <w:i/>
        </w:rPr>
        <w:t>Trading Up: Consumer and environmental regulation in a global economy</w:t>
      </w:r>
      <w:r>
        <w:t>. Cambridge, MA: Harvard University Press.</w:t>
      </w:r>
    </w:p>
    <w:p w14:paraId="52648EDF" w14:textId="77777777" w:rsidR="00E25645" w:rsidRDefault="00216B70" w:rsidP="00216B70">
      <w:pPr>
        <w:pStyle w:val="Bibliography"/>
        <w:spacing w:line="480" w:lineRule="auto"/>
        <w:ind w:hanging="720"/>
      </w:pPr>
      <w:r>
        <w:t xml:space="preserve">Weimer, David L. 2006. “The Puzzle of Private Rulemaking: Expertise, Flexibility, and Blame Avoidance in U.S. Regulation.” </w:t>
      </w:r>
      <w:r>
        <w:rPr>
          <w:i/>
        </w:rPr>
        <w:t>Public Administration Review</w:t>
      </w:r>
      <w:r>
        <w:t xml:space="preserve"> 66 (4). Blackwell Publishing Inc: 569–82. doi:</w:t>
      </w:r>
      <w:hyperlink r:id="rId57">
        <w:r>
          <w:rPr>
            <w:rStyle w:val="Hyperlink"/>
          </w:rPr>
          <w:t>10.1111/j.1540-6210.2006.00617.x</w:t>
        </w:r>
      </w:hyperlink>
      <w:r>
        <w:t>.</w:t>
      </w:r>
    </w:p>
    <w:sectPr w:rsidR="00E256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35025" w14:textId="77777777" w:rsidR="003A105E" w:rsidRDefault="003A105E">
      <w:pPr>
        <w:spacing w:after="0"/>
      </w:pPr>
      <w:r>
        <w:separator/>
      </w:r>
    </w:p>
  </w:endnote>
  <w:endnote w:type="continuationSeparator" w:id="0">
    <w:p w14:paraId="31AD960C" w14:textId="77777777" w:rsidR="003A105E" w:rsidRDefault="003A1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5483D" w14:textId="77777777" w:rsidR="003A105E" w:rsidRDefault="003A105E">
      <w:r>
        <w:separator/>
      </w:r>
    </w:p>
  </w:footnote>
  <w:footnote w:type="continuationSeparator" w:id="0">
    <w:p w14:paraId="2D01CD24" w14:textId="77777777" w:rsidR="003A105E" w:rsidRDefault="003A105E">
      <w:r>
        <w:continuationSeparator/>
      </w:r>
    </w:p>
  </w:footnote>
  <w:footnote w:id="1">
    <w:p w14:paraId="477B50E1" w14:textId="77777777" w:rsidR="00E25645" w:rsidRDefault="00216B70">
      <w:pPr>
        <w:pStyle w:val="FootnoteText"/>
      </w:pPr>
      <w:r>
        <w:rPr>
          <w:rStyle w:val="FootnoteReference"/>
        </w:rPr>
        <w:footnoteRef/>
      </w:r>
      <w:r>
        <w:t xml:space="preserve"> 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w:t>
      </w:r>
    </w:p>
  </w:footnote>
  <w:footnote w:id="2">
    <w:p w14:paraId="60DAAFF6" w14:textId="77777777" w:rsidR="00E25645" w:rsidRDefault="00216B70">
      <w:pPr>
        <w:pStyle w:val="FootnoteText"/>
      </w:pPr>
      <w:r>
        <w:rPr>
          <w:rStyle w:val="FootnoteReference"/>
        </w:rPr>
        <w:footnoteRef/>
      </w:r>
      <w:r>
        <w:t xml:space="preserve"> 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4 and 5 and Table 5). The extent to which this helps firms coordinate to maximize the impression of stringency while minimizing the costs of doing so is a question for future research.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6A8D5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8EC6C6B"/>
    <w:multiLevelType w:val="multilevel"/>
    <w:tmpl w:val="8700A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6B70"/>
    <w:rsid w:val="003A105E"/>
    <w:rsid w:val="004E29B3"/>
    <w:rsid w:val="00590D07"/>
    <w:rsid w:val="00784D58"/>
    <w:rsid w:val="00786DB3"/>
    <w:rsid w:val="008D6863"/>
    <w:rsid w:val="009C5A6B"/>
    <w:rsid w:val="00B86B75"/>
    <w:rsid w:val="00BC48D5"/>
    <w:rsid w:val="00C36279"/>
    <w:rsid w:val="00E2564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62A6D"/>
  <w15:docId w15:val="{2320F461-8F3B-424E-8CF8-267C63EC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16B7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16B7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518871" TargetMode="External"/><Relationship Id="rId18" Type="http://schemas.openxmlformats.org/officeDocument/2006/relationships/hyperlink" Target="http://www.ajps.org/" TargetMode="External"/><Relationship Id="rId26" Type="http://schemas.openxmlformats.org/officeDocument/2006/relationships/hyperlink" Target="https://doi.org/10.1111/j.1468-0491.2011.01519.x" TargetMode="External"/><Relationship Id="rId39" Type="http://schemas.openxmlformats.org/officeDocument/2006/relationships/hyperlink" Target="https://doi.org/10.1177/1086026603258926" TargetMode="External"/><Relationship Id="rId21" Type="http://schemas.openxmlformats.org/officeDocument/2006/relationships/hyperlink" Target="http://www.worldcat.org/title/voluntary-environmental-%20%20%20%20%20%20%20%20%20%20%20%20%20%20%20%20%20%20%20programs-a-policy-perspective/oclc/440281013" TargetMode="External"/><Relationship Id="rId34" Type="http://schemas.openxmlformats.org/officeDocument/2006/relationships/hyperlink" Target="https://doi.org/10.1111/j.1468-0491.2008.00397.x" TargetMode="External"/><Relationship Id="rId42" Type="http://schemas.openxmlformats.org/officeDocument/2006/relationships/hyperlink" Target="https://doi.org/10.1111/rego.12028" TargetMode="External"/><Relationship Id="rId47" Type="http://schemas.openxmlformats.org/officeDocument/2006/relationships/hyperlink" Target="http://citeseerx.ist.psu.edu/viewdoc/%20%20%20%20%20%20%20%20%20%20%20%20%20%20%20%20%20%20%20download;jsessionid=DE68D23595F4CD19670A0B39CEFE9B3D?%20%20%20%20%20%20%20%20%20%20%20%20%20%20%20%20%20%20%20doi=10.1.1.518.3936%7b\&amp;%7drep=rep1%7b\&amp;%7dtype=pdf" TargetMode="External"/><Relationship Id="rId50" Type="http://schemas.openxmlformats.org/officeDocument/2006/relationships/hyperlink" Target="https://doi.org/10.1111/j.1748-5991.2012.01133.x" TargetMode="External"/><Relationship Id="rId55" Type="http://schemas.openxmlformats.org/officeDocument/2006/relationships/hyperlink" Target="https://doi.org/10.1111/rego.12092" TargetMode="External"/><Relationship Id="rId7" Type="http://schemas.openxmlformats.org/officeDocument/2006/relationships/hyperlink" Target="https://www.researchgate.net/profile/Kenneth%7b\_%7dAbbott/%20%20%20%20%20%20%20%20%20%20%20%20%20%20%20%20%20%20%20publication/%20%20%20228677087%7b\_%7dThe%7b\_%7dGovernance%7b\_%7dTriangle%7b\_%7dRegulatory%7b\_%7dStandards%7b\_%7dInstitutions%7b\_%7dand%7b\_%7dthe%7b\_%7dShadow%7b\_%7dof%7b\_%7dthe%7b\_%7dState/links/00b49537fe7e97835f000000.pdf" TargetMode="External"/><Relationship Id="rId2" Type="http://schemas.openxmlformats.org/officeDocument/2006/relationships/styles" Target="styles.xml"/><Relationship Id="rId16" Type="http://schemas.openxmlformats.org/officeDocument/2006/relationships/hyperlink" Target="https://doi.org/10.1093/reep/rev019" TargetMode="External"/><Relationship Id="rId29" Type="http://schemas.openxmlformats.org/officeDocument/2006/relationships/hyperlink" Target="https://doi.org/10.1080/03050629.2016.1210943" TargetMode="External"/><Relationship Id="rId11" Type="http://schemas.openxmlformats.org/officeDocument/2006/relationships/hyperlink" Target="https://books.google.ca/books?id=be6uBAAAQBAJ%7b\&amp;%7dlr=%7b\&amp;%20%20%20%20%20%20%20%20%20%20%20%20%20%20%20%20%20%20%20%7dsource=gbs%7b\_%7dnavlinks%7b\_%7ds" TargetMode="External"/><Relationship Id="rId24" Type="http://schemas.openxmlformats.org/officeDocument/2006/relationships/hyperlink" Target="https://doi.org/10.1111/rego.12030" TargetMode="External"/><Relationship Id="rId32" Type="http://schemas.openxmlformats.org/officeDocument/2006/relationships/hyperlink" Target="https://doi.org/10.1111/rego.12005" TargetMode="External"/><Relationship Id="rId37" Type="http://schemas.openxmlformats.org/officeDocument/2006/relationships/hyperlink" Target="https://doi.org/10.1057/9781137314154.0006" TargetMode="External"/><Relationship Id="rId40" Type="http://schemas.openxmlformats.org/officeDocument/2006/relationships/hyperlink" Target="http://faculty.washington.edu/aseem/kollman-prakash.pdf" TargetMode="External"/><Relationship Id="rId45" Type="http://schemas.openxmlformats.org/officeDocument/2006/relationships/hyperlink" Target="https://doi.org/10.1016/j.geoforum.2011.11.002" TargetMode="External"/><Relationship Id="rId53" Type="http://schemas.openxmlformats.org/officeDocument/2006/relationships/hyperlink" Target="https://doi.org/10.1016/J.GLOENVCHA.2010.03.006"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politicalscience.yale.edu/publications/governing-%20%20%20%20%20%20%20%20%20%20%20%20%20%20%20%20%20%20%20through-markets-forest-certification-and-emergence-non-state-%20%20%20%20%20%20%20%20%20%20%20%20%20%20%20%20%20%20%20authority" TargetMode="External"/><Relationship Id="rId4" Type="http://schemas.openxmlformats.org/officeDocument/2006/relationships/webSettings" Target="webSettings.xml"/><Relationship Id="rId9" Type="http://schemas.openxmlformats.org/officeDocument/2006/relationships/hyperlink" Target="https://doi.org/10.2202/1542-0485.1271%3e" TargetMode="External"/><Relationship Id="rId14" Type="http://schemas.openxmlformats.org/officeDocument/2006/relationships/hyperlink" Target="https://doi.org/10.2307/2555262" TargetMode="External"/><Relationship Id="rId22" Type="http://schemas.openxmlformats.org/officeDocument/2006/relationships/hyperlink" Target="https://doi.org/10.1111/j.1541-0072.2007.00254.x" TargetMode="External"/><Relationship Id="rId27" Type="http://schemas.openxmlformats.org/officeDocument/2006/relationships/hyperlink" Target="https://doi.org/10.1111/j.1748-5991.2012.01147.x" TargetMode="External"/><Relationship Id="rId30" Type="http://schemas.openxmlformats.org/officeDocument/2006/relationships/hyperlink" Target="https://doi.org/10.1080/1387698042000222763" TargetMode="External"/><Relationship Id="rId35" Type="http://schemas.openxmlformats.org/officeDocument/2006/relationships/hyperlink" Target="https://doi.org/10.1287/mnsc.2015.2419" TargetMode="External"/><Relationship Id="rId43" Type="http://schemas.openxmlformats.org/officeDocument/2006/relationships/hyperlink" Target="https://doi.org/10.1093/reep/ren004" TargetMode="External"/><Relationship Id="rId48" Type="http://schemas.openxmlformats.org/officeDocument/2006/relationships/hyperlink" Target="https://doi.org/10.1177/1086026604270460" TargetMode="External"/><Relationship Id="rId56" Type="http://schemas.openxmlformats.org/officeDocument/2006/relationships/hyperlink" Target="https://doi.org/10.1016/j.jenvman.2017.06.039" TargetMode="External"/><Relationship Id="rId8" Type="http://schemas.openxmlformats.org/officeDocument/2006/relationships/hyperlink" Target="https://doi.org/10.1007/s11558-010-9092-3" TargetMode="External"/><Relationship Id="rId51" Type="http://schemas.openxmlformats.org/officeDocument/2006/relationships/hyperlink" Target="https://doi.org/10.1177/0007650313493990" TargetMode="External"/><Relationship Id="rId3" Type="http://schemas.openxmlformats.org/officeDocument/2006/relationships/settings" Target="settings.xml"/><Relationship Id="rId12" Type="http://schemas.openxmlformats.org/officeDocument/2006/relationships/hyperlink" Target="https://doi.org/10.1177/0032329203254863" TargetMode="External"/><Relationship Id="rId17" Type="http://schemas.openxmlformats.org/officeDocument/2006/relationships/hyperlink" Target="https://doi.org/10.1111/1468-0491.00199" TargetMode="External"/><Relationship Id="rId25" Type="http://schemas.openxmlformats.org/officeDocument/2006/relationships/hyperlink" Target="https://doi.org/10.1111/jems.12061" TargetMode="External"/><Relationship Id="rId33" Type="http://schemas.openxmlformats.org/officeDocument/2006/relationships/hyperlink" Target="https://doi.org/10.2307/422246" TargetMode="External"/><Relationship Id="rId38" Type="http://schemas.openxmlformats.org/officeDocument/2006/relationships/hyperlink" Target="https://doi.org/10.1111/j.1748-5991.2012.01140.x" TargetMode="External"/><Relationship Id="rId46" Type="http://schemas.openxmlformats.org/officeDocument/2006/relationships/hyperlink" Target="https://doi.org/10.1016/j.polsoc.2015.12.002" TargetMode="External"/><Relationship Id="rId59" Type="http://schemas.openxmlformats.org/officeDocument/2006/relationships/theme" Target="theme/theme1.xml"/><Relationship Id="rId20" Type="http://schemas.openxmlformats.org/officeDocument/2006/relationships/hyperlink" Target="https://doi.org/10.1093/jopart/mup014" TargetMode="External"/><Relationship Id="rId41" Type="http://schemas.openxmlformats.org/officeDocument/2006/relationships/hyperlink" Target="https://doi.org/10.1016/j.jeem.2015.05.003" TargetMode="External"/><Relationship Id="rId54" Type="http://schemas.openxmlformats.org/officeDocument/2006/relationships/hyperlink" Target="https://law.justia.com/cases/federal/district-courts/%20%20%20%20%20%20%20%20%20%20%20%20%20%20%20%20%20%20%20california/candce/4:2017cv02824/311874/1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0170840612443626" TargetMode="External"/><Relationship Id="rId23" Type="http://schemas.openxmlformats.org/officeDocument/2006/relationships/hyperlink" Target="https://doi.org/10.1007/s10551-015-2879-7" TargetMode="External"/><Relationship Id="rId28" Type="http://schemas.openxmlformats.org/officeDocument/2006/relationships/hyperlink" Target="https://books.google.ca/books?id=RaX3AAAAQBAJ%7b\&amp;%7dlr=%7b\&amp;%20%20%20%20%20%20%20%20%20%20%20%20%20%20%20%20%20%20%20%7dsource=gbs%7b\_%7dnavlinks%7b\_%7ds" TargetMode="External"/><Relationship Id="rId36" Type="http://schemas.openxmlformats.org/officeDocument/2006/relationships/hyperlink" Target="https://doi.org/10.1111/j.1467-9930.2008.00270.x" TargetMode="External"/><Relationship Id="rId49" Type="http://schemas.openxmlformats.org/officeDocument/2006/relationships/hyperlink" Target="https://doi.org/10.1093/ser/mwp028" TargetMode="External"/><Relationship Id="rId57" Type="http://schemas.openxmlformats.org/officeDocument/2006/relationships/hyperlink" Target="https://doi.org/10.1111/j.1540-6210.2006.00617.x" TargetMode="External"/><Relationship Id="rId10" Type="http://schemas.openxmlformats.org/officeDocument/2006/relationships/hyperlink" Target="https://doi.org/10.1080/00913367.2013.834803" TargetMode="External"/><Relationship Id="rId31" Type="http://schemas.openxmlformats.org/officeDocument/2006/relationships/hyperlink" Target="https://doi.org/10.1162/152638004323074200" TargetMode="External"/><Relationship Id="rId44" Type="http://schemas.openxmlformats.org/officeDocument/2006/relationships/hyperlink" Target="https://doi.org/10.1086/467466" TargetMode="External"/><Relationship Id="rId52" Type="http://schemas.openxmlformats.org/officeDocument/2006/relationships/hyperlink" Target="https://doi.org/10.3386/w93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56</Pages>
  <Words>13613</Words>
  <Characters>77596</Characters>
  <Application>Microsoft Office Word</Application>
  <DocSecurity>0</DocSecurity>
  <Lines>646</Lines>
  <Paragraphs>182</Paragraphs>
  <ScaleCrop>false</ScaleCrop>
  <Company/>
  <LinksUpToDate>false</LinksUpToDate>
  <CharactersWithSpaces>91027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2019-04-25T03:50:00Z</dcterms:created>
  <dcterms:modified xsi:type="dcterms:W3CDTF">2019-04-25T13:16:00Z</dcterms:modified>
</cp:coreProperties>
</file>