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F1EEE" w14:textId="77777777" w:rsidR="00570ACB" w:rsidRDefault="00570ACB" w:rsidP="00570ACB">
      <w:r>
        <w:t>title: Do Private Regulations Ratchet Up?</w:t>
      </w:r>
    </w:p>
    <w:p w14:paraId="398271CB" w14:textId="77777777" w:rsidR="00570ACB" w:rsidRDefault="00570ACB" w:rsidP="00570ACB">
      <w:r>
        <w:t>subtitle: How to distinguish types of regulatory stringency and patterns of change</w:t>
      </w:r>
    </w:p>
    <w:p w14:paraId="5C5450B6" w14:textId="77777777" w:rsidR="00570ACB" w:rsidRDefault="00570ACB" w:rsidP="00570ACB"/>
    <w:p w14:paraId="29A93966" w14:textId="77777777" w:rsidR="00570ACB" w:rsidRDefault="00570ACB" w:rsidP="00570ACB">
      <w:r>
        <w:t xml:space="preserve">author: </w:t>
      </w:r>
    </w:p>
    <w:p w14:paraId="5C0BCB61" w14:textId="77777777" w:rsidR="00570ACB" w:rsidRDefault="00570ACB" w:rsidP="00570ACB">
      <w:r>
        <w:t>- name: Devin Judge-Lord</w:t>
      </w:r>
    </w:p>
    <w:p w14:paraId="4B863376" w14:textId="77777777" w:rsidR="00570ACB" w:rsidRDefault="00570ACB" w:rsidP="00570ACB">
      <w:r>
        <w:t xml:space="preserve">  affiliation: University of Wisconsin--Madison</w:t>
      </w:r>
    </w:p>
    <w:p w14:paraId="76710CEE" w14:textId="77777777" w:rsidR="00570ACB" w:rsidRDefault="00570ACB" w:rsidP="00570ACB">
      <w:r>
        <w:t>- name: Constance L. McDermott</w:t>
      </w:r>
    </w:p>
    <w:p w14:paraId="6A0A0935" w14:textId="77777777" w:rsidR="00570ACB" w:rsidRDefault="00570ACB" w:rsidP="00570ACB">
      <w:r>
        <w:t xml:space="preserve">  affiliation: Oxford University</w:t>
      </w:r>
    </w:p>
    <w:p w14:paraId="1E10351C" w14:textId="77777777" w:rsidR="00570ACB" w:rsidRDefault="00570ACB" w:rsidP="00570ACB">
      <w:r>
        <w:t xml:space="preserve">- name: Benjamin </w:t>
      </w:r>
      <w:proofErr w:type="spellStart"/>
      <w:r>
        <w:t>Cashore</w:t>
      </w:r>
      <w:proofErr w:type="spellEnd"/>
    </w:p>
    <w:p w14:paraId="6ED23A80" w14:textId="77777777" w:rsidR="00570ACB" w:rsidRDefault="00570ACB" w:rsidP="00570ACB">
      <w:r>
        <w:t xml:space="preserve">  affiliation: Yale University</w:t>
      </w:r>
    </w:p>
    <w:p w14:paraId="121B3DB5" w14:textId="77777777" w:rsidR="00570ACB" w:rsidRDefault="00570ACB" w:rsidP="00570ACB"/>
    <w:p w14:paraId="3A1B1050" w14:textId="77777777" w:rsidR="00570ACB" w:rsidRDefault="00570ACB" w:rsidP="00570ACB">
      <w:r>
        <w:t>abstract: "Due to inconsistent measures of regulatory stringency, scholars offer conflicting accounts about whether competing private governance initiatives “race to the bottom,” “ratchet up,” “converge,” or “diverge.” To remedy this, we offer a framework to distinguish three often-conflated measures: regulatory scope, prescriptiveness, and performance levels. We use our framework to compare competing U.S. forestry certification programs, one founded by environmental activists and their allies, the other by the American Forest &amp; Paper Association. We find “upward” but also divergent policy prescriptiveness, with the activist-founded program adding requirements that impose costs on firms and the industry-backed program mostly adding requirements with net benefits to the sector. These results are consistent with the hypothesis that industry-backed programs emphasize less costly types of stringency than activist-backed programs. Furthermore, we find several more nuanced patterns of change that previous scholarship failed to anticipate, illustrating how disentangling types of stringency can improve theory building and testing."</w:t>
      </w:r>
    </w:p>
    <w:p w14:paraId="3B4D9272" w14:textId="77777777" w:rsidR="00570ACB" w:rsidRDefault="00570ACB" w:rsidP="00570ACB"/>
    <w:p w14:paraId="29F800E6" w14:textId="77777777" w:rsidR="00570ACB" w:rsidRDefault="00570ACB" w:rsidP="00570ACB">
      <w:r>
        <w:t>keywords: "policy change, private authority, certification, corporate social responsibility, private governance"</w:t>
      </w:r>
    </w:p>
    <w:p w14:paraId="2A473718" w14:textId="77777777" w:rsidR="00570ACB" w:rsidRDefault="00570ACB" w:rsidP="00570ACB"/>
    <w:p w14:paraId="09196EC3" w14:textId="0476BC4A" w:rsidR="00570ACB" w:rsidRDefault="00570ACB" w:rsidP="00570ACB">
      <w:r>
        <w:t xml:space="preserve">thanks: "Forthcoming in *Organization &amp; Environment* [2019 Special Issue on Social Movements and Private Environmental </w:t>
      </w:r>
      <w:proofErr w:type="gramStart"/>
      <w:r>
        <w:t>Governance](</w:t>
      </w:r>
      <w:proofErr w:type="gramEnd"/>
      <w:r>
        <w:t xml:space="preserve">https://journals.sagepub.com/doi/full/10.1177/1086026619853783). We thank </w:t>
      </w:r>
      <w:del w:id="0" w:author="Microsoft Office User" w:date="2019-09-06T12:57:00Z">
        <w:r w:rsidDel="002C22A4">
          <w:delText xml:space="preserve">three </w:delText>
        </w:r>
      </w:del>
      <w:ins w:id="1" w:author="Microsoft Office User" w:date="2019-09-06T12:57:00Z">
        <w:r w:rsidR="002C22A4">
          <w:t>two</w:t>
        </w:r>
        <w:r w:rsidR="002C22A4">
          <w:t xml:space="preserve"> </w:t>
        </w:r>
      </w:ins>
      <w:r>
        <w:t xml:space="preserve">anonymous reviewers and the editor for their comments on previous drafts that greatly improved this analysis. We are also grateful for feedback from participants at conferences including the American Politics Workshop at the University of Wisconsin-Madison, the Association of Public Policy Analysis and Management (APPAM) Annual Research Conference, and the Association of Environmental Studies and Sciences Annual Meeting. We are also grateful to extensive feedback on a 2014 draft of the analytic framework and the underlying data tables from officials from the Forest Stewardship Council (FSC), the Sustainable Forestry Initiative (SFI), and the Program for the Endorsement of Forest Certification (PEFC). This research was made possible by funding from the Fox Foundation, Procter &amp; Gamble, Staples, Office Depot, and Arup. We also thank Erica </w:t>
      </w:r>
      <w:proofErr w:type="spellStart"/>
      <w:r>
        <w:t>Pohnan</w:t>
      </w:r>
      <w:proofErr w:type="spellEnd"/>
      <w:r>
        <w:t xml:space="preserve"> and </w:t>
      </w:r>
      <w:proofErr w:type="spellStart"/>
      <w:r>
        <w:t>Akiva</w:t>
      </w:r>
      <w:proofErr w:type="spellEnd"/>
      <w:r>
        <w:t xml:space="preserve"> Fishman for research and editing assistance. The authors are fully responsible for data collection, analysis, and any errors. Comments welcome: </w:t>
      </w:r>
      <w:r>
        <w:lastRenderedPageBreak/>
        <w:t>JudgeLord@Wisc.edu. The most recent version of this paper is available at https://judgelord.github.io/FSC-SFI/oe/certification.pdf."</w:t>
      </w:r>
    </w:p>
    <w:p w14:paraId="2FBAD68E" w14:textId="77777777" w:rsidR="00570ACB" w:rsidRDefault="00570ACB" w:rsidP="00570ACB">
      <w:r>
        <w:t>---</w:t>
      </w:r>
    </w:p>
    <w:p w14:paraId="2DC5C367" w14:textId="77777777" w:rsidR="00570ACB" w:rsidRDefault="00570ACB" w:rsidP="00570ACB"/>
    <w:p w14:paraId="16E61AA4" w14:textId="77777777" w:rsidR="00570ACB" w:rsidRDefault="00570ACB" w:rsidP="00570ACB"/>
    <w:p w14:paraId="1498BF5A" w14:textId="77777777" w:rsidR="00570ACB" w:rsidRDefault="00570ACB" w:rsidP="00570ACB">
      <w:r>
        <w:t>\</w:t>
      </w:r>
      <w:proofErr w:type="spellStart"/>
      <w:r>
        <w:t>newpage</w:t>
      </w:r>
      <w:proofErr w:type="spellEnd"/>
    </w:p>
    <w:p w14:paraId="42F194E5" w14:textId="77777777" w:rsidR="00570ACB" w:rsidRDefault="00570ACB" w:rsidP="00570ACB"/>
    <w:p w14:paraId="48E9EDAE" w14:textId="77777777" w:rsidR="00570ACB" w:rsidRDefault="00570ACB" w:rsidP="00570ACB">
      <w:r>
        <w:t># Introduction</w:t>
      </w:r>
    </w:p>
    <w:p w14:paraId="515019E8" w14:textId="56504DE0" w:rsidR="00570ACB" w:rsidRDefault="00570ACB" w:rsidP="00570ACB">
      <w:r>
        <w:t xml:space="preserve">Private governance initiatives, such as product certification programs, have targeted farm and factory working conditions, greenhouse gas emissions, and fishery, mine, and forest management [@Auld2014; @Bartley2003; @Bozzi2012; @Hudson2003; @VanderVen2015; @Vince2017]. Many of these programs were founded by activists who were dissatisfied with public regulations. Using tactics such as boycotts as “sticks” and brand-boosting praise as “carrots,” activists attempt to pressure companies to comply with certification programs that </w:t>
      </w:r>
      <w:del w:id="2" w:author="Microsoft Office User" w:date="2019-09-06T12:57:00Z">
        <w:r w:rsidDel="002C22A4">
          <w:delText>go beyond</w:delText>
        </w:r>
      </w:del>
      <w:ins w:id="3" w:author="Microsoft Office User" w:date="2019-09-06T12:57:00Z">
        <w:r w:rsidR="002C22A4">
          <w:t>exceed</w:t>
        </w:r>
      </w:ins>
      <w:r>
        <w:t xml:space="preserve"> the requirements of public laws [@Cashore2002]. When buyers add certification criteria to their purchasing policies and contracts, those certification programs gain power to regulate how commodities are produced. Industry groups often resist these efforts at private (i.e. non-state) regulation, in some cases launching competing certification programs to offer more “business-friendly” alternatives. </w:t>
      </w:r>
    </w:p>
    <w:p w14:paraId="08FEB020" w14:textId="77777777" w:rsidR="00570ACB" w:rsidRDefault="00570ACB" w:rsidP="00570ACB"/>
    <w:p w14:paraId="2DB7831C" w14:textId="035E9110" w:rsidR="00570ACB" w:rsidRDefault="002C22A4" w:rsidP="00570ACB">
      <w:ins w:id="4" w:author="Microsoft Office User" w:date="2019-09-06T12:57:00Z">
        <w:r>
          <w:t>Public d</w:t>
        </w:r>
      </w:ins>
      <w:del w:id="5" w:author="Microsoft Office User" w:date="2019-09-06T12:57:00Z">
        <w:r w:rsidR="00570ACB" w:rsidDel="002C22A4">
          <w:delText>D</w:delText>
        </w:r>
      </w:del>
      <w:r w:rsidR="00570ACB">
        <w:t xml:space="preserve">ebates among supporters of activist-backed programs and industry-backed alternatives often center on the relative stringency of each program’s regulatory requirements. Compared to governments, which enjoy sovereign authority, it is especially vital for private organizations to achieve and maintain legitimacy in the eyes of both those they aim to empower and those they seek to regulate [@Bartley2007; @Bodansky1999; @Cashore2002]. The stringency of program requirements is often central to </w:t>
      </w:r>
      <w:ins w:id="6" w:author="Microsoft Office User" w:date="2019-09-06T12:58:00Z">
        <w:r>
          <w:t xml:space="preserve"> </w:t>
        </w:r>
        <w:r>
          <w:t>both positive and negative</w:t>
        </w:r>
        <w:r>
          <w:t xml:space="preserve"> </w:t>
        </w:r>
      </w:ins>
      <w:r w:rsidR="00570ACB">
        <w:t>evaluations of legitimacy</w:t>
      </w:r>
      <w:del w:id="7" w:author="Microsoft Office User" w:date="2019-09-06T12:57:00Z">
        <w:r w:rsidR="00570ACB" w:rsidDel="002C22A4">
          <w:delText>, both positive and negative</w:delText>
        </w:r>
      </w:del>
      <w:r w:rsidR="00570ACB">
        <w:t>.^[For example, @Cashore2004 found that while environmental groups evaluated the FSC as legitimate for developing wide-ranging and prescriptive standards, private forest owners found the same regulatory approach to be “illegitimate.”]</w:t>
      </w:r>
    </w:p>
    <w:p w14:paraId="742D8796" w14:textId="77777777" w:rsidR="00570ACB" w:rsidRDefault="00570ACB" w:rsidP="00570ACB"/>
    <w:p w14:paraId="11B76B19" w14:textId="2DBF2886" w:rsidR="00570ACB" w:rsidRDefault="00570ACB" w:rsidP="00570ACB">
      <w:r>
        <w:t>Concepts of regulatory stringency are also at the center of conflicting theoretical and empirical claims from scholars across political science, economics, and sociology about the potential effects</w:t>
      </w:r>
      <w:del w:id="8" w:author="Microsoft Office User" w:date="2019-09-06T12:58:00Z">
        <w:r w:rsidDel="002C22A4">
          <w:delText xml:space="preserve"> of</w:delText>
        </w:r>
      </w:del>
      <w:r>
        <w:t xml:space="preserve"> these programs </w:t>
      </w:r>
      <w:del w:id="9" w:author="Microsoft Office User" w:date="2019-09-06T12:58:00Z">
        <w:r w:rsidDel="002C22A4">
          <w:delText xml:space="preserve">and </w:delText>
        </w:r>
      </w:del>
      <w:ins w:id="10" w:author="Microsoft Office User" w:date="2019-09-06T12:58:00Z">
        <w:r w:rsidR="002C22A4">
          <w:t>may have and</w:t>
        </w:r>
        <w:r w:rsidR="002C22A4">
          <w:t xml:space="preserve"> </w:t>
        </w:r>
      </w:ins>
      <w:r>
        <w:t xml:space="preserve">how and why they evolve. A key motivation behind this research is understanding whether social and market forces driving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[@Berger1996; </w:t>
      </w:r>
      <w:del w:id="11" w:author="Microsoft Office User" w:date="2019-09-06T12:59:00Z">
        <w:r w:rsidDel="002C22A4">
          <w:delText xml:space="preserve">@Rodrik2004; </w:delText>
        </w:r>
      </w:del>
      <w:r>
        <w:t xml:space="preserve">@Vogel1995]. Yet compared to public policy scholarship [@Green-Pedersen2007; @Hall1993; @Howlett2014], private governance scholarship gives much less attention to measuring and explaining policy change. This limited attention has led to seemingly contradictory empirical findings, hindering theory development and testing. </w:t>
      </w:r>
    </w:p>
    <w:p w14:paraId="44945D3F" w14:textId="77777777" w:rsidR="00570ACB" w:rsidRDefault="00570ACB" w:rsidP="00570ACB">
      <w:r>
        <w:lastRenderedPageBreak/>
        <w:t xml:space="preserve"> </w:t>
      </w:r>
    </w:p>
    <w:p w14:paraId="0ACA1873" w14:textId="77777777" w:rsidR="00570ACB" w:rsidRDefault="00570ACB" w:rsidP="00570ACB">
      <w:r>
        <w:t xml:space="preserve">To address this gap, we build on taxonomies from the public policy literature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a systematic framework is especially important where multiple programs, backed by different coalitions, compete to exercise regulatory authority. Distinguishing among types of regulatory stringency and patterns of change will help researchers to develop hypotheses that are more conceptually precise and empirically tractable. </w:t>
      </w:r>
    </w:p>
    <w:p w14:paraId="0618B019" w14:textId="77777777" w:rsidR="00570ACB" w:rsidRDefault="00570ACB" w:rsidP="00570ACB"/>
    <w:p w14:paraId="7C286B05" w14:textId="77777777" w:rsidR="00570ACB" w:rsidRDefault="00570ACB" w:rsidP="00570ACB">
      <w:r>
        <w:t>We proceed in the following steps. Section two maps the different concepts and measures of regulatory stringency in existing private governance scholarship. Section three details our framework for measuring regulatory stringency. Section four applies the framework to compare competing certification programs in the U.S. forestry sector, arguably one of the most institutionalized forms of private regulation. Section five discusses the implications of our results for theory and outlines future research questions emerging from our findings.</w:t>
      </w:r>
    </w:p>
    <w:p w14:paraId="359EAB02" w14:textId="77777777" w:rsidR="00570ACB" w:rsidRDefault="00570ACB" w:rsidP="00570ACB"/>
    <w:p w14:paraId="23133FE0" w14:textId="77777777" w:rsidR="00570ACB" w:rsidRDefault="00570ACB" w:rsidP="00570ACB">
      <w:r>
        <w:t xml:space="preserve"># Regulatory stringency </w:t>
      </w:r>
    </w:p>
    <w:p w14:paraId="3486272D" w14:textId="77777777" w:rsidR="00570ACB" w:rsidRDefault="00570ACB" w:rsidP="00570ACB">
      <w:r>
        <w:t>Measuring regulatory stringency is necessary to test theories about how policy content shapes activist support, market adoption, social or ecological impacts, and how other programs respond (i.e., theories positing regulatory requirements as an explanatory variable). Measuring regulatory stringency is also necessary to assess how activist campaigns, market forces, and competition among programs affect policy development and content (i.e., where regulatory requirements are the dependent variable).</w:t>
      </w:r>
    </w:p>
    <w:p w14:paraId="1999C909" w14:textId="77777777" w:rsidR="00570ACB" w:rsidRDefault="00570ACB" w:rsidP="00570ACB"/>
    <w:p w14:paraId="3BC21006" w14:textId="77777777" w:rsidR="00570ACB" w:rsidRDefault="00570ACB" w:rsidP="00570ACB">
      <w:r>
        <w:t xml:space="preserve">*Stringency as an explanatory </w:t>
      </w:r>
      <w:proofErr w:type="gramStart"/>
      <w:r>
        <w:t>variable:*</w:t>
      </w:r>
      <w:proofErr w:type="gramEnd"/>
      <w:r>
        <w:t xml:space="preserve"> Scholars who study how private regulations gain legitimacy, trust, or support from various audiences posit that regulatory stringency is a key variable for explaining these outcomes. For example, @McDermott2012 argues that stringency may reduce trust by mandating formulaic, top-down approaches.  Perceived stringency may increase market demand for certified products [@Atkinson2014] but may also reduce adoption by firms [@Prado2013].  Changes in stringency that disadvantage some firms or groups may catalyze these actors to create alternative private regulatory programs [@Meidinger2003]. Alternatively, those disadvantaged by changes to private regulation may then opt to pursue their aims through public policy [@Weimer2006]. Such outcomes would be consistent with broader findings from literatures on “corporate social responsibility” (CSR) initiatives, such as environmental management systems (EMS), industry codes of conduct, and third-</w:t>
      </w:r>
      <w:r>
        <w:lastRenderedPageBreak/>
        <w:t xml:space="preserve">party certification programs, which find that more costly requirements are less likely to be adopted [@Delmas2008; @Kollman2001; @Lyon2008]. </w:t>
      </w:r>
    </w:p>
    <w:p w14:paraId="1EED8109" w14:textId="77777777" w:rsidR="00570ACB" w:rsidRDefault="00570ACB" w:rsidP="00570ACB"/>
    <w:p w14:paraId="187BFB5B" w14:textId="50ED4E3E" w:rsidR="00570ACB" w:rsidRDefault="00570ACB" w:rsidP="00570ACB">
      <w:r>
        <w:t xml:space="preserve">The effects of stringency on trust, legitimacy, compliance cost, and adoption matter because </w:t>
      </w:r>
      <w:del w:id="12" w:author="Microsoft Office User" w:date="2019-09-06T13:02:00Z">
        <w:r w:rsidDel="002C22A4">
          <w:delText>understanding the likely future</w:delText>
        </w:r>
      </w:del>
      <w:ins w:id="13" w:author="Microsoft Office User" w:date="2019-09-06T13:02:00Z">
        <w:r w:rsidR="002C22A4">
          <w:t>anticipating the</w:t>
        </w:r>
      </w:ins>
      <w:r>
        <w:t xml:space="preserve"> impact of private regulations “on the ground” requires understanding their evolutionary trajectories [@VanderVen2018]. Even activist-backed programs that establish stringent requirements on one issue at one point in time may not do so on other issues and at other times [@LeBaron2018]</w:t>
      </w:r>
      <w:ins w:id="14" w:author="Microsoft Office User" w:date="2019-09-06T13:02:00Z">
        <w:r w:rsidR="002C22A4">
          <w:t xml:space="preserve"> and n</w:t>
        </w:r>
      </w:ins>
      <w:del w:id="15" w:author="Microsoft Office User" w:date="2019-09-06T13:02:00Z">
        <w:r w:rsidDel="002C22A4">
          <w:delText>. N</w:delText>
        </w:r>
      </w:del>
      <w:r>
        <w:t xml:space="preserve">uanced gaps in otherwise stringent private regulations may </w:t>
      </w:r>
      <w:del w:id="16" w:author="Microsoft Office User" w:date="2019-09-06T13:03:00Z">
        <w:r w:rsidDel="002C22A4">
          <w:delText xml:space="preserve">also </w:delText>
        </w:r>
      </w:del>
      <w:r>
        <w:t>explain their lack of success in addressing problems such as deforestation [@VanderVen2018]. Together, these studies suggest that changes in regulatory stringency *may* have a wide range of effects. To assess these theories, we must define and measure stringency as an explanatory variable.</w:t>
      </w:r>
    </w:p>
    <w:p w14:paraId="676697AA" w14:textId="77777777" w:rsidR="00570ACB" w:rsidRDefault="00570ACB" w:rsidP="00570ACB"/>
    <w:p w14:paraId="65D54B24" w14:textId="77777777" w:rsidR="00570ACB" w:rsidRDefault="00570ACB" w:rsidP="00570ACB">
      <w:r>
        <w:t xml:space="preserve">*Stringency as the dependent </w:t>
      </w:r>
      <w:proofErr w:type="gramStart"/>
      <w:r>
        <w:t>variable:*</w:t>
      </w:r>
      <w:proofErr w:type="gramEnd"/>
      <w:r>
        <w:t xml:space="preserve"> Regulatory stringency is also a key variable in studies of the reverse causal relationships: i.e. how ideological, economic, political, and social forces shape and constrain policy content [@Bartley2003; @Cashore2004; @Fischer2014]. </w:t>
      </w:r>
    </w:p>
    <w:p w14:paraId="42B0A3FB" w14:textId="77777777" w:rsidR="00570ACB" w:rsidRDefault="00570ACB" w:rsidP="00570ACB">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suggest that the content of public and private regulations </w:t>
      </w:r>
      <w:proofErr w:type="gramStart"/>
      <w:r>
        <w:t>are</w:t>
      </w:r>
      <w:proofErr w:type="gramEnd"/>
      <w:r>
        <w:t xml:space="preserve"> a joint result of bargaining between activists and firms. The common thread is that each of these studies aims to explain relative differences or changes in policy. </w:t>
      </w:r>
    </w:p>
    <w:p w14:paraId="0D8FB059" w14:textId="77777777" w:rsidR="00570ACB" w:rsidRDefault="00570ACB" w:rsidP="00570ACB"/>
    <w:p w14:paraId="5C6D09D7" w14:textId="6C5AC57F" w:rsidR="00570ACB" w:rsidRDefault="00570ACB" w:rsidP="00570ACB">
      <w:r>
        <w:t xml:space="preserve">Others seek to explain variation in regulatory stringency as a result of endogenous interactions among private authorities [@DeLeon2009; @Eberlein2014; @Green2017; @Gulbrandsen2014; @Howard-Grenville2008; @Li2015; @Mills2016d]. For example, @Smith2010 suggest that competing private regulations </w:t>
      </w:r>
      <w:ins w:id="17" w:author="Microsoft Office User" w:date="2019-09-06T13:03:00Z">
        <w:r w:rsidR="002C22A4">
          <w:t xml:space="preserve">will </w:t>
        </w:r>
      </w:ins>
      <w:r>
        <w:t xml:space="preserve">change frequently and often imitate each other. Similarly, @Eberlein2014 identify “frequent rule revision” or “differentiation among rule systems” as potential effects of such interaction.  </w:t>
      </w:r>
    </w:p>
    <w:p w14:paraId="5E1F7032" w14:textId="77777777" w:rsidR="00570ACB" w:rsidRDefault="00570ACB" w:rsidP="00570ACB"/>
    <w:p w14:paraId="77200800" w14:textId="62501AAB" w:rsidR="00570ACB" w:rsidRDefault="00570ACB" w:rsidP="00570ACB">
      <w:r>
        <w:t xml:space="preserve">A related body of scholarship seeks to explain regulatory stringency as a result of strategic interactions among the coalitions backing </w:t>
      </w:r>
      <w:del w:id="18" w:author="Microsoft Office User" w:date="2019-09-06T13:03:00Z">
        <w:r w:rsidDel="002C22A4">
          <w:delText xml:space="preserve">different </w:delText>
        </w:r>
      </w:del>
      <w:ins w:id="19" w:author="Microsoft Office User" w:date="2019-09-06T13:03:00Z">
        <w:r w:rsidR="002C22A4">
          <w:t>competing</w:t>
        </w:r>
        <w:r w:rsidR="002C22A4">
          <w:t xml:space="preserve"> </w:t>
        </w:r>
      </w:ins>
      <w:r>
        <w:t xml:space="preserve">programs. Some focus on how competition may lead to more “weak or lax standards” as </w:t>
      </w:r>
      <w:proofErr w:type="gramStart"/>
      <w:r>
        <w:t>firms</w:t>
      </w:r>
      <w:proofErr w:type="gramEnd"/>
      <w:r>
        <w:t xml:space="preserve"> “shop” for lower-cost programs, potentially causing a “race to the bottom” [@Abbott2010; @Fransen2011; @Gulbrandsen2004]. In contrast, others find competition causing </w:t>
      </w:r>
      <w:r>
        <w:lastRenderedPageBreak/>
        <w:t>“weak”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22DFE00A" w14:textId="77777777" w:rsidR="00570ACB" w:rsidRDefault="00570ACB" w:rsidP="00570ACB"/>
    <w:p w14:paraId="01A292D0" w14:textId="28BB8B8E" w:rsidR="00570ACB" w:rsidRDefault="00570ACB" w:rsidP="00570ACB">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that the activist-backed program will </w:t>
      </w:r>
      <w:del w:id="20" w:author="Microsoft Office User" w:date="2019-09-06T13:04:00Z">
        <w:r w:rsidDel="002C22A4">
          <w:delText>ultimately remain</w:delText>
        </w:r>
      </w:del>
      <w:ins w:id="21" w:author="Microsoft Office User" w:date="2019-09-06T13:04:00Z">
        <w:r w:rsidR="002C22A4">
          <w:t>end up being</w:t>
        </w:r>
      </w:ins>
      <w:r>
        <w:t xml:space="preserve"> more stringent. </w:t>
      </w:r>
    </w:p>
    <w:p w14:paraId="54E6EB5C" w14:textId="77777777" w:rsidR="00570ACB" w:rsidRDefault="00570ACB" w:rsidP="00570ACB"/>
    <w:p w14:paraId="39E0124C" w14:textId="50354789" w:rsidR="00570ACB" w:rsidRDefault="00570ACB" w:rsidP="00570ACB">
      <w:r>
        <w:t xml:space="preserve">Yet assessing theories that aim to explain changes in regulatory stringency has been </w:t>
      </w:r>
      <w:del w:id="22" w:author="Microsoft Office User" w:date="2019-09-06T13:04:00Z">
        <w:r w:rsidDel="003E37EE">
          <w:delText xml:space="preserve">hampered </w:delText>
        </w:r>
      </w:del>
      <w:ins w:id="23" w:author="Microsoft Office User" w:date="2019-09-06T13:04:00Z">
        <w:r w:rsidR="003E37EE">
          <w:t>hindered</w:t>
        </w:r>
        <w:r w:rsidR="003E37EE">
          <w:t xml:space="preserve"> </w:t>
        </w:r>
      </w:ins>
      <w:r>
        <w:t>by inadequate attention to the dependent variable they seek to explain. The result is contradictory findings, especially regarding patterns of change. Some posit—and find evidence for—a pattern where competing regulations “ratchet up” with less stringent regulations converging toward more stringent ones [@Overdevest2005; @Overdevest2010; @Overdevest2014].  Other</w:t>
      </w:r>
      <w:del w:id="24" w:author="Microsoft Office User" w:date="2019-09-06T13:04:00Z">
        <w:r w:rsidDel="003E37EE">
          <w:delText xml:space="preserve"> scholar</w:delText>
        </w:r>
      </w:del>
      <w:r>
        <w:t xml:space="preserve">s </w:t>
      </w:r>
      <w:proofErr w:type="gramStart"/>
      <w:r>
        <w:t>posit</w:t>
      </w:r>
      <w:proofErr w:type="gramEnd"/>
      <w:r>
        <w:t xml:space="preserve">—and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642AC5CC" w14:textId="77777777" w:rsidR="00570ACB" w:rsidRDefault="00570ACB" w:rsidP="00570ACB"/>
    <w:p w14:paraId="57F31B4B" w14:textId="77777777" w:rsidR="00570ACB" w:rsidRDefault="00570ACB" w:rsidP="00570ACB"/>
    <w:p w14:paraId="246AF393" w14:textId="77777777" w:rsidR="00570ACB" w:rsidRDefault="00570ACB" w:rsidP="00570ACB">
      <w:r>
        <w:t xml:space="preserve">## Concepts &amp; Measurement of Variation in Private Regulations </w:t>
      </w:r>
    </w:p>
    <w:p w14:paraId="360F1463" w14:textId="6D5C55FF" w:rsidR="00570ACB" w:rsidRDefault="00570ACB" w:rsidP="00570ACB">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 attention to variation in </w:t>
      </w:r>
      <w:ins w:id="25" w:author="Microsoft Office User" w:date="2019-09-06T13:05:00Z">
        <w:r w:rsidR="003E37EE">
          <w:t>flexibility</w:t>
        </w:r>
        <w:r w:rsidR="003E37EE">
          <w:t xml:space="preserve"> versus </w:t>
        </w:r>
      </w:ins>
      <w:r>
        <w:t>prescriptiveness</w:t>
      </w:r>
      <w:del w:id="26" w:author="Microsoft Office User" w:date="2019-09-06T13:05:00Z">
        <w:r w:rsidDel="003E37EE">
          <w:delText xml:space="preserve"> versus flexibility</w:delText>
        </w:r>
      </w:del>
      <w:r>
        <w:t xml:space="preserve">, i.e., the extent to which regulations use mandatory and substantive performance thresholds. Others measure </w:t>
      </w:r>
      <w:del w:id="27" w:author="Microsoft Office User" w:date="2019-09-06T13:05:00Z">
        <w:r w:rsidDel="003E37EE">
          <w:delText xml:space="preserve">height </w:delText>
        </w:r>
      </w:del>
      <w:ins w:id="28" w:author="Microsoft Office User" w:date="2019-09-06T13:05:00Z">
        <w:r w:rsidR="003E37EE">
          <w:t>high and low</w:t>
        </w:r>
      </w:ins>
      <w:ins w:id="29" w:author="Microsoft Office User" w:date="2019-09-06T13:06:00Z">
        <w:r w:rsidR="003E37EE">
          <w:t xml:space="preserve"> stringency</w:t>
        </w:r>
      </w:ins>
      <w:ins w:id="30" w:author="Microsoft Office User" w:date="2019-09-06T13:05:00Z">
        <w:r w:rsidR="003E37EE">
          <w:t xml:space="preserve"> </w:t>
        </w:r>
      </w:ins>
      <w:r>
        <w:t xml:space="preserve">in a relative sense, defining </w:t>
      </w:r>
      <w:del w:id="31" w:author="Microsoft Office User" w:date="2019-09-06T13:06:00Z">
        <w:r w:rsidDel="002D32B3">
          <w:delText xml:space="preserve">the </w:delText>
        </w:r>
      </w:del>
      <w:ins w:id="32" w:author="Microsoft Office User" w:date="2019-09-06T13:06:00Z">
        <w:r w:rsidR="002D32B3">
          <w:t>a</w:t>
        </w:r>
        <w:r w:rsidR="002D32B3">
          <w:t xml:space="preserve"> </w:t>
        </w:r>
      </w:ins>
      <w:r>
        <w:t xml:space="preserve">“benchmark” </w:t>
      </w:r>
      <w:del w:id="33" w:author="Microsoft Office User" w:date="2019-09-06T13:06:00Z">
        <w:r w:rsidDel="003E37EE">
          <w:delText xml:space="preserve">as the higher </w:delText>
        </w:r>
      </w:del>
      <w:r>
        <w:t>standard</w:t>
      </w:r>
      <w:ins w:id="34" w:author="Microsoft Office User" w:date="2019-09-06T13:07:00Z">
        <w:r w:rsidR="002D32B3">
          <w:t xml:space="preserve"> against which others are measured</w:t>
        </w:r>
      </w:ins>
      <w:r>
        <w:t xml:space="preserve"> [@Overdevest2005; @Overdevest2010]. Still others combine concepts of breadth </w:t>
      </w:r>
      <w:r>
        <w:lastRenderedPageBreak/>
        <w:t xml:space="preserve">and prescriptiveness into </w:t>
      </w:r>
      <w:del w:id="35" w:author="Microsoft Office User" w:date="2019-09-06T13:07:00Z">
        <w:r w:rsidDel="002D32B3">
          <w:delText xml:space="preserve">one </w:delText>
        </w:r>
      </w:del>
      <w:ins w:id="36" w:author="Microsoft Office User" w:date="2019-09-06T13:08:00Z">
        <w:r w:rsidR="002D32B3">
          <w:t>a</w:t>
        </w:r>
      </w:ins>
      <w:ins w:id="37" w:author="Microsoft Office User" w:date="2019-09-06T13:07:00Z">
        <w:r w:rsidR="002D32B3">
          <w:t xml:space="preserve"> </w:t>
        </w:r>
      </w:ins>
      <w:r>
        <w:t>broader notion of stringency [@Fransen2011]. These distinct dimensions of stringency are often</w:t>
      </w:r>
      <w:ins w:id="38" w:author="Microsoft Office User" w:date="2019-09-06T13:08:00Z">
        <w:r w:rsidR="002D32B3">
          <w:t xml:space="preserve"> overlooked or</w:t>
        </w:r>
      </w:ins>
      <w:r>
        <w:t xml:space="preserve">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approaches so broad that they conflate many of these concepts to so narrow that they measure only a few select components of just one (see Table \ref{review}). </w:t>
      </w:r>
    </w:p>
    <w:p w14:paraId="7B8DE677" w14:textId="77777777" w:rsidR="00570ACB" w:rsidRDefault="00570ACB" w:rsidP="00570ACB"/>
    <w:p w14:paraId="0DCF4E88" w14:textId="0A5C0E37" w:rsidR="00570ACB" w:rsidRDefault="00570ACB" w:rsidP="00570ACB">
      <w:r>
        <w:t>Overall, concepts of stringency in existing work tend to be either insufficiently precise to be consistently applied across programs, insufficiently comprehensive to yield consistent results, or completely absent. (</w:t>
      </w:r>
      <w:ins w:id="39" w:author="Microsoft Office User" w:date="2019-09-06T13:10:00Z">
        <w:r w:rsidR="002D32B3">
          <w:t>S</w:t>
        </w:r>
      </w:ins>
      <w:del w:id="40" w:author="Microsoft Office User" w:date="2019-09-06T13:10:00Z">
        <w:r w:rsidDel="002D32B3">
          <w:delText>To be sure, s</w:delText>
        </w:r>
      </w:del>
      <w:r>
        <w:t>imilar problems plague public policy scholarship [@Brunel2016, @Howlett2007].</w:t>
      </w:r>
    </w:p>
    <w:p w14:paraId="65046F13" w14:textId="77777777" w:rsidR="00570ACB" w:rsidRDefault="00570ACB" w:rsidP="00570ACB"/>
    <w:p w14:paraId="76262A87" w14:textId="77777777" w:rsidR="00570ACB" w:rsidRDefault="00570ACB" w:rsidP="00570ACB">
      <w:r>
        <w:t>\input{review}</w:t>
      </w:r>
    </w:p>
    <w:p w14:paraId="313A7C33" w14:textId="77777777" w:rsidR="00570ACB" w:rsidRDefault="00570ACB" w:rsidP="00570ACB"/>
    <w:p w14:paraId="2BBB6D72" w14:textId="03B21395" w:rsidR="00570ACB" w:rsidRDefault="00570ACB" w:rsidP="00570ACB">
      <w:r>
        <w:t xml:space="preserve">In the absence of consistent measures of regulatory stringency, scholars have turned to proxy measures. For example, @Darnall2010 </w:t>
      </w:r>
      <w:del w:id="41" w:author="Microsoft Office User" w:date="2019-09-06T13:10:00Z">
        <w:r w:rsidDel="002D32B3">
          <w:delText xml:space="preserve">suggest </w:delText>
        </w:r>
      </w:del>
      <w:ins w:id="42" w:author="Microsoft Office User" w:date="2019-09-06T13:11:00Z">
        <w:r w:rsidR="002D32B3">
          <w:t>consider</w:t>
        </w:r>
      </w:ins>
      <w:del w:id="43" w:author="Microsoft Office User" w:date="2019-09-06T13:10:00Z">
        <w:r w:rsidDel="002D32B3">
          <w:delText>that</w:delText>
        </w:r>
      </w:del>
      <w:r>
        <w:t xml:space="preserve"> a program’s sponsor </w:t>
      </w:r>
      <w:ins w:id="44" w:author="Microsoft Office User" w:date="2019-09-06T13:11:00Z">
        <w:r w:rsidR="002D32B3">
          <w:t>to be</w:t>
        </w:r>
      </w:ins>
      <w:del w:id="45" w:author="Microsoft Office User" w:date="2019-09-06T13:10:00Z">
        <w:r w:rsidDel="002D32B3">
          <w:delText>is</w:delText>
        </w:r>
      </w:del>
      <w:r>
        <w:t xml:space="preserve"> a signal of its stringency. In the broadest study to date, @VanderVen2015 uses another common proxy for stringency--compliance with *perceived* “best practices,” also often considered “benchmarks” for measuring stringency but based on a variety of different notions of “rigor” and “credibility.” As a result, these approaches cannot examine relationships between stringency and program sponsorship or between stringency and perceived stringency.</w:t>
      </w:r>
    </w:p>
    <w:p w14:paraId="50627BBD" w14:textId="77777777" w:rsidR="00570ACB" w:rsidRDefault="00570ACB" w:rsidP="00570ACB"/>
    <w:p w14:paraId="6D31ECE1" w14:textId="64C6443D" w:rsidR="00570ACB" w:rsidRDefault="00570ACB" w:rsidP="00570ACB">
      <w:r>
        <w:t xml:space="preserve">More importantly, different approaches to measuring regulatory stringency prevent us from adjudicating between claims that competing programs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he does not find support for the prediction that industry-backed regulations are less likely to do so. The latter finding seems to contradict findings by @Cashore2004 that industry-backed programs set less stringent requirements. However, this is due to differences in measurement; </w:t>
      </w:r>
      <w:proofErr w:type="spellStart"/>
      <w:r>
        <w:t>Cashore</w:t>
      </w:r>
      <w:proofErr w:type="spellEnd"/>
      <w:r>
        <w:t xml:space="preserve"> et al. focus on the substantive prescriptiveness of regulations governing operations, while van der Ven focuses on stakeholder engagement and others forms of procedural “best practices</w:t>
      </w:r>
      <w:del w:id="46" w:author="Microsoft Office User" w:date="2019-09-06T13:12:00Z">
        <w:r w:rsidDel="002D32B3">
          <w:delText>.</w:delText>
        </w:r>
      </w:del>
      <w:r>
        <w:t>”</w:t>
      </w:r>
      <w:ins w:id="47" w:author="Microsoft Office User" w:date="2019-09-06T13:11:00Z">
        <w:r w:rsidR="002D32B3">
          <w:t>—</w:t>
        </w:r>
      </w:ins>
      <w:ins w:id="48" w:author="Microsoft Office User" w:date="2019-09-06T13:12:00Z">
        <w:r w:rsidR="002D32B3">
          <w:t xml:space="preserve">two </w:t>
        </w:r>
      </w:ins>
      <w:ins w:id="49" w:author="Microsoft Office User" w:date="2019-09-06T13:11:00Z">
        <w:r w:rsidR="002D32B3">
          <w:t>distinct notions of s</w:t>
        </w:r>
      </w:ins>
      <w:ins w:id="50" w:author="Microsoft Office User" w:date="2019-09-06T13:12:00Z">
        <w:r w:rsidR="002D32B3">
          <w:t>tringency.</w:t>
        </w:r>
      </w:ins>
    </w:p>
    <w:p w14:paraId="2F59712B" w14:textId="77777777" w:rsidR="00570ACB" w:rsidRDefault="00570ACB" w:rsidP="00570ACB"/>
    <w:p w14:paraId="15575B29" w14:textId="2534D1D8" w:rsidR="00570ACB" w:rsidRDefault="00570ACB" w:rsidP="00570ACB">
      <w:r>
        <w:t xml:space="preserve">Two common challenges have hindered efforts to identify patterns of </w:t>
      </w:r>
      <w:ins w:id="51" w:author="Microsoft Office User" w:date="2019-09-06T13:11:00Z">
        <w:r w:rsidR="002D32B3">
          <w:t xml:space="preserve">policy </w:t>
        </w:r>
      </w:ins>
      <w:r>
        <w:t xml:space="preserve">change. First, results vary depending on the policy components studied. Even the handful of scholars who have developed direct and precise measures of stringency (the top of Table \ref{review}) tend to only focus on a few salient </w:t>
      </w:r>
      <w:del w:id="52" w:author="Microsoft Office User" w:date="2019-09-06T13:12:00Z">
        <w:r w:rsidDel="002D32B3">
          <w:delText xml:space="preserve">policy </w:delText>
        </w:r>
      </w:del>
      <w:r>
        <w:t xml:space="preserve">components, rather than attempting to assess the entire range of requirements that regulations address. This approach can lead to conflicting results if scholars select different policy components as indicators of stringency. For example, to compare forestry </w:t>
      </w:r>
      <w:r>
        <w:lastRenderedPageBreak/>
        <w:t xml:space="preserve">certification programs, @Cashore2004 assess prescriptiveness on seven issues related to ecological protection (plantations, chemicals, </w:t>
      </w:r>
      <w:proofErr w:type="spellStart"/>
      <w:r>
        <w:t>clearcuts</w:t>
      </w:r>
      <w:proofErr w:type="spellEnd"/>
      <w:r>
        <w:t xml:space="preserve">, exotics, reserves, streamside riparian zones, and genetically modified organisms) and find large enduring differences between activist-backed and industry-backed programs. In contrast, @Overdevest2014 compared these same programs on six other features—two substantive requirements on firm behavior (public reporting and stakeholder consultation), two on compliance mechanisms (auditing and supply chain tracking), and another two on decision-making and marketing strategy—and find that these programs “all moved closer.” Here, different measurement strategies led to different conclusions that then supported conflicting theories of policy change. </w:t>
      </w:r>
    </w:p>
    <w:p w14:paraId="5350F3E2" w14:textId="77777777" w:rsidR="00570ACB" w:rsidRDefault="00570ACB" w:rsidP="00570ACB"/>
    <w:p w14:paraId="63A90396" w14:textId="21BCCB37" w:rsidR="00570ACB" w:rsidRDefault="00570ACB" w:rsidP="00570ACB">
      <w:r>
        <w:t>Second, binary indicators such as whether or not a program addresses a given topic—i.e. “is this issue in the program’s scope?”—fail to capture variation in degree—e.g., “how high is the threshold set” (</w:t>
      </w:r>
      <w:ins w:id="53" w:author="Microsoft Office User" w:date="2019-09-06T13:13:00Z">
        <w:r w:rsidR="002D32B3">
          <w:t xml:space="preserve">e.g., </w:t>
        </w:r>
      </w:ins>
      <w:r>
        <w:t xml:space="preserve">what is the required </w:t>
      </w:r>
      <w:ins w:id="54" w:author="Microsoft Office User" w:date="2019-09-06T13:13:00Z">
        <w:r w:rsidR="002D32B3">
          <w:t>*</w:t>
        </w:r>
      </w:ins>
      <w:r>
        <w:t>frequency</w:t>
      </w:r>
      <w:ins w:id="55" w:author="Microsoft Office User" w:date="2019-09-06T13:13:00Z">
        <w:r w:rsidR="002D32B3">
          <w:t>*</w:t>
        </w:r>
      </w:ins>
      <w:r>
        <w:t xml:space="preserve"> of public reporting or prohibited </w:t>
      </w:r>
      <w:ins w:id="56" w:author="Microsoft Office User" w:date="2019-09-06T13:13:00Z">
        <w:r w:rsidR="002D32B3">
          <w:t>*</w:t>
        </w:r>
      </w:ins>
      <w:r>
        <w:t>amount</w:t>
      </w:r>
      <w:ins w:id="57" w:author="Microsoft Office User" w:date="2019-09-06T13:13:00Z">
        <w:r w:rsidR="002D32B3">
          <w:t>*</w:t>
        </w:r>
      </w:ins>
      <w:r>
        <w:t xml:space="preserve"> of pollution?) and “how prescriptive are they?” (How much is voluntary versus mandatory?). The scope of requirements, degree of prescriptiveness, and levels of thresholds are each important dimensions of variation but may </w:t>
      </w:r>
      <w:ins w:id="58" w:author="Microsoft Office User" w:date="2019-09-06T13:33:00Z">
        <w:r w:rsidR="00255F3E">
          <w:t xml:space="preserve">each </w:t>
        </w:r>
      </w:ins>
      <w:r>
        <w:t xml:space="preserve">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The apparent conflict between </w:t>
      </w:r>
      <w:proofErr w:type="spellStart"/>
      <w:r>
        <w:t>Overdevest</w:t>
      </w:r>
      <w:proofErr w:type="spellEnd"/>
      <w:r>
        <w:t xml:space="preserve"> and Zeitlin’s study and </w:t>
      </w:r>
      <w:proofErr w:type="spellStart"/>
      <w:r>
        <w:t>Cashore</w:t>
      </w:r>
      <w:proofErr w:type="spellEnd"/>
      <w:r>
        <w:t xml:space="preserve"> et al.’s study is thus largely resolved by distinguishing findings about the scope of issues covered versus the prescriptiveness of regulatory requirements.</w:t>
      </w:r>
    </w:p>
    <w:p w14:paraId="65FB6D34" w14:textId="77777777" w:rsidR="00570ACB" w:rsidRDefault="00570ACB" w:rsidP="00570ACB"/>
    <w:p w14:paraId="79994A50" w14:textId="2AE462F3" w:rsidR="00570ACB" w:rsidRDefault="00570ACB" w:rsidP="00570ACB">
      <w:r>
        <w:t xml:space="preserve">If selection and measurement decisions explain variation in findings, </w:t>
      </w:r>
      <w:del w:id="59" w:author="Microsoft Office User" w:date="2019-09-06T13:35:00Z">
        <w:r w:rsidDel="00255F3E">
          <w:delText xml:space="preserve">the remedy is </w:delText>
        </w:r>
      </w:del>
      <w:r>
        <w:t>methods that allow more systematic comparisons</w:t>
      </w:r>
      <w:ins w:id="60" w:author="Microsoft Office User" w:date="2019-09-06T13:35:00Z">
        <w:r w:rsidR="00255F3E">
          <w:t xml:space="preserve"> are the remedy</w:t>
        </w:r>
      </w:ins>
      <w:r>
        <w:t xml:space="preserve">. </w:t>
      </w:r>
      <w:del w:id="61" w:author="Microsoft Office User" w:date="2019-09-06T13:34:00Z">
        <w:r w:rsidDel="00255F3E">
          <w:delText>We address this need by</w:delText>
        </w:r>
      </w:del>
      <w:ins w:id="62" w:author="Microsoft Office User" w:date="2019-09-06T13:34:00Z">
        <w:r w:rsidR="00255F3E">
          <w:t>To address this need, we offer</w:t>
        </w:r>
      </w:ins>
      <w:del w:id="63" w:author="Microsoft Office User" w:date="2019-09-06T13:34:00Z">
        <w:r w:rsidDel="00255F3E">
          <w:delText xml:space="preserve"> offering</w:delText>
        </w:r>
      </w:del>
      <w:r>
        <w:t xml:space="preserve"> a framework to (1) measure three types of stringency and (2) characterize change over time.</w:t>
      </w:r>
    </w:p>
    <w:p w14:paraId="08C4EAE2" w14:textId="77777777" w:rsidR="00570ACB" w:rsidRDefault="00570ACB" w:rsidP="00570ACB"/>
    <w:p w14:paraId="0573917C" w14:textId="77777777" w:rsidR="00570ACB" w:rsidRDefault="00570ACB" w:rsidP="00570ACB">
      <w:r>
        <w:t xml:space="preserve"># A Framework to classify change in private regulations </w:t>
      </w:r>
    </w:p>
    <w:p w14:paraId="3DA0EA0F" w14:textId="77777777" w:rsidR="00570ACB" w:rsidRDefault="00570ACB" w:rsidP="00570ACB"/>
    <w:p w14:paraId="61401B23" w14:textId="60F35B81" w:rsidR="00570ACB" w:rsidRDefault="00570ACB" w:rsidP="00570ACB">
      <w:r>
        <w:t xml:space="preserve">The first step for scholars who wish to make claims about stringency involves three tasks: describing policy content according to policy settings, scope, and prescriptiveness (Table \ref{types-of-stringency}). Comparing across programs </w:t>
      </w:r>
      <w:ins w:id="64" w:author="Microsoft Office User" w:date="2019-09-06T13:37:00Z">
        <w:r w:rsidR="00255F3E">
          <w:t xml:space="preserve">or over time </w:t>
        </w:r>
      </w:ins>
      <w:r>
        <w:t>requires a second step: measuring relative stringency and change on each dimension (see Table \ref{patterns}). First, we elaborate on step one.</w:t>
      </w:r>
    </w:p>
    <w:p w14:paraId="735DF7CF" w14:textId="77777777" w:rsidR="00570ACB" w:rsidRDefault="00570ACB" w:rsidP="00570ACB"/>
    <w:p w14:paraId="76F8C831" w14:textId="77777777" w:rsidR="00570ACB" w:rsidRDefault="00570ACB" w:rsidP="00570ACB">
      <w:r>
        <w:t>## Step 1: Measuring scope, prescriptiveness, and policy settings</w:t>
      </w:r>
    </w:p>
    <w:p w14:paraId="4124F3B7" w14:textId="59750E04" w:rsidR="00570ACB" w:rsidRDefault="00570ACB" w:rsidP="00570ACB">
      <w:r>
        <w:t xml:space="preserve">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w:t>
      </w:r>
      <w:r>
        <w:lastRenderedPageBreak/>
        <w:t xml:space="preserve">policy prescriptiveness--that can be applied across issue areas and thus aggregated to measure overall stringency.  That is, by comparing the number of issues covered by </w:t>
      </w:r>
      <w:ins w:id="65" w:author="Microsoft Office User" w:date="2019-09-06T13:40:00Z">
        <w:r w:rsidR="00255F3E">
          <w:t>each</w:t>
        </w:r>
      </w:ins>
      <w:del w:id="66" w:author="Microsoft Office User" w:date="2019-09-06T13:40:00Z">
        <w:r w:rsidDel="00255F3E">
          <w:delText>a</w:delText>
        </w:r>
      </w:del>
      <w:r>
        <w:t xml:space="preserve"> regulation and the number of prescriptive requirements on those issues, scholars can assess aggregate trends.</w:t>
      </w:r>
    </w:p>
    <w:p w14:paraId="41A68D52" w14:textId="77777777" w:rsidR="00570ACB" w:rsidRDefault="00570ACB" w:rsidP="00570ACB"/>
    <w:p w14:paraId="2D885476" w14:textId="77777777" w:rsidR="00570ACB" w:rsidRDefault="00570ACB" w:rsidP="00570ACB"/>
    <w:p w14:paraId="621D0C41" w14:textId="77777777" w:rsidR="00570ACB" w:rsidRDefault="00570ACB" w:rsidP="00570ACB"/>
    <w:p w14:paraId="0F6C0E34" w14:textId="77777777" w:rsidR="00570ACB" w:rsidRDefault="00570ACB" w:rsidP="00570ACB">
      <w:r>
        <w:t>\input{types-of-stringency}</w:t>
      </w:r>
    </w:p>
    <w:p w14:paraId="3F69ACA5" w14:textId="77777777" w:rsidR="00570ACB" w:rsidRDefault="00570ACB" w:rsidP="00570ACB"/>
    <w:p w14:paraId="541101EB" w14:textId="6E424817" w:rsidR="00570ACB" w:rsidRDefault="00570ACB" w:rsidP="00570ACB">
      <w:r>
        <w:t xml:space="preserve">*Scope:* </w:t>
      </w:r>
      <w:ins w:id="67" w:author="Microsoft Office User" w:date="2019-09-06T13:42:00Z">
        <w:r w:rsidR="00255F3E">
          <w:t>Because each program may cover a different set of issues at a given point in time</w:t>
        </w:r>
      </w:ins>
      <w:del w:id="68" w:author="Microsoft Office User" w:date="2019-09-06T13:43:00Z">
        <w:r w:rsidDel="00376B8A">
          <w:delText>Given the differences within and across programs</w:delText>
        </w:r>
      </w:del>
      <w:r>
        <w:t xml:space="preserve">, assessing the relative scope of issues they address requires inductively deriving a full range of policy issues addressed by one or more regulatory texts in a given policy domain. All comparisons of scope are conditional on such a set that establishes the “denominator” in the portion issues addressed by each program at each point in time. Scholars often give too little attention to this set of relevant comparisons given its importance in determining results. Once a researcher establishes a comprehensive set of issues, they can turn to assess the extent to which each regulation covers this set of </w:t>
      </w:r>
      <w:proofErr w:type="gramStart"/>
      <w:r>
        <w:t>issues.^</w:t>
      </w:r>
      <w:proofErr w:type="gramEnd"/>
      <w:r>
        <w:t xml:space="preserve">[While assessing a comprehensive set of issues reduces the risk of omitting key issues on which regulations may vary, it is often time consuming and costly. Scholars may thus opt for a limited scope, as long as they clearly describe their scope relative to the potential set of comparisons. A comprehensive approach is necessary, however, to assess claims about the scope of regulations (such as the hypotheses from section 2.3).] </w:t>
      </w:r>
    </w:p>
    <w:p w14:paraId="2B837541" w14:textId="77777777" w:rsidR="00570ACB" w:rsidRDefault="00570ACB" w:rsidP="00570ACB">
      <w:r>
        <w:t xml:space="preserve">With the measurement concept of issue scope, one can assess a regulation’s absolute requirements (i.e., how many key issues it addresses); its relative requirements (i.e., how many more or fewer issues does it </w:t>
      </w:r>
      <w:proofErr w:type="spellStart"/>
      <w:r>
        <w:t>it</w:t>
      </w:r>
      <w:proofErr w:type="spellEnd"/>
      <w:r>
        <w:t xml:space="preserve"> address than its competitor), and in change over time (i.e. how many changes occurred between time 1 and time 2).</w:t>
      </w:r>
    </w:p>
    <w:p w14:paraId="6D361321" w14:textId="77777777" w:rsidR="00570ACB" w:rsidRDefault="00570ACB" w:rsidP="00570ACB"/>
    <w:p w14:paraId="4E88D4FE" w14:textId="58723F9A" w:rsidR="00570ACB" w:rsidRDefault="00570ACB" w:rsidP="00570ACB">
      <w:r>
        <w:t>*</w:t>
      </w:r>
      <w:proofErr w:type="gramStart"/>
      <w:r>
        <w:t>Prescriptiveness:*</w:t>
      </w:r>
      <w:proofErr w:type="gramEnd"/>
      <w:r>
        <w:t xml:space="preserve"> Second, </w:t>
      </w:r>
      <w:ins w:id="69" w:author="Microsoft Office User" w:date="2019-09-06T13:40:00Z">
        <w:r w:rsidR="00255F3E">
          <w:t xml:space="preserve">this framework </w:t>
        </w:r>
      </w:ins>
      <w:ins w:id="70" w:author="Microsoft Office User" w:date="2019-09-06T13:41:00Z">
        <w:r w:rsidR="00255F3E">
          <w:t>calls on researchers to</w:t>
        </w:r>
      </w:ins>
      <w:del w:id="71" w:author="Microsoft Office User" w:date="2019-09-06T13:40:00Z">
        <w:r w:rsidDel="00255F3E">
          <w:delText>we</w:delText>
        </w:r>
      </w:del>
      <w:r>
        <w:t xml:space="preserve"> measure the extent to which each requirement is prescriptive, i.e., has substantive and mandatory features such as performance thresholds (see Table \ref{prescriptiveness} adapted from @Cashore2007). In forestry, thresholds </w:t>
      </w:r>
      <w:ins w:id="72" w:author="Microsoft Office User" w:date="2019-09-06T13:41:00Z">
        <w:r w:rsidR="00255F3E">
          <w:t xml:space="preserve">may </w:t>
        </w:r>
      </w:ins>
      <w:r>
        <w:t xml:space="preserve">include the maximum size of permitted </w:t>
      </w:r>
      <w:proofErr w:type="spellStart"/>
      <w:r>
        <w:t>clearcuts</w:t>
      </w:r>
      <w:proofErr w:type="spellEnd"/>
      <w:r>
        <w:t xml:space="preserve"> or minimum size of buffer zones around streams. Because "prescriptive versus flexible" </w:t>
      </w:r>
      <w:del w:id="73" w:author="Microsoft Office User" w:date="2019-09-06T13:44:00Z">
        <w:r w:rsidDel="00376B8A">
          <w:delText>refers to</w:delText>
        </w:r>
      </w:del>
      <w:ins w:id="74" w:author="Microsoft Office User" w:date="2019-09-06T13:44:00Z">
        <w:r w:rsidR="00376B8A">
          <w:t>is about</w:t>
        </w:r>
      </w:ins>
      <w:r>
        <w:t xml:space="preserve"> </w:t>
      </w:r>
      <w:ins w:id="75" w:author="Microsoft Office User" w:date="2019-09-06T13:44:00Z">
        <w:r w:rsidR="00376B8A">
          <w:t>*</w:t>
        </w:r>
      </w:ins>
      <w:r>
        <w:t>how</w:t>
      </w:r>
      <w:ins w:id="76" w:author="Microsoft Office User" w:date="2019-09-06T13:44:00Z">
        <w:r w:rsidR="00376B8A">
          <w:t>*</w:t>
        </w:r>
      </w:ins>
      <w:r>
        <w:t xml:space="preserve"> each issue is addressed (whether a regulation has mandatory thresholds), not the ends of the policy (the levels of those thresholds), we can compare prescriptiveness across substantive requirements. </w:t>
      </w:r>
    </w:p>
    <w:p w14:paraId="726005C9" w14:textId="77777777" w:rsidR="00570ACB" w:rsidRDefault="00570ACB" w:rsidP="00570ACB"/>
    <w:p w14:paraId="68CAF756" w14:textId="77777777" w:rsidR="00570ACB" w:rsidRDefault="00570ACB" w:rsidP="00570ACB">
      <w:r>
        <w:t xml:space="preserve">Prescriptiveness is a continuum. Discretionary guidelines, practices, processes, or plans are least prescriptive because they allow maximum flexibility. Procedural requirements that prescribe processes that must be followed but do not prescribe outcomes are somewhat prescriptive. Mandatory and substantive requirements, such as quantitative performance thresholds, are most prescriptive because they prescribe precise actions and outcomes. Compared to mandatory performance thresholds, even mandatory requirements to follow local “best management </w:t>
      </w:r>
      <w:r>
        <w:lastRenderedPageBreak/>
        <w:t xml:space="preserve">practices” are less prescriptive because these practices may not include substantive requirements. </w:t>
      </w:r>
    </w:p>
    <w:p w14:paraId="4D7FA03E" w14:textId="77777777" w:rsidR="00570ACB" w:rsidRDefault="00570ACB" w:rsidP="00570ACB"/>
    <w:p w14:paraId="343349FC" w14:textId="77777777" w:rsidR="00570ACB" w:rsidRDefault="00570ACB" w:rsidP="00570ACB">
      <w:r>
        <w:t>On each issue, our framework identifies both absolute and relative measures of prescriptiveness. This leads to three possibilities: “no prescriptive requirements” or “some prescriptive requirements”—and then, if the latter, whether they are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our framework classifies changes as becoming more prescriptive or less prescriptive on each issue, thus capturing the direction of change in prescriptiveness.</w:t>
      </w:r>
    </w:p>
    <w:p w14:paraId="2EAA0BC2" w14:textId="77777777" w:rsidR="00570ACB" w:rsidRDefault="00570ACB" w:rsidP="00570ACB"/>
    <w:p w14:paraId="4C91E8B1" w14:textId="77777777" w:rsidR="00570ACB" w:rsidRDefault="00570ACB" w:rsidP="00570ACB">
      <w:r>
        <w:t>\input{prescriptiveness}</w:t>
      </w:r>
    </w:p>
    <w:p w14:paraId="1498B8A1" w14:textId="77777777" w:rsidR="00570ACB" w:rsidRDefault="00570ACB" w:rsidP="00570ACB"/>
    <w:p w14:paraId="41EFA24C" w14:textId="6A391002" w:rsidR="00570ACB" w:rsidRDefault="00570ACB" w:rsidP="00570ACB">
      <w:r>
        <w:t xml:space="preserve">*Policy </w:t>
      </w:r>
      <w:proofErr w:type="gramStart"/>
      <w:r>
        <w:t>settings:*</w:t>
      </w:r>
      <w:proofErr w:type="gramEnd"/>
      <w:r>
        <w:t xml:space="preserve">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w:t>
      </w:r>
      <w:ins w:id="77" w:author="Microsoft Office User" w:date="2019-09-06T13:44:00Z">
        <w:r w:rsidR="00376B8A">
          <w:t xml:space="preserve">compare or </w:t>
        </w:r>
      </w:ins>
      <w:r>
        <w:t>aggregate. Even numeric stream buffers are difficult to compare because they often vary in different contexts, for example in mountainous or flat areas</w:t>
      </w:r>
      <w:ins w:id="78" w:author="Microsoft Office User" w:date="2019-09-06T13:45:00Z">
        <w:r w:rsidR="00376B8A">
          <w:t xml:space="preserve"> or </w:t>
        </w:r>
      </w:ins>
      <w:del w:id="79" w:author="Microsoft Office User" w:date="2019-09-06T13:45:00Z">
        <w:r w:rsidDel="00376B8A">
          <w:delText xml:space="preserve">, and involve different levels of harvest restrictions based on different criteria, such as </w:delText>
        </w:r>
      </w:del>
      <w:r>
        <w:t xml:space="preserve">whether fish live in the stream (see Figure 5 in section 4). Measurement strategies that allow program-level aggregation cannot replace issue-specific qualitative comparison. It is crucial to both quantify absolute and relative differences and describe the </w:t>
      </w:r>
      <w:del w:id="80" w:author="Microsoft Office User" w:date="2019-09-06T13:47:00Z">
        <w:r w:rsidDel="00112FD9">
          <w:delText>most meaningful</w:delText>
        </w:r>
      </w:del>
      <w:ins w:id="81" w:author="Microsoft Office User" w:date="2019-09-06T13:47:00Z">
        <w:r w:rsidR="00112FD9">
          <w:t>key</w:t>
        </w:r>
      </w:ins>
      <w:r>
        <w:t xml:space="preserve"> differences that capture the overall trends. We thus suggest that scholars combine aggregate measures with descriptive comparisons of important requirements, assessing </w:t>
      </w:r>
      <w:ins w:id="82" w:author="Microsoft Office User" w:date="2019-09-06T13:47:00Z">
        <w:r w:rsidR="00112FD9">
          <w:t xml:space="preserve">policy settings on </w:t>
        </w:r>
      </w:ins>
      <w:r>
        <w:t>each issue in an absolute sense, in a relative sense (if possible), and in how the required level of performance changed.</w:t>
      </w:r>
    </w:p>
    <w:p w14:paraId="21322516" w14:textId="77777777" w:rsidR="00570ACB" w:rsidRDefault="00570ACB" w:rsidP="00570ACB"/>
    <w:p w14:paraId="1BC590EA" w14:textId="49F5E81F" w:rsidR="00570ACB" w:rsidRDefault="00112FD9" w:rsidP="00570ACB">
      <w:ins w:id="83" w:author="Microsoft Office User" w:date="2019-09-06T13:48:00Z">
        <w:r>
          <w:t>*</w:t>
        </w:r>
        <w:r>
          <w:t xml:space="preserve">Stylized </w:t>
        </w:r>
        <w:proofErr w:type="gramStart"/>
        <w:r>
          <w:t>Example</w:t>
        </w:r>
        <w:r>
          <w:t>:*</w:t>
        </w:r>
        <w:proofErr w:type="gramEnd"/>
        <w:r>
          <w:t xml:space="preserve"> </w:t>
        </w:r>
      </w:ins>
      <w:r w:rsidR="00570ACB">
        <w:t xml:space="preserve">At its most stylized, step one, comparing two hypothetical programs (A and B) in a policy space with two issues (Hazardous Chemicals and Worker Training) might look like this: A researcher examines regulations in this policy area and inductively identifies a total of two </w:t>
      </w:r>
      <w:ins w:id="84" w:author="Microsoft Office User" w:date="2019-09-06T13:48:00Z">
        <w:r>
          <w:t xml:space="preserve">policy </w:t>
        </w:r>
      </w:ins>
      <w:r w:rsidR="00570ACB">
        <w:t xml:space="preserve">issues. Both programs have some prescriptive requirements on both issues, so they are equal in </w:t>
      </w:r>
      <w:ins w:id="85" w:author="Microsoft Office User" w:date="2019-09-06T13:48:00Z">
        <w:r>
          <w:t xml:space="preserve">policy </w:t>
        </w:r>
      </w:ins>
      <w:r w:rsidR="00570ACB">
        <w:t xml:space="preserve">scope. Program A bans using chemicals above certain quantitative toxicity thresholds, whereas Program B bans “hazardous” levels which auditors could interpret several ways, so Program A is more prescriptive on the issue of Chemicals. For policy settings, the two programs ban slightly different lists of chemicals, </w:t>
      </w:r>
      <w:ins w:id="86" w:author="Microsoft Office User" w:date="2019-09-06T13:50:00Z">
        <w:r>
          <w:t>so the researcher can only compare their specific requirements on chemicals qualitatively</w:t>
        </w:r>
      </w:ins>
      <w:ins w:id="87" w:author="Microsoft Office User" w:date="2019-09-06T13:51:00Z">
        <w:r>
          <w:t xml:space="preserve">, finding that </w:t>
        </w:r>
      </w:ins>
      <w:r w:rsidR="00570ACB">
        <w:t>Program A focus</w:t>
      </w:r>
      <w:ins w:id="88" w:author="Microsoft Office User" w:date="2019-09-06T13:51:00Z">
        <w:r>
          <w:t xml:space="preserve">es </w:t>
        </w:r>
      </w:ins>
      <w:del w:id="89" w:author="Microsoft Office User" w:date="2019-09-06T13:51:00Z">
        <w:r w:rsidR="00570ACB" w:rsidDel="00112FD9">
          <w:delText xml:space="preserve">ing </w:delText>
        </w:r>
      </w:del>
      <w:r w:rsidR="00570ACB">
        <w:t xml:space="preserve">on ecologically harmful chemicals </w:t>
      </w:r>
      <w:del w:id="90" w:author="Microsoft Office User" w:date="2019-09-06T13:51:00Z">
        <w:r w:rsidR="00570ACB" w:rsidDel="00112FD9">
          <w:delText xml:space="preserve">and </w:delText>
        </w:r>
      </w:del>
      <w:ins w:id="91" w:author="Microsoft Office User" w:date="2019-09-06T13:51:00Z">
        <w:r>
          <w:t>while</w:t>
        </w:r>
        <w:r>
          <w:t xml:space="preserve"> </w:t>
        </w:r>
      </w:ins>
      <w:r w:rsidR="00570ACB">
        <w:t xml:space="preserve">program B </w:t>
      </w:r>
      <w:r w:rsidR="00570ACB">
        <w:lastRenderedPageBreak/>
        <w:t>target</w:t>
      </w:r>
      <w:ins w:id="92" w:author="Microsoft Office User" w:date="2019-09-06T13:51:00Z">
        <w:r>
          <w:t>s</w:t>
        </w:r>
      </w:ins>
      <w:del w:id="93" w:author="Microsoft Office User" w:date="2019-09-06T13:51:00Z">
        <w:r w:rsidR="00570ACB" w:rsidDel="00112FD9">
          <w:delText>ing</w:delText>
        </w:r>
      </w:del>
      <w:r w:rsidR="00570ACB">
        <w:t xml:space="preserve"> those most harmful to humans</w:t>
      </w:r>
      <w:del w:id="94" w:author="Microsoft Office User" w:date="2019-09-06T13:50:00Z">
        <w:r w:rsidR="00570ACB" w:rsidDel="00112FD9">
          <w:delText>, so the researcher can only compare their specific requirements on chemicals qualitatively</w:delText>
        </w:r>
      </w:del>
      <w:r w:rsidR="00570ACB">
        <w:t xml:space="preserve">.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the researcher can only compare their policy settings qualitatively. Yet a pattern emerges: Program A, the overall more prescriptive program, is also more focused on ecological protection, possibly due to being more influenced by environmental activists. In contrast, program B is more focused on worker safety, possibly </w:t>
      </w:r>
      <w:ins w:id="95" w:author="Microsoft Office User" w:date="2019-09-06T13:52:00Z">
        <w:r>
          <w:t>du</w:t>
        </w:r>
        <w:r w:rsidR="009102C0">
          <w:t>e</w:t>
        </w:r>
        <w:r>
          <w:t xml:space="preserve"> </w:t>
        </w:r>
      </w:ins>
      <w:r w:rsidR="00570ACB">
        <w:t xml:space="preserve">to </w:t>
      </w:r>
      <w:ins w:id="96" w:author="Microsoft Office User" w:date="2019-09-06T13:52:00Z">
        <w:r>
          <w:t xml:space="preserve">being more influenced by labor unions or </w:t>
        </w:r>
        <w:r w:rsidR="009102C0">
          <w:t xml:space="preserve">by </w:t>
        </w:r>
        <w:r>
          <w:t xml:space="preserve">companies aiming </w:t>
        </w:r>
      </w:ins>
      <w:r w:rsidR="00570ACB">
        <w:t>reduce the risk that worker injuries at one firm will impose reputational or regulatory costs for the whole industry.</w:t>
      </w:r>
    </w:p>
    <w:p w14:paraId="05552545" w14:textId="77777777" w:rsidR="00570ACB" w:rsidRDefault="00570ACB" w:rsidP="00570ACB"/>
    <w:p w14:paraId="2E838DC0" w14:textId="79D6C779" w:rsidR="00570ACB" w:rsidRDefault="00570ACB" w:rsidP="00570ACB">
      <w:r>
        <w:t xml:space="preserve">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w:t>
      </w:r>
      <w:del w:id="97" w:author="Microsoft Office User" w:date="2019-09-06T13:53:00Z">
        <w:r w:rsidDel="009102C0">
          <w:delText xml:space="preserve">overall </w:delText>
        </w:r>
      </w:del>
      <w:r>
        <w:t>conclusions.</w:t>
      </w:r>
    </w:p>
    <w:p w14:paraId="07E1D5BF" w14:textId="77777777" w:rsidR="00570ACB" w:rsidRDefault="00570ACB" w:rsidP="00570ACB"/>
    <w:p w14:paraId="7DD1AF70" w14:textId="77777777" w:rsidR="00570ACB" w:rsidRDefault="00570ACB" w:rsidP="00570ACB">
      <w:r>
        <w:t>## Step 2: Classifying Patterns of Change</w:t>
      </w:r>
    </w:p>
    <w:p w14:paraId="70445E96" w14:textId="37F5923D" w:rsidR="00570ACB" w:rsidRDefault="00570ACB" w:rsidP="00570ACB">
      <w:r>
        <w:t>Building on @Baumgartner2002 and @Howlett2007, we also emphasize the importance of the direction</w:t>
      </w:r>
      <w:ins w:id="98" w:author="Microsoft Office User" w:date="2019-09-06T13:53:00Z">
        <w:r w:rsidR="009102C0">
          <w:t xml:space="preserve"> and pace</w:t>
        </w:r>
      </w:ins>
      <w:r>
        <w:t xml:space="preserve"> of policy change. Assessing patterns of change like punctuation or equilibrium requires measuring change on each dimension of stringency because there may be equilibrium on one dimension but punctuation on another. In absolute terms, stringency may be increasing, decreasing, or neither</w:t>
      </w:r>
      <w:ins w:id="99" w:author="Microsoft Office User" w:date="2019-09-06T13:53:00Z">
        <w:r w:rsidR="009102C0">
          <w:t>. In</w:t>
        </w:r>
      </w:ins>
      <w:del w:id="100" w:author="Microsoft Office User" w:date="2019-09-06T13:53:00Z">
        <w:r w:rsidDel="009102C0">
          <w:delText>, and, in</w:delText>
        </w:r>
      </w:del>
      <w:r>
        <w:t xml:space="preserve"> relative terms, regulations may be converging, in equilibrium, or diverging on each dimension over any given period (Table \ref{patterns}). Thus, in aggregate, nine relationships fully capture the possible dynamics for each dimension of change.  All </w:t>
      </w:r>
      <w:del w:id="101" w:author="Microsoft Office User" w:date="2019-09-06T13:54:00Z">
        <w:r w:rsidDel="009102C0">
          <w:delText xml:space="preserve">of the </w:delText>
        </w:r>
      </w:del>
      <w:r>
        <w:t xml:space="preserve">theories about regulatory stringency </w:t>
      </w:r>
      <w:ins w:id="102" w:author="Microsoft Office User" w:date="2019-09-06T13:54:00Z">
        <w:r w:rsidR="009102C0">
          <w:t xml:space="preserve">(including those </w:t>
        </w:r>
      </w:ins>
      <w:r>
        <w:t>from Table \ref{review}</w:t>
      </w:r>
      <w:ins w:id="103" w:author="Microsoft Office User" w:date="2019-09-06T13:54:00Z">
        <w:r w:rsidR="009102C0">
          <w:t>)</w:t>
        </w:r>
      </w:ins>
      <w:r>
        <w:t xml:space="preserve"> should be able to be expressed in terms of the dimension(s) to which the theory applies, the absolute directions of change they predict, and relative relationships they anticipate.</w:t>
      </w:r>
    </w:p>
    <w:p w14:paraId="09ED86EC" w14:textId="77777777" w:rsidR="00570ACB" w:rsidRDefault="00570ACB" w:rsidP="00570ACB"/>
    <w:p w14:paraId="785DCAE5" w14:textId="77777777" w:rsidR="00570ACB" w:rsidRDefault="00570ACB" w:rsidP="00570ACB">
      <w:r>
        <w:t>\input{patterns}</w:t>
      </w:r>
    </w:p>
    <w:p w14:paraId="413DB81D" w14:textId="77777777" w:rsidR="00570ACB" w:rsidRDefault="00570ACB" w:rsidP="00570ACB"/>
    <w:p w14:paraId="77CD135D" w14:textId="3C8CCC5D" w:rsidR="00570ACB" w:rsidRDefault="00570ACB" w:rsidP="00570ACB">
      <w:r>
        <w:t>*</w:t>
      </w:r>
      <w:proofErr w:type="gramStart"/>
      <w:r>
        <w:t>Conclusion:*</w:t>
      </w:r>
      <w:proofErr w:type="gramEnd"/>
      <w:r>
        <w:t xml:space="preserve"> This framework for measuring regulatory stringency helps researchers accomplish several important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(5) capture qualitative differences in policy settings.  Step one</w:t>
      </w:r>
      <w:ins w:id="104" w:author="Microsoft Office User" w:date="2019-09-06T13:55:00Z">
        <w:r w:rsidR="009102C0">
          <w:t xml:space="preserve"> of our framework</w:t>
        </w:r>
      </w:ins>
      <w:r>
        <w:t xml:space="preserve"> satisfies these five criteria and step two goes on to classify relative change over time.</w:t>
      </w:r>
    </w:p>
    <w:p w14:paraId="116CC708" w14:textId="77777777" w:rsidR="00570ACB" w:rsidRDefault="00570ACB" w:rsidP="00570ACB"/>
    <w:p w14:paraId="151C3548" w14:textId="77777777" w:rsidR="00570ACB" w:rsidRDefault="00570ACB" w:rsidP="00570ACB">
      <w:r>
        <w:lastRenderedPageBreak/>
        <w:t>## Theorizing in terms of scope, prescriptiveness, and policy settings</w:t>
      </w:r>
    </w:p>
    <w:p w14:paraId="7634C78C" w14:textId="77777777" w:rsidR="00570ACB" w:rsidRDefault="00570ACB" w:rsidP="00570ACB">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61D82F22" w14:textId="77777777" w:rsidR="00570ACB" w:rsidRDefault="00570ACB" w:rsidP="00570ACB"/>
    <w:p w14:paraId="3D950D22" w14:textId="14AEEA51" w:rsidR="00570ACB" w:rsidRDefault="00570ACB" w:rsidP="00570ACB">
      <w:r>
        <w:t xml:space="preserve">*Compliance costs and </w:t>
      </w:r>
      <w:proofErr w:type="gramStart"/>
      <w:r>
        <w:t>competition:*</w:t>
      </w:r>
      <w:proofErr w:type="gramEnd"/>
      <w:r>
        <w:t xml:space="preserve"> By breaking down stringency into three distinct dimensions, we expand on two related propositions: (1) Compliance costs cause competing programs to set different levels of stringency. Specifically, @Cashore2004 and @Fischer2014 theorize that industry-backed programs set less stringent regulatory requirements than activist-backed programs because industry-backed programs are less willing to impose costs on firms. (2) Programs change in response to changes by their competitor</w:t>
      </w:r>
      <w:ins w:id="105" w:author="Microsoft Office User" w:date="2019-09-06T13:58:00Z">
        <w:r w:rsidR="009102C0">
          <w:t>s</w:t>
        </w:r>
      </w:ins>
      <w:r>
        <w:t>. Specifically, when private authorities compete for market share, if one changes its requirements, the other will change in a similar direction [@Fischer2014; @Smith2010]. Yet, these studies do not specify which dimensions of stringency ought to be affected by compliance costs</w:t>
      </w:r>
      <w:ins w:id="106" w:author="Microsoft Office User" w:date="2019-09-06T13:58:00Z">
        <w:r w:rsidR="009102C0">
          <w:t xml:space="preserve"> and competition</w:t>
        </w:r>
      </w:ins>
      <w:r>
        <w:t xml:space="preserve">. Do incentives rooted in compliance cost affect each dimension in the same way? Are competing programs more responsive to changes in the scope, prescriptiveness, or policy settings of competing </w:t>
      </w:r>
      <w:del w:id="107" w:author="Microsoft Office User" w:date="2019-09-06T13:58:00Z">
        <w:r w:rsidDel="009102C0">
          <w:delText>standards</w:delText>
        </w:r>
      </w:del>
      <w:ins w:id="108" w:author="Microsoft Office User" w:date="2019-09-06T13:58:00Z">
        <w:r w:rsidR="009102C0">
          <w:t>programs</w:t>
        </w:r>
      </w:ins>
      <w:r>
        <w:t xml:space="preserve">? Disentangling policy settings, scope, and prescriptiveness suggests more precise hypotheses to assess </w:t>
      </w:r>
      <w:del w:id="109" w:author="Microsoft Office User" w:date="2019-09-06T13:59:00Z">
        <w:r w:rsidDel="007F2B44">
          <w:delText xml:space="preserve">such </w:delText>
        </w:r>
      </w:del>
      <w:r>
        <w:t>theories rooted in compliance cost and competition.</w:t>
      </w:r>
    </w:p>
    <w:p w14:paraId="1A25ACC4" w14:textId="77777777" w:rsidR="00570ACB" w:rsidRDefault="00570ACB" w:rsidP="00570ACB"/>
    <w:p w14:paraId="3261A5C2" w14:textId="77777777" w:rsidR="00570ACB" w:rsidRDefault="00570ACB" w:rsidP="00570ACB">
      <w:r>
        <w:t xml:space="preserve">*Revised compliance cost </w:t>
      </w:r>
      <w:proofErr w:type="gramStart"/>
      <w:r>
        <w:t>hypotheses:*</w:t>
      </w:r>
      <w:proofErr w:type="gramEnd"/>
      <w:r>
        <w:t xml:space="preserve"> If broadening scope is low-cost for firms but increasing prescriptiveness and performance levels are high-cost,</w:t>
      </w:r>
    </w:p>
    <w:p w14:paraId="6720D30C" w14:textId="77777777" w:rsidR="00570ACB" w:rsidRDefault="00570ACB" w:rsidP="00570ACB"/>
    <w:p w14:paraId="714D6FD0" w14:textId="77777777" w:rsidR="00570ACB" w:rsidRDefault="00570ACB" w:rsidP="00570ACB">
      <w:r>
        <w:t>&gt;**H1.</w:t>
      </w:r>
      <w:proofErr w:type="gramStart"/>
      <w:r>
        <w:t>1:*</w:t>
      </w:r>
      <w:proofErr w:type="gramEnd"/>
      <w:r>
        <w:t>* An industry-backed regulation will be more similar to an activist-backed regulation in scope than in prescriptiveness or performance levels.</w:t>
      </w:r>
    </w:p>
    <w:p w14:paraId="42C77373" w14:textId="77777777" w:rsidR="00570ACB" w:rsidRDefault="00570ACB" w:rsidP="00570ACB"/>
    <w:p w14:paraId="78A4EA66" w14:textId="77777777" w:rsidR="00570ACB" w:rsidRDefault="00570ACB" w:rsidP="00570ACB">
      <w:r>
        <w:t>&gt;**H1.</w:t>
      </w:r>
      <w:proofErr w:type="gramStart"/>
      <w:r>
        <w:t>2:*</w:t>
      </w:r>
      <w:proofErr w:type="gramEnd"/>
      <w:r>
        <w:t>* An industry-backed regulation will be more likely to respond to changes in an activist backed regulation by converging in scope than in prescriptiveness or performance levels.</w:t>
      </w:r>
    </w:p>
    <w:p w14:paraId="69C15346" w14:textId="77777777" w:rsidR="00570ACB" w:rsidRDefault="00570ACB" w:rsidP="00570ACB"/>
    <w:p w14:paraId="38A486F6" w14:textId="77777777" w:rsidR="00570ACB" w:rsidRDefault="00570ACB" w:rsidP="00570ACB">
      <w:r>
        <w:t>*</w:t>
      </w:r>
      <w:proofErr w:type="gramStart"/>
      <w:r>
        <w:t>Differentiation:*</w:t>
      </w:r>
      <w:proofErr w:type="gramEnd"/>
      <w:r>
        <w:t xml:space="preserve"> Another core theoretical claim is that different coalitions will establish qualitatively different policies [@Botzem2012; @Hsueh2012]. By distinguishing types of stringency, we identify qualitative differences in how stringency varies across programs.</w:t>
      </w:r>
    </w:p>
    <w:p w14:paraId="1ADA5FBD" w14:textId="77777777" w:rsidR="00570ACB" w:rsidRDefault="00570ACB" w:rsidP="00570ACB"/>
    <w:p w14:paraId="46979D5E" w14:textId="4391ED97" w:rsidR="00570ACB" w:rsidRDefault="00570ACB" w:rsidP="00570ACB">
      <w:r>
        <w:t xml:space="preserve">Specifically, we expect that the relative stringency of an industry-backed program on a given issue will depend on whether the requirements results in net </w:t>
      </w:r>
      <w:ins w:id="110" w:author="Microsoft Office User" w:date="2019-09-06T13:59:00Z">
        <w:r w:rsidR="007F2B44">
          <w:t xml:space="preserve">costs or </w:t>
        </w:r>
      </w:ins>
      <w:r>
        <w:lastRenderedPageBreak/>
        <w:t xml:space="preserve">benefits to the industry. In contrast, we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result is likely to be a lower level of stringency than that of an activist-backed program, even as they both change over time. We </w:t>
      </w:r>
      <w:del w:id="111" w:author="Microsoft Office User" w:date="2019-09-06T14:00:00Z">
        <w:r w:rsidDel="007F2B44">
          <w:delText xml:space="preserve">would </w:delText>
        </w:r>
      </w:del>
      <w:r>
        <w:t xml:space="preserve">also expect this difference between programs to be larger on issues where compliance costs are </w:t>
      </w:r>
      <w:del w:id="112" w:author="Microsoft Office User" w:date="2019-09-06T14:00:00Z">
        <w:r w:rsidDel="007F2B44">
          <w:delText xml:space="preserve">relatively </w:delText>
        </w:r>
      </w:del>
      <w:r>
        <w:t>higher or where industry-backed programs can more easily foster an impression of stringency without imposing costly requirements.</w:t>
      </w:r>
    </w:p>
    <w:p w14:paraId="417CF278" w14:textId="77777777" w:rsidR="00570ACB" w:rsidRDefault="00570ACB" w:rsidP="00570ACB"/>
    <w:p w14:paraId="716EBED5" w14:textId="2A1D3737" w:rsidR="00570ACB" w:rsidRDefault="00570ACB" w:rsidP="00570ACB">
      <w:r>
        <w:t xml:space="preserve">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or firms that have net benefits but that requires a coordinating institution. Like industry associations, </w:t>
      </w:r>
      <w:ins w:id="113" w:author="Microsoft Office User" w:date="2019-09-06T14:01:00Z">
        <w:r w:rsidR="007F2B44">
          <w:t xml:space="preserve">regulatory agencies and </w:t>
        </w:r>
      </w:ins>
      <w:r>
        <w:t>certification programs can serve as coordinating institutions. Business-friendly certification programs may also attempt to boost perceptions of stringency by adding requirements to do things that firms would do anyway. If observers fail to distinguish among different types of stringency on different issues, such a strategy may be a low cost and effective way to shape perceptions of overall stringency.</w:t>
      </w:r>
    </w:p>
    <w:p w14:paraId="409BD808" w14:textId="77777777" w:rsidR="00570ACB" w:rsidRDefault="00570ACB" w:rsidP="00570ACB"/>
    <w:p w14:paraId="35BB7F0D" w14:textId="77777777" w:rsidR="00570ACB" w:rsidRDefault="00570ACB" w:rsidP="00570ACB">
      <w:r>
        <w:t xml:space="preserve">*Revised differentiation </w:t>
      </w:r>
      <w:proofErr w:type="gramStart"/>
      <w:r>
        <w:t>hypotheses:*</w:t>
      </w:r>
      <w:proofErr w:type="gramEnd"/>
      <w:r>
        <w:t xml:space="preserve"> Where activist-backed and industry-backed private regulations compete, </w:t>
      </w:r>
    </w:p>
    <w:p w14:paraId="7505EEE2" w14:textId="77777777" w:rsidR="00570ACB" w:rsidRDefault="00570ACB" w:rsidP="00570ACB"/>
    <w:p w14:paraId="7FAA5A25" w14:textId="77777777" w:rsidR="00570ACB" w:rsidRDefault="00570ACB" w:rsidP="00570ACB">
      <w:r>
        <w:t>&gt;**H2.</w:t>
      </w:r>
      <w:proofErr w:type="gramStart"/>
      <w:r>
        <w:t>1:*</w:t>
      </w:r>
      <w:proofErr w:type="gramEnd"/>
      <w:r>
        <w:t xml:space="preserve">* Activist-backed regulations will have more comprehensive coverage, more prescriptive requirements, and higher performance thresholds on costly issues. </w:t>
      </w:r>
    </w:p>
    <w:p w14:paraId="45513BFF" w14:textId="77777777" w:rsidR="00570ACB" w:rsidRDefault="00570ACB" w:rsidP="00570ACB"/>
    <w:p w14:paraId="58777788" w14:textId="77777777" w:rsidR="00570ACB" w:rsidRDefault="00570ACB" w:rsidP="00570ACB">
      <w:r>
        <w:t>&gt;**H2.</w:t>
      </w:r>
      <w:proofErr w:type="gramStart"/>
      <w:r>
        <w:t>2:*</w:t>
      </w:r>
      <w:proofErr w:type="gramEnd"/>
      <w:r>
        <w:t>* Industry-backed regulations have more comprehensive coverage,  more prescriptive requirements, and higher performance thresholds on business-friendly issues, such as those that firms do anyway or those related to industry collective action problems.</w:t>
      </w:r>
    </w:p>
    <w:p w14:paraId="7A318AB3" w14:textId="77777777" w:rsidR="00570ACB" w:rsidRDefault="00570ACB" w:rsidP="00570ACB"/>
    <w:p w14:paraId="59A2DD40" w14:textId="77777777" w:rsidR="00570ACB" w:rsidRDefault="00570ACB" w:rsidP="00570ACB">
      <w:r>
        <w:t>These hypotheses illustrate how scholars could revise many of the theories reviewed in section 2 in light of our core methodological critique. We can assess whether doing so is worthwhile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580ED390" w14:textId="77777777" w:rsidR="00570ACB" w:rsidRDefault="00570ACB" w:rsidP="00570ACB"/>
    <w:p w14:paraId="4BD72A0E" w14:textId="77777777" w:rsidR="00570ACB" w:rsidRDefault="00570ACB" w:rsidP="00570ACB">
      <w:r>
        <w:t># Competing US Forest Certification Programs</w:t>
      </w:r>
    </w:p>
    <w:p w14:paraId="187546C3" w14:textId="77777777" w:rsidR="00570ACB" w:rsidRDefault="00570ACB" w:rsidP="00570ACB">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6285AFD" w14:textId="77777777" w:rsidR="00570ACB" w:rsidRDefault="00570ACB" w:rsidP="00570ACB"/>
    <w:p w14:paraId="353785EF" w14:textId="77777777" w:rsidR="00570ACB" w:rsidRDefault="00570ACB" w:rsidP="00570ACB">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on the industry makes forest certification an important case. </w:t>
      </w:r>
    </w:p>
    <w:p w14:paraId="2E19FC7D" w14:textId="77777777" w:rsidR="00570ACB" w:rsidRDefault="00570ACB" w:rsidP="00570ACB"/>
    <w:p w14:paraId="35F81902" w14:textId="77777777" w:rsidR="00570ACB" w:rsidRDefault="00570ACB" w:rsidP="00570ACB">
      <w:r>
        <w:t xml:space="preserve">For over 20 years the Forest Stewardship Council (FSC) and Sustainable Forestry Initiative (SFI), have been developing written Forest Management Standards (standards) that promote different conceptions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9E43427" w14:textId="77777777" w:rsidR="00570ACB" w:rsidRDefault="00570ACB" w:rsidP="00570ACB"/>
    <w:p w14:paraId="12B16827" w14:textId="77777777" w:rsidR="00570ACB" w:rsidRDefault="00570ACB" w:rsidP="00570ACB">
      <w:proofErr w:type="gramStart"/>
      <w:r>
        <w:t>![</w:t>
      </w:r>
      <w:proofErr w:type="gramEnd"/>
      <w:r>
        <w:t>U.S. Timberland by ownership and certification scheme](acres-1.png)</w:t>
      </w:r>
    </w:p>
    <w:p w14:paraId="3AF56B8C" w14:textId="77777777" w:rsidR="00570ACB" w:rsidRDefault="00570ACB" w:rsidP="00570ACB"/>
    <w:p w14:paraId="742BA95B" w14:textId="267C8349" w:rsidR="00570ACB" w:rsidRDefault="00570ACB" w:rsidP="00570ACB">
      <w:r>
        <w:t xml:space="preserve">*Origin of the </w:t>
      </w:r>
      <w:proofErr w:type="gramStart"/>
      <w:r>
        <w:t>FSC:*</w:t>
      </w:r>
      <w:proofErr w:type="gramEnd"/>
      <w: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U.S. thus assesses both the international </w:t>
      </w:r>
      <w:ins w:id="114" w:author="Microsoft Office User" w:date="2019-09-06T14:02:00Z">
        <w:r w:rsidR="00507709">
          <w:t>FSC-</w:t>
        </w:r>
      </w:ins>
      <w:r>
        <w:t xml:space="preserve">P&amp;C and the FSC-US national standard. </w:t>
      </w:r>
    </w:p>
    <w:p w14:paraId="4A0CFD8C" w14:textId="77777777" w:rsidR="00570ACB" w:rsidRDefault="00570ACB" w:rsidP="00570ACB"/>
    <w:p w14:paraId="6F67B681" w14:textId="20038A35" w:rsidR="00570ACB" w:rsidRDefault="00570ACB" w:rsidP="00570ACB">
      <w:r>
        <w:t xml:space="preserve">*Origin of the </w:t>
      </w:r>
      <w:proofErr w:type="gramStart"/>
      <w:r>
        <w:t>SFI:*</w:t>
      </w:r>
      <w:proofErr w:type="gramEnd"/>
      <w:r>
        <w:t xml:space="preserve"> In 1995, in response to the </w:t>
      </w:r>
      <w:del w:id="115" w:author="Microsoft Office User" w:date="2019-09-06T14:03:00Z">
        <w:r w:rsidDel="00507709">
          <w:delText xml:space="preserve">emergence </w:delText>
        </w:r>
      </w:del>
      <w:ins w:id="116" w:author="Microsoft Office User" w:date="2019-09-06T14:03:00Z">
        <w:r w:rsidR="00507709">
          <w:t>growing power</w:t>
        </w:r>
        <w:r w:rsidR="00507709">
          <w:t xml:space="preserve"> </w:t>
        </w:r>
      </w:ins>
      <w:r>
        <w:t xml:space="preserve">of the FSC, the U.S.-based industry association, the American Forest &amp; Paper Association, established a </w:t>
      </w:r>
      <w:r>
        <w:lastRenderedPageBreak/>
        <w:t>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governed by an eighteen-member board of directors.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 This means that national standards like the SFI's can have, by some measures, less stringent requirements than PEFC benchmarks.</w:t>
      </w:r>
    </w:p>
    <w:p w14:paraId="78D15A1D" w14:textId="77777777" w:rsidR="00570ACB" w:rsidRDefault="00570ACB" w:rsidP="00570ACB"/>
    <w:p w14:paraId="127AF011" w14:textId="77777777" w:rsidR="00570ACB" w:rsidRDefault="00570ACB" w:rsidP="00570ACB">
      <w:r>
        <w:t xml:space="preserve">*“Sustainable” </w:t>
      </w:r>
      <w:proofErr w:type="gramStart"/>
      <w:r>
        <w:t>Forestry:*</w:t>
      </w:r>
      <w:proofErr w:type="gramEnd"/>
      <w:r>
        <w:t xml:space="preserve">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1587473" w14:textId="77777777" w:rsidR="00570ACB" w:rsidRDefault="00570ACB" w:rsidP="00570ACB"/>
    <w:p w14:paraId="09782311" w14:textId="32BE5274" w:rsidR="00570ACB" w:rsidRDefault="00570ACB" w:rsidP="00570ACB">
      <w:r>
        <w:t xml:space="preserve">## Scope, </w:t>
      </w:r>
      <w:ins w:id="117" w:author="Microsoft Office User" w:date="2019-09-06T14:04:00Z">
        <w:r w:rsidR="00507709">
          <w:t>P</w:t>
        </w:r>
      </w:ins>
      <w:del w:id="118" w:author="Microsoft Office User" w:date="2019-09-06T14:04:00Z">
        <w:r w:rsidDel="00507709">
          <w:delText>p</w:delText>
        </w:r>
      </w:del>
      <w:r>
        <w:t xml:space="preserve">rescriptiveness, and </w:t>
      </w:r>
      <w:ins w:id="119" w:author="Microsoft Office User" w:date="2019-09-06T14:04:00Z">
        <w:r w:rsidR="00507709">
          <w:t>P</w:t>
        </w:r>
      </w:ins>
      <w:del w:id="120" w:author="Microsoft Office User" w:date="2019-09-06T14:04:00Z">
        <w:r w:rsidDel="00507709">
          <w:delText>p</w:delText>
        </w:r>
      </w:del>
      <w:r>
        <w:t xml:space="preserve">olicy </w:t>
      </w:r>
      <w:ins w:id="121" w:author="Microsoft Office User" w:date="2019-09-06T14:04:00Z">
        <w:r w:rsidR="00507709">
          <w:t>S</w:t>
        </w:r>
      </w:ins>
      <w:del w:id="122" w:author="Microsoft Office User" w:date="2019-09-06T14:04:00Z">
        <w:r w:rsidDel="00507709">
          <w:delText>s</w:delText>
        </w:r>
      </w:del>
      <w:r>
        <w:t xml:space="preserve">ettings in </w:t>
      </w:r>
      <w:ins w:id="123" w:author="Microsoft Office User" w:date="2019-09-06T14:04:00Z">
        <w:r w:rsidR="00507709">
          <w:t>F</w:t>
        </w:r>
      </w:ins>
      <w:del w:id="124" w:author="Microsoft Office User" w:date="2019-09-06T14:04:00Z">
        <w:r w:rsidDel="00507709">
          <w:delText>f</w:delText>
        </w:r>
      </w:del>
      <w:r>
        <w:t>orestry</w:t>
      </w:r>
    </w:p>
    <w:p w14:paraId="60E5FAFF" w14:textId="4C7B3D8C" w:rsidR="00570ACB" w:rsidRDefault="00570ACB" w:rsidP="00570ACB">
      <w:r>
        <w:t xml:space="preserve">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w:t>
      </w:r>
      <w:del w:id="125" w:author="Microsoft Office User" w:date="2019-09-06T14:04:00Z">
        <w:r w:rsidDel="00507709">
          <w:delText xml:space="preserve">and </w:delText>
        </w:r>
      </w:del>
      <w:ins w:id="126" w:author="Microsoft Office User" w:date="2019-09-06T14:04:00Z">
        <w:r w:rsidR="00507709">
          <w:t>or</w:t>
        </w:r>
        <w:r w:rsidR="00507709">
          <w:t xml:space="preserve"> </w:t>
        </w:r>
      </w:ins>
      <w:r>
        <w:t>SFI requirements [@McDermott2010].</w:t>
      </w:r>
    </w:p>
    <w:p w14:paraId="71DAEED6" w14:textId="77777777" w:rsidR="00570ACB" w:rsidRDefault="00570ACB" w:rsidP="00570ACB"/>
    <w:p w14:paraId="77097EA6" w14:textId="07653F5D" w:rsidR="00570ACB" w:rsidRDefault="00570ACB" w:rsidP="00570ACB">
      <w:r>
        <w:t xml:space="preserve">To measure prescriptiveness, we assess the precise wording of the text on each issue.  If </w:t>
      </w:r>
      <w:del w:id="127" w:author="Microsoft Office User" w:date="2019-09-06T14:04:00Z">
        <w:r w:rsidDel="00507709">
          <w:delText xml:space="preserve">firms </w:delText>
        </w:r>
      </w:del>
      <w:ins w:id="128" w:author="Microsoft Office User" w:date="2019-09-06T14:04:00Z">
        <w:r w:rsidR="00507709">
          <w:t>companies</w:t>
        </w:r>
        <w:r w:rsidR="00507709">
          <w:t xml:space="preserve"> </w:t>
        </w:r>
      </w:ins>
      <w:r>
        <w:t xml:space="preserve">have discretion among performance levels, only the least demanding levels are prescriptive. For example, if </w:t>
      </w:r>
      <w:del w:id="129" w:author="Microsoft Office User" w:date="2019-09-06T14:05:00Z">
        <w:r w:rsidDel="00507709">
          <w:delText xml:space="preserve">firms </w:delText>
        </w:r>
      </w:del>
      <w:ins w:id="130" w:author="Microsoft Office User" w:date="2019-09-06T14:05:00Z">
        <w:r w:rsidR="00507709">
          <w:t>companies</w:t>
        </w:r>
        <w:r w:rsidR="00507709">
          <w:t xml:space="preserve"> </w:t>
        </w:r>
      </w:ins>
      <w:r>
        <w:t xml:space="preserve">are required to “maintain or enhance” water quality, the option to merely “maintain” means that there is no mandatory requirement to “enhance” water quality. </w:t>
      </w:r>
    </w:p>
    <w:p w14:paraId="424CB0B3" w14:textId="77777777" w:rsidR="00570ACB" w:rsidRDefault="00570ACB" w:rsidP="00570ACB"/>
    <w:p w14:paraId="13238963" w14:textId="77777777" w:rsidR="00570ACB" w:rsidRDefault="00570ACB" w:rsidP="00570ACB">
      <w:r>
        <w:t xml:space="preserve">To measure policy settings, we offer detailed issue-by-issue comparisons of performance requirements on most of our 48 key issues in the text below and all of </w:t>
      </w:r>
      <w:r>
        <w:lastRenderedPageBreak/>
        <w:t>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555A63F2" w14:textId="77777777" w:rsidR="00570ACB" w:rsidRDefault="00570ACB" w:rsidP="00570ACB"/>
    <w:p w14:paraId="07B9119C" w14:textId="77777777" w:rsidR="00570ACB" w:rsidRDefault="00570ACB" w:rsidP="00570ACB">
      <w:r>
        <w:t>## Results</w:t>
      </w:r>
    </w:p>
    <w:p w14:paraId="61E54737" w14:textId="77777777" w:rsidR="00570ACB" w:rsidRDefault="00570ACB" w:rsidP="00570ACB">
      <w:r>
        <w:t>Here we compare each standard to its previous version and the contemporary version from its competitor. We assess revisions in the FSC- International’s 2012 Revised Principles and Criteria 01-001 Version 5-0 (FSC–P&amp;C) and compare them to revisions in the PEFC’s Sustainable Forest Management Standards 1003:2010. Similarly, we compare the 2010 FSC-U.S. Forest Management Standard Version 1.0 to the FSC-US National Indicators and regional standards it replaced and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or had higher performance thresholds than our findings reflect (see the online appendix).</w:t>
      </w:r>
    </w:p>
    <w:p w14:paraId="33E9F601" w14:textId="77777777" w:rsidR="00570ACB" w:rsidRDefault="00570ACB" w:rsidP="00570ACB"/>
    <w:p w14:paraId="318F42DB" w14:textId="77777777" w:rsidR="00570ACB" w:rsidRDefault="00570ACB" w:rsidP="00570ACB">
      <w:r>
        <w:t>### Comparing FSC’s and PEFC’s international requirements</w:t>
      </w:r>
    </w:p>
    <w:p w14:paraId="600491C4" w14:textId="73E36641" w:rsidR="00570ACB" w:rsidRDefault="00570ACB" w:rsidP="00570ACB">
      <w:r>
        <w:t>*</w:t>
      </w:r>
      <w:proofErr w:type="gramStart"/>
      <w:r>
        <w:t>Scope:*</w:t>
      </w:r>
      <w:proofErr w:type="gramEnd"/>
      <w:r>
        <w:t xml:space="preserve"> The FSC-P&amp;C and PEFC maintained a similar scope of issues covered (see the top panel of Figure 2). The PEFC once covered slightly fewer issues than did the FSC-P&amp;C, but its 2010 revisions added new requirements on eight key issues that it previously did not address, making the two programs generally aligned in the scope of issues covered. As of 2015, the FSC P&amp;C covered three potentially costly issues that the PEFC still did not: carbon emissions, restrictions on conversion to plantations, and worker wage requirements (see the middle panel of Figure 2).  PEFC cover</w:t>
      </w:r>
      <w:ins w:id="131" w:author="Microsoft Office User" w:date="2019-09-06T14:05:00Z">
        <w:r w:rsidR="00507709">
          <w:t>ed</w:t>
        </w:r>
      </w:ins>
      <w:del w:id="132" w:author="Microsoft Office User" w:date="2019-09-06T14:05:00Z">
        <w:r w:rsidDel="00507709">
          <w:delText>s</w:delText>
        </w:r>
      </w:del>
      <w:r>
        <w:t xml:space="preserve"> two issues relating to public </w:t>
      </w:r>
      <w:del w:id="133" w:author="Microsoft Office User" w:date="2019-09-06T14:06:00Z">
        <w:r w:rsidDel="00507709">
          <w:delText xml:space="preserve">perceptions </w:delText>
        </w:r>
      </w:del>
      <w:ins w:id="134" w:author="Microsoft Office User" w:date="2019-09-06T14:06:00Z">
        <w:r w:rsidR="00507709">
          <w:t>relations</w:t>
        </w:r>
        <w:r w:rsidR="00507709">
          <w:t xml:space="preserve"> </w:t>
        </w:r>
      </w:ins>
      <w:r>
        <w:t xml:space="preserve">that FSC-P&amp;C do not: managing the aesthetic impacts of forestry and allowing public access. </w:t>
      </w:r>
    </w:p>
    <w:p w14:paraId="2A58ED9D" w14:textId="77777777" w:rsidR="00570ACB" w:rsidRDefault="00570ACB" w:rsidP="00570ACB"/>
    <w:p w14:paraId="30A0589B" w14:textId="7DCCF1E7" w:rsidR="00570ACB" w:rsidRDefault="00570ACB" w:rsidP="00570ACB">
      <w:r>
        <w:t>*</w:t>
      </w:r>
      <w:proofErr w:type="gramStart"/>
      <w:r>
        <w:t>Prescriptiveness:*</w:t>
      </w:r>
      <w:proofErr w:type="gramEnd"/>
      <w:r>
        <w:t xml:space="preserve"> Overall, the FSC maintained more prescriptive requirements in its Principles &amp; Criteria than the PEFC benchmarks (the top panel of Figure 2), but the PEFC moved closer to the FSC-P&amp;C </w:t>
      </w:r>
      <w:ins w:id="135" w:author="Microsoft Office User" w:date="2019-09-06T14:06:00Z">
        <w:r w:rsidR="00507709">
          <w:t>on</w:t>
        </w:r>
      </w:ins>
      <w:del w:id="136" w:author="Microsoft Office User" w:date="2019-09-06T14:06:00Z">
        <w:r w:rsidDel="00507709">
          <w:delText>in</w:delText>
        </w:r>
      </w:del>
      <w:r>
        <w:t xml:space="preserve"> some key </w:t>
      </w:r>
      <w:del w:id="137" w:author="Microsoft Office User" w:date="2019-09-06T14:06:00Z">
        <w:r w:rsidDel="00507709">
          <w:delText xml:space="preserve">areas </w:delText>
        </w:r>
      </w:del>
      <w:ins w:id="138" w:author="Microsoft Office User" w:date="2019-09-06T14:06:00Z">
        <w:r w:rsidR="00507709">
          <w:t>issues</w:t>
        </w:r>
        <w:r w:rsidR="00507709">
          <w:t xml:space="preserve"> </w:t>
        </w:r>
      </w:ins>
      <w:r>
        <w:t xml:space="preserve">(the middle panel of Figure 2). These include additional requirements on </w:t>
      </w:r>
      <w:del w:id="139" w:author="Microsoft Office User" w:date="2019-09-06T14:06:00Z">
        <w:r w:rsidDel="00507709">
          <w:delText xml:space="preserve">issues including </w:delText>
        </w:r>
      </w:del>
      <w:r>
        <w:t>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w:t>
      </w:r>
      <w:ins w:id="140" w:author="Microsoft Office User" w:date="2019-09-06T14:06:00Z">
        <w:r w:rsidR="00507709">
          <w:t>ed</w:t>
        </w:r>
      </w:ins>
      <w:r>
        <w:t>. The FSC-P&amp;C contain</w:t>
      </w:r>
      <w:ins w:id="141" w:author="Microsoft Office User" w:date="2019-09-06T14:06:00Z">
        <w:r w:rsidR="00507709">
          <w:t>ed</w:t>
        </w:r>
      </w:ins>
      <w:r>
        <w:t xml:space="preserve"> more prescriptive language on most ecological criteria, including protected areas and restrictions on conversion to plantations. </w:t>
      </w:r>
    </w:p>
    <w:p w14:paraId="12741178" w14:textId="77777777" w:rsidR="00570ACB" w:rsidRDefault="00570ACB" w:rsidP="00570ACB"/>
    <w:p w14:paraId="09CEF64C" w14:textId="1255963E" w:rsidR="00570ACB" w:rsidRDefault="00570ACB" w:rsidP="00570ACB">
      <w:r>
        <w:t>Both programs h</w:t>
      </w:r>
      <w:ins w:id="142" w:author="Microsoft Office User" w:date="2019-09-06T14:07:00Z">
        <w:r w:rsidR="00507709">
          <w:t>ad</w:t>
        </w:r>
      </w:ins>
      <w:del w:id="143" w:author="Microsoft Office User" w:date="2019-09-06T14:07:00Z">
        <w:r w:rsidDel="00507709">
          <w:delText>ave</w:delText>
        </w:r>
      </w:del>
      <w:r>
        <w:t xml:space="preserve"> more procedural requirements than substantive requirements (i.e., they are more focused on process than outcomes). Despite convergence in the PEFC’s revised requirements, the FSC-P&amp;C remained more prescriptive than PEFC </w:t>
      </w:r>
      <w:r>
        <w:lastRenderedPageBreak/>
        <w:t xml:space="preserve">requirements on 17 of the 48 key issues whereas PEFC requirements </w:t>
      </w:r>
      <w:ins w:id="144" w:author="Microsoft Office User" w:date="2019-09-06T14:07:00Z">
        <w:r w:rsidR="00507709">
          <w:t>we</w:t>
        </w:r>
      </w:ins>
      <w:del w:id="145" w:author="Microsoft Office User" w:date="2019-09-06T14:07:00Z">
        <w:r w:rsidDel="00507709">
          <w:delText>a</w:delText>
        </w:r>
      </w:del>
      <w:r>
        <w:t xml:space="preserve">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63CB82F2" w14:textId="77777777" w:rsidR="00570ACB" w:rsidRDefault="00570ACB" w:rsidP="00570ACB"/>
    <w:p w14:paraId="116B66BE" w14:textId="77777777" w:rsidR="00570ACB" w:rsidRDefault="00570ACB" w:rsidP="00570ACB">
      <w:proofErr w:type="gramStart"/>
      <w:r>
        <w:t>![</w:t>
      </w:r>
      <w:proofErr w:type="gramEnd"/>
      <w:r>
        <w:t>Scope and Prescriptiveness of FSC P&amp;C and PEFC 2008-2015](FSC-PEFC-1.png)</w:t>
      </w:r>
    </w:p>
    <w:p w14:paraId="60513EEB" w14:textId="77777777" w:rsidR="00570ACB" w:rsidRDefault="00570ACB" w:rsidP="00570ACB"/>
    <w:p w14:paraId="27E7AA8B" w14:textId="1F1EAA2E" w:rsidR="00570ACB" w:rsidRDefault="00570ACB" w:rsidP="00570ACB">
      <w:r>
        <w:t xml:space="preserve">*Policy </w:t>
      </w:r>
      <w:proofErr w:type="gramStart"/>
      <w:r>
        <w:t>settings:*</w:t>
      </w:r>
      <w:proofErr w:type="gramEnd"/>
      <w:r>
        <w:t xml:space="preserve"> One particularly controversial issue is the conversion of natural forests to timber plantations. Both programs </w:t>
      </w:r>
      <w:del w:id="146" w:author="Microsoft Office User" w:date="2019-09-06T14:08:00Z">
        <w:r w:rsidDel="00507709">
          <w:delText>permit</w:delText>
        </w:r>
      </w:del>
      <w:ins w:id="147" w:author="Microsoft Office User" w:date="2019-09-06T14:08:00Z">
        <w:r w:rsidR="00507709">
          <w:t>permitted</w:t>
        </w:r>
      </w:ins>
      <w:r>
        <w:t xml:space="preserve"> certification of natural forest converted to plantation forestry under “justifiable circumstances,” which differ</w:t>
      </w:r>
      <w:ins w:id="148" w:author="Microsoft Office User" w:date="2019-09-06T14:07:00Z">
        <w:r w:rsidR="00507709">
          <w:t>ed</w:t>
        </w:r>
      </w:ins>
      <w:r>
        <w:t xml:space="preserve"> qualitatively between the two programs. For the FSC, this means that conversion has “clear, substantial, additional, secure, long-term conservation benefits.” For the PEFC it means that conversion must have “long-term conservation, economic, and social benefits.” They also differ</w:t>
      </w:r>
      <w:ins w:id="149" w:author="Microsoft Office User" w:date="2019-09-06T14:09:00Z">
        <w:r w:rsidR="00507709">
          <w:t>ed</w:t>
        </w:r>
      </w:ins>
      <w:r>
        <w:t xml:space="preserve"> regarding the extent of forest conversion allowed. The FSC-P&amp;C allow</w:t>
      </w:r>
      <w:ins w:id="150" w:author="Microsoft Office User" w:date="2019-09-06T14:09:00Z">
        <w:r w:rsidR="00507709">
          <w:t>ed</w:t>
        </w:r>
      </w:ins>
      <w:r>
        <w:t xml:space="preserve"> companies to convert “limited areas” while the PEFC allows “small proportions of forest types.” Both standards specify that conversion must not damage culturally or socially significant areas, but whereas PEFC suggest</w:t>
      </w:r>
      <w:ins w:id="151" w:author="Microsoft Office User" w:date="2019-09-06T14:09:00Z">
        <w:r w:rsidR="00507709">
          <w:t>ed</w:t>
        </w:r>
      </w:ins>
      <w:del w:id="152" w:author="Microsoft Office User" w:date="2019-09-06T14:09:00Z">
        <w:r w:rsidDel="00507709">
          <w:delText>s</w:delText>
        </w:r>
      </w:del>
      <w:r>
        <w:t xml:space="preserve"> that forests should only be certified if the conversion occurred before 2011, the FSC-P&amp;C require</w:t>
      </w:r>
      <w:ins w:id="153" w:author="Microsoft Office User" w:date="2019-09-06T14:09:00Z">
        <w:r w:rsidR="00507709">
          <w:t>d</w:t>
        </w:r>
      </w:ins>
      <w:r>
        <w:t xml:space="preserve"> that conversion occurred before 1994, significantly different thresholds.</w:t>
      </w:r>
    </w:p>
    <w:p w14:paraId="7D8662EB" w14:textId="77777777" w:rsidR="00570ACB" w:rsidRDefault="00570ACB" w:rsidP="00570ACB"/>
    <w:p w14:paraId="278DDC11" w14:textId="427A338F" w:rsidR="00570ACB" w:rsidRDefault="00570ACB" w:rsidP="00570ACB">
      <w:r>
        <w:t xml:space="preserve">Both FSC-P&amp;C and PEFC added new requirements on socio-economic issues, land tenure rights, and stakeholder consultations. In addition to citing the UN Declaration on Rights of Indigenous Peoples, both programs included criteria that require free, prior and informed consent of indigenous peoples and local communities. The FSC-P&amp;C required “free and informed consent” concerning control over forest operations and compensation for the use of traditional knowledge. Both standards also recognized legal, traditional, and customary rights. However, the FSC-P&amp;C </w:t>
      </w:r>
      <w:ins w:id="154" w:author="Microsoft Office User" w:date="2019-09-06T14:10:00Z">
        <w:r w:rsidR="00507709">
          <w:t>we</w:t>
        </w:r>
      </w:ins>
      <w:del w:id="155" w:author="Microsoft Office User" w:date="2019-09-06T14:10:00Z">
        <w:r w:rsidDel="00507709">
          <w:delText>a</w:delText>
        </w:r>
      </w:del>
      <w:r>
        <w:t>re more prescriptive, defining topics on which forest managers must consult with indigenous peoples, while the PEFC standards are more procedural, requiring only that engagement takes place. The FSC’s criteria regarding public consultation include special obligations to “affected stakeholders” compared to “interested stakeholders” while PEFC requirements regarding “local people and other stakeholders” are the same.</w:t>
      </w:r>
    </w:p>
    <w:p w14:paraId="0840340C" w14:textId="77777777" w:rsidR="00570ACB" w:rsidRDefault="00570ACB" w:rsidP="00570ACB"/>
    <w:p w14:paraId="221968DC" w14:textId="246576BB" w:rsidR="00570ACB" w:rsidRDefault="00570ACB" w:rsidP="00570ACB">
      <w:r>
        <w:t>Both programs cover</w:t>
      </w:r>
      <w:ins w:id="156" w:author="Microsoft Office User" w:date="2019-09-06T14:10:00Z">
        <w:r w:rsidR="00507709">
          <w:t>ed</w:t>
        </w:r>
      </w:ins>
      <w:r>
        <w:t xml:space="preserve"> similar ecological issues, with some qualitative differences. Both FSC–P&amp;C and PEFC requirements prohibited the use of GMOs in the area being certified, with some possible flexibility should scientific evidence affirm the safety of GMO trees. FSC–P&amp;C allow</w:t>
      </w:r>
      <w:ins w:id="157" w:author="Microsoft Office User" w:date="2019-09-06T14:10:00Z">
        <w:r w:rsidR="00507709">
          <w:t>ed</w:t>
        </w:r>
      </w:ins>
      <w:r>
        <w:t xml:space="preserve">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required managers to avoid chemicals where they threaten water quality, while FSC–P&amp;C water protection criteria were less explicit. Both programs had similar requirements for sustainable production of timber and non-timber forest products </w:t>
      </w:r>
      <w:r>
        <w:lastRenderedPageBreak/>
        <w:t xml:space="preserve">(NTFPs),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43D871C0" w14:textId="77777777" w:rsidR="00570ACB" w:rsidRDefault="00570ACB" w:rsidP="00570ACB"/>
    <w:p w14:paraId="6190A492" w14:textId="77777777" w:rsidR="00570ACB" w:rsidRDefault="00570ACB" w:rsidP="00570ACB">
      <w:r>
        <w:t>*</w:t>
      </w:r>
      <w:proofErr w:type="gramStart"/>
      <w:r>
        <w:t>Summary:*</w:t>
      </w:r>
      <w:proofErr w:type="gramEnd"/>
      <w:r>
        <w:t xml:space="preserve">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exhibited more convergence on both scope and prescriptiveness (compare Figures 3 and 4) though many differences in policy settings remained.</w:t>
      </w:r>
    </w:p>
    <w:p w14:paraId="05065C5E" w14:textId="77777777" w:rsidR="00570ACB" w:rsidRDefault="00570ACB" w:rsidP="00570ACB"/>
    <w:p w14:paraId="60124821" w14:textId="77777777" w:rsidR="00570ACB" w:rsidRDefault="00570ACB" w:rsidP="00570ACB">
      <w:r>
        <w:t>### Comparing the FSC-US and SFI</w:t>
      </w:r>
    </w:p>
    <w:p w14:paraId="38660CDB" w14:textId="44543EEE" w:rsidR="00570ACB" w:rsidRDefault="00570ACB" w:rsidP="00570ACB">
      <w:r>
        <w:t>*</w:t>
      </w:r>
      <w:proofErr w:type="gramStart"/>
      <w:r>
        <w:t>Scope:*</w:t>
      </w:r>
      <w:proofErr w:type="gramEnd"/>
      <w:r>
        <w:t xml:space="preserv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that the FSC-US did not: contributing to forestry research. Both programs added requirements on greenhouse gasses in 2010. SFI allow</w:t>
      </w:r>
      <w:ins w:id="158" w:author="Microsoft Office User" w:date="2019-09-06T14:10:00Z">
        <w:r w:rsidR="00507709">
          <w:t>ed</w:t>
        </w:r>
      </w:ins>
      <w:del w:id="159" w:author="Microsoft Office User" w:date="2019-09-06T14:10:00Z">
        <w:r w:rsidDel="00507709">
          <w:delText>s</w:delText>
        </w:r>
      </w:del>
      <w:r>
        <w:t xml:space="preserve">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w:t>
      </w:r>
      <w:ins w:id="160" w:author="Microsoft Office User" w:date="2019-09-06T14:10:00Z">
        <w:r w:rsidR="00507709">
          <w:t>d</w:t>
        </w:r>
      </w:ins>
      <w:del w:id="161" w:author="Microsoft Office User" w:date="2019-09-06T14:10:00Z">
        <w:r w:rsidDel="00507709">
          <w:delText>s</w:delText>
        </w:r>
      </w:del>
      <w:r>
        <w:t xml:space="preserve"> a portion of these plantations to be maintained as, or restored to, natural conditions.</w:t>
      </w:r>
    </w:p>
    <w:p w14:paraId="3E07F27E" w14:textId="77777777" w:rsidR="00570ACB" w:rsidRDefault="00570ACB" w:rsidP="00570ACB"/>
    <w:p w14:paraId="51EEA9CF" w14:textId="4713167A" w:rsidR="00570ACB" w:rsidRDefault="00570ACB" w:rsidP="00570ACB">
      <w:r>
        <w:t>*</w:t>
      </w:r>
      <w:proofErr w:type="gramStart"/>
      <w:r>
        <w:t>Prescriptiveness:*</w:t>
      </w:r>
      <w:proofErr w:type="gramEnd"/>
      <w:r>
        <w:t xml:space="preserve">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w:t>
      </w:r>
      <w:ins w:id="162" w:author="Microsoft Office User" w:date="2019-09-06T14:10:00Z">
        <w:r w:rsidR="00507709">
          <w:t>8</w:t>
        </w:r>
      </w:ins>
      <w:del w:id="163" w:author="Microsoft Office User" w:date="2019-09-06T14:10:00Z">
        <w:r w:rsidDel="00507709">
          <w:delText>7</w:delText>
        </w:r>
      </w:del>
      <w:r>
        <w:t xml:space="preserve"> key issues, and the SFI was more prescriptive on the same five issues. The two standards were equally prescriptive on five issues. This means that the FSC-US had the “most prescriptive” requirements—those as prescriptive or more than any other program—on 4</w:t>
      </w:r>
      <w:ins w:id="164" w:author="Microsoft Office User" w:date="2019-09-06T14:11:00Z">
        <w:r w:rsidR="00507709">
          <w:t>3</w:t>
        </w:r>
      </w:ins>
      <w:del w:id="165" w:author="Microsoft Office User" w:date="2019-09-06T14:11:00Z">
        <w:r w:rsidDel="00507709">
          <w:delText>2</w:delText>
        </w:r>
      </w:del>
      <w:r>
        <w:t xml:space="preserve"> issues and the SFI had the most prescriptive requirements on 10 (the top panel of Figure 3).  </w:t>
      </w:r>
    </w:p>
    <w:p w14:paraId="4BF54277" w14:textId="77777777" w:rsidR="00570ACB" w:rsidRDefault="00570ACB" w:rsidP="00570ACB"/>
    <w:p w14:paraId="1B03A806" w14:textId="3EA124D0" w:rsidR="00570ACB" w:rsidRDefault="00570ACB" w:rsidP="00570ACB">
      <w:r>
        <w:t xml:space="preserve">Counting changes made to the FSC-US and SFI standards between 2008 and 2016 reveals an “upward diverging” pattern, where the FSC-US became more prescriptive </w:t>
      </w:r>
      <w:ins w:id="166" w:author="Microsoft Office User" w:date="2019-09-06T14:11:00Z">
        <w:r w:rsidR="00507709">
          <w:t xml:space="preserve">on more issues </w:t>
        </w:r>
      </w:ins>
      <w:r>
        <w:t xml:space="preserve">than did the </w:t>
      </w:r>
      <w:proofErr w:type="gramStart"/>
      <w:r>
        <w:t>SFI  (</w:t>
      </w:r>
      <w:proofErr w:type="gramEnd"/>
      <w:r>
        <w:t xml:space="preserve">the bottom panel of Figure 3). Of 48 key issues, the </w:t>
      </w:r>
      <w:r>
        <w:lastRenderedPageBreak/>
        <w:t>FSC-US became more prescriptive on 2</w:t>
      </w:r>
      <w:ins w:id="167" w:author="Microsoft Office User" w:date="2019-09-06T14:11:00Z">
        <w:r w:rsidR="00507709">
          <w:t>1</w:t>
        </w:r>
      </w:ins>
      <w:del w:id="168" w:author="Microsoft Office User" w:date="2019-09-06T14:11:00Z">
        <w:r w:rsidDel="00507709">
          <w:delText>0</w:delText>
        </w:r>
      </w:del>
      <w:r>
        <w:t>, whereas SFI became more prescriptive on 12 (eight in 2010, one more in 2013, and three more in 2015).</w:t>
      </w:r>
    </w:p>
    <w:p w14:paraId="7651AB05" w14:textId="77777777" w:rsidR="00570ACB" w:rsidRDefault="00570ACB" w:rsidP="00570ACB"/>
    <w:p w14:paraId="361ACB8A" w14:textId="77777777" w:rsidR="00570ACB" w:rsidRDefault="00570ACB" w:rsidP="00570ACB">
      <w:proofErr w:type="gramStart"/>
      <w:r>
        <w:t>![</w:t>
      </w:r>
      <w:proofErr w:type="gramEnd"/>
      <w:r>
        <w:t>Scope and Prescriptiveness of FSC-US and SFI 2008-2016](FSC-SFI-1.png)</w:t>
      </w:r>
    </w:p>
    <w:p w14:paraId="3CFF3630" w14:textId="77777777" w:rsidR="00570ACB" w:rsidRDefault="00570ACB" w:rsidP="00570ACB"/>
    <w:p w14:paraId="25CEAD1A" w14:textId="77777777" w:rsidR="00570ACB" w:rsidRDefault="00570ACB" w:rsidP="00570ACB">
      <w:r>
        <w:t xml:space="preserve">*Policy </w:t>
      </w:r>
      <w:proofErr w:type="gramStart"/>
      <w:r>
        <w:t>Settings:*</w:t>
      </w:r>
      <w:proofErr w:type="gramEnd"/>
      <w:r>
        <w:t xml:space="preserve"> Issues such as </w:t>
      </w:r>
      <w:proofErr w:type="spellStart"/>
      <w:r>
        <w:t>clearcut</w:t>
      </w:r>
      <w:proofErr w:type="spellEnd"/>
      <w:r>
        <w:t xml:space="preserve">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forestry" and requires rapid site “green-up.” Quantitatively, the SFI limited </w:t>
      </w:r>
      <w:proofErr w:type="spellStart"/>
      <w:r>
        <w:t>clearcuts</w:t>
      </w:r>
      <w:proofErr w:type="spellEnd"/>
      <w:r>
        <w:t xml:space="preserve"> for all forest types to an average of 120 acres with no maximum and no limits for harvesting with 20 percent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The FSC-US also limits harvesting with 20 percent tree retention to a 100-acre average and 80-acre maximum, with further restrictions based on region and forest type (Figure 4). </w:t>
      </w:r>
    </w:p>
    <w:p w14:paraId="04D373E0" w14:textId="77777777" w:rsidR="00570ACB" w:rsidRDefault="00570ACB" w:rsidP="00570ACB"/>
    <w:p w14:paraId="3F10F90B" w14:textId="77777777" w:rsidR="00570ACB" w:rsidRDefault="00570ACB" w:rsidP="00570ACB">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 buffers beyond those in state laws and best management practices. While we can only compare most other policy settings qualitatively, the FSC-US clearly requires higher levels of performance on many social and ecological issues (Table \ref{issues}).</w:t>
      </w:r>
    </w:p>
    <w:p w14:paraId="092EFC55" w14:textId="77777777" w:rsidR="00570ACB" w:rsidRDefault="00570ACB" w:rsidP="00570ACB"/>
    <w:p w14:paraId="6A92FA7B" w14:textId="77777777" w:rsidR="00570ACB" w:rsidRDefault="00570ACB" w:rsidP="00570ACB">
      <w:proofErr w:type="gramStart"/>
      <w:r>
        <w:t>![</w:t>
      </w:r>
      <w:proofErr w:type="gramEnd"/>
      <w:r>
        <w:t xml:space="preserve">Limits on </w:t>
      </w:r>
      <w:proofErr w:type="spellStart"/>
      <w:r>
        <w:t>Clearcut</w:t>
      </w:r>
      <w:proofErr w:type="spellEnd"/>
      <w:r>
        <w:t xml:space="preserve"> Size\label{</w:t>
      </w:r>
      <w:proofErr w:type="spellStart"/>
      <w:r>
        <w:t>clearcuts</w:t>
      </w:r>
      <w:proofErr w:type="spellEnd"/>
      <w:r>
        <w:t>}](clearcuts-1.png)</w:t>
      </w:r>
    </w:p>
    <w:p w14:paraId="23A023F7" w14:textId="77777777" w:rsidR="00570ACB" w:rsidRDefault="00570ACB" w:rsidP="00570ACB"/>
    <w:p w14:paraId="5190880E" w14:textId="77777777" w:rsidR="00570ACB" w:rsidRDefault="00570ACB" w:rsidP="00570ACB">
      <w:proofErr w:type="gramStart"/>
      <w:r>
        <w:t>![</w:t>
      </w:r>
      <w:proofErr w:type="gramEnd"/>
      <w:r>
        <w:t>Limits on Harvesting Near Streams\label{riparian}](riparian-1.png)</w:t>
      </w:r>
    </w:p>
    <w:p w14:paraId="30C06C4F" w14:textId="77777777" w:rsidR="00570ACB" w:rsidRDefault="00570ACB" w:rsidP="00570ACB"/>
    <w:p w14:paraId="6107E9C4" w14:textId="77777777" w:rsidR="00570ACB" w:rsidRDefault="00570ACB" w:rsidP="00570ACB">
      <w:r>
        <w:t>\input{issues}</w:t>
      </w:r>
    </w:p>
    <w:p w14:paraId="079FE098" w14:textId="77777777" w:rsidR="00570ACB" w:rsidRDefault="00570ACB" w:rsidP="00570ACB"/>
    <w:p w14:paraId="1B77D946" w14:textId="77777777" w:rsidR="00570ACB" w:rsidRDefault="00570ACB" w:rsidP="00570ACB">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5FD712CB" w14:textId="77777777" w:rsidR="00570ACB" w:rsidRDefault="00570ACB" w:rsidP="00570ACB"/>
    <w:p w14:paraId="58F8D0B5" w14:textId="77777777" w:rsidR="00570ACB" w:rsidRDefault="00570ACB" w:rsidP="00570ACB">
      <w:r>
        <w:t xml:space="preserve">The bulk of the divergence occurred on ecological requirements like protecting habitat, where the FSC-US became more prescriptive while the SFI stayed constant </w:t>
      </w:r>
      <w:r>
        <w:lastRenderedPageBreak/>
        <w:t>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5C6B9D39" w14:textId="77777777" w:rsidR="00570ACB" w:rsidRDefault="00570ACB" w:rsidP="00570ACB"/>
    <w:p w14:paraId="277B7C02" w14:textId="5535EE52" w:rsidR="00570ACB" w:rsidRDefault="00570ACB" w:rsidP="00570ACB">
      <w:r>
        <w:t>The FSC-US and SFI's changing requirements to designate and protect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SFI allowed more flexibility in FECV management. HCVFs under the FSC-US required significantly more than baseline practices [@Newsom2005], while SFI’s FECV requirements have been criticized as not significantly exceeding legal baselines (state and federal endangered species acts) which already protect</w:t>
      </w:r>
      <w:ins w:id="169" w:author="Microsoft Office User" w:date="2019-09-06T14:15:00Z">
        <w:r w:rsidR="00E845A7">
          <w:t>ed</w:t>
        </w:r>
      </w:ins>
      <w:r>
        <w:t xml:space="preserve"> threatened and endangered species. The FSC-US then added even more prescriptive requirements requiring certain areas to be designated HCVFs and prescriptive accountability mechanisms for HCVF management. </w:t>
      </w:r>
    </w:p>
    <w:p w14:paraId="47512C92" w14:textId="77777777" w:rsidR="00570ACB" w:rsidRDefault="00570ACB" w:rsidP="00570ACB"/>
    <w:p w14:paraId="1027C0B2" w14:textId="77777777" w:rsidR="00570ACB" w:rsidRDefault="00570ACB" w:rsidP="00570ACB">
      <w:r>
        <w:t>*</w:t>
      </w:r>
      <w:proofErr w:type="gramStart"/>
      <w:r>
        <w:t>Summary:*</w:t>
      </w:r>
      <w:proofErr w:type="gramEnd"/>
      <w:r>
        <w:t xml:space="preserve"> Overall, each program had distinct areas in which its requirements were more prescriptive. For the FSC, these requirements tended to demand that forest operations “resemble natural processes” and “maintain ecosystem function.” This language appeared more frequently and forcefully in the 2010 standard concerning issues including clearcutting, riparian management, HCVF designations,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w:t>
      </w:r>
      <w:r>
        <w:lastRenderedPageBreak/>
        <w:t xml:space="preserve">capacity and reputation. These included aesthetics, public reporting, education, training, and utilization. </w:t>
      </w:r>
    </w:p>
    <w:p w14:paraId="60183678" w14:textId="77777777" w:rsidR="00570ACB" w:rsidRDefault="00570ACB" w:rsidP="00570ACB"/>
    <w:p w14:paraId="1BEE7037" w14:textId="77777777" w:rsidR="00570ACB" w:rsidRDefault="00570ACB" w:rsidP="00570ACB">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forests can be converted to plantations, and requiring a written policy to recognize and respect indigenous rights. </w:t>
      </w:r>
    </w:p>
    <w:p w14:paraId="2553A08F" w14:textId="77777777" w:rsidR="00570ACB" w:rsidRDefault="00570ACB" w:rsidP="00570ACB"/>
    <w:p w14:paraId="144358BB" w14:textId="77777777" w:rsidR="00570ACB" w:rsidRDefault="00570ACB" w:rsidP="00570ACB">
      <w:r>
        <w:t># Discussion</w:t>
      </w:r>
    </w:p>
    <w:p w14:paraId="76AFBC0C" w14:textId="77777777" w:rsidR="00570ACB" w:rsidRDefault="00570ACB" w:rsidP="00570ACB">
      <w:r>
        <w:t>## Overall comparison</w:t>
      </w:r>
    </w:p>
    <w:p w14:paraId="4ECE0874" w14:textId="1D022753" w:rsidR="00570ACB" w:rsidRDefault="00570ACB" w:rsidP="00570ACB">
      <w:r>
        <w:t>By distinguishing different types of stringency</w:t>
      </w:r>
      <w:del w:id="170" w:author="Microsoft Office User" w:date="2019-09-06T14:18:00Z">
        <w:r w:rsidDel="00E845A7">
          <w:delText xml:space="preserve"> on a comprehensive set of issues</w:delText>
        </w:r>
      </w:del>
      <w:r>
        <w:t xml:space="preserve">, our framework improves upon blunt measures of “high” or “low” </w:t>
      </w:r>
      <w:del w:id="171" w:author="Microsoft Office User" w:date="2019-09-06T14:19:00Z">
        <w:r w:rsidDel="00E845A7">
          <w:delText xml:space="preserve">standards based on </w:delText>
        </w:r>
      </w:del>
      <w:r>
        <w:t xml:space="preserve">generalizations </w:t>
      </w:r>
      <w:ins w:id="172" w:author="Microsoft Office User" w:date="2019-09-06T14:20:00Z">
        <w:r w:rsidR="00E845A7">
          <w:t xml:space="preserve">based on </w:t>
        </w:r>
      </w:ins>
      <w:ins w:id="173" w:author="Microsoft Office User" w:date="2019-09-06T14:21:00Z">
        <w:r w:rsidR="00E845A7">
          <w:t xml:space="preserve">ambiguous concepts </w:t>
        </w:r>
      </w:ins>
      <w:r>
        <w:t xml:space="preserve">or on only a few </w:t>
      </w:r>
      <w:ins w:id="174" w:author="Microsoft Office User" w:date="2019-09-06T14:21:00Z">
        <w:r w:rsidR="00E845A7">
          <w:t>of the</w:t>
        </w:r>
      </w:ins>
      <w:ins w:id="175" w:author="Microsoft Office User" w:date="2019-09-06T14:22:00Z">
        <w:r w:rsidR="00E845A7">
          <w:t xml:space="preserve"> many</w:t>
        </w:r>
      </w:ins>
      <w:ins w:id="176" w:author="Microsoft Office User" w:date="2019-09-06T14:21:00Z">
        <w:r w:rsidR="00E845A7">
          <w:t xml:space="preserve"> </w:t>
        </w:r>
      </w:ins>
      <w:r>
        <w:t>issues</w:t>
      </w:r>
      <w:ins w:id="177" w:author="Microsoft Office User" w:date="2019-09-06T14:21:00Z">
        <w:r w:rsidR="00E845A7">
          <w:t xml:space="preserve"> a </w:t>
        </w:r>
      </w:ins>
      <w:ins w:id="178" w:author="Microsoft Office User" w:date="2019-09-06T14:22:00Z">
        <w:r w:rsidR="00E845A7">
          <w:t>policy may address</w:t>
        </w:r>
      </w:ins>
      <w:r>
        <w:t xml:space="preserve">. </w:t>
      </w:r>
    </w:p>
    <w:p w14:paraId="512719CA" w14:textId="77777777" w:rsidR="00570ACB" w:rsidRDefault="00570ACB" w:rsidP="00570ACB"/>
    <w:p w14:paraId="64153771" w14:textId="74A799BF" w:rsidR="00570ACB" w:rsidRDefault="00570ACB" w:rsidP="00570ACB">
      <w:r>
        <w:t>Overall our results are consistent with the expectation that activist backed programs have higher levels of more costly types of stringency. On ecological goals, the FSC-US standard was significantly more stringent than the SFI standard on both scope and prescriptiveness dimensions. On social goals, results are more mixed. On scope, the FSC-US standard protected land tenure and require</w:t>
      </w:r>
      <w:ins w:id="179" w:author="Microsoft Office User" w:date="2019-09-06T14:23:00Z">
        <w:r w:rsidR="00E845A7">
          <w:t>d</w:t>
        </w:r>
      </w:ins>
      <w:del w:id="180" w:author="Microsoft Office User" w:date="2019-09-06T14:23:00Z">
        <w:r w:rsidDel="00E845A7">
          <w:delText>s</w:delText>
        </w:r>
      </w:del>
      <w:r>
        <w:t xml:space="preserve"> that local </w:t>
      </w:r>
      <w:proofErr w:type="gramStart"/>
      <w:r>
        <w:t>communities</w:t>
      </w:r>
      <w:proofErr w:type="gramEnd"/>
      <w:r>
        <w:t xml:space="preserve"> benefit from harvesting in ways that were unmatched by SFI’s standard. Numerically, FSC-US had a broader scope of social benefits, but the programs </w:t>
      </w:r>
      <w:del w:id="181" w:author="Microsoft Office User" w:date="2019-09-06T14:23:00Z">
        <w:r w:rsidDel="00E845A7">
          <w:delText xml:space="preserve">did </w:delText>
        </w:r>
      </w:del>
      <w:r>
        <w:t xml:space="preserve">present tradeoffs between conceptions of the public good. On prescriptiveness, the contrast was </w:t>
      </w:r>
      <w:proofErr w:type="gramStart"/>
      <w:r>
        <w:t>more stark</w:t>
      </w:r>
      <w:proofErr w:type="gramEnd"/>
      <w:r>
        <w:t xml:space="preserve">, with the FSC-US standard having significantly more prescriptive requirements on most social issues. On policy settings, the two programs had significant differences. On labor standards and indigenous rights, the FSC-US required higher wages and more attention to rights than did the SFI. In short, by conventional definitions of what counts as a social issue, by most qualitative comparisons, and certainly in terms of prescriptiveness, the FSC-US standard was more stringent than the SFI standard on social issues. </w:t>
      </w:r>
    </w:p>
    <w:p w14:paraId="1CFCDAD2" w14:textId="77777777" w:rsidR="00570ACB" w:rsidRDefault="00570ACB" w:rsidP="00570ACB"/>
    <w:p w14:paraId="2B636BEE" w14:textId="199C7EEA" w:rsidR="00570ACB" w:rsidRDefault="00570ACB" w:rsidP="00570ACB">
      <w:r>
        <w:t xml:space="preserve">On more business-oriented goals such as efficiency (e.g. levels of cut tree utilization), industry capacity (e.g. workforce training and research), and industry reputation (e.g., public education and aesthetics), the </w:t>
      </w:r>
      <w:ins w:id="182" w:author="Microsoft Office User" w:date="2019-09-06T14:23:00Z">
        <w:r w:rsidR="001951AA">
          <w:t xml:space="preserve">overall </w:t>
        </w:r>
      </w:ins>
      <w:r>
        <w:t xml:space="preserve">patterns were largely reversed. SFI was slightly broader in scope, requiring contributions to research where FSC did not, was more prescriptive, and required increasingly demanding performance levels on many business-friendly issues. </w:t>
      </w:r>
    </w:p>
    <w:p w14:paraId="2030416F" w14:textId="77777777" w:rsidR="00570ACB" w:rsidRDefault="00570ACB" w:rsidP="00570ACB"/>
    <w:p w14:paraId="764B0D19" w14:textId="77777777" w:rsidR="00570ACB" w:rsidRDefault="00570ACB" w:rsidP="00570ACB">
      <w:r>
        <w:t xml:space="preserve">## Patterns of change </w:t>
      </w:r>
    </w:p>
    <w:p w14:paraId="384266C0" w14:textId="77777777" w:rsidR="00570ACB" w:rsidRDefault="00570ACB" w:rsidP="00570ACB">
      <w:r>
        <w:t>In most years between 2008 and 2016, neither the FSC nor the SFI changed on any issue (the center cell in Table \ref{patterns}, “equilibrium”).</w:t>
      </w:r>
    </w:p>
    <w:p w14:paraId="666CB887" w14:textId="77777777" w:rsidR="00570ACB" w:rsidRDefault="00570ACB" w:rsidP="00570ACB"/>
    <w:p w14:paraId="73EFF8A5" w14:textId="77777777" w:rsidR="00570ACB" w:rsidRDefault="00570ACB" w:rsidP="00570ACB">
      <w:r>
        <w:t xml:space="preserve">When they did change, upwardly diverging prescriptiveness was the dominant pattern. Most changes for both programs occurred in 2010 where the overall </w:t>
      </w:r>
      <w:r>
        <w:lastRenderedPageBreak/>
        <w:t xml:space="preserve">pattern was divergence, rather than convergence or stability.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w:t>
      </w:r>
    </w:p>
    <w:p w14:paraId="5822B778" w14:textId="77777777" w:rsidR="00570ACB" w:rsidRDefault="00570ACB" w:rsidP="00570ACB"/>
    <w:p w14:paraId="46E5553A" w14:textId="77777777" w:rsidR="00570ACB" w:rsidRDefault="00570ACB" w:rsidP="00570ACB">
      <w:r>
        <w:t xml:space="preserve">The vast majority of changes (twenty-one of twenty-seven issues changed) fit a pattern where one program increased prescriptiveness while the other did not (or in one case, increased to a lesser degree) and the program that increased stringency already had the more prescriptive requirements. On eighteen issues, the less prescriptive program stayed the same, leading to upward divergence. On three issues, the less prescriptive program decreased prescriptiveness, leading to opposing divergence (see Table \ref{patterns-2010-2015}). </w:t>
      </w:r>
    </w:p>
    <w:p w14:paraId="67037BB8" w14:textId="77777777" w:rsidR="00570ACB" w:rsidRDefault="00570ACB" w:rsidP="00570ACB"/>
    <w:p w14:paraId="0BAE2008" w14:textId="77777777" w:rsidR="00570ACB" w:rsidRDefault="00570ACB" w:rsidP="00570ACB">
      <w:r>
        <w:t>\input{patterns-2010-2015}</w:t>
      </w:r>
    </w:p>
    <w:p w14:paraId="320F92BF" w14:textId="77777777" w:rsidR="00570ACB" w:rsidRDefault="00570ACB" w:rsidP="00570ACB"/>
    <w:p w14:paraId="1A7D79F0" w14:textId="77777777" w:rsidR="00570ACB" w:rsidRDefault="00570ACB" w:rsidP="00570ACB">
      <w:r>
        <w:t xml:space="preserve">Convergence was rare. In 2010, upward convergence only occurred where FSC-US added requirements on the issue of “continual improvement” of harvesting operations,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w:t>
      </w:r>
    </w:p>
    <w:p w14:paraId="5ABBA9C7" w14:textId="77777777" w:rsidR="00570ACB" w:rsidRDefault="00570ACB" w:rsidP="00570ACB"/>
    <w:p w14:paraId="6C6D1CF8" w14:textId="77777777" w:rsidR="00570ACB" w:rsidRDefault="00570ACB" w:rsidP="00570ACB">
      <w:r>
        <w:t>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were more prescriptive than those added by the SFI. No issues exhibited downward parallel change, as “race to the bottom” theory anticipates.</w:t>
      </w:r>
    </w:p>
    <w:p w14:paraId="30FD4297" w14:textId="77777777" w:rsidR="00570ACB" w:rsidRDefault="00570ACB" w:rsidP="00570ACB"/>
    <w:p w14:paraId="7EF0754A" w14:textId="4D2BD0C0" w:rsidR="00570ACB" w:rsidRDefault="00570ACB" w:rsidP="00570ACB">
      <w:r>
        <w:t xml:space="preserve">After the significant revisions of both programs in 2010, only the SFI updated its requirements, mostly in 2015. In contrast to the 2010 changes, the pattern in 2015 was a moderate upward convergence. SFI increased prescriptiveness on three issues where it did not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ins w:id="183" w:author="Microsoft Office User" w:date="2019-09-06T14:25:00Z">
        <w:r w:rsidR="001951AA">
          <w:t xml:space="preserve"> While these latter changes in prescriptiveness are </w:t>
        </w:r>
      </w:ins>
      <w:ins w:id="184" w:author="Microsoft Office User" w:date="2019-09-06T14:27:00Z">
        <w:r w:rsidR="001951AA">
          <w:t>consistent</w:t>
        </w:r>
      </w:ins>
      <w:ins w:id="185" w:author="Microsoft Office User" w:date="2019-09-06T14:25:00Z">
        <w:r w:rsidR="001951AA">
          <w:t xml:space="preserve"> with a “r</w:t>
        </w:r>
      </w:ins>
      <w:ins w:id="186" w:author="Microsoft Office User" w:date="2019-09-06T14:26:00Z">
        <w:r w:rsidR="001951AA">
          <w:t xml:space="preserve">ace-to-the-top” </w:t>
        </w:r>
        <w:r w:rsidR="001951AA">
          <w:lastRenderedPageBreak/>
          <w:t>dynamic, the overall pattern from 2008 to 2016 was neither convergence to the top nor botto</w:t>
        </w:r>
      </w:ins>
      <w:ins w:id="187" w:author="Microsoft Office User" w:date="2019-09-06T14:27:00Z">
        <w:r w:rsidR="001951AA">
          <w:t xml:space="preserve">m, but “upward divergence.” </w:t>
        </w:r>
      </w:ins>
    </w:p>
    <w:p w14:paraId="69D0A14D" w14:textId="77777777" w:rsidR="00570ACB" w:rsidRDefault="00570ACB" w:rsidP="00570ACB"/>
    <w:p w14:paraId="03C8E5E9" w14:textId="77777777" w:rsidR="00570ACB" w:rsidRDefault="00570ACB" w:rsidP="00570ACB">
      <w:r>
        <w:t>## Implications for theory</w:t>
      </w:r>
    </w:p>
    <w:p w14:paraId="4D28D471" w14:textId="77777777" w:rsidR="00570ACB" w:rsidRDefault="00570ACB" w:rsidP="00570ACB">
      <w:r>
        <w:t>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on industry capacity and reputation issues, one would find the opposite, with the SFI becoming more prescriptive at a faster rate than the FSC-US. While certainly inconsistent with “race-to-the-bottom” theories, the overall upward by diverging trajectories of the SFI and FSC-US do not exactly fit a “race to the top” either.</w:t>
      </w:r>
    </w:p>
    <w:p w14:paraId="326AC0C1" w14:textId="77777777" w:rsidR="00570ACB" w:rsidRDefault="00570ACB" w:rsidP="00570ACB"/>
    <w:p w14:paraId="44716D73" w14:textId="3133355B" w:rsidR="00570ACB" w:rsidRDefault="00570ACB" w:rsidP="00570ACB">
      <w:r>
        <w:t xml:space="preserve">Our results do support, with some caveats, hypotheses 1.1, </w:t>
      </w:r>
      <w:proofErr w:type="gramStart"/>
      <w:r>
        <w:t>2.1 ,</w:t>
      </w:r>
      <w:proofErr w:type="gramEnd"/>
      <w:r>
        <w:t xml:space="preserve"> and 2.2 outlined</w:t>
      </w:r>
      <w:ins w:id="188" w:author="Microsoft Office User" w:date="2019-09-06T14:31:00Z">
        <w:r w:rsidR="001951AA">
          <w:t xml:space="preserve"> above</w:t>
        </w:r>
      </w:ins>
      <w:r>
        <w:t xml:space="preserve"> in Section 2.3. We ended up with no evidence either way on hypothesis 1.2</w:t>
      </w:r>
      <w:ins w:id="189" w:author="Microsoft Office User" w:date="2019-09-06T14:28:00Z">
        <w:r w:rsidR="001951AA">
          <w:t xml:space="preserve"> because no programs changed significantly in policy scope.</w:t>
        </w:r>
      </w:ins>
      <w:del w:id="190" w:author="Microsoft Office User" w:date="2019-09-06T14:28:00Z">
        <w:r w:rsidDel="001951AA">
          <w:delText>.</w:delText>
        </w:r>
      </w:del>
    </w:p>
    <w:p w14:paraId="4E80BD9A" w14:textId="77777777" w:rsidR="00570ACB" w:rsidRDefault="00570ACB" w:rsidP="00570ACB"/>
    <w:p w14:paraId="3BF69B35" w14:textId="1BE1EE09" w:rsidR="00570ACB" w:rsidRDefault="00570ACB" w:rsidP="00570ACB">
      <w:del w:id="191" w:author="Microsoft Office User" w:date="2019-09-06T14:27:00Z">
        <w:r w:rsidDel="001951AA">
          <w:delText>We also found support for</w:delText>
        </w:r>
      </w:del>
      <w:ins w:id="192" w:author="Microsoft Office User" w:date="2019-09-06T14:27:00Z">
        <w:r w:rsidR="001951AA">
          <w:t>Re</w:t>
        </w:r>
      </w:ins>
      <w:ins w:id="193" w:author="Microsoft Office User" w:date="2019-09-06T14:28:00Z">
        <w:r w:rsidR="001951AA">
          <w:t>garding</w:t>
        </w:r>
      </w:ins>
      <w:r>
        <w:t xml:space="preserve"> H1.1. The industry-</w:t>
      </w:r>
      <w:ins w:id="194" w:author="Microsoft Office User" w:date="2019-09-06T14:31:00Z">
        <w:r w:rsidR="001951AA">
          <w:t>backed</w:t>
        </w:r>
      </w:ins>
      <w:del w:id="195" w:author="Microsoft Office User" w:date="2019-09-06T14:31:00Z">
        <w:r w:rsidDel="001951AA">
          <w:delText>founded</w:delText>
        </w:r>
      </w:del>
      <w:r>
        <w:t xml:space="preserve"> program often contained language similar to that of the activist-</w:t>
      </w:r>
      <w:del w:id="196" w:author="Microsoft Office User" w:date="2019-09-06T14:31:00Z">
        <w:r w:rsidDel="001951AA">
          <w:delText xml:space="preserve">founded </w:delText>
        </w:r>
      </w:del>
      <w:ins w:id="197" w:author="Microsoft Office User" w:date="2019-09-06T14:31:00Z">
        <w:r w:rsidR="001951AA">
          <w:t>backed</w:t>
        </w:r>
        <w:r w:rsidR="001951AA">
          <w:t xml:space="preserve"> </w:t>
        </w:r>
      </w:ins>
      <w:r>
        <w:t xml:space="preserve">program (i.e., it had a similar scope), but often lacked (costlier) mandatory performance thresholds (i.e., it did not have similar prescriptiveness). This result suggests that any test of theories about the cost of compliance must distinguish between measures of stringency based on policy scope or prescriptiveness. Regarding H1.2, we cannot tell whether changes in scope are more likely to be matched by competing programs because neither program changed significantly in the scope of issues addressed. Both programs did begin regulating carbon emissions in 2010, but it is unclear if this change in scope is one program reacting to the other or both programs responding to a third causal factor.  </w:t>
      </w:r>
    </w:p>
    <w:p w14:paraId="7EAD070F" w14:textId="77777777" w:rsidR="00570ACB" w:rsidRDefault="00570ACB" w:rsidP="00570ACB"/>
    <w:p w14:paraId="4EF4BD3D" w14:textId="748475ED" w:rsidR="00570ACB" w:rsidRDefault="00570ACB" w:rsidP="00570ACB">
      <w:r>
        <w:t>Regarding H2.1, we find differentiation between the FSC-US and the SFI; the activist-</w:t>
      </w:r>
      <w:del w:id="198" w:author="Microsoft Office User" w:date="2019-09-06T14:28:00Z">
        <w:r w:rsidDel="001951AA">
          <w:delText xml:space="preserve">founded </w:delText>
        </w:r>
      </w:del>
      <w:ins w:id="199" w:author="Microsoft Office User" w:date="2019-09-06T14:28:00Z">
        <w:r w:rsidR="001951AA">
          <w:t>backed</w:t>
        </w:r>
        <w:r w:rsidR="001951AA">
          <w:t xml:space="preserve"> </w:t>
        </w:r>
      </w:ins>
      <w:r>
        <w:t>program was more comprehensive in scope, was more prescriptive, and had higher performance levels on issues that cost firms’, while the industry-</w:t>
      </w:r>
      <w:proofErr w:type="spellStart"/>
      <w:r>
        <w:t>founded</w:t>
      </w:r>
      <w:proofErr w:type="spellEnd"/>
      <w:r>
        <w:t xml:space="preserve"> program was more comprehensive in scope, was more prescriptive, and had higher performance levels on issues that create net utility for the industry. Hypothesis 2.2 posits that the same kind of differentiation will drive policy change. This aligns with changes to the FSC-US and SFI in 2010, but less so in 2015. More research is needed to test these and other hypotheses, using similarly precise and comprehensive measures of regulatory stringency</w:t>
      </w:r>
      <w:ins w:id="200" w:author="Microsoft Office User" w:date="2019-09-06T14:29:00Z">
        <w:r w:rsidR="001951AA">
          <w:t xml:space="preserve"> in other policy domains</w:t>
        </w:r>
      </w:ins>
      <w:r>
        <w:t>. Specifically, while “ratcheting up” theories anticipate the general upward direction we observe, more attention is needed to explain why programs may increase prescriptiveness on different issues, especially for issues on which they already have the more stringent requirements.</w:t>
      </w:r>
    </w:p>
    <w:p w14:paraId="1E0CB17E" w14:textId="77777777" w:rsidR="00570ACB" w:rsidRDefault="00570ACB" w:rsidP="00570ACB"/>
    <w:p w14:paraId="6801EA90" w14:textId="77777777" w:rsidR="00570ACB" w:rsidRDefault="00570ACB" w:rsidP="00570ACB">
      <w:r>
        <w:t>## Industry-backed certification programs as a form of collective action</w:t>
      </w:r>
    </w:p>
    <w:p w14:paraId="2C909491" w14:textId="77777777" w:rsidR="00570ACB" w:rsidRDefault="00570ACB" w:rsidP="00570ACB">
      <w:r>
        <w:lastRenderedPageBreak/>
        <w:t>Our finding that the SFI and FSC-US were each more prescriptive and continued to become more prescriptive on qualitatively different issues highlights how industry-founded certification programs can serve their industry in two ways.</w:t>
      </w:r>
    </w:p>
    <w:p w14:paraId="41A05AFD" w14:textId="77777777" w:rsidR="00570ACB" w:rsidRDefault="00570ACB" w:rsidP="00570ACB"/>
    <w:p w14:paraId="3FCF6D5C" w14:textId="77777777" w:rsidR="00570ACB" w:rsidRDefault="00570ACB" w:rsidP="00570ACB">
      <w:del w:id="201" w:author="Microsoft Office User" w:date="2019-09-06T14:32:00Z">
        <w:r w:rsidDel="001951AA">
          <w:delText xml:space="preserve"> </w:delText>
        </w:r>
      </w:del>
      <w:r>
        <w:t xml:space="preserve">First, they provide individual firms with a service—a signal of "social responsibility" that requires a credible third party. Such a signal would be more expensive to send by complying with an activist-backed regulation. </w:t>
      </w:r>
      <w:proofErr w:type="gramStart"/>
      <w:r>
        <w:t xml:space="preserve">Hence,   </w:t>
      </w:r>
      <w:proofErr w:type="gramEnd"/>
      <w:r>
        <w:t>industry-backed programs are often created to save firms money by offering a label that sends “green” or “socially responsible” signals in the market without some of the more costly demands of activist-backed programs or public regulations. Such signals are often based on perceived, rather than actual, stringency</w:t>
      </w:r>
      <w:proofErr w:type="gramStart"/>
      <w:r>
        <w:t>^[</w:t>
      </w:r>
      <w:proofErr w:type="gramEnd"/>
      <w:r>
        <w:t>While our framework clarifies differences in actual stringency between activist- and industry-backed programs, the problem definitions and values of those making evaluations will influence program preference. What we do know is that industry-backed programs often address the same issues as activist-backed programs, using language that might imply equivalency in stringency, but which contain substantially fewer prescriptive requirements. Yet seemingly similar looking language can require very different levels of performance. For example, the SFI requirements for “Forests of Exceptional Conservation Value” (FECV) are much less prescriptive than the FSC-US requirements for “High Conservation Value Forests” (HCVF), despite their similar language (also see (e.g., Figures \ref{riparian} and \ref{</w:t>
      </w:r>
      <w:proofErr w:type="spellStart"/>
      <w:r>
        <w:t>clearcuts</w:t>
      </w:r>
      <w:proofErr w:type="spellEnd"/>
      <w:r>
        <w:t>} and Table \ref{issues}). The extent to which this helps firms coordinate to maximize the impression of stringency while minimizing the costs of doing so is a question for future research.]</w:t>
      </w:r>
    </w:p>
    <w:p w14:paraId="13A326E9" w14:textId="77777777" w:rsidR="00570ACB" w:rsidRDefault="00570ACB" w:rsidP="00570ACB"/>
    <w:p w14:paraId="75186CDE" w14:textId="2F46F874" w:rsidR="00570ACB" w:rsidRDefault="00570ACB" w:rsidP="00570ACB">
      <w:r>
        <w:t xml:space="preserve">Second, they provide a mechanism for an industry to improve its collective reputation and capacity by coordinating contributions to collective goods, a common function of industry associations. That the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w:t>
      </w:r>
      <w:ins w:id="202" w:author="Microsoft Office User" w:date="2019-09-06T14:30:00Z">
        <w:r w:rsidR="001951AA">
          <w:t>not a result of</w:t>
        </w:r>
      </w:ins>
      <w:del w:id="203" w:author="Microsoft Office User" w:date="2019-09-06T14:29:00Z">
        <w:r w:rsidDel="001951AA">
          <w:delText xml:space="preserve">unrelated </w:delText>
        </w:r>
      </w:del>
      <w:del w:id="204" w:author="Microsoft Office User" w:date="2019-09-06T14:30:00Z">
        <w:r w:rsidDel="001951AA">
          <w:delText>to</w:delText>
        </w:r>
      </w:del>
      <w:r>
        <w:t xml:space="preserve"> competition with the FSC. Instead, SFI had the most prescriptive requirements for actions that firms may take anyway—like training workers and maximizing efficiency—or that may be driven by their own collective action problems—like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certification, such requirements may provide collective benefits for the sector in the form of a positive public image and skilled workforce.</w:t>
      </w:r>
    </w:p>
    <w:p w14:paraId="451571A4" w14:textId="77777777" w:rsidR="00570ACB" w:rsidRDefault="00570ACB" w:rsidP="00570ACB"/>
    <w:p w14:paraId="62B5771E" w14:textId="77777777" w:rsidR="00570ACB" w:rsidRDefault="00570ACB" w:rsidP="00570ACB">
      <w:r>
        <w:t xml:space="preserve">In short, where the SFI developed more prescriptive requirements than the FSC, it required things that firms may do anyway (e.g., train workers or educate the public), </w:t>
      </w:r>
      <w:r>
        <w:lastRenderedPageBreak/>
        <w:t xml:space="preserve">but have additional collective benefits the more widely they are adopted. While unforeseen by existing theories, the fact that the SFI is more prescriptive on some issues is unsurprising if these requirements provide net benefits to the sector regardless of activist pressures or consumer demands.  </w:t>
      </w:r>
    </w:p>
    <w:p w14:paraId="66A7B23B" w14:textId="77777777" w:rsidR="00570ACB" w:rsidRDefault="00570ACB" w:rsidP="00570ACB"/>
    <w:p w14:paraId="4A6D76B2" w14:textId="77777777" w:rsidR="00570ACB" w:rsidRDefault="00570ACB" w:rsidP="00570ACB">
      <w:r>
        <w:t># Conclusion</w:t>
      </w:r>
    </w:p>
    <w:p w14:paraId="646F6EC4" w14:textId="1492B8BB" w:rsidR="00570ACB" w:rsidRDefault="00570ACB" w:rsidP="00570ACB">
      <w:r>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w:t>
      </w:r>
      <w:del w:id="205" w:author="Microsoft Office User" w:date="2019-09-06T14:33:00Z">
        <w:r w:rsidDel="001951AA">
          <w:delText xml:space="preserve">substance </w:delText>
        </w:r>
      </w:del>
      <w:r>
        <w:t>to which they apply and research that measures change across programs and over time. Our framework for measuring regulatory stringency</w:t>
      </w:r>
      <w:del w:id="206" w:author="Microsoft Office User" w:date="2019-09-06T14:33:00Z">
        <w:r w:rsidDel="00666CED">
          <w:delText>,</w:delText>
        </w:r>
      </w:del>
      <w:r>
        <w:t xml:space="preserve"> and</w:t>
      </w:r>
      <w:del w:id="207" w:author="Microsoft Office User" w:date="2019-09-06T14:33:00Z">
        <w:r w:rsidDel="00666CED">
          <w:delText xml:space="preserve"> for</w:delText>
        </w:r>
      </w:del>
      <w:r>
        <w:t xml:space="preserve"> using longitudinal data to classify patterns of change</w:t>
      </w:r>
      <w:del w:id="208" w:author="Microsoft Office User" w:date="2019-09-06T14:33:00Z">
        <w:r w:rsidDel="00666CED">
          <w:delText>,</w:delText>
        </w:r>
      </w:del>
      <w:r>
        <w:t xml:space="preserve"> offers a foundation for further research about how competing regulatory programs compare, how they evolve, and why. There is no perfect way to compare incommensurate policies. We have nonetheless made our best effort to offer a method to do so. By applying this method, we have systematically quantified differences that can be quantified and described as richly as possible those comparisons that one can only make qualitatively.</w:t>
      </w:r>
    </w:p>
    <w:p w14:paraId="21F948D2" w14:textId="77777777" w:rsidR="00570ACB" w:rsidRDefault="00570ACB" w:rsidP="00570ACB"/>
    <w:p w14:paraId="736B5E2D" w14:textId="2414E3A2" w:rsidR="00570ACB" w:rsidRDefault="00570ACB" w:rsidP="00570ACB">
      <w:r>
        <w:t xml:space="preserve">Through the case of forestry standards in the U.S., we show what can be gained by careful measurement of regulatory stringency and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are the result of research design choices. Some scholars chose a few key issues and found convergence. </w:t>
      </w:r>
      <w:ins w:id="209" w:author="Microsoft Office User" w:date="2019-09-06T14:35:00Z">
        <w:r w:rsidR="00666CED">
          <w:t>Others used different issues or measures and did not. Still o</w:t>
        </w:r>
      </w:ins>
      <w:del w:id="210" w:author="Microsoft Office User" w:date="2019-09-06T14:35:00Z">
        <w:r w:rsidDel="00666CED">
          <w:delText>O</w:delText>
        </w:r>
      </w:del>
      <w:r>
        <w:t xml:space="preserve">thers </w:t>
      </w:r>
      <w:del w:id="211" w:author="Microsoft Office User" w:date="2019-09-06T14:35:00Z">
        <w:r w:rsidDel="00666CED">
          <w:delText>looked so broadly they missed more nuanced patterns</w:delText>
        </w:r>
      </w:del>
      <w:ins w:id="212" w:author="Microsoft Office User" w:date="2019-09-06T14:35:00Z">
        <w:r w:rsidR="00666CED">
          <w:t>made broad g</w:t>
        </w:r>
      </w:ins>
      <w:ins w:id="213" w:author="Microsoft Office User" w:date="2019-09-06T14:36:00Z">
        <w:r w:rsidR="00666CED">
          <w:t>eneralizations in both directions</w:t>
        </w:r>
      </w:ins>
      <w:ins w:id="214" w:author="Microsoft Office User" w:date="2019-09-06T14:37:00Z">
        <w:r w:rsidR="00666CED">
          <w:t xml:space="preserve"> without specifying </w:t>
        </w:r>
      </w:ins>
      <w:ins w:id="215" w:author="Microsoft Office User" w:date="2019-09-06T14:38:00Z">
        <w:r w:rsidR="00666CED">
          <w:t>defining a scope of</w:t>
        </w:r>
      </w:ins>
      <w:ins w:id="216" w:author="Microsoft Office User" w:date="2019-09-06T14:37:00Z">
        <w:r w:rsidR="00666CED">
          <w:t xml:space="preserve"> policy content or measure</w:t>
        </w:r>
      </w:ins>
      <w:ins w:id="217" w:author="Microsoft Office User" w:date="2019-09-06T14:38:00Z">
        <w:r w:rsidR="00666CED">
          <w:t>ment concepts</w:t>
        </w:r>
      </w:ins>
      <w:ins w:id="218" w:author="Microsoft Office User" w:date="2019-09-06T14:37:00Z">
        <w:r w:rsidR="00666CED">
          <w:t xml:space="preserve"> at all</w:t>
        </w:r>
      </w:ins>
      <w:r>
        <w:t>. Our integration of both precise and broad measures found that both conclusions were correct but incomplete. Activist-backed and industry-backed programs conver</w:t>
      </w:r>
      <w:bookmarkStart w:id="219" w:name="_GoBack"/>
      <w:bookmarkEnd w:id="219"/>
      <w:r>
        <w:t xml:space="preserve">ged in policy scope on a few issues, but overall, their scopes have seen little change. Furthermore, we found these programs to have diverged overall on prescriptiveness, because, while both standards “ratcheted up,” they did so at different rates and on different policy issues. </w:t>
      </w:r>
      <w:ins w:id="220" w:author="Microsoft Office User" w:date="2019-09-06T14:35:00Z">
        <w:r w:rsidR="00666CED">
          <w:t>O</w:t>
        </w:r>
      </w:ins>
      <w:del w:id="221" w:author="Microsoft Office User" w:date="2019-09-06T14:35:00Z">
        <w:r w:rsidDel="00666CED">
          <w:delText>Hence, o</w:delText>
        </w:r>
      </w:del>
      <w:r>
        <w:t xml:space="preserve">ur deep dive into defining regulatory stringency and policy change in one domain not only enables scholarship on the causes of public and private regulation in forestry, it also offers a model for similar research in other policy domains. </w:t>
      </w:r>
    </w:p>
    <w:p w14:paraId="7908E5E5" w14:textId="77777777" w:rsidR="00570ACB" w:rsidRDefault="00570ACB" w:rsidP="00570ACB"/>
    <w:p w14:paraId="656884A4" w14:textId="1BFE8164" w:rsidR="00570ACB" w:rsidRDefault="00570ACB" w:rsidP="00570ACB">
      <w:r>
        <w:t xml:space="preserve">This approach also has practical value. First, the power dynamics among groups that promote programs like the FSC or the SFI have created an environment in which competing claims about what exactly each program requires and how this has changed confuse buyers. The politics of private regulation revolve around "public comparisons that would resolve the debate about whose standards were higher" [@Overdevest2010]. We offer concepts to clarify what “higher” standards may </w:t>
      </w:r>
      <w:r>
        <w:lastRenderedPageBreak/>
        <w:t xml:space="preserve">mean. Second, it is impossible to measure the impact of a set of regulatory requirements without disentangling their component parts. </w:t>
      </w:r>
      <w:ins w:id="222" w:author="Microsoft Office User" w:date="2019-09-06T14:34:00Z">
        <w:r w:rsidR="00666CED">
          <w:t>O</w:t>
        </w:r>
      </w:ins>
      <w:del w:id="223" w:author="Microsoft Office User" w:date="2019-09-06T14:34:00Z">
        <w:r w:rsidDel="00666CED">
          <w:delText>Thus, o</w:delText>
        </w:r>
      </w:del>
      <w:r>
        <w:t xml:space="preserve">ur analysis of written requirements is </w:t>
      </w:r>
      <w:ins w:id="224" w:author="Microsoft Office User" w:date="2019-09-06T14:34:00Z">
        <w:r w:rsidR="00666CED">
          <w:t xml:space="preserve">thus </w:t>
        </w:r>
      </w:ins>
      <w:r>
        <w:t xml:space="preserve">a necessary first step for efforts to assess the effects </w:t>
      </w:r>
      <w:ins w:id="225" w:author="Microsoft Office User" w:date="2019-09-06T14:34:00Z">
        <w:r w:rsidR="00666CED">
          <w:t xml:space="preserve">of these programs </w:t>
        </w:r>
      </w:ins>
      <w:r>
        <w:t>on the ground.</w:t>
      </w:r>
    </w:p>
    <w:p w14:paraId="75B56A8E" w14:textId="77777777" w:rsidR="00570ACB" w:rsidRDefault="00570ACB" w:rsidP="00570ACB"/>
    <w:p w14:paraId="4BC5C7C4" w14:textId="77777777" w:rsidR="00570ACB" w:rsidRDefault="00570ACB" w:rsidP="00570ACB">
      <w:r>
        <w:t>Most importantly, our framework and analysis offer a model for careful measurement of policy change as a variable. It is tempting to take shortcuts by making broad generalizations or by selecting what is easy to measure or what others have highlighted. However, if we aim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7D8D7F8B" w14:textId="77777777" w:rsidR="00570ACB" w:rsidRDefault="00570ACB" w:rsidP="00570ACB"/>
    <w:p w14:paraId="5BB036FB" w14:textId="1BA59BEA" w:rsidR="002F4C61" w:rsidRPr="00570ACB" w:rsidRDefault="002F4C61" w:rsidP="00570ACB"/>
    <w:sectPr w:rsidR="002F4C61" w:rsidRPr="00570ACB" w:rsidSect="002F4C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39C"/>
    <w:rsid w:val="00006F91"/>
    <w:rsid w:val="000101E9"/>
    <w:rsid w:val="00044002"/>
    <w:rsid w:val="000472A7"/>
    <w:rsid w:val="000609F7"/>
    <w:rsid w:val="0007551B"/>
    <w:rsid w:val="000933B6"/>
    <w:rsid w:val="000D14B2"/>
    <w:rsid w:val="000F0971"/>
    <w:rsid w:val="0010328A"/>
    <w:rsid w:val="00112FD9"/>
    <w:rsid w:val="0015002B"/>
    <w:rsid w:val="00151EA2"/>
    <w:rsid w:val="00152220"/>
    <w:rsid w:val="00183566"/>
    <w:rsid w:val="0019247C"/>
    <w:rsid w:val="001951AA"/>
    <w:rsid w:val="00197163"/>
    <w:rsid w:val="001C2192"/>
    <w:rsid w:val="001C2C45"/>
    <w:rsid w:val="001F2575"/>
    <w:rsid w:val="00212313"/>
    <w:rsid w:val="0024014B"/>
    <w:rsid w:val="002425CC"/>
    <w:rsid w:val="00255F3E"/>
    <w:rsid w:val="00262743"/>
    <w:rsid w:val="0026645E"/>
    <w:rsid w:val="00280782"/>
    <w:rsid w:val="00280D6A"/>
    <w:rsid w:val="002868B0"/>
    <w:rsid w:val="00287054"/>
    <w:rsid w:val="002B100E"/>
    <w:rsid w:val="002C22A4"/>
    <w:rsid w:val="002D2109"/>
    <w:rsid w:val="002D32B3"/>
    <w:rsid w:val="002D5A0D"/>
    <w:rsid w:val="002E0BCA"/>
    <w:rsid w:val="002F2AB2"/>
    <w:rsid w:val="002F4C61"/>
    <w:rsid w:val="00306A36"/>
    <w:rsid w:val="00322A69"/>
    <w:rsid w:val="00325CF4"/>
    <w:rsid w:val="003325D1"/>
    <w:rsid w:val="00342D52"/>
    <w:rsid w:val="00352A50"/>
    <w:rsid w:val="00374206"/>
    <w:rsid w:val="00376B8A"/>
    <w:rsid w:val="003863DF"/>
    <w:rsid w:val="00390536"/>
    <w:rsid w:val="003B3D20"/>
    <w:rsid w:val="003C3A91"/>
    <w:rsid w:val="003C44C7"/>
    <w:rsid w:val="003D1A0E"/>
    <w:rsid w:val="003E37EE"/>
    <w:rsid w:val="003F075D"/>
    <w:rsid w:val="003F61A1"/>
    <w:rsid w:val="00402113"/>
    <w:rsid w:val="00406248"/>
    <w:rsid w:val="004068F4"/>
    <w:rsid w:val="00417A57"/>
    <w:rsid w:val="00425F0F"/>
    <w:rsid w:val="0044764B"/>
    <w:rsid w:val="004572A1"/>
    <w:rsid w:val="00457C17"/>
    <w:rsid w:val="0047539C"/>
    <w:rsid w:val="00476E62"/>
    <w:rsid w:val="004A4BF5"/>
    <w:rsid w:val="004F24C1"/>
    <w:rsid w:val="00507709"/>
    <w:rsid w:val="005109DE"/>
    <w:rsid w:val="00570ACB"/>
    <w:rsid w:val="005A7399"/>
    <w:rsid w:val="005D0653"/>
    <w:rsid w:val="005D488E"/>
    <w:rsid w:val="00631D94"/>
    <w:rsid w:val="00666CED"/>
    <w:rsid w:val="006744BF"/>
    <w:rsid w:val="006801DF"/>
    <w:rsid w:val="006A1D86"/>
    <w:rsid w:val="006B0816"/>
    <w:rsid w:val="006C2C1C"/>
    <w:rsid w:val="006F0196"/>
    <w:rsid w:val="007009B2"/>
    <w:rsid w:val="00743B55"/>
    <w:rsid w:val="0075005B"/>
    <w:rsid w:val="00766E26"/>
    <w:rsid w:val="0078484A"/>
    <w:rsid w:val="0079058F"/>
    <w:rsid w:val="00791EC0"/>
    <w:rsid w:val="007A4985"/>
    <w:rsid w:val="007D1796"/>
    <w:rsid w:val="007E2C52"/>
    <w:rsid w:val="007F2B44"/>
    <w:rsid w:val="00800CEB"/>
    <w:rsid w:val="00815AA0"/>
    <w:rsid w:val="00831AEB"/>
    <w:rsid w:val="00857B16"/>
    <w:rsid w:val="00863AC2"/>
    <w:rsid w:val="0086546A"/>
    <w:rsid w:val="00865D28"/>
    <w:rsid w:val="008704D4"/>
    <w:rsid w:val="008722CE"/>
    <w:rsid w:val="00872E0F"/>
    <w:rsid w:val="00876802"/>
    <w:rsid w:val="008B105B"/>
    <w:rsid w:val="008D6D03"/>
    <w:rsid w:val="008E26D0"/>
    <w:rsid w:val="008E72E2"/>
    <w:rsid w:val="008F059E"/>
    <w:rsid w:val="00904436"/>
    <w:rsid w:val="00904A85"/>
    <w:rsid w:val="009102C0"/>
    <w:rsid w:val="00921FEE"/>
    <w:rsid w:val="00940C4F"/>
    <w:rsid w:val="009635F3"/>
    <w:rsid w:val="00977401"/>
    <w:rsid w:val="009877E9"/>
    <w:rsid w:val="00996DD7"/>
    <w:rsid w:val="009C2FCC"/>
    <w:rsid w:val="009E0F09"/>
    <w:rsid w:val="009E1152"/>
    <w:rsid w:val="009F0B84"/>
    <w:rsid w:val="00A04087"/>
    <w:rsid w:val="00A11277"/>
    <w:rsid w:val="00A163F7"/>
    <w:rsid w:val="00A21010"/>
    <w:rsid w:val="00A4752E"/>
    <w:rsid w:val="00A50075"/>
    <w:rsid w:val="00A5571D"/>
    <w:rsid w:val="00A73961"/>
    <w:rsid w:val="00A75C5E"/>
    <w:rsid w:val="00AC2441"/>
    <w:rsid w:val="00AD2028"/>
    <w:rsid w:val="00B04858"/>
    <w:rsid w:val="00B07F19"/>
    <w:rsid w:val="00B22763"/>
    <w:rsid w:val="00B61A9F"/>
    <w:rsid w:val="00BA549E"/>
    <w:rsid w:val="00BD4CAE"/>
    <w:rsid w:val="00BD69B0"/>
    <w:rsid w:val="00BE0346"/>
    <w:rsid w:val="00C17333"/>
    <w:rsid w:val="00C40DA9"/>
    <w:rsid w:val="00C41905"/>
    <w:rsid w:val="00C57A86"/>
    <w:rsid w:val="00C62504"/>
    <w:rsid w:val="00C67D95"/>
    <w:rsid w:val="00C729D9"/>
    <w:rsid w:val="00C77A02"/>
    <w:rsid w:val="00C87B4F"/>
    <w:rsid w:val="00C964EA"/>
    <w:rsid w:val="00CB48E7"/>
    <w:rsid w:val="00D25EB3"/>
    <w:rsid w:val="00D35A21"/>
    <w:rsid w:val="00D37697"/>
    <w:rsid w:val="00D45E2E"/>
    <w:rsid w:val="00D4632D"/>
    <w:rsid w:val="00D47A27"/>
    <w:rsid w:val="00D61E02"/>
    <w:rsid w:val="00D83438"/>
    <w:rsid w:val="00E03C22"/>
    <w:rsid w:val="00E21E60"/>
    <w:rsid w:val="00E3390B"/>
    <w:rsid w:val="00E44059"/>
    <w:rsid w:val="00E579F0"/>
    <w:rsid w:val="00E66BCD"/>
    <w:rsid w:val="00E73F70"/>
    <w:rsid w:val="00E845A7"/>
    <w:rsid w:val="00E856DD"/>
    <w:rsid w:val="00EA6619"/>
    <w:rsid w:val="00EB0173"/>
    <w:rsid w:val="00EB01A4"/>
    <w:rsid w:val="00ED6212"/>
    <w:rsid w:val="00EE01B3"/>
    <w:rsid w:val="00EF48EE"/>
    <w:rsid w:val="00F23F5F"/>
    <w:rsid w:val="00F26EDE"/>
    <w:rsid w:val="00F43624"/>
    <w:rsid w:val="00F514AA"/>
    <w:rsid w:val="00F60C45"/>
    <w:rsid w:val="00F72956"/>
    <w:rsid w:val="00F94603"/>
    <w:rsid w:val="00FB4BA9"/>
    <w:rsid w:val="00FD5A6D"/>
    <w:rsid w:val="00FD7A60"/>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0F25"/>
  <w14:defaultImageDpi w14:val="300"/>
  <w15:docId w15:val="{48C91A3A-3F53-6145-95D5-58AE326C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25</Pages>
  <Words>11387</Words>
  <Characters>64910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Microsoft Office User</cp:lastModifiedBy>
  <cp:revision>17</cp:revision>
  <dcterms:created xsi:type="dcterms:W3CDTF">2019-03-20T15:39:00Z</dcterms:created>
  <dcterms:modified xsi:type="dcterms:W3CDTF">2019-09-06T19:38:00Z</dcterms:modified>
</cp:coreProperties>
</file>