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63AF2" w14:textId="77777777" w:rsidR="008704D4" w:rsidRDefault="008704D4" w:rsidP="008704D4">
      <w:bookmarkStart w:id="0" w:name="_GoBack"/>
      <w:bookmarkEnd w:id="0"/>
      <w:proofErr w:type="gramStart"/>
      <w:r>
        <w:t>title</w:t>
      </w:r>
      <w:proofErr w:type="gramEnd"/>
      <w:r>
        <w:t>: Do Private Regulations Ratchet Up?</w:t>
      </w:r>
    </w:p>
    <w:p w14:paraId="45D039CB" w14:textId="77777777" w:rsidR="008704D4" w:rsidRDefault="008704D4" w:rsidP="008704D4">
      <w:proofErr w:type="gramStart"/>
      <w:r>
        <w:t>subtitle</w:t>
      </w:r>
      <w:proofErr w:type="gramEnd"/>
      <w:r>
        <w:t>: How to distinguish types of regulatory stringency and patterns of change</w:t>
      </w:r>
    </w:p>
    <w:p w14:paraId="6045FF87" w14:textId="77777777" w:rsidR="008704D4" w:rsidRDefault="008704D4" w:rsidP="008704D4"/>
    <w:p w14:paraId="7868D5A0" w14:textId="77777777" w:rsidR="008704D4" w:rsidRDefault="008704D4" w:rsidP="008704D4">
      <w:proofErr w:type="gramStart"/>
      <w:r>
        <w:t>author</w:t>
      </w:r>
      <w:proofErr w:type="gramEnd"/>
      <w:r>
        <w:t xml:space="preserve">: </w:t>
      </w:r>
    </w:p>
    <w:p w14:paraId="68D8576E" w14:textId="77777777" w:rsidR="008704D4" w:rsidRDefault="008704D4" w:rsidP="008704D4">
      <w:r>
        <w:t xml:space="preserve">- </w:t>
      </w:r>
      <w:proofErr w:type="gramStart"/>
      <w:r>
        <w:t>name</w:t>
      </w:r>
      <w:proofErr w:type="gramEnd"/>
      <w:r>
        <w:t>: Devin Judge-Lord</w:t>
      </w:r>
    </w:p>
    <w:p w14:paraId="4E9EFDFD" w14:textId="77777777" w:rsidR="008704D4" w:rsidRDefault="008704D4" w:rsidP="008704D4">
      <w:r>
        <w:t xml:space="preserve">  </w:t>
      </w:r>
      <w:proofErr w:type="gramStart"/>
      <w:r>
        <w:t>affiliation</w:t>
      </w:r>
      <w:proofErr w:type="gramEnd"/>
      <w:r>
        <w:t>: University of Wisconsin--Madison</w:t>
      </w:r>
    </w:p>
    <w:p w14:paraId="4482A362" w14:textId="77777777" w:rsidR="008704D4" w:rsidRDefault="008704D4" w:rsidP="008704D4">
      <w:r>
        <w:t xml:space="preserve">- </w:t>
      </w:r>
      <w:proofErr w:type="gramStart"/>
      <w:r>
        <w:t>name</w:t>
      </w:r>
      <w:proofErr w:type="gramEnd"/>
      <w:r>
        <w:t>: Constance L. McDermott</w:t>
      </w:r>
    </w:p>
    <w:p w14:paraId="62C2C396" w14:textId="77777777" w:rsidR="008704D4" w:rsidRDefault="008704D4" w:rsidP="008704D4">
      <w:r>
        <w:t xml:space="preserve">  </w:t>
      </w:r>
      <w:proofErr w:type="gramStart"/>
      <w:r>
        <w:t>affiliation</w:t>
      </w:r>
      <w:proofErr w:type="gramEnd"/>
      <w:r>
        <w:t>: Oxford University</w:t>
      </w:r>
    </w:p>
    <w:p w14:paraId="64D63B4A" w14:textId="77777777" w:rsidR="008704D4" w:rsidRDefault="008704D4" w:rsidP="008704D4">
      <w:r>
        <w:t xml:space="preserve">- </w:t>
      </w:r>
      <w:proofErr w:type="gramStart"/>
      <w:r>
        <w:t>name</w:t>
      </w:r>
      <w:proofErr w:type="gramEnd"/>
      <w:r>
        <w:t>: Benjamin Cashore</w:t>
      </w:r>
    </w:p>
    <w:p w14:paraId="09AD7202" w14:textId="77777777" w:rsidR="008704D4" w:rsidRDefault="008704D4" w:rsidP="008704D4">
      <w:r>
        <w:t xml:space="preserve">  </w:t>
      </w:r>
      <w:proofErr w:type="gramStart"/>
      <w:r>
        <w:t>affiliation</w:t>
      </w:r>
      <w:proofErr w:type="gramEnd"/>
      <w:r>
        <w:t>: Yale University</w:t>
      </w:r>
    </w:p>
    <w:p w14:paraId="5DFB6E52" w14:textId="77777777" w:rsidR="008704D4" w:rsidRDefault="008704D4" w:rsidP="008704D4"/>
    <w:p w14:paraId="11C43774" w14:textId="77777777" w:rsidR="008704D4" w:rsidRDefault="008704D4" w:rsidP="008704D4">
      <w:proofErr w:type="gramStart"/>
      <w:r>
        <w:t>abstract</w:t>
      </w:r>
      <w:proofErr w:type="gramEnd"/>
      <w:r>
        <w:t xml:space="preserve">: "Due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w:t>
      </w:r>
      <w:proofErr w:type="gramStart"/>
      <w:r>
        <w:t>are</w:t>
      </w:r>
      <w:proofErr w:type="gramEnd"/>
      <w:r>
        <w:t xml:space="preserv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2F9013B1" w14:textId="77777777" w:rsidR="008704D4" w:rsidRDefault="008704D4" w:rsidP="008704D4"/>
    <w:p w14:paraId="455029C5" w14:textId="77777777" w:rsidR="008704D4" w:rsidRDefault="008704D4" w:rsidP="008704D4">
      <w:proofErr w:type="gramStart"/>
      <w:r>
        <w:t>keywords</w:t>
      </w:r>
      <w:proofErr w:type="gramEnd"/>
      <w:r>
        <w:t>: "policy change, private authority, certification, corporate social responsibility, private governance"</w:t>
      </w:r>
    </w:p>
    <w:p w14:paraId="2F5F3472" w14:textId="77777777" w:rsidR="008704D4" w:rsidRDefault="008704D4" w:rsidP="008704D4"/>
    <w:p w14:paraId="726BD6FF" w14:textId="77777777" w:rsidR="008704D4" w:rsidRDefault="008704D4" w:rsidP="008704D4">
      <w:proofErr w:type="gramStart"/>
      <w:r>
        <w:t>thanks</w:t>
      </w:r>
      <w:proofErr w:type="gramEnd"/>
      <w:r>
        <w:t>: "We are grateful to reviewers of earlier versions of this paper presented to the American Politics Workshop at the University of Wisconsin-Madison, the Association of Public Policy Analysis and Management (APPAM) Annual Research Conference, and the Association of Environmental Studies and Sciences Annual Meeting. We are also grateful to extensive feedback on a 2014 draft of the analytic framework and the underlying data tables from officials from the Forest Stewardship Council (FSC), the Sustainable Forestry Initiative (SFI), and the Program for the Endorsement of Forest Certification (PEFC). We are grateful for funding from the Fox Foundation, Procter &amp; Gamble, Staples, Office Depot, and Arup. We also thank Erica Pohnan and Akiva Fishman for research and editing assistance. The authors are fully responsible for data collection, analysis, and any errors. Comments welcome: JudgeLord@Wisc.edu. The most version of this paper is available at https://judgelord.github.io/FSC-SFI/oe/certification.pdf."</w:t>
      </w:r>
    </w:p>
    <w:p w14:paraId="2E23EFD2" w14:textId="77777777" w:rsidR="008704D4" w:rsidRDefault="008704D4" w:rsidP="008704D4">
      <w:r>
        <w:t>---</w:t>
      </w:r>
    </w:p>
    <w:p w14:paraId="33B41671" w14:textId="77777777" w:rsidR="008704D4" w:rsidRDefault="008704D4" w:rsidP="008704D4">
      <w:r>
        <w:t>\</w:t>
      </w:r>
      <w:proofErr w:type="gramStart"/>
      <w:r>
        <w:t>newpage</w:t>
      </w:r>
      <w:proofErr w:type="gramEnd"/>
    </w:p>
    <w:p w14:paraId="1ECDCE03" w14:textId="77777777" w:rsidR="008704D4" w:rsidRDefault="008704D4" w:rsidP="008704D4"/>
    <w:p w14:paraId="5864FE36" w14:textId="77777777" w:rsidR="008704D4" w:rsidRDefault="008704D4" w:rsidP="008704D4">
      <w:r>
        <w:lastRenderedPageBreak/>
        <w:t># Introduction</w:t>
      </w:r>
    </w:p>
    <w:p w14:paraId="35795581" w14:textId="77777777" w:rsidR="008704D4" w:rsidRDefault="008704D4" w:rsidP="008704D4">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programs were founded by activists who were dissatisfied with public regulations</w:t>
      </w:r>
      <w:proofErr w:type="gramEnd"/>
      <w:r>
        <w:t xml:space="preserve">. Using tactics such as boycotts as “sticks” and brand-boosting praise as “carrots,” activists attempt to pressure companies to comply with certification programs that go beyond the requirements of public laws [@Cashore2002].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0AD20152" w14:textId="77777777" w:rsidR="008704D4" w:rsidRDefault="008704D4" w:rsidP="008704D4"/>
    <w:p w14:paraId="358956E5" w14:textId="77777777" w:rsidR="008704D4" w:rsidRDefault="008704D4" w:rsidP="008704D4">
      <w:r>
        <w:t>Debates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[@Bartley2007; @Bodansky1999; @Cashore2002]. One way they achieve and maintain legitimacy is through claims about the stringency of their requirements.</w:t>
      </w:r>
    </w:p>
    <w:p w14:paraId="70D75A31" w14:textId="77777777" w:rsidR="008704D4" w:rsidRDefault="008704D4" w:rsidP="008704D4"/>
    <w:p w14:paraId="10AC0330" w14:textId="77777777" w:rsidR="008704D4" w:rsidRDefault="008704D4" w:rsidP="008704D4">
      <w:r>
        <w:t>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imprecise, incomplete, and inconsistent measures of regulatory stringency have hindered efforts to compare these regulations and assess theories about why they change. We argue that more attention to measurement can explain seemingly contradictory findings and allow for more tractable statements of theory. To be sure, concepts of regulatory stringency interest students of both public policy and private governance, but whereas a rich public policy scholarship has emerged to measure and explain public policy change [@Green-Pedersen2007; @Hall1993; @Howlett2014], private governance scholarship gives much less attention to the concept of policy change.</w:t>
      </w:r>
    </w:p>
    <w:p w14:paraId="320305CE" w14:textId="77777777" w:rsidR="008704D4" w:rsidRDefault="008704D4" w:rsidP="008704D4">
      <w:r>
        <w:t xml:space="preserve"> </w:t>
      </w:r>
    </w:p>
    <w:p w14:paraId="3902809C" w14:textId="77777777" w:rsidR="008704D4" w:rsidRDefault="008704D4" w:rsidP="008704D4">
      <w:r>
        <w:t xml:space="preserve">To address this gap, we build on taxonomies from the public policy literature to offer a two-part framework to describe and compare regulations over time. Part one of this framework distinguishes three types of regulatory stringency: 1) How comprehensive is the scope of issues addressed? 2) How prescriptive are the </w:t>
      </w:r>
      <w:r>
        <w:lastRenderedPageBreak/>
        <w:t xml:space="preserve">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Distinguishing among types of regulatory stringency and patterns of change leads to hypotheses that are more conceptually precise and thus more tractable for empirical testing than those advanced by extant literature. </w:t>
      </w:r>
    </w:p>
    <w:p w14:paraId="300CB32B" w14:textId="77777777" w:rsidR="008704D4" w:rsidRDefault="008704D4" w:rsidP="008704D4"/>
    <w:p w14:paraId="724251EF" w14:textId="77777777" w:rsidR="008704D4" w:rsidRDefault="008704D4" w:rsidP="008704D4">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Section four applies the framework to compare competing certification programs in the U.S. forestry sector, arguably one of the most institutionalized cases of private regulation. Section five discusses the implications of our results for theory and outlines steps for future research.</w:t>
      </w:r>
    </w:p>
    <w:p w14:paraId="754E2B71" w14:textId="77777777" w:rsidR="008704D4" w:rsidRDefault="008704D4" w:rsidP="008704D4"/>
    <w:p w14:paraId="52E5845D" w14:textId="77777777" w:rsidR="008704D4" w:rsidRDefault="008704D4" w:rsidP="008704D4">
      <w:r>
        <w:t xml:space="preserve"># Regulatory stringency </w:t>
      </w:r>
    </w:p>
    <w:p w14:paraId="4A13B66E" w14:textId="77777777" w:rsidR="008704D4" w:rsidRDefault="008704D4" w:rsidP="008704D4">
      <w:r>
        <w:t xml:space="preserve">Measuring regulatory stringency is often necessary to assess how activist campaigns, market forces, and competition among programs shape policy content (i.e., regulatory requirements as the dependent variable), and likewise, to assess how policy content shapes activist support, market adoption, impact, and how other programs respond (i.e., regulatory requirements as the explanatory variable). </w:t>
      </w:r>
    </w:p>
    <w:p w14:paraId="714A8136" w14:textId="77777777" w:rsidR="008704D4" w:rsidRDefault="008704D4" w:rsidP="008704D4"/>
    <w:p w14:paraId="524BD9FF" w14:textId="77777777" w:rsidR="008704D4" w:rsidRDefault="008704D4" w:rsidP="008704D4">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Perceived stringency may increase market demand for certified products [@Atkinson2014], </w:t>
      </w:r>
      <w:proofErr w:type="gramStart"/>
      <w:r>
        <w:t>but  finds</w:t>
      </w:r>
      <w:proofErr w:type="gramEnd"/>
      <w:r>
        <w:t xml:space="preserve"> may also reduces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42F6DC56" w14:textId="77777777" w:rsidR="008704D4" w:rsidRDefault="008704D4" w:rsidP="008704D4"/>
    <w:p w14:paraId="136F9AC6" w14:textId="77777777" w:rsidR="008704D4" w:rsidRDefault="008704D4" w:rsidP="008704D4">
      <w:r>
        <w:t xml:space="preserve">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w:t>
      </w:r>
      <w:r>
        <w:lastRenderedPageBreak/>
        <w:t>Nuanced gaps in otherwise stringent private regulations—“regulatory loopholes”—may also explain their lack of success in addressing problems like deforestation [@VanderVen2018]. Together, these studies suggest that changes in regulatory stringency *may* have a wide range of effects. Sadly, assessing them has been hampered by inadequate attention to defining and measuring stringency as an explanatory variable.</w:t>
      </w:r>
    </w:p>
    <w:p w14:paraId="3B915501" w14:textId="77777777" w:rsidR="008704D4" w:rsidRDefault="008704D4" w:rsidP="008704D4"/>
    <w:p w14:paraId="5176CE3F" w14:textId="77777777" w:rsidR="008704D4" w:rsidRDefault="008704D4" w:rsidP="008704D4">
      <w:r>
        <w:t>*Stringency as a dependent variable</w:t>
      </w:r>
      <w:proofErr w:type="gramStart"/>
      <w:r>
        <w:t>:*</w:t>
      </w:r>
      <w:proofErr w:type="gramEnd"/>
      <w:r>
        <w:t xml:space="preserve"> Regulatory stringency is also a key variable in studies of the reverse causal relationships: how ideological, economic, political, and social forces shape and constrain policy content [@Bartley2003; @Cashore2004; @Fischer2014]. </w:t>
      </w:r>
    </w:p>
    <w:p w14:paraId="55D31A48" w14:textId="77777777" w:rsidR="008704D4" w:rsidRDefault="008704D4" w:rsidP="008704D4">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1EA41C5E" w14:textId="77777777" w:rsidR="008704D4" w:rsidRDefault="008704D4" w:rsidP="008704D4"/>
    <w:p w14:paraId="18E0FE52" w14:textId="77777777" w:rsidR="008704D4" w:rsidRDefault="008704D4" w:rsidP="008704D4">
      <w:r>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0A893DCC" w14:textId="77777777" w:rsidR="008704D4" w:rsidRDefault="008704D4" w:rsidP="008704D4"/>
    <w:p w14:paraId="4E1482D1" w14:textId="77777777" w:rsidR="008704D4" w:rsidRDefault="008704D4" w:rsidP="008704D4">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03EB5F40" w14:textId="77777777" w:rsidR="008704D4" w:rsidRDefault="008704D4" w:rsidP="008704D4"/>
    <w:p w14:paraId="77B1CD20" w14:textId="77777777" w:rsidR="008704D4" w:rsidRDefault="008704D4" w:rsidP="008704D4">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ultimately be more stringent. </w:t>
      </w:r>
    </w:p>
    <w:p w14:paraId="7B172B46" w14:textId="77777777" w:rsidR="008704D4" w:rsidRDefault="008704D4" w:rsidP="008704D4"/>
    <w:p w14:paraId="42E416F0" w14:textId="77777777" w:rsidR="008704D4" w:rsidRDefault="008704D4" w:rsidP="008704D4">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4350CE6D" w14:textId="77777777" w:rsidR="008704D4" w:rsidRDefault="008704D4" w:rsidP="008704D4"/>
    <w:p w14:paraId="0E0C1241" w14:textId="77777777" w:rsidR="008704D4" w:rsidRDefault="008704D4" w:rsidP="008704D4"/>
    <w:p w14:paraId="0024F540" w14:textId="77777777" w:rsidR="008704D4" w:rsidRDefault="008704D4" w:rsidP="008704D4">
      <w:r>
        <w:t xml:space="preserve">## Concepts &amp; Measurement of Variation in Private Regulations </w:t>
      </w:r>
    </w:p>
    <w:p w14:paraId="24E13D1E" w14:textId="77777777" w:rsidR="008704D4" w:rsidRDefault="008704D4" w:rsidP="008704D4">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w:t>
      </w:r>
      <w:proofErr w:type="gramStart"/>
      <w:r>
        <w:t>@Cashore2007 call attention to variation in prescriptiveness versus flexibility, i.e., the extent to which regulations use mandatory and substantive performance thresholds.</w:t>
      </w:r>
      <w:proofErr w:type="gramEnd"/>
      <w:r>
        <w:t xml:space="preserve"> Others measure height in a relative sense, defining the “benchmark” as the higher standard [@Overdevest2005; @Overdevest2010]. Still others combine concepts of breadth and prescriptiveness into one broader notion of stringency [@Fransen2011].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many of these concepts to so narrow that they measure only a few select components of just one (see Table \</w:t>
      </w:r>
      <w:proofErr w:type="gramStart"/>
      <w:r>
        <w:t>ref{</w:t>
      </w:r>
      <w:proofErr w:type="gramEnd"/>
      <w:r>
        <w:t xml:space="preserve">review}). </w:t>
      </w:r>
    </w:p>
    <w:p w14:paraId="6FF26976" w14:textId="77777777" w:rsidR="008704D4" w:rsidRDefault="008704D4" w:rsidP="008704D4"/>
    <w:p w14:paraId="41C4B99F" w14:textId="77777777" w:rsidR="008704D4" w:rsidRDefault="008704D4" w:rsidP="008704D4">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3311D604" w14:textId="77777777" w:rsidR="008704D4" w:rsidRDefault="008704D4" w:rsidP="008704D4"/>
    <w:p w14:paraId="4E4C1558" w14:textId="77777777" w:rsidR="008704D4" w:rsidRDefault="008704D4" w:rsidP="008704D4">
      <w:r>
        <w:t>\</w:t>
      </w:r>
      <w:proofErr w:type="gramStart"/>
      <w:r>
        <w:t>input</w:t>
      </w:r>
      <w:proofErr w:type="gramEnd"/>
      <w:r>
        <w:t>{review}</w:t>
      </w:r>
    </w:p>
    <w:p w14:paraId="57DBAC28" w14:textId="77777777" w:rsidR="008704D4" w:rsidRDefault="008704D4" w:rsidP="008704D4"/>
    <w:p w14:paraId="2168568C" w14:textId="77777777" w:rsidR="008704D4" w:rsidRDefault="008704D4" w:rsidP="008704D4">
      <w:r>
        <w:t xml:space="preserve">In the absence of consistent measures of regulatory stringency, scholars have turned to proxy measures.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ACCEE6F" w14:textId="77777777" w:rsidR="008704D4" w:rsidRDefault="008704D4" w:rsidP="008704D4"/>
    <w:p w14:paraId="62E3ED4B" w14:textId="77777777" w:rsidR="008704D4" w:rsidRDefault="008704D4" w:rsidP="008704D4">
      <w:r>
        <w:t>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However, this is due to differences in measurement; Cashore et al. focus on the substantive prescriptiveness of regulations governing operations, while van der Ven focuses on stakeholder engagement and others forms of procedural “best practices.”</w:t>
      </w:r>
    </w:p>
    <w:p w14:paraId="5D132F56" w14:textId="77777777" w:rsidR="008704D4" w:rsidRDefault="008704D4" w:rsidP="008704D4"/>
    <w:p w14:paraId="440BCEF5" w14:textId="77777777" w:rsidR="008704D4" w:rsidRDefault="008704D4" w:rsidP="008704D4">
      <w:r>
        <w:t>Two common challenges have hindered efforts to identify patterns of change. First, results vary depending on the policy components studied. Even the handful of scholars who have developed direct and precise measures of stringency (the top of Table \</w:t>
      </w:r>
      <w:proofErr w:type="gramStart"/>
      <w:r>
        <w:t>ref{</w:t>
      </w:r>
      <w:proofErr w:type="gramEnd"/>
      <w:r>
        <w:t xml:space="preserve">review}) tend to only focus on a few salient policy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(plantations, chemicals, clearcuts, exotics, reserves, streamside riparian zones, and genetically modified organisms) and find large enduring differences between activist-backed and industry-backed programs. In contrast, @Overdevest2014 find that these </w:t>
      </w:r>
      <w:proofErr w:type="gramStart"/>
      <w:r>
        <w:t>same  program</w:t>
      </w:r>
      <w:proofErr w:type="gramEnd"/>
      <w:r>
        <w:t xml:space="preserve">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w:t>
      </w:r>
      <w:r>
        <w:lastRenderedPageBreak/>
        <w:t>convergence on all six. Here, different measurement strategies led to different conclusions that appear to support conflicting theories of policy change. It is entirely plausible that if Overdevest and Zeitlin had chosen Cashore et al.’s set of issues or vice versa, each might have found the opposite pattern.</w:t>
      </w:r>
    </w:p>
    <w:p w14:paraId="140F693E" w14:textId="77777777" w:rsidR="008704D4" w:rsidRDefault="008704D4" w:rsidP="008704D4"/>
    <w:p w14:paraId="2E453A01" w14:textId="77777777" w:rsidR="008704D4" w:rsidRDefault="008704D4" w:rsidP="008704D4">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 between Overdevest and Zeitlin’s study and Cashore et al.’s study is thus largely resolved by distinguishing findings about the scope of issues covered versus the prescriptiveness of regulatory requirements.  </w:t>
      </w:r>
    </w:p>
    <w:p w14:paraId="30CF00F8" w14:textId="77777777" w:rsidR="008704D4" w:rsidRDefault="008704D4" w:rsidP="008704D4"/>
    <w:p w14:paraId="10650450" w14:textId="77777777" w:rsidR="008704D4" w:rsidRDefault="008704D4" w:rsidP="008704D4">
      <w:r>
        <w:t>If selection and measurement decisions explain variation in findings, the remedy is methods that allow more systematic comparisons. We address this need by offering a framework to (1) measure three types of stringency and (2) characterize change over time.</w:t>
      </w:r>
    </w:p>
    <w:p w14:paraId="0E6318DA" w14:textId="77777777" w:rsidR="008704D4" w:rsidRDefault="008704D4" w:rsidP="008704D4"/>
    <w:p w14:paraId="0ABD27FC" w14:textId="77777777" w:rsidR="008704D4" w:rsidRDefault="008704D4" w:rsidP="008704D4">
      <w:r>
        <w:t xml:space="preserve"># A Framework to classify change in private regulations </w:t>
      </w:r>
    </w:p>
    <w:p w14:paraId="15B39849" w14:textId="77777777" w:rsidR="008704D4" w:rsidRDefault="008704D4" w:rsidP="008704D4"/>
    <w:p w14:paraId="25E5E2AA" w14:textId="77777777" w:rsidR="008704D4" w:rsidRDefault="008704D4" w:rsidP="008704D4">
      <w:r>
        <w:t>The first step for scholars who wish to make claims about stringency involves three tasks: describing policy content according to policy settings, scope, and prescriptiveness (Table \</w:t>
      </w:r>
      <w:proofErr w:type="gramStart"/>
      <w:r>
        <w:t>ref{</w:t>
      </w:r>
      <w:proofErr w:type="gramEnd"/>
      <w:r>
        <w:t>types-of-stringency}). Comparing across programs requires a second step: measuring relative stringency and change on each dimension (see Table \</w:t>
      </w:r>
      <w:proofErr w:type="gramStart"/>
      <w:r>
        <w:t>ref{</w:t>
      </w:r>
      <w:proofErr w:type="gramEnd"/>
      <w:r>
        <w:t>patterns}). First, we elaborate on step one.</w:t>
      </w:r>
    </w:p>
    <w:p w14:paraId="7F356BCC" w14:textId="77777777" w:rsidR="008704D4" w:rsidRDefault="008704D4" w:rsidP="008704D4"/>
    <w:p w14:paraId="3F755B5C" w14:textId="77777777" w:rsidR="008704D4" w:rsidRDefault="008704D4" w:rsidP="008704D4">
      <w:r>
        <w:t>## Step 1: Measuring scope, prescriptiveness, and policy settings</w:t>
      </w:r>
    </w:p>
    <w:p w14:paraId="143EA1C8" w14:textId="77777777" w:rsidR="008704D4" w:rsidRDefault="008704D4" w:rsidP="008704D4">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41D12277" w14:textId="77777777" w:rsidR="008704D4" w:rsidRDefault="008704D4" w:rsidP="008704D4"/>
    <w:p w14:paraId="0F23FA89" w14:textId="77777777" w:rsidR="008704D4" w:rsidRDefault="008704D4" w:rsidP="008704D4"/>
    <w:p w14:paraId="724F224C" w14:textId="77777777" w:rsidR="008704D4" w:rsidRDefault="008704D4" w:rsidP="008704D4"/>
    <w:p w14:paraId="60E3B737" w14:textId="77777777" w:rsidR="008704D4" w:rsidRDefault="008704D4" w:rsidP="008704D4">
      <w:r>
        <w:t>\</w:t>
      </w:r>
      <w:proofErr w:type="gramStart"/>
      <w:r>
        <w:t>input</w:t>
      </w:r>
      <w:proofErr w:type="gramEnd"/>
      <w:r>
        <w:t>{types-of-stringency}</w:t>
      </w:r>
    </w:p>
    <w:p w14:paraId="1AF8B1B1" w14:textId="77777777" w:rsidR="008704D4" w:rsidRDefault="008704D4" w:rsidP="008704D4"/>
    <w:p w14:paraId="51C59EAE" w14:textId="77777777" w:rsidR="008704D4" w:rsidRDefault="008704D4" w:rsidP="008704D4">
      <w:r>
        <w:t>*Scope</w:t>
      </w:r>
      <w:proofErr w:type="gramStart"/>
      <w:r>
        <w:t>:*</w:t>
      </w:r>
      <w:proofErr w:type="gramEnd"/>
      <w:r>
        <w:t xml:space="preserve"> Given the differences within and across programs,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issues</w:t>
      </w:r>
      <w:proofErr w:type="gramStart"/>
      <w:r>
        <w:t>.^</w:t>
      </w:r>
      <w:proofErr w:type="gramEnd"/>
      <w:r>
        <w:t xml:space="preserve">[While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 </w:t>
      </w:r>
    </w:p>
    <w:p w14:paraId="256548B6" w14:textId="77777777" w:rsidR="008704D4" w:rsidRDefault="008704D4" w:rsidP="008704D4">
      <w:r>
        <w:t>With the measurement concept of issue scope, one can assess a regulation’s absolute requirements (i.e., how many key issues it addresses)</w:t>
      </w:r>
      <w:proofErr w:type="gramStart"/>
      <w:r>
        <w:t>;</w:t>
      </w:r>
      <w:proofErr w:type="gramEnd"/>
      <w:r>
        <w:t xml:space="preserve"> its relative requirements (i.e., how many more or fewer issues does it it address than its competitor), and in change over time (i.e. how many changes occurred between time 1 and time 2).</w:t>
      </w:r>
    </w:p>
    <w:p w14:paraId="39A33D3E" w14:textId="77777777" w:rsidR="008704D4" w:rsidRDefault="008704D4" w:rsidP="008704D4"/>
    <w:p w14:paraId="4671462B" w14:textId="77777777" w:rsidR="008704D4" w:rsidRDefault="008704D4" w:rsidP="008704D4">
      <w:r>
        <w:t>*Prescriptiveness</w:t>
      </w:r>
      <w:proofErr w:type="gramStart"/>
      <w:r>
        <w:t>:*</w:t>
      </w:r>
      <w:proofErr w:type="gramEnd"/>
      <w:r>
        <w:t xml:space="preserve"> Second, we measure the extent to which each requirement is prescriptive, i.e., has substantive and mandatory features such as performance thresholds (see Table \ref{prescriptiveness} adapted from @Cashore2007). In forestry, thresholds include the maximum size of permitted clearcuts or minimum size of buffer zones around streams. Because "prescriptive versus flexible" refers to how each issue is addressed (whether a regulation has mandatory thresholds), not the ends of the policy (the levels of those thresholds), we can compare prescriptiveness across substantive requirements. </w:t>
      </w:r>
    </w:p>
    <w:p w14:paraId="029DC6E0" w14:textId="77777777" w:rsidR="008704D4" w:rsidRDefault="008704D4" w:rsidP="008704D4"/>
    <w:p w14:paraId="79E33E63" w14:textId="77777777" w:rsidR="008704D4" w:rsidRDefault="008704D4" w:rsidP="008704D4">
      <w:r>
        <w:t xml:space="preserve">Prescriptiveness is a continuum. </w:t>
      </w:r>
      <w:proofErr w:type="gramStart"/>
      <w:r>
        <w:t>Discretionary guidelines, practices, processes</w:t>
      </w:r>
      <w:proofErr w:type="gramEnd"/>
      <w:r>
        <w:t xml:space="preserve">,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to mandatory performance thresholds, even mandatory requirements to follow local “best management practices” are less prescriptive because these practices may not include substantive requirements. </w:t>
      </w:r>
    </w:p>
    <w:p w14:paraId="1DDD52F5" w14:textId="77777777" w:rsidR="008704D4" w:rsidRDefault="008704D4" w:rsidP="008704D4"/>
    <w:p w14:paraId="4EC43647" w14:textId="77777777" w:rsidR="008704D4" w:rsidRDefault="008704D4" w:rsidP="008704D4">
      <w:r>
        <w:t xml:space="preserve">On each issue, our framework identifies both absolute and relative measures of prescriptiveness. This leads to three possibilities: “no prescriptive requirements” or “some prescriptive requirements”—and then, if the latter, whether they are “most prescriptive” (requiring as much as or more than any other regulation). Coding prescriptiveness across issues creates an additional measure of policy scope: how </w:t>
      </w:r>
      <w:r>
        <w:lastRenderedPageBreak/>
        <w:t>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58632140" w14:textId="77777777" w:rsidR="008704D4" w:rsidRDefault="008704D4" w:rsidP="008704D4"/>
    <w:p w14:paraId="6DFF7DD2" w14:textId="77777777" w:rsidR="008704D4" w:rsidRDefault="008704D4" w:rsidP="008704D4">
      <w:r>
        <w:t>\</w:t>
      </w:r>
      <w:proofErr w:type="gramStart"/>
      <w:r>
        <w:t>input</w:t>
      </w:r>
      <w:proofErr w:type="gramEnd"/>
      <w:r>
        <w:t>{prescriptiveness}</w:t>
      </w:r>
    </w:p>
    <w:p w14:paraId="7D8ADEDE" w14:textId="77777777" w:rsidR="008704D4" w:rsidRDefault="008704D4" w:rsidP="008704D4"/>
    <w:p w14:paraId="5394D4F9" w14:textId="77777777" w:rsidR="008704D4" w:rsidRDefault="008704D4" w:rsidP="008704D4">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0FBB24B5" w14:textId="77777777" w:rsidR="008704D4" w:rsidRDefault="008704D4" w:rsidP="008704D4"/>
    <w:p w14:paraId="197BFBD6" w14:textId="77777777" w:rsidR="008704D4" w:rsidRDefault="008704D4" w:rsidP="008704D4">
      <w:r>
        <w:t xml:space="preserve">At its most stylized, step one, comparing two hypothetical programs (A and B) in a policy space with two issues (Hazardous Chemicals and Worker Training) might look like this: A researcher examines regulations in this policy area and inductively identifies a total of two issues. Both programs have some prescriptive requirements on both issues, so they are equal in 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Program </w:t>
      </w:r>
      <w:proofErr w:type="gramStart"/>
      <w:r>
        <w:t>A</w:t>
      </w:r>
      <w:proofErr w:type="gramEnd"/>
      <w:r>
        <w:t xml:space="preserve"> focusing on ecologically harmful chemicals and program B targeting those most harmful to humans, so the researcher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possibly due to being more </w:t>
      </w:r>
      <w:r>
        <w:lastRenderedPageBreak/>
        <w:t>influenced by environmental activists. In contrast, program B is more focused on worker safety, possibly to reduce the risk that worker injuries at one firm will impose reputational or regulatory costs for the whole industry.</w:t>
      </w:r>
    </w:p>
    <w:p w14:paraId="4479108A" w14:textId="77777777" w:rsidR="008704D4" w:rsidRDefault="008704D4" w:rsidP="008704D4"/>
    <w:p w14:paraId="737C6921" w14:textId="77777777" w:rsidR="008704D4" w:rsidRDefault="008704D4" w:rsidP="008704D4">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06D9FF84" w14:textId="77777777" w:rsidR="008704D4" w:rsidRDefault="008704D4" w:rsidP="008704D4"/>
    <w:p w14:paraId="742C2D69" w14:textId="77777777" w:rsidR="008704D4" w:rsidRDefault="008704D4" w:rsidP="008704D4">
      <w:r>
        <w:t>## Step 2: Classifying Patterns of Change</w:t>
      </w:r>
    </w:p>
    <w:p w14:paraId="5DD719C4" w14:textId="77777777" w:rsidR="008704D4" w:rsidRDefault="008704D4" w:rsidP="008704D4">
      <w:r>
        <w:t>Building on @Baumgartner2002 and @Howlett2007, we also emphasize the importance of the direction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 and, in relative terms, regulations may be converging, in equilibrium, or diverging on each dimension over any given period (Table \</w:t>
      </w:r>
      <w:proofErr w:type="gramStart"/>
      <w:r>
        <w:t>ref{</w:t>
      </w:r>
      <w:proofErr w:type="gramEnd"/>
      <w:r>
        <w:t>patterns}). Thus, in aggregate, nine relationships fully capture the possible dynamics for each dimension of change.  All of the theories about regulatory stringency from Table \</w:t>
      </w:r>
      <w:proofErr w:type="gramStart"/>
      <w:r>
        <w:t>ref{</w:t>
      </w:r>
      <w:proofErr w:type="gramEnd"/>
      <w:r>
        <w:t>review} should be able to be expressed in terms of the dimension(s) to which the theory applies, the absolute directions of change they predict, and relative relationships they anticipate.</w:t>
      </w:r>
    </w:p>
    <w:p w14:paraId="20046187" w14:textId="77777777" w:rsidR="008704D4" w:rsidRDefault="008704D4" w:rsidP="008704D4"/>
    <w:p w14:paraId="631E2C0B" w14:textId="77777777" w:rsidR="008704D4" w:rsidRDefault="008704D4" w:rsidP="008704D4">
      <w:r>
        <w:t>\</w:t>
      </w:r>
      <w:proofErr w:type="gramStart"/>
      <w:r>
        <w:t>input</w:t>
      </w:r>
      <w:proofErr w:type="gramEnd"/>
      <w:r>
        <w:t>{patterns}</w:t>
      </w:r>
    </w:p>
    <w:p w14:paraId="178C7E16" w14:textId="77777777" w:rsidR="008704D4" w:rsidRDefault="008704D4" w:rsidP="008704D4"/>
    <w:p w14:paraId="03CDCE8A" w14:textId="77777777" w:rsidR="008704D4" w:rsidRDefault="008704D4" w:rsidP="008704D4">
      <w:r>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one satisfies these five criteria and step two goes on to classify relative change over time.</w:t>
      </w:r>
    </w:p>
    <w:p w14:paraId="09792E9F" w14:textId="77777777" w:rsidR="008704D4" w:rsidRDefault="008704D4" w:rsidP="008704D4"/>
    <w:p w14:paraId="08FE3CDE" w14:textId="77777777" w:rsidR="008704D4" w:rsidRDefault="008704D4" w:rsidP="008704D4">
      <w:r>
        <w:t>## Theorizing in terms of scope, prescriptiveness, and policy settings</w:t>
      </w:r>
    </w:p>
    <w:p w14:paraId="1C71BF7B" w14:textId="77777777" w:rsidR="008704D4" w:rsidRDefault="008704D4" w:rsidP="008704D4">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w:t>
      </w:r>
      <w:r>
        <w:lastRenderedPageBreak/>
        <w:t xml:space="preserve">vast literature in light of our methodological critique, but, for illustrative purposes, we offer examples of such a restatement for hypotheses rooted in compliance cost and differentiation. </w:t>
      </w:r>
    </w:p>
    <w:p w14:paraId="52CB9950" w14:textId="77777777" w:rsidR="008704D4" w:rsidRDefault="008704D4" w:rsidP="008704D4"/>
    <w:p w14:paraId="67C584C7" w14:textId="77777777" w:rsidR="008704D4" w:rsidRDefault="008704D4" w:rsidP="008704D4">
      <w:r>
        <w:t>*Compliance costs and competition</w:t>
      </w:r>
      <w:proofErr w:type="gramStart"/>
      <w:r>
        <w:t>:*</w:t>
      </w:r>
      <w:proofErr w:type="gramEnd"/>
      <w:r>
        <w:t xml:space="preserve"> By breaking down stringency into three distinct dimensions, we expand on two related propositions: (1) Compliance costs cause competing programs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 Specifically,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1F83A3A8" w14:textId="77777777" w:rsidR="008704D4" w:rsidRDefault="008704D4" w:rsidP="008704D4"/>
    <w:p w14:paraId="182A23F3" w14:textId="77777777" w:rsidR="008704D4" w:rsidRDefault="008704D4" w:rsidP="008704D4">
      <w:r>
        <w:t>*Revised compliance cost hypotheses</w:t>
      </w:r>
      <w:proofErr w:type="gramStart"/>
      <w:r>
        <w:t>:*</w:t>
      </w:r>
      <w:proofErr w:type="gramEnd"/>
      <w:r>
        <w:t xml:space="preserve"> If broadening scope is low-cost for firms but increasing prescriptiveness and performance levels are high-cost,</w:t>
      </w:r>
    </w:p>
    <w:p w14:paraId="23B1D26F" w14:textId="77777777" w:rsidR="008704D4" w:rsidRDefault="008704D4" w:rsidP="008704D4"/>
    <w:p w14:paraId="77E2A5CB" w14:textId="77777777" w:rsidR="008704D4" w:rsidRDefault="008704D4" w:rsidP="008704D4">
      <w:r>
        <w:t>&gt;**H1.1</w:t>
      </w:r>
      <w:proofErr w:type="gramStart"/>
      <w:r>
        <w:t>:*</w:t>
      </w:r>
      <w:proofErr w:type="gramEnd"/>
      <w:r>
        <w:t>* An industry-backed regulation will be more similar to an activist-backed regulation in scope than in prescriptiveness or performance levels.</w:t>
      </w:r>
    </w:p>
    <w:p w14:paraId="4CFF42CC" w14:textId="77777777" w:rsidR="008704D4" w:rsidRDefault="008704D4" w:rsidP="008704D4"/>
    <w:p w14:paraId="77B2753B" w14:textId="77777777" w:rsidR="008704D4" w:rsidRDefault="008704D4" w:rsidP="008704D4">
      <w:r>
        <w:t>&gt;**H1.2</w:t>
      </w:r>
      <w:proofErr w:type="gramStart"/>
      <w:r>
        <w:t>:*</w:t>
      </w:r>
      <w:proofErr w:type="gramEnd"/>
      <w:r>
        <w:t>* An industry-backed regulation will be more likely to respond to changes in an activist backed regulation by converging in scope than in prescriptiveness or performance levels.</w:t>
      </w:r>
    </w:p>
    <w:p w14:paraId="14485292" w14:textId="77777777" w:rsidR="008704D4" w:rsidRDefault="008704D4" w:rsidP="008704D4"/>
    <w:p w14:paraId="35946183" w14:textId="77777777" w:rsidR="008704D4" w:rsidRDefault="008704D4" w:rsidP="008704D4">
      <w:r>
        <w:t>*Differentiation</w:t>
      </w:r>
      <w:proofErr w:type="gramStart"/>
      <w:r>
        <w:t>:*</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186DBA74" w14:textId="77777777" w:rsidR="008704D4" w:rsidRDefault="008704D4" w:rsidP="008704D4"/>
    <w:p w14:paraId="4496C224" w14:textId="77777777" w:rsidR="008704D4" w:rsidRDefault="008704D4" w:rsidP="008704D4">
      <w:r>
        <w:t xml:space="preserve">Specifically, we expect that the relative stringency of an industry-backed program on a given issue will depend on whether the requirements results in net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between programs to be larger on issues where compliance costs are relatively higher or </w:t>
      </w:r>
      <w:proofErr w:type="gramStart"/>
      <w:r>
        <w:t>where  industry</w:t>
      </w:r>
      <w:proofErr w:type="gramEnd"/>
      <w:r>
        <w:t xml:space="preserve">-backed programs </w:t>
      </w:r>
      <w:r>
        <w:lastRenderedPageBreak/>
        <w:t>can more easily foster an impression of stringency without imposing costly requirements.</w:t>
      </w:r>
    </w:p>
    <w:p w14:paraId="66A2BC49" w14:textId="77777777" w:rsidR="008704D4" w:rsidRDefault="008704D4" w:rsidP="008704D4"/>
    <w:p w14:paraId="0C1E3B3A" w14:textId="77777777" w:rsidR="008704D4" w:rsidRDefault="008704D4" w:rsidP="008704D4">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or firms that have net benefits but that requires a coordinating institution. Like industry associations,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7ED2D976" w14:textId="77777777" w:rsidR="008704D4" w:rsidRDefault="008704D4" w:rsidP="008704D4"/>
    <w:p w14:paraId="79ED8950" w14:textId="77777777" w:rsidR="008704D4" w:rsidRDefault="008704D4" w:rsidP="008704D4">
      <w:r>
        <w:t>*Revised differentiation hypotheses</w:t>
      </w:r>
      <w:proofErr w:type="gramStart"/>
      <w:r>
        <w:t>:*</w:t>
      </w:r>
      <w:proofErr w:type="gramEnd"/>
      <w:r>
        <w:t xml:space="preserve"> Where activist-backed and industry-backed private regulations compete, </w:t>
      </w:r>
    </w:p>
    <w:p w14:paraId="28B9AF3C" w14:textId="77777777" w:rsidR="008704D4" w:rsidRDefault="008704D4" w:rsidP="008704D4"/>
    <w:p w14:paraId="76845D4C" w14:textId="77777777" w:rsidR="008704D4" w:rsidRDefault="008704D4" w:rsidP="008704D4">
      <w:r>
        <w:t>&gt;**H2.1</w:t>
      </w:r>
      <w:proofErr w:type="gramStart"/>
      <w:r>
        <w:t>:*</w:t>
      </w:r>
      <w:proofErr w:type="gramEnd"/>
      <w:r>
        <w:t xml:space="preserve">* Activist-backed regulations will have more comprehensive coverage, more prescriptive requirements, and higher performance thresholds on costly issues. </w:t>
      </w:r>
    </w:p>
    <w:p w14:paraId="4EFC17E8" w14:textId="77777777" w:rsidR="008704D4" w:rsidRDefault="008704D4" w:rsidP="008704D4"/>
    <w:p w14:paraId="382DFD51" w14:textId="77777777" w:rsidR="008704D4" w:rsidRDefault="008704D4" w:rsidP="008704D4">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575BE4B1" w14:textId="77777777" w:rsidR="008704D4" w:rsidRDefault="008704D4" w:rsidP="008704D4"/>
    <w:p w14:paraId="7B613316" w14:textId="77777777" w:rsidR="008704D4" w:rsidRDefault="008704D4" w:rsidP="008704D4">
      <w:r>
        <w:t>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5AF1DC8F" w14:textId="77777777" w:rsidR="008704D4" w:rsidRDefault="008704D4" w:rsidP="008704D4"/>
    <w:p w14:paraId="0BA746AC" w14:textId="77777777" w:rsidR="008704D4" w:rsidRDefault="008704D4" w:rsidP="008704D4">
      <w:r>
        <w:t># Competing US Forest Certification Programs</w:t>
      </w:r>
    </w:p>
    <w:p w14:paraId="2B4EFD77" w14:textId="77777777" w:rsidR="008704D4" w:rsidRDefault="008704D4" w:rsidP="008704D4">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w:t>
      </w:r>
      <w:r>
        <w:lastRenderedPageBreak/>
        <w:t xml:space="preserve">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105E94ED" w14:textId="77777777" w:rsidR="008704D4" w:rsidRDefault="008704D4" w:rsidP="008704D4"/>
    <w:p w14:paraId="178401A5" w14:textId="77777777" w:rsidR="008704D4" w:rsidRDefault="008704D4" w:rsidP="008704D4">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3E3FDD99" w14:textId="77777777" w:rsidR="008704D4" w:rsidRDefault="008704D4" w:rsidP="008704D4"/>
    <w:p w14:paraId="33251B70" w14:textId="77777777" w:rsidR="008704D4" w:rsidRDefault="008704D4" w:rsidP="008704D4">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319A5DE6" w14:textId="77777777" w:rsidR="008704D4" w:rsidRDefault="008704D4" w:rsidP="008704D4"/>
    <w:p w14:paraId="0A10FB9A" w14:textId="77777777" w:rsidR="008704D4" w:rsidRDefault="008704D4" w:rsidP="008704D4">
      <w:proofErr w:type="gramStart"/>
      <w:r>
        <w:t>![</w:t>
      </w:r>
      <w:proofErr w:type="gramEnd"/>
      <w:r>
        <w:t>U.S. Timberland by ownership and certification scheme](acres-1.png)</w:t>
      </w:r>
    </w:p>
    <w:p w14:paraId="4890FB84" w14:textId="77777777" w:rsidR="008704D4" w:rsidRDefault="008704D4" w:rsidP="008704D4"/>
    <w:p w14:paraId="7D0DD61C" w14:textId="77777777" w:rsidR="008704D4" w:rsidRDefault="008704D4" w:rsidP="008704D4">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16DBE43D" w14:textId="77777777" w:rsidR="008704D4" w:rsidRDefault="008704D4" w:rsidP="008704D4"/>
    <w:p w14:paraId="0CCFB993" w14:textId="77777777" w:rsidR="008704D4" w:rsidRDefault="008704D4" w:rsidP="008704D4">
      <w:r>
        <w:t>*Origin of the SFI</w:t>
      </w:r>
      <w:proofErr w:type="gramStart"/>
      <w:r>
        <w:t>:*</w:t>
      </w:r>
      <w:proofErr w:type="gramEnd"/>
      <w: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Certification (PEFC). The PEFC maintains a set of Sustainable Forest Management </w:t>
      </w:r>
      <w:r>
        <w:lastRenderedPageBreak/>
        <w:t>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by some measures, less stringent requirements than PEFC benchmarks.</w:t>
      </w:r>
    </w:p>
    <w:p w14:paraId="180F05D6" w14:textId="77777777" w:rsidR="008704D4" w:rsidRDefault="008704D4" w:rsidP="008704D4"/>
    <w:p w14:paraId="135F9685" w14:textId="77777777" w:rsidR="008704D4" w:rsidRDefault="008704D4" w:rsidP="008704D4">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51E337F" w14:textId="77777777" w:rsidR="008704D4" w:rsidRDefault="008704D4" w:rsidP="008704D4"/>
    <w:p w14:paraId="02AA7E69" w14:textId="77777777" w:rsidR="008704D4" w:rsidRDefault="008704D4" w:rsidP="008704D4">
      <w:r>
        <w:t>## Scope, prescriptiveness, and policy settings in forestry</w:t>
      </w:r>
    </w:p>
    <w:p w14:paraId="61C02B81" w14:textId="77777777" w:rsidR="008704D4" w:rsidRDefault="008704D4" w:rsidP="008704D4">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2451D7E6" w14:textId="77777777" w:rsidR="008704D4" w:rsidRDefault="008704D4" w:rsidP="008704D4"/>
    <w:p w14:paraId="72D44979" w14:textId="77777777" w:rsidR="008704D4" w:rsidRDefault="008704D4" w:rsidP="008704D4">
      <w: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t>quality,</w:t>
      </w:r>
      <w:proofErr w:type="gramEnd"/>
      <w:r>
        <w:t xml:space="preserve"> the option to merely “maintain” means that there is no mandatory requirement to “enhance” water quality. </w:t>
      </w:r>
    </w:p>
    <w:p w14:paraId="5513ACA1" w14:textId="77777777" w:rsidR="008704D4" w:rsidRDefault="008704D4" w:rsidP="008704D4"/>
    <w:p w14:paraId="6ED27820" w14:textId="77777777" w:rsidR="008704D4" w:rsidRDefault="008704D4" w:rsidP="008704D4">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1B574316" w14:textId="77777777" w:rsidR="008704D4" w:rsidRDefault="008704D4" w:rsidP="008704D4"/>
    <w:p w14:paraId="7DB56659" w14:textId="77777777" w:rsidR="008704D4" w:rsidRDefault="008704D4" w:rsidP="008704D4">
      <w:r>
        <w:t>## Results</w:t>
      </w:r>
    </w:p>
    <w:p w14:paraId="33246FDA" w14:textId="77777777" w:rsidR="008704D4" w:rsidRDefault="008704D4" w:rsidP="008704D4">
      <w:r>
        <w:lastRenderedPageBreak/>
        <w:t>Here we compare each standard to its previous version and the contemporary version from its competitor. We assess revisions in the FSC- International’s 2012 Revised Principles and Criteria 01-001 Version 5-0 (FSC–P&amp;C) and compare them to revisions in the PEFC’s Sustainable Forest Management Standards 1003:2010. Similarly, we compare the 2010 FSC-U.S. Forest Management Standard Version 1.0 to the FSC-US National Indicators and regional standards it replaced and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online appendix).</w:t>
      </w:r>
    </w:p>
    <w:p w14:paraId="17E3BA11" w14:textId="77777777" w:rsidR="008704D4" w:rsidRDefault="008704D4" w:rsidP="008704D4"/>
    <w:p w14:paraId="1665D6AD" w14:textId="77777777" w:rsidR="008704D4" w:rsidRDefault="008704D4" w:rsidP="008704D4">
      <w:r>
        <w:t>### Comparing FSC’s and PEFC’s international requirements</w:t>
      </w:r>
    </w:p>
    <w:p w14:paraId="5BE95CAC" w14:textId="77777777" w:rsidR="008704D4" w:rsidRDefault="008704D4" w:rsidP="008704D4">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2952AAC" w14:textId="77777777" w:rsidR="008704D4" w:rsidRDefault="008704D4" w:rsidP="008704D4"/>
    <w:p w14:paraId="4F92C972" w14:textId="77777777" w:rsidR="008704D4" w:rsidRDefault="008704D4" w:rsidP="008704D4">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w:t>
      </w:r>
    </w:p>
    <w:p w14:paraId="4D4706C3" w14:textId="77777777" w:rsidR="008704D4" w:rsidRDefault="008704D4" w:rsidP="008704D4"/>
    <w:p w14:paraId="38DB3358" w14:textId="77777777" w:rsidR="008704D4" w:rsidRDefault="008704D4" w:rsidP="008704D4">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4C4D7BE7" w14:textId="77777777" w:rsidR="008704D4" w:rsidRDefault="008704D4" w:rsidP="008704D4"/>
    <w:p w14:paraId="53972AF4" w14:textId="77777777" w:rsidR="008704D4" w:rsidRDefault="008704D4" w:rsidP="008704D4">
      <w:proofErr w:type="gramStart"/>
      <w:r>
        <w:t>![</w:t>
      </w:r>
      <w:proofErr w:type="gramEnd"/>
      <w:r>
        <w:t>Scope and Prescriptiveness of FSC P&amp;C and PEFC 2008-2015](FSC-PEFC-1.png)</w:t>
      </w:r>
    </w:p>
    <w:p w14:paraId="6957AAE7" w14:textId="77777777" w:rsidR="008704D4" w:rsidRDefault="008704D4" w:rsidP="008704D4"/>
    <w:p w14:paraId="63445F12" w14:textId="77777777" w:rsidR="008704D4" w:rsidRDefault="008704D4" w:rsidP="008704D4">
      <w:r>
        <w:t>*Policy settings</w:t>
      </w:r>
      <w:proofErr w:type="gramStart"/>
      <w:r>
        <w:t>:*</w:t>
      </w:r>
      <w:proofErr w:type="gramEnd"/>
      <w:r>
        <w:t xml:space="preserve"> One particularly controversial issue is the conversion of natural forests to timber plantations. Both programs permit certification of natural forest converted to plantation forestry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510018BE" w14:textId="77777777" w:rsidR="008704D4" w:rsidRDefault="008704D4" w:rsidP="008704D4"/>
    <w:p w14:paraId="0BC21DBF" w14:textId="77777777" w:rsidR="008704D4" w:rsidRDefault="008704D4" w:rsidP="008704D4">
      <w:r>
        <w:t xml:space="preserve">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are more prescriptive, defining topics on which forest managers must consult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regarding “local people and other stakeholders” are the </w:t>
      </w:r>
      <w:proofErr w:type="gramStart"/>
      <w:r>
        <w:t>same.</w:t>
      </w:r>
      <w:proofErr w:type="gramEnd"/>
    </w:p>
    <w:p w14:paraId="30FBF15E" w14:textId="77777777" w:rsidR="008704D4" w:rsidRDefault="008704D4" w:rsidP="008704D4"/>
    <w:p w14:paraId="4C6779D7" w14:textId="77777777" w:rsidR="008704D4" w:rsidRDefault="008704D4" w:rsidP="008704D4">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38BA0D04" w14:textId="77777777" w:rsidR="008704D4" w:rsidRDefault="008704D4" w:rsidP="008704D4"/>
    <w:p w14:paraId="5492191C" w14:textId="77777777" w:rsidR="008704D4" w:rsidRDefault="008704D4" w:rsidP="008704D4">
      <w:r>
        <w:t>*Summary</w:t>
      </w:r>
      <w:proofErr w:type="gramStart"/>
      <w:r>
        <w:t>:*</w:t>
      </w:r>
      <w:proofErr w:type="gramEnd"/>
      <w:r>
        <w:t xml:space="preserve"> Overall, while the PEFC added more requirements concerning indigenous rights and labor standards and came to cover a similar scope of issues to </w:t>
      </w:r>
      <w:r>
        <w:lastRenderedPageBreak/>
        <w:t xml:space="preserve">the FSC P&amp;C, the FSC-P&amp;C remained more prescriptive on social issues and significantly more prescriptive on ecological issues. Compared to the prescriptiveness </w:t>
      </w:r>
      <w:proofErr w:type="gramStart"/>
      <w:r>
        <w:t>of</w:t>
      </w:r>
      <w:proofErr w:type="gramEnd"/>
      <w:r>
        <w:t xml:space="preserve"> the FSC-US and SFI described below, the FSC–P&amp;C and PEFC requirements exhibited more convergence on both scope and prescriptiveness (compare Figures 3 and 4) though many differences in policy settings remained.</w:t>
      </w:r>
    </w:p>
    <w:p w14:paraId="03DA2C08" w14:textId="77777777" w:rsidR="008704D4" w:rsidRDefault="008704D4" w:rsidP="008704D4"/>
    <w:p w14:paraId="63D7CEC0" w14:textId="77777777" w:rsidR="008704D4" w:rsidRDefault="008704D4" w:rsidP="008704D4">
      <w:r>
        <w:t>### Comparing the FSC-US and SFI</w:t>
      </w:r>
    </w:p>
    <w:p w14:paraId="69237D28" w14:textId="77777777" w:rsidR="008704D4" w:rsidRDefault="008704D4" w:rsidP="008704D4">
      <w:r>
        <w:t>*Scope</w:t>
      </w:r>
      <w:proofErr w:type="gramStart"/>
      <w:r>
        <w:t>:*</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11854678" w14:textId="77777777" w:rsidR="008704D4" w:rsidRDefault="008704D4" w:rsidP="008704D4"/>
    <w:p w14:paraId="40ED2264" w14:textId="77777777" w:rsidR="008704D4" w:rsidRDefault="008704D4" w:rsidP="008704D4">
      <w:r>
        <w:t>*Prescriptiveness</w:t>
      </w:r>
      <w:proofErr w:type="gramStart"/>
      <w:r>
        <w:t>:*</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44D2407" w14:textId="77777777" w:rsidR="008704D4" w:rsidRDefault="008704D4" w:rsidP="008704D4"/>
    <w:p w14:paraId="7E6C083E" w14:textId="77777777" w:rsidR="008704D4" w:rsidRDefault="008704D4" w:rsidP="008704D4">
      <w:r>
        <w:t>Counting changes made to the FSC-US and SFI standards between 2008 and 2016 reveals an “upward diverging” pattern, where the FSC-US became more prescriptive than did the SFI  (the bottom panel of Figure 3). Of 48 key issues, the FSC-US became more prescriptive on 20, whereas SFI became more prescriptive on 12 (eight in 2010, one more in 2013, and three more in 2015).</w:t>
      </w:r>
    </w:p>
    <w:p w14:paraId="11851B5A" w14:textId="77777777" w:rsidR="008704D4" w:rsidRDefault="008704D4" w:rsidP="008704D4"/>
    <w:p w14:paraId="3A7703AB" w14:textId="77777777" w:rsidR="008704D4" w:rsidRDefault="008704D4" w:rsidP="008704D4">
      <w:proofErr w:type="gramStart"/>
      <w:r>
        <w:t>![</w:t>
      </w:r>
      <w:proofErr w:type="gramEnd"/>
      <w:r>
        <w:t>Scope and Prescriptiveness of FSC-US and SFI 2008-2016](FSC-SFI-1.png)</w:t>
      </w:r>
    </w:p>
    <w:p w14:paraId="02D484E7" w14:textId="77777777" w:rsidR="008704D4" w:rsidRDefault="008704D4" w:rsidP="008704D4"/>
    <w:p w14:paraId="2DFB33DD" w14:textId="77777777" w:rsidR="008704D4" w:rsidRDefault="008704D4" w:rsidP="008704D4">
      <w:r>
        <w:t>*Policy Settings</w:t>
      </w:r>
      <w:proofErr w:type="gramStart"/>
      <w:r>
        <w:t>:*</w:t>
      </w:r>
      <w:proofErr w:type="gramEnd"/>
      <w:r>
        <w:t xml:space="preserve"> Issues such as clearcut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r>
        <w:lastRenderedPageBreak/>
        <w:t xml:space="preserve">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The FSC-US also limits harvesting with 20 percent tree retention to a 100-acre average and 80-acre maximum, with further restrictions based on region and forest type (Figure 4). </w:t>
      </w:r>
    </w:p>
    <w:p w14:paraId="190163A1" w14:textId="77777777" w:rsidR="008704D4" w:rsidRDefault="008704D4" w:rsidP="008704D4"/>
    <w:p w14:paraId="6557E6C3" w14:textId="77777777" w:rsidR="008704D4" w:rsidRDefault="008704D4" w:rsidP="008704D4">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w:t>
      </w:r>
      <w:proofErr w:type="gramStart"/>
      <w:r>
        <w:t>ref{</w:t>
      </w:r>
      <w:proofErr w:type="gramEnd"/>
      <w:r>
        <w:t>issues}).</w:t>
      </w:r>
    </w:p>
    <w:p w14:paraId="783CA76B" w14:textId="77777777" w:rsidR="008704D4" w:rsidRDefault="008704D4" w:rsidP="008704D4"/>
    <w:p w14:paraId="49EFB93E" w14:textId="77777777" w:rsidR="008704D4" w:rsidRDefault="008704D4" w:rsidP="008704D4">
      <w:proofErr w:type="gramStart"/>
      <w:r>
        <w:t>![</w:t>
      </w:r>
      <w:proofErr w:type="gramEnd"/>
      <w:r>
        <w:t>Limits on Clearcut Size\label{clearcuts}](clearcuts-1.png)</w:t>
      </w:r>
    </w:p>
    <w:p w14:paraId="0CA265A7" w14:textId="77777777" w:rsidR="008704D4" w:rsidRDefault="008704D4" w:rsidP="008704D4"/>
    <w:p w14:paraId="4D22813F" w14:textId="77777777" w:rsidR="008704D4" w:rsidRDefault="008704D4" w:rsidP="008704D4">
      <w:proofErr w:type="gramStart"/>
      <w:r>
        <w:t>![</w:t>
      </w:r>
      <w:proofErr w:type="gramEnd"/>
      <w:r>
        <w:t>Limits on Harvesting Near Streams\label{riparian}](riparian-1.png)</w:t>
      </w:r>
    </w:p>
    <w:p w14:paraId="3FC535F6" w14:textId="77777777" w:rsidR="008704D4" w:rsidRDefault="008704D4" w:rsidP="008704D4"/>
    <w:p w14:paraId="0BB403AC" w14:textId="77777777" w:rsidR="008704D4" w:rsidRDefault="008704D4" w:rsidP="008704D4">
      <w:r>
        <w:t>\</w:t>
      </w:r>
      <w:proofErr w:type="gramStart"/>
      <w:r>
        <w:t>input</w:t>
      </w:r>
      <w:proofErr w:type="gramEnd"/>
      <w:r>
        <w:t>{issues}</w:t>
      </w:r>
    </w:p>
    <w:p w14:paraId="13FDA724" w14:textId="77777777" w:rsidR="008704D4" w:rsidRDefault="008704D4" w:rsidP="008704D4"/>
    <w:p w14:paraId="0501D8C3" w14:textId="77777777" w:rsidR="008704D4" w:rsidRDefault="008704D4" w:rsidP="008704D4">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32E56BA9" w14:textId="77777777" w:rsidR="008704D4" w:rsidRDefault="008704D4" w:rsidP="008704D4"/>
    <w:p w14:paraId="265FFC6D" w14:textId="77777777" w:rsidR="008704D4" w:rsidRDefault="008704D4" w:rsidP="008704D4">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w:t>
      </w:r>
      <w:r>
        <w:lastRenderedPageBreak/>
        <w:t>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4B63A6C2" w14:textId="77777777" w:rsidR="008704D4" w:rsidRDefault="008704D4" w:rsidP="008704D4"/>
    <w:p w14:paraId="49012D0E" w14:textId="77777777" w:rsidR="008704D4" w:rsidRDefault="008704D4" w:rsidP="008704D4">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 threatened and endangered species. The FSC-US then added even more prescriptive requirements requiring certain areas to be designated HCVFs and prescriptive accountability mechanisms for HCVF management. </w:t>
      </w:r>
    </w:p>
    <w:p w14:paraId="4D2A3DFD" w14:textId="77777777" w:rsidR="008704D4" w:rsidRDefault="008704D4" w:rsidP="008704D4"/>
    <w:p w14:paraId="6898ECD2" w14:textId="77777777" w:rsidR="008704D4" w:rsidRDefault="008704D4" w:rsidP="008704D4">
      <w:r>
        <w:t>*Summary</w:t>
      </w:r>
      <w:proofErr w:type="gramStart"/>
      <w:r>
        <w:t>:*</w:t>
      </w:r>
      <w:proofErr w:type="gramEnd"/>
      <w:r>
        <w:t xml:space="preserve">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4DC2334B" w14:textId="77777777" w:rsidR="008704D4" w:rsidRDefault="008704D4" w:rsidP="008704D4"/>
    <w:p w14:paraId="2E369984" w14:textId="77777777" w:rsidR="008704D4" w:rsidRDefault="008704D4" w:rsidP="008704D4">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 </w:t>
      </w:r>
    </w:p>
    <w:p w14:paraId="7FAC2B8D" w14:textId="77777777" w:rsidR="008704D4" w:rsidRDefault="008704D4" w:rsidP="008704D4"/>
    <w:p w14:paraId="0B0FAED2" w14:textId="77777777" w:rsidR="008704D4" w:rsidRDefault="008704D4" w:rsidP="008704D4">
      <w:r>
        <w:t># Discussion</w:t>
      </w:r>
    </w:p>
    <w:p w14:paraId="73B265A9" w14:textId="77777777" w:rsidR="008704D4" w:rsidRDefault="008704D4" w:rsidP="008704D4">
      <w:r>
        <w:t>## Overall comparison</w:t>
      </w:r>
    </w:p>
    <w:p w14:paraId="1DF2E727" w14:textId="77777777" w:rsidR="008704D4" w:rsidRDefault="008704D4" w:rsidP="008704D4">
      <w:r>
        <w:t xml:space="preserve">By distinguishing different types of stringency on a comprehensive set of issues, our framework improves upon blunt measures of “high” or “low” standards based on generalizations or on only a few issues. </w:t>
      </w:r>
    </w:p>
    <w:p w14:paraId="0A9A863B" w14:textId="77777777" w:rsidR="008704D4" w:rsidRDefault="008704D4" w:rsidP="008704D4"/>
    <w:p w14:paraId="651C4EB6" w14:textId="77777777" w:rsidR="008704D4" w:rsidRDefault="008704D4" w:rsidP="008704D4">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requires that local communities benefit from harvesting in ways that were unmatched by SFI’s standard. Numerically, FSC-US had a broader scope of social benefits, but the programs did present tradeoffs between conceptions of the public good.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 </w:t>
      </w:r>
    </w:p>
    <w:p w14:paraId="0A048EB0" w14:textId="77777777" w:rsidR="008704D4" w:rsidRDefault="008704D4" w:rsidP="008704D4"/>
    <w:p w14:paraId="6BE29EFF" w14:textId="77777777" w:rsidR="008704D4" w:rsidRDefault="008704D4" w:rsidP="008704D4">
      <w:r>
        <w:t xml:space="preserve">On more business-oriented goals such as efficiency (e.g. levels of cut tree utilization), industry capacity (e.g. workforce training and research), and industry reputation (e.g., public education and aesthetics), the patterns were largely reversed. SFI was slightly broader in scope, requiring contributions to research where FSC did not, was more prescriptive, and required increasingly demanding performance levels on many business-friendly issues. </w:t>
      </w:r>
    </w:p>
    <w:p w14:paraId="6FFA8B27" w14:textId="77777777" w:rsidR="008704D4" w:rsidRDefault="008704D4" w:rsidP="008704D4"/>
    <w:p w14:paraId="79B9545F" w14:textId="77777777" w:rsidR="008704D4" w:rsidRDefault="008704D4" w:rsidP="008704D4">
      <w:r>
        <w:t xml:space="preserve">## Patterns of change </w:t>
      </w:r>
    </w:p>
    <w:p w14:paraId="55E6AE6E" w14:textId="77777777" w:rsidR="008704D4" w:rsidRDefault="008704D4" w:rsidP="008704D4">
      <w:r>
        <w:t>In most years between 2008 and 2016, neither the FSC nor the SFI changed on any issue (the center cell in Table \</w:t>
      </w:r>
      <w:proofErr w:type="gramStart"/>
      <w:r>
        <w:t>ref{</w:t>
      </w:r>
      <w:proofErr w:type="gramEnd"/>
      <w:r>
        <w:t>patterns}, “equilibrium”).</w:t>
      </w:r>
    </w:p>
    <w:p w14:paraId="0DBE9DC9" w14:textId="77777777" w:rsidR="008704D4" w:rsidRDefault="008704D4" w:rsidP="008704D4"/>
    <w:p w14:paraId="64B7EA1B" w14:textId="77777777" w:rsidR="008704D4" w:rsidRDefault="008704D4" w:rsidP="008704D4">
      <w:r>
        <w:t xml:space="preserve">When they did change, upwardly diverging prescriptiveness was the dominant pattern. Most changes for both programs occurred in 2010 where the overall pattern was divergence, rather than convergence or stability.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w:t>
      </w:r>
    </w:p>
    <w:p w14:paraId="7E9CEF96" w14:textId="77777777" w:rsidR="008704D4" w:rsidRDefault="008704D4" w:rsidP="008704D4"/>
    <w:p w14:paraId="65A04F44" w14:textId="77777777" w:rsidR="008704D4" w:rsidRDefault="008704D4" w:rsidP="008704D4">
      <w:r>
        <w:t xml:space="preserve">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w:t>
      </w:r>
      <w:r>
        <w:lastRenderedPageBreak/>
        <w:t>prescriptive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520DD49F" w14:textId="77777777" w:rsidR="008704D4" w:rsidRDefault="008704D4" w:rsidP="008704D4"/>
    <w:p w14:paraId="77A2A755" w14:textId="77777777" w:rsidR="008704D4" w:rsidRDefault="008704D4" w:rsidP="008704D4">
      <w:r>
        <w:t>\</w:t>
      </w:r>
      <w:proofErr w:type="gramStart"/>
      <w:r>
        <w:t>input</w:t>
      </w:r>
      <w:proofErr w:type="gramEnd"/>
      <w:r>
        <w:t>{patterns-2010-2015}</w:t>
      </w:r>
    </w:p>
    <w:p w14:paraId="35FA6456" w14:textId="77777777" w:rsidR="008704D4" w:rsidRDefault="008704D4" w:rsidP="008704D4"/>
    <w:p w14:paraId="61E805D7" w14:textId="77777777" w:rsidR="008704D4" w:rsidRDefault="008704D4" w:rsidP="008704D4">
      <w:r>
        <w:t xml:space="preserve">Convergence was rare. In 2010,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1D34F7B4" w14:textId="77777777" w:rsidR="008704D4" w:rsidRDefault="008704D4" w:rsidP="008704D4"/>
    <w:p w14:paraId="140F6BC4" w14:textId="77777777" w:rsidR="008704D4" w:rsidRDefault="008704D4" w:rsidP="008704D4">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2EA5FA99" w14:textId="77777777" w:rsidR="008704D4" w:rsidRDefault="008704D4" w:rsidP="008704D4"/>
    <w:p w14:paraId="308B827F" w14:textId="77777777" w:rsidR="008704D4" w:rsidRDefault="008704D4" w:rsidP="008704D4">
      <w:r>
        <w:t xml:space="preserve">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7319FD7A" w14:textId="77777777" w:rsidR="008704D4" w:rsidRDefault="008704D4" w:rsidP="008704D4"/>
    <w:p w14:paraId="471E2C21" w14:textId="77777777" w:rsidR="008704D4" w:rsidRDefault="008704D4" w:rsidP="008704D4">
      <w:r>
        <w:t>## Implications for theory</w:t>
      </w:r>
    </w:p>
    <w:p w14:paraId="6B8FBCBC" w14:textId="77777777" w:rsidR="008704D4" w:rsidRDefault="008704D4" w:rsidP="008704D4">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w:t>
      </w:r>
      <w:r>
        <w:lastRenderedPageBreak/>
        <w:t>the overall upward by diverging trajectories of the SFI and FSC-US do not exactly fit a “race to the top” either.</w:t>
      </w:r>
    </w:p>
    <w:p w14:paraId="044874D5" w14:textId="77777777" w:rsidR="008704D4" w:rsidRDefault="008704D4" w:rsidP="008704D4"/>
    <w:p w14:paraId="6AB6BEA8" w14:textId="77777777" w:rsidR="008704D4" w:rsidRDefault="008704D4" w:rsidP="008704D4">
      <w:r>
        <w:t xml:space="preserve">Our results do support, with some caveats, hypotheses 1.1, </w:t>
      </w:r>
      <w:proofErr w:type="gramStart"/>
      <w:r>
        <w:t>2.1 ,</w:t>
      </w:r>
      <w:proofErr w:type="gramEnd"/>
      <w:r>
        <w:t xml:space="preserve"> and 2.2 outlined in Section 2.3. We ended up with no evidence either way on hypothesis 1.2.</w:t>
      </w:r>
    </w:p>
    <w:p w14:paraId="7FBD2478" w14:textId="77777777" w:rsidR="008704D4" w:rsidRDefault="008704D4" w:rsidP="008704D4"/>
    <w:p w14:paraId="162D0FF3" w14:textId="77777777" w:rsidR="008704D4" w:rsidRDefault="008704D4" w:rsidP="008704D4">
      <w:r>
        <w:t xml:space="preserve">Regarding H1.1, the industry-backed program often had language similar to that of the activist-driven standard (i.e., it had a similar scope), but often lacked mandatory performance thresholds (i.e., it did not have similar prescriptiveness). If “talk is cheap,” but prescriptive requirements are costly, it makes sense that an industry-backed program would cover similar issues as its competitor without adopting costly performance thresholds.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59C99699" w14:textId="77777777" w:rsidR="008704D4" w:rsidRDefault="008704D4" w:rsidP="008704D4"/>
    <w:p w14:paraId="25A343B3" w14:textId="77777777" w:rsidR="008704D4" w:rsidRDefault="008704D4" w:rsidP="008704D4">
      <w:r>
        <w:t>Regarding H2.1, we find differentiation between the FSC-US and the SFI; the activist-backed program was more comprehensive in scope, was more prescriptive, and had higher performance levels on issues that cost firms’, while the industry-backed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to test these and other hypotheses, using similarly precise and comprehensive measures of regulatory stringency. Specifically, while “ratcheting up” theories anticipate the general upward direction we observe, more attention is needed to explain why programs may increase prescriptiveness on different issues, especially issues where they already have the more stringent requirements.</w:t>
      </w:r>
    </w:p>
    <w:p w14:paraId="0368F4E2" w14:textId="77777777" w:rsidR="008704D4" w:rsidRDefault="008704D4" w:rsidP="008704D4"/>
    <w:p w14:paraId="6C87472F" w14:textId="77777777" w:rsidR="008704D4" w:rsidRDefault="008704D4" w:rsidP="008704D4">
      <w:r>
        <w:t>## Industry-backed certification programs as a form of collective action</w:t>
      </w:r>
    </w:p>
    <w:p w14:paraId="1CC2C20C" w14:textId="77777777" w:rsidR="008704D4" w:rsidRDefault="008704D4" w:rsidP="008704D4">
      <w:r>
        <w:t xml:space="preserve">Our finding that the SFI and FSC-US were each more prescriptive and continued to become more prescriptive on qualitatively different issues highlights how industry-backed certification programs can serve their industry in two ways. First, they provide individual firms with a service—a signal of "social responsibility" that requires a credible third party. Such a signal would be more expensive to send by complying with an activist-backed regulation. Second, they provide a mechanism for an industry to improve its collective reputation and capacity by coordinating contributions to collective goods, a common function of industry associations. </w:t>
      </w:r>
    </w:p>
    <w:p w14:paraId="769B1674" w14:textId="77777777" w:rsidR="008704D4" w:rsidRDefault="008704D4" w:rsidP="008704D4"/>
    <w:p w14:paraId="36B96703" w14:textId="77777777" w:rsidR="008704D4" w:rsidRDefault="008704D4" w:rsidP="008704D4">
      <w:r>
        <w:t xml:space="preserve">Regarding the first, industry-backed programs are often created to save firms money by offering a label that sends “green” or “socially responsible” signals in the market without some of the more costly demands of activist-backed programs or </w:t>
      </w:r>
      <w:r>
        <w:lastRenderedPageBreak/>
        <w:t>public regulations. Such signals are often based on perceived stringency, which may vary from actual stringency. ^[While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 xml:space="preserve">riparian} and \ref{clearcuts} and Table \ref{issues}). The extent to which this helps firms coordinate to maximize the impression of stringency while minimizing the costs of doing so is a question for future research.] Nevertheless, maintaining legitimacy may require some prescriptive requirements on costly issues. On these issues levels of prescriptiveness and policy change are likely driven by competition with activist-backed standards. </w:t>
      </w:r>
    </w:p>
    <w:p w14:paraId="01B1B622" w14:textId="77777777" w:rsidR="008704D4" w:rsidRDefault="008704D4" w:rsidP="008704D4"/>
    <w:p w14:paraId="19A4FA3D" w14:textId="77777777" w:rsidR="008704D4" w:rsidRDefault="008704D4" w:rsidP="008704D4"/>
    <w:p w14:paraId="6920BF5E" w14:textId="77777777" w:rsidR="008704D4" w:rsidRDefault="008704D4" w:rsidP="008704D4">
      <w:r>
        <w:t>Regarding the second, the fact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285A5563" w14:textId="77777777" w:rsidR="008704D4" w:rsidRDefault="008704D4" w:rsidP="008704D4"/>
    <w:p w14:paraId="2C8A8172" w14:textId="77777777" w:rsidR="008704D4" w:rsidRDefault="008704D4" w:rsidP="008704D4">
      <w:r>
        <w:t xml:space="preserve">In short, where the SFI developed more prescriptive requirements than the FSC, it required things that firms may do anyway (e.g., train workers or educate the public), 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  </w:t>
      </w:r>
    </w:p>
    <w:p w14:paraId="5894BB05" w14:textId="77777777" w:rsidR="008704D4" w:rsidRDefault="008704D4" w:rsidP="008704D4"/>
    <w:p w14:paraId="5CD78907" w14:textId="77777777" w:rsidR="008704D4" w:rsidRDefault="008704D4" w:rsidP="008704D4">
      <w:r>
        <w:t># Conclusion</w:t>
      </w:r>
    </w:p>
    <w:p w14:paraId="53B0C60E" w14:textId="77777777" w:rsidR="008704D4" w:rsidRDefault="008704D4" w:rsidP="008704D4">
      <w:r>
        <w:lastRenderedPageBreak/>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regulatory stringency, and for using longitudinal data to classify patterns of change, offers a foundation for further research about how competing regulatory programs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3FAAF23C" w14:textId="77777777" w:rsidR="008704D4" w:rsidRDefault="008704D4" w:rsidP="008704D4"/>
    <w:p w14:paraId="1C1BB7E6" w14:textId="77777777" w:rsidR="008704D4" w:rsidRDefault="008704D4" w:rsidP="008704D4">
      <w:r>
        <w:t xml:space="preserve">Through the case of forestry standards in the U.S.,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were correct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We hope that this deep dive into defining regulatory stringency and policy change in one domain not only enables scholarship on the causes of public and private regulation in forestry but that it also offers a model for similar research in other policy domains. </w:t>
      </w:r>
    </w:p>
    <w:p w14:paraId="6E6AACB2" w14:textId="77777777" w:rsidR="008704D4" w:rsidRDefault="008704D4" w:rsidP="008704D4"/>
    <w:p w14:paraId="0D702712" w14:textId="77777777" w:rsidR="008704D4" w:rsidRDefault="008704D4" w:rsidP="008704D4">
      <w:r>
        <w:t>This approach also has practical value. First, the power dynamics among groups that promote programs like the FSC or the SFI have created an environment in which competing claims about what exactly each program requires and how this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analysis of written requirements is a necessary first step for efforts to assess the effects on the ground.</w:t>
      </w:r>
    </w:p>
    <w:p w14:paraId="2297A180" w14:textId="77777777" w:rsidR="008704D4" w:rsidRDefault="008704D4" w:rsidP="008704D4"/>
    <w:p w14:paraId="2E1B7BAD" w14:textId="77777777" w:rsidR="008704D4" w:rsidRDefault="008704D4" w:rsidP="008704D4">
      <w:r>
        <w:t xml:space="preserve">Most importantly, our framework and analysis offer a model for careful measurement of policy change as a variable. It is tempting to take shortcuts by </w:t>
      </w:r>
      <w:r>
        <w:lastRenderedPageBreak/>
        <w:t>making broad generalizations or by selecting what is easy to measure or what others have highlighted. However, if we aim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5BB036FB" w14:textId="1BA59BEA" w:rsidR="002F4C61" w:rsidRPr="008704D4" w:rsidRDefault="002F4C61" w:rsidP="008704D4"/>
    <w:sectPr w:rsidR="002F4C61" w:rsidRPr="008704D4"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1EFC3" w15:done="0"/>
  <w15:commentEx w15:paraId="415D8429" w15:paraIdParent="71F1EFC3" w15:done="0"/>
  <w15:commentEx w15:paraId="45B017D2" w15:done="0"/>
  <w15:commentEx w15:paraId="05CB78CF" w15:done="0"/>
  <w15:commentEx w15:paraId="3571F90E" w15:done="0"/>
  <w15:commentEx w15:paraId="6937010F" w15:done="0"/>
  <w15:commentEx w15:paraId="28776150" w15:done="0"/>
  <w15:commentEx w15:paraId="57791C15" w15:done="0"/>
  <w15:commentEx w15:paraId="341FB1E3" w15:done="0"/>
  <w15:commentEx w15:paraId="1A697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1EFC3" w16cid:durableId="203B79ED"/>
  <w16cid:commentId w16cid:paraId="415D8429" w16cid:durableId="203B79F6"/>
  <w16cid:commentId w16cid:paraId="45B017D2" w16cid:durableId="203B7962"/>
  <w16cid:commentId w16cid:paraId="05CB78CF" w16cid:durableId="203B7988"/>
  <w16cid:commentId w16cid:paraId="3571F90E" w16cid:durableId="203B7D32"/>
  <w16cid:commentId w16cid:paraId="6937010F" w16cid:durableId="203B7D7F"/>
  <w16cid:commentId w16cid:paraId="28776150" w16cid:durableId="203B7DF7"/>
  <w16cid:commentId w16cid:paraId="57791C15" w16cid:durableId="203B7DE7"/>
  <w16cid:commentId w16cid:paraId="341FB1E3" w16cid:durableId="203B7E0D"/>
  <w16cid:commentId w16cid:paraId="1A697297" w16cid:durableId="203B8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72A7"/>
    <w:rsid w:val="000609F7"/>
    <w:rsid w:val="0007551B"/>
    <w:rsid w:val="000933B6"/>
    <w:rsid w:val="000D14B2"/>
    <w:rsid w:val="000F0971"/>
    <w:rsid w:val="0010328A"/>
    <w:rsid w:val="0015002B"/>
    <w:rsid w:val="00151EA2"/>
    <w:rsid w:val="00152220"/>
    <w:rsid w:val="00183566"/>
    <w:rsid w:val="0019247C"/>
    <w:rsid w:val="00197163"/>
    <w:rsid w:val="001C2192"/>
    <w:rsid w:val="001C2C45"/>
    <w:rsid w:val="001F2575"/>
    <w:rsid w:val="00212313"/>
    <w:rsid w:val="0024014B"/>
    <w:rsid w:val="002425CC"/>
    <w:rsid w:val="00262743"/>
    <w:rsid w:val="0026645E"/>
    <w:rsid w:val="00280782"/>
    <w:rsid w:val="00280D6A"/>
    <w:rsid w:val="002868B0"/>
    <w:rsid w:val="00287054"/>
    <w:rsid w:val="002B100E"/>
    <w:rsid w:val="002D2109"/>
    <w:rsid w:val="002D5A0D"/>
    <w:rsid w:val="002E0BCA"/>
    <w:rsid w:val="002F2AB2"/>
    <w:rsid w:val="002F4C61"/>
    <w:rsid w:val="00306A36"/>
    <w:rsid w:val="00322A69"/>
    <w:rsid w:val="00325CF4"/>
    <w:rsid w:val="003325D1"/>
    <w:rsid w:val="00342D52"/>
    <w:rsid w:val="00352A50"/>
    <w:rsid w:val="00374206"/>
    <w:rsid w:val="003863DF"/>
    <w:rsid w:val="00390536"/>
    <w:rsid w:val="003B3D20"/>
    <w:rsid w:val="003C3A91"/>
    <w:rsid w:val="003C44C7"/>
    <w:rsid w:val="003D1A0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109DE"/>
    <w:rsid w:val="005A7399"/>
    <w:rsid w:val="005D0653"/>
    <w:rsid w:val="005D488E"/>
    <w:rsid w:val="00631D94"/>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56DD"/>
    <w:rsid w:val="00EA6619"/>
    <w:rsid w:val="00EB0173"/>
    <w:rsid w:val="00EB01A4"/>
    <w:rsid w:val="00ED6212"/>
    <w:rsid w:val="00EE01B3"/>
    <w:rsid w:val="00EF48EE"/>
    <w:rsid w:val="00F23F5F"/>
    <w:rsid w:val="00F26EDE"/>
    <w:rsid w:val="00F514AA"/>
    <w:rsid w:val="00F60C45"/>
    <w:rsid w:val="00F72956"/>
    <w:rsid w:val="00F94603"/>
    <w:rsid w:val="00FB4BA9"/>
    <w:rsid w:val="00FD5A6D"/>
    <w:rsid w:val="00FD7A60"/>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11/relationships/people" Target="people.xml"/><Relationship Id="rId8" Type="http://schemas.microsoft.com/office/2011/relationships/commentsExtended" Target="commentsExtended.xml"/><Relationship Id="rId9"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25</Pages>
  <Words>11224</Words>
  <Characters>63982</Characters>
  <Application>Microsoft Macintosh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11</cp:revision>
  <dcterms:created xsi:type="dcterms:W3CDTF">2019-03-20T15:39:00Z</dcterms:created>
  <dcterms:modified xsi:type="dcterms:W3CDTF">2019-05-15T17:30:00Z</dcterms:modified>
</cp:coreProperties>
</file>