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6F190" w14:textId="77777777" w:rsidR="00417A57" w:rsidRDefault="00417A57" w:rsidP="00417A57">
      <w:r>
        <w:t>Abstract: [150 words]</w:t>
      </w:r>
    </w:p>
    <w:p w14:paraId="4A2E0950" w14:textId="0F92175E" w:rsidR="00417A57" w:rsidRDefault="00D47A27" w:rsidP="00417A57">
      <w:r>
        <w:t>I</w:t>
      </w:r>
      <w:r w:rsidR="00417A57">
        <w:t>nconsistent meas</w:t>
      </w:r>
      <w:r>
        <w:t>ures of regulatory stringency have produced</w:t>
      </w:r>
      <w:r w:rsidR="00417A57">
        <w:t xml:space="preserve"> conflicting accounts about whether competing private governance initiatives “race to the bottom,” “ratchet up,” “converge,” or “diverge.” To remedy this, we offer a framework to distinguish three often-conflated measures: regulatory scope, prescriptiveness, and performance levels. We </w:t>
      </w:r>
      <w:r w:rsidR="00A11277">
        <w:t xml:space="preserve">apply </w:t>
      </w:r>
      <w:r w:rsidR="00417A57">
        <w:t>our framework to compare competing U.S. forestry certification programs, one founded by environmental activists and their allies, the other by the American Forest &amp; Paper Association. We find “upward” but also divergent policy prescriptiv</w:t>
      </w:r>
      <w:r>
        <w:t>eness, with the activist-backed</w:t>
      </w:r>
      <w:r w:rsidR="00417A57">
        <w:t xml:space="preserve"> program adding requirements that impose costs on firms and the industry-backed program mostly adding requirements </w:t>
      </w:r>
      <w:r w:rsidR="006C2C1C">
        <w:t>with intrinsic</w:t>
      </w:r>
      <w:r w:rsidR="009E1152">
        <w:t xml:space="preserve"> </w:t>
      </w:r>
      <w:r w:rsidR="00417A57">
        <w:t>benefits</w:t>
      </w:r>
      <w:r w:rsidR="006C2C1C">
        <w:t xml:space="preserve"> to firms</w:t>
      </w:r>
      <w:r w:rsidR="00417A57">
        <w:t xml:space="preserve">. These results are consistent with the hypothesis that industry-backed programs emphasize less costly types of stringency than activist-backed programs. </w:t>
      </w:r>
      <w:r w:rsidR="006C2C1C">
        <w:t xml:space="preserve">By disaggregating types of stringency, we also find </w:t>
      </w:r>
      <w:r w:rsidR="00417A57">
        <w:t xml:space="preserve">several more nuanced patterns of change that previous scholarship failed to anticipate, illustrating how </w:t>
      </w:r>
      <w:r w:rsidR="006C2C1C">
        <w:t>our framework</w:t>
      </w:r>
      <w:r w:rsidR="00417A57">
        <w:t xml:space="preserve"> can improve theory building and testing.</w:t>
      </w:r>
    </w:p>
    <w:p w14:paraId="63282065" w14:textId="77777777" w:rsidR="00417A57" w:rsidRDefault="00417A57" w:rsidP="00417A57">
      <w:r>
        <w:t xml:space="preserve">--&gt; </w:t>
      </w:r>
    </w:p>
    <w:p w14:paraId="156FB6D5" w14:textId="77777777" w:rsidR="00417A57" w:rsidRDefault="00417A57" w:rsidP="00417A57"/>
    <w:p w14:paraId="79C5D1AE" w14:textId="77777777" w:rsidR="00417A57" w:rsidRDefault="00417A57" w:rsidP="00417A57">
      <w:r>
        <w:t># Introduction</w:t>
      </w:r>
    </w:p>
    <w:p w14:paraId="350A0B47" w14:textId="77777777" w:rsidR="00417A57" w:rsidRDefault="00417A57" w:rsidP="00417A57">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programs were founded by activists who were dissatisfied with public regulations. Using tactics such as boycotts as “sticks” and brand-boosting praise as “carrots,” activists attempt to pressure companies to comply with their preferred certification programs  [@Cashore2002]. When buyers add certification criteria to their purchasing policies and contracts, those certification programs gain power to regulate how commodities are produced. In some sectors, such as forestry, activist-backed programs have met resistance from industry groups that ended up launching competing certification programs to offer more “business-friendly” alternatives. Debates among supporters of activists and industry-backed alternatives ensued, often about the relative stringency of each program’s regulatory requirements. </w:t>
      </w:r>
    </w:p>
    <w:p w14:paraId="5D5F816D" w14:textId="77777777" w:rsidR="00417A57" w:rsidRDefault="00417A57" w:rsidP="00417A57"/>
    <w:p w14:paraId="664FAB69" w14:textId="3D1BC10F" w:rsidR="00FD5A6D" w:rsidRDefault="00417A57" w:rsidP="00417A57">
      <w:r>
        <w:t xml:space="preserve">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imprecise, incomplete, and inconsistent measures </w:t>
      </w:r>
      <w:r w:rsidR="006C2C1C">
        <w:t xml:space="preserve">of </w:t>
      </w:r>
      <w:r>
        <w:t xml:space="preserve">regulatory stringency hinder efforts to compare these regulations and assess theories about why they change. We argue that more </w:t>
      </w:r>
      <w:r>
        <w:lastRenderedPageBreak/>
        <w:t xml:space="preserve">attention to measurement </w:t>
      </w:r>
      <w:r w:rsidR="006C2C1C">
        <w:t xml:space="preserve">can </w:t>
      </w:r>
      <w:r>
        <w:t xml:space="preserve">explain seemingly contradictory findings and allow </w:t>
      </w:r>
      <w:r w:rsidR="003325D1">
        <w:t xml:space="preserve">for </w:t>
      </w:r>
      <w:r>
        <w:t xml:space="preserve">more tractable statements of theory. To be sure, </w:t>
      </w:r>
      <w:r w:rsidR="00212313">
        <w:t xml:space="preserve">concepts of regulatory stringency interest </w:t>
      </w:r>
      <w:r>
        <w:t xml:space="preserve">students of both public policy and private governance, but whereas a rich public policy scholarship has emerged to measure and explain </w:t>
      </w:r>
      <w:r w:rsidR="00197163">
        <w:t xml:space="preserve">public </w:t>
      </w:r>
      <w:r>
        <w:t xml:space="preserve">policy change [@Green-Pedersen2007; @Hall1993; @Howlett2014], </w:t>
      </w:r>
      <w:r w:rsidR="00212313">
        <w:t xml:space="preserve">the literature on </w:t>
      </w:r>
      <w:r>
        <w:t xml:space="preserve">private governance </w:t>
      </w:r>
      <w:r w:rsidR="00212313">
        <w:t>gives</w:t>
      </w:r>
      <w:r>
        <w:t xml:space="preserve"> much less attention to the concept of policy change.</w:t>
      </w:r>
    </w:p>
    <w:p w14:paraId="5D497B12" w14:textId="77777777" w:rsidR="00417A57" w:rsidRDefault="00417A57" w:rsidP="00417A57">
      <w:r>
        <w:t xml:space="preserve"> </w:t>
      </w:r>
    </w:p>
    <w:p w14:paraId="5C058301" w14:textId="6F8609B5" w:rsidR="0010328A" w:rsidRDefault="00417A57" w:rsidP="00417A57">
      <w:r>
        <w:t xml:space="preserve">To address this gap, we build on taxonomies from public policy scholarship to offer a two-part framework to describe and compare regulations over time. Part one of this framework distinguishes three types of regulatory stringency: 1) How comprehensive is the scope of issues addressed? </w:t>
      </w:r>
      <w:proofErr w:type="gramStart"/>
      <w:r>
        <w:t>2</w:t>
      </w:r>
      <w:proofErr w:type="gramEnd"/>
      <w:r>
        <w:t xml:space="preserve">)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w:t>
      </w:r>
      <w:r w:rsidR="00F514AA">
        <w:t>D</w:t>
      </w:r>
      <w:r>
        <w:t>istinguishing among types of regulatory stringency and patterns of change</w:t>
      </w:r>
      <w:r w:rsidR="00F514AA">
        <w:t xml:space="preserve"> leads to</w:t>
      </w:r>
      <w:r w:rsidR="007A4985">
        <w:t xml:space="preserve"> hypotheses that are more conceptually precise and thus more tractable for empirical testing </w:t>
      </w:r>
      <w:r w:rsidR="0075005B">
        <w:t xml:space="preserve">than those </w:t>
      </w:r>
      <w:r>
        <w:t xml:space="preserve">advanced by </w:t>
      </w:r>
      <w:r w:rsidR="00F514AA">
        <w:t>extant literature</w:t>
      </w:r>
      <w:r w:rsidR="007A4985">
        <w:t>.</w:t>
      </w:r>
      <w:r w:rsidR="003B3D20">
        <w:t xml:space="preserve"> </w:t>
      </w:r>
    </w:p>
    <w:p w14:paraId="03E41493" w14:textId="77777777" w:rsidR="00417A57" w:rsidRDefault="00417A57" w:rsidP="00417A57"/>
    <w:p w14:paraId="5FF608FE" w14:textId="037CC5C3" w:rsidR="00417A57" w:rsidRDefault="00417A57" w:rsidP="00417A57">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w:t>
      </w:r>
      <w:r w:rsidR="00CB48E7">
        <w:t>S</w:t>
      </w:r>
      <w:r>
        <w:t>ection four</w:t>
      </w:r>
      <w:r w:rsidR="00CB48E7">
        <w:t xml:space="preserve"> applies </w:t>
      </w:r>
      <w:r>
        <w:t>th</w:t>
      </w:r>
      <w:r w:rsidR="00CB48E7">
        <w:t>e</w:t>
      </w:r>
      <w:r>
        <w:t xml:space="preserve"> framework to compare competing certification programs</w:t>
      </w:r>
      <w:r w:rsidR="00CB48E7">
        <w:t xml:space="preserve"> in the U</w:t>
      </w:r>
      <w:r w:rsidR="003B3D20">
        <w:t>.</w:t>
      </w:r>
      <w:r w:rsidR="00CB48E7">
        <w:t>S</w:t>
      </w:r>
      <w:r w:rsidR="003B3D20">
        <w:t>.</w:t>
      </w:r>
      <w:r w:rsidR="00CB48E7">
        <w:t xml:space="preserve"> forest</w:t>
      </w:r>
      <w:r w:rsidR="003B3D20">
        <w:t>ry</w:t>
      </w:r>
      <w:r w:rsidR="00CB48E7">
        <w:t xml:space="preserve"> sector</w:t>
      </w:r>
      <w:r>
        <w:t xml:space="preserve">, </w:t>
      </w:r>
      <w:r w:rsidR="00CB48E7">
        <w:t xml:space="preserve">arguably </w:t>
      </w:r>
      <w:r>
        <w:t xml:space="preserve">one of the most institutionalized </w:t>
      </w:r>
      <w:r w:rsidR="005109DE">
        <w:t xml:space="preserve">cases of </w:t>
      </w:r>
      <w:r>
        <w:t>private regulation. Section five discusses the implications of our results for theory and outlines steps for future research.</w:t>
      </w:r>
    </w:p>
    <w:p w14:paraId="7CC3DDF3" w14:textId="77777777" w:rsidR="00417A57" w:rsidRDefault="00417A57" w:rsidP="00417A57"/>
    <w:p w14:paraId="01269FC7" w14:textId="77777777" w:rsidR="00417A57" w:rsidRDefault="00417A57" w:rsidP="00417A57">
      <w:r>
        <w:t xml:space="preserve"># Regulatory stringency </w:t>
      </w:r>
    </w:p>
    <w:p w14:paraId="41CC495E" w14:textId="2E2353EB" w:rsidR="00417A57" w:rsidRDefault="00417A57" w:rsidP="00417A57">
      <w:r>
        <w:t xml:space="preserve">Measuring regulatory stringency is often necessary to assess how activist campaigns, market forces, and competition among programs shape policy content (i.e., </w:t>
      </w:r>
      <w:r w:rsidR="00C41905">
        <w:t>regulat</w:t>
      </w:r>
      <w:r w:rsidR="003B3D20">
        <w:t>ory requirements</w:t>
      </w:r>
      <w:r w:rsidR="00C41905">
        <w:t xml:space="preserve"> </w:t>
      </w:r>
      <w:r>
        <w:t xml:space="preserve">as the dependent variable), and likewise, to assess how policy content shapes activist support, market adoption, impact, and how other programs respond (i.e., </w:t>
      </w:r>
      <w:r w:rsidR="00C41905">
        <w:t>regulat</w:t>
      </w:r>
      <w:r w:rsidR="003B3D20">
        <w:t>ory requirements</w:t>
      </w:r>
      <w:r w:rsidR="00C41905">
        <w:t xml:space="preserve"> </w:t>
      </w:r>
      <w:r>
        <w:t xml:space="preserve">as the explanatory variable). </w:t>
      </w:r>
    </w:p>
    <w:p w14:paraId="55277E34" w14:textId="77777777" w:rsidR="00417A57" w:rsidRDefault="00417A57" w:rsidP="00417A57"/>
    <w:p w14:paraId="67217B23" w14:textId="77777777" w:rsidR="00417A57" w:rsidRDefault="00417A57" w:rsidP="00417A57">
      <w:r>
        <w:t xml:space="preserve">*Stringency as an explanatory variable:*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t>
      </w:r>
      <w:r>
        <w:lastRenderedPageBreak/>
        <w:t xml:space="preserve">[@Weimer2006].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0A7DDD49" w14:textId="77777777" w:rsidR="00417A57" w:rsidRDefault="00417A57" w:rsidP="00417A57"/>
    <w:p w14:paraId="199EFEC2" w14:textId="77777777" w:rsidR="00417A57" w:rsidRDefault="00417A57" w:rsidP="00417A57">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Together, these studies suggest that changes in regulatory stringency may have a wide range of effects, but assessing them is often hampered by inadequate attention to defining and measuring stringency as an explanatory variable.</w:t>
      </w:r>
    </w:p>
    <w:p w14:paraId="03A005AA" w14:textId="77777777" w:rsidR="00417A57" w:rsidRDefault="00417A57" w:rsidP="00417A57"/>
    <w:p w14:paraId="2D05EC2D" w14:textId="77777777" w:rsidR="00417A57" w:rsidRDefault="00417A57" w:rsidP="00417A57">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574254A3" w14:textId="77777777" w:rsidR="00417A57" w:rsidRDefault="00417A57" w:rsidP="00417A57"/>
    <w:p w14:paraId="26B5C656" w14:textId="77777777" w:rsidR="00417A57" w:rsidRDefault="00417A57" w:rsidP="00417A57">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268691E8" w14:textId="77777777" w:rsidR="00417A57" w:rsidRDefault="00417A57" w:rsidP="00417A57"/>
    <w:p w14:paraId="139841C2" w14:textId="77777777" w:rsidR="00417A57" w:rsidRDefault="00417A57" w:rsidP="00417A57">
      <w:r>
        <w:t xml:space="preserve">Others seek to explain variation in regulatory stringency as a result of endogenous interactions among private authorities [@DeLeon2009; @Eberlein2014; @Green2017; @Gulbrandsen2014; @Howard-Grenville2008; @Li2015; </w:t>
      </w:r>
      <w:r>
        <w:lastRenderedPageBreak/>
        <w:t xml:space="preserve">@Mills2016d]. For example, @Smith2010 suggest that competing private regulations change frequently and often imitate each other. Similarly, @Eberlein2014 identify “frequent rule revision” or “differentiation among rule systems” as potential effects of such interaction.  </w:t>
      </w:r>
    </w:p>
    <w:p w14:paraId="531F6619" w14:textId="77777777" w:rsidR="00417A57" w:rsidRDefault="00417A57" w:rsidP="00417A57"/>
    <w:p w14:paraId="769CB6E1" w14:textId="77777777" w:rsidR="00417A57" w:rsidRDefault="00417A57" w:rsidP="00417A57">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7520C1DB" w14:textId="77777777" w:rsidR="00417A57" w:rsidRDefault="00417A57" w:rsidP="00417A57"/>
    <w:p w14:paraId="04B9F2F6" w14:textId="77777777" w:rsidR="00417A57" w:rsidRDefault="00417A57" w:rsidP="00417A57">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6CAA7958" w14:textId="77777777" w:rsidR="00417A57" w:rsidRDefault="00417A57" w:rsidP="00417A57"/>
    <w:p w14:paraId="62FE04BA" w14:textId="77777777" w:rsidR="00417A57" w:rsidRDefault="00417A57" w:rsidP="00417A57">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460832CE" w14:textId="77777777" w:rsidR="00417A57" w:rsidRDefault="00417A57" w:rsidP="00417A57"/>
    <w:p w14:paraId="4391DD81" w14:textId="77777777" w:rsidR="00417A57" w:rsidRDefault="00417A57" w:rsidP="00417A57"/>
    <w:p w14:paraId="4DEB8171" w14:textId="77777777" w:rsidR="00417A57" w:rsidRDefault="00417A57" w:rsidP="00417A57">
      <w:r>
        <w:t xml:space="preserve">## Concepts &amp; Measurement of Variation in Private Regulations </w:t>
      </w:r>
    </w:p>
    <w:p w14:paraId="5ED1B540" w14:textId="77777777" w:rsidR="00417A57" w:rsidRDefault="00417A57" w:rsidP="00417A57">
      <w:r>
        <w:lastRenderedPageBreak/>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\ref{review}). </w:t>
      </w:r>
    </w:p>
    <w:p w14:paraId="2E2332FD" w14:textId="77777777" w:rsidR="00417A57" w:rsidRDefault="00417A57" w:rsidP="00417A57"/>
    <w:p w14:paraId="1767EC7A" w14:textId="77777777" w:rsidR="00417A57" w:rsidRDefault="00417A57" w:rsidP="00417A57">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08E7D2A0" w14:textId="77777777" w:rsidR="00417A57" w:rsidRDefault="00417A57" w:rsidP="00417A57"/>
    <w:p w14:paraId="4087F07C" w14:textId="77777777" w:rsidR="00417A57" w:rsidRDefault="00417A57" w:rsidP="00417A57">
      <w:r>
        <w:t>\input{tables/review}</w:t>
      </w:r>
    </w:p>
    <w:p w14:paraId="3A218CE7" w14:textId="77777777" w:rsidR="00417A57" w:rsidRDefault="00417A57" w:rsidP="00417A57"/>
    <w:p w14:paraId="34275B2D" w14:textId="77777777" w:rsidR="00417A57" w:rsidRDefault="00417A57" w:rsidP="00417A57">
      <w:r>
        <w:t>In the absence of consistent measures of regulatory stringency, scholars have turned to proxy measures.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4E19E58" w14:textId="77777777" w:rsidR="00417A57" w:rsidRDefault="00417A57" w:rsidP="00417A57"/>
    <w:p w14:paraId="3E847D5F" w14:textId="386A4177" w:rsidR="00417A57" w:rsidRDefault="00417A57" w:rsidP="00417A57">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w:t>
      </w:r>
      <w:r w:rsidR="004A4BF5">
        <w:t>However, t</w:t>
      </w:r>
      <w:r>
        <w:t xml:space="preserve">his is due to differences in measurement; Cashore et al. focus on </w:t>
      </w:r>
      <w:r w:rsidR="00D83438">
        <w:t xml:space="preserve">the </w:t>
      </w:r>
      <w:r>
        <w:t xml:space="preserve">substantive prescriptiveness </w:t>
      </w:r>
      <w:r w:rsidR="00D83438">
        <w:t>of regulations governing</w:t>
      </w:r>
      <w:r w:rsidR="003B3D20">
        <w:t xml:space="preserve"> operations</w:t>
      </w:r>
      <w:r w:rsidR="00D83438">
        <w:t xml:space="preserve">, while van der </w:t>
      </w:r>
      <w:proofErr w:type="spellStart"/>
      <w:r w:rsidR="00D83438">
        <w:t>Ven</w:t>
      </w:r>
      <w:proofErr w:type="spellEnd"/>
      <w:r w:rsidR="00D83438">
        <w:t xml:space="preserve"> focuses on stakeholder </w:t>
      </w:r>
      <w:r w:rsidR="00C67D95">
        <w:t xml:space="preserve">engagement </w:t>
      </w:r>
      <w:r w:rsidR="00D83438">
        <w:t xml:space="preserve">and others forms of </w:t>
      </w:r>
      <w:r>
        <w:t>procedural “best practices.”</w:t>
      </w:r>
    </w:p>
    <w:p w14:paraId="7BCA7276" w14:textId="77777777" w:rsidR="00417A57" w:rsidRDefault="00417A57" w:rsidP="00417A57"/>
    <w:p w14:paraId="0DAF6D4A" w14:textId="5DBFADCD" w:rsidR="00940C4F" w:rsidRDefault="008F059E" w:rsidP="00940C4F">
      <w:r>
        <w:t xml:space="preserve">Efforts to identify patterns of change face two common challenges. First, results vary depending on the policy components we study. </w:t>
      </w:r>
      <w:r w:rsidR="00417A57">
        <w:t>Even the handful of scholars who have developed direct and precise measures of stringency (the top of Table \</w:t>
      </w:r>
      <w:proofErr w:type="gramStart"/>
      <w:r w:rsidR="00417A57">
        <w:t>ref{</w:t>
      </w:r>
      <w:proofErr w:type="gramEnd"/>
      <w:r w:rsidR="00417A57">
        <w:t xml:space="preserve">review}) tend to only focus on a </w:t>
      </w:r>
      <w:r w:rsidR="00342D52">
        <w:t xml:space="preserve">select number of </w:t>
      </w:r>
      <w:r w:rsidR="00417A57">
        <w:t xml:space="preserve">salient components, rather than attempting to </w:t>
      </w:r>
      <w:r w:rsidR="00342D52">
        <w:t>assess the entire range of r</w:t>
      </w:r>
      <w:r w:rsidR="003D1A0E">
        <w:t>equirements that regulations address</w:t>
      </w:r>
      <w:r w:rsidR="00417A57">
        <w:t xml:space="preserve">. This approach can lead to conflicting results if scholars select different policy components as indicators of stringency. For example, @Cashore2004 examine prescriptiveness on seven issues related to ecological protection (plantations, chemicals, </w:t>
      </w:r>
      <w:proofErr w:type="spellStart"/>
      <w:r w:rsidR="00417A57">
        <w:t>clearcuts</w:t>
      </w:r>
      <w:proofErr w:type="spellEnd"/>
      <w:r w:rsidR="00417A57">
        <w:t xml:space="preserve">,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w:t>
      </w:r>
      <w:r>
        <w:t>policy</w:t>
      </w:r>
      <w:r w:rsidR="00325CF4">
        <w:t xml:space="preserve"> </w:t>
      </w:r>
      <w:r w:rsidR="00417A57">
        <w:t>change.</w:t>
      </w:r>
      <w:r>
        <w:t xml:space="preserve"> </w:t>
      </w:r>
      <w:r w:rsidR="00940C4F">
        <w:t xml:space="preserve">It is entirely plausible that if </w:t>
      </w:r>
      <w:proofErr w:type="spellStart"/>
      <w:r w:rsidR="00940C4F">
        <w:t>Overdevest</w:t>
      </w:r>
      <w:proofErr w:type="spellEnd"/>
      <w:r w:rsidR="00940C4F">
        <w:t xml:space="preserve"> and Zeitlin had chosen Cashore et al.’s set of issues or vice versa, each might have found t</w:t>
      </w:r>
      <w:r w:rsidR="000F0971">
        <w:t>he opposite pattern.</w:t>
      </w:r>
    </w:p>
    <w:p w14:paraId="1A9F9D7E" w14:textId="77777777" w:rsidR="00417A57" w:rsidRDefault="00417A57" w:rsidP="00417A57"/>
    <w:p w14:paraId="6FB4F076" w14:textId="042F4B56" w:rsidR="008F059E" w:rsidRDefault="00417A57" w:rsidP="00417A57">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t>
      </w:r>
      <w:r w:rsidR="00FD5A6D">
        <w:t>However</w:t>
      </w:r>
      <w:r w:rsidR="008D6D03">
        <w:t xml:space="preserve">, this </w:t>
      </w:r>
      <w:r>
        <w:t xml:space="preserve">apparent conflict between </w:t>
      </w:r>
      <w:proofErr w:type="spellStart"/>
      <w:r>
        <w:t>Overdevest</w:t>
      </w:r>
      <w:proofErr w:type="spellEnd"/>
      <w:r>
        <w:t xml:space="preserve"> and Zeitlin’s study and Cashore et al.’s study </w:t>
      </w:r>
      <w:r w:rsidR="008D6D03">
        <w:t xml:space="preserve">is largely resolved </w:t>
      </w:r>
      <w:r w:rsidR="00FD5A6D">
        <w:t>by</w:t>
      </w:r>
      <w:r w:rsidR="008D6D03">
        <w:t xml:space="preserve"> </w:t>
      </w:r>
      <w:r>
        <w:t xml:space="preserve">distinguishing </w:t>
      </w:r>
      <w:r w:rsidR="00FD5A6D">
        <w:t>findings about</w:t>
      </w:r>
      <w:r>
        <w:t xml:space="preserve"> the scope of issues covered</w:t>
      </w:r>
      <w:r w:rsidR="00FD5A6D">
        <w:t xml:space="preserve"> versus the prescriptiveness of regulatory requirements</w:t>
      </w:r>
      <w:r>
        <w:t xml:space="preserve">.  </w:t>
      </w:r>
    </w:p>
    <w:p w14:paraId="5D94E587" w14:textId="77777777" w:rsidR="008F059E" w:rsidRDefault="008F059E" w:rsidP="00417A57"/>
    <w:p w14:paraId="19159C47" w14:textId="1D6C1BFB" w:rsidR="00E73F70" w:rsidRDefault="00FD5A6D" w:rsidP="00417A57">
      <w:r>
        <w:t>Recognizing that</w:t>
      </w:r>
      <w:r w:rsidR="008F059E">
        <w:t xml:space="preserve"> findings </w:t>
      </w:r>
      <w:r>
        <w:t xml:space="preserve">about regulatory change </w:t>
      </w:r>
      <w:r w:rsidR="008F059E">
        <w:t>vary in part owing to selec</w:t>
      </w:r>
      <w:r>
        <w:t>tion and measurement decisions</w:t>
      </w:r>
      <w:r w:rsidR="00E73F70">
        <w:t xml:space="preserve"> leads us to </w:t>
      </w:r>
      <w:r w:rsidR="00417A57">
        <w:t xml:space="preserve">distinguish three types of regulatory stringency </w:t>
      </w:r>
      <w:r w:rsidR="00E73F70">
        <w:t xml:space="preserve">to facilitate </w:t>
      </w:r>
      <w:r>
        <w:t xml:space="preserve">more </w:t>
      </w:r>
      <w:r w:rsidR="00E73F70">
        <w:t>systematic</w:t>
      </w:r>
      <w:r w:rsidR="00417A57">
        <w:t xml:space="preserve"> compar</w:t>
      </w:r>
      <w:r w:rsidR="00E73F70">
        <w:t>isons over time.</w:t>
      </w:r>
    </w:p>
    <w:p w14:paraId="7D1D3C2B" w14:textId="77777777" w:rsidR="00E73F70" w:rsidRDefault="00E73F70" w:rsidP="00417A57"/>
    <w:p w14:paraId="670CC310" w14:textId="77777777" w:rsidR="00417A57" w:rsidRDefault="00417A57" w:rsidP="00417A57">
      <w:r>
        <w:t xml:space="preserve"># A Framework to classify change in private regulations </w:t>
      </w:r>
    </w:p>
    <w:p w14:paraId="6FA43645" w14:textId="3D9ECCF5" w:rsidR="00417A57" w:rsidRDefault="00FD5A6D" w:rsidP="00417A57">
      <w:r>
        <w:t>We</w:t>
      </w:r>
      <w:r w:rsidR="00417A57">
        <w:t xml:space="preserve"> address these gaps by offering a framework to (1) measure</w:t>
      </w:r>
      <w:r w:rsidR="007A4985">
        <w:t xml:space="preserve"> three types of</w:t>
      </w:r>
      <w:r w:rsidR="00417A57">
        <w:t xml:space="preserve"> stringency and (2) characterize change over time.</w:t>
      </w:r>
    </w:p>
    <w:p w14:paraId="09C2DFC5" w14:textId="77777777" w:rsidR="00417A57" w:rsidRDefault="00417A57" w:rsidP="00417A57"/>
    <w:p w14:paraId="140F2EDC" w14:textId="77777777" w:rsidR="00417A57" w:rsidRDefault="00417A57" w:rsidP="00417A57">
      <w:r>
        <w:t>## Step 1: Measuring scope, prescriptiveness, and policy settings</w:t>
      </w:r>
    </w:p>
    <w:p w14:paraId="25855A6E" w14:textId="77777777" w:rsidR="00417A57" w:rsidRDefault="00417A57" w:rsidP="00417A57">
      <w:r>
        <w:lastRenderedPageBreak/>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07EB03C2" w14:textId="77777777" w:rsidR="00417A57" w:rsidRDefault="00417A57" w:rsidP="00417A57"/>
    <w:p w14:paraId="5DFBDC20" w14:textId="77777777" w:rsidR="00417A57" w:rsidRDefault="00417A57" w:rsidP="00417A57">
      <w:r>
        <w:t>The first step for scholars who wish to make claims about stringency or direction of change involves three tasks: describing policy content according to policy settings, scope, and prescriptiveness (Table \ref{types-of-stringency}). Comparing across programs requires a second step: measuring relative stringency and change on each dimension (see Table \ref{patterns}). First, we elaborate on step one.</w:t>
      </w:r>
    </w:p>
    <w:p w14:paraId="2238AFBD" w14:textId="77777777" w:rsidR="00417A57" w:rsidRDefault="00417A57" w:rsidP="00417A57"/>
    <w:p w14:paraId="73BA9FA7" w14:textId="77777777" w:rsidR="00417A57" w:rsidRDefault="00417A57" w:rsidP="00417A57">
      <w:r>
        <w:t>\input{tables/types-of-stringency}</w:t>
      </w:r>
    </w:p>
    <w:p w14:paraId="598BBA22" w14:textId="77777777" w:rsidR="00417A57" w:rsidRDefault="00417A57" w:rsidP="00417A57"/>
    <w:p w14:paraId="113C6B8A" w14:textId="00FB45ED" w:rsidR="00FB4BA9" w:rsidRDefault="00417A57" w:rsidP="00417A57">
      <w:r>
        <w:t>*Scope</w:t>
      </w:r>
      <w:proofErr w:type="gramStart"/>
      <w:r>
        <w:t>:*</w:t>
      </w:r>
      <w:proofErr w:type="gramEnd"/>
      <w:r>
        <w:t xml:space="preserve"> </w:t>
      </w:r>
      <w:r w:rsidR="00C62504">
        <w:t xml:space="preserve">Given the differences within and across programs, </w:t>
      </w:r>
      <w:r w:rsidR="00A21010">
        <w:t xml:space="preserve">assessing the </w:t>
      </w:r>
      <w:r w:rsidR="007009B2">
        <w:t xml:space="preserve">relative </w:t>
      </w:r>
      <w:r w:rsidR="00A21010">
        <w:t xml:space="preserve">scope of issues </w:t>
      </w:r>
      <w:r w:rsidR="007009B2">
        <w:t>they address</w:t>
      </w:r>
      <w:r w:rsidR="00A21010">
        <w:t xml:space="preserve"> requires inductively deriving a </w:t>
      </w:r>
      <w:r w:rsidR="00C62504">
        <w:t xml:space="preserve">full range of </w:t>
      </w:r>
      <w:r>
        <w:t>policy issues</w:t>
      </w:r>
      <w:r w:rsidR="007009B2">
        <w:t xml:space="preserve"> </w:t>
      </w:r>
      <w:r>
        <w:t>addressed by one or more regulatory texts in a given policy domain.</w:t>
      </w:r>
      <w:r w:rsidR="007009B2">
        <w:t xml:space="preserve"> All comparisons of scope are conditional on such a set that est</w:t>
      </w:r>
      <w:bookmarkStart w:id="0" w:name="_GoBack"/>
      <w:bookmarkEnd w:id="0"/>
      <w:r w:rsidR="007009B2">
        <w:t>ablishes the “denominator” for in the portion issues addressed by each program at each point in time. Scholars often give too little attention to this set of relevant comparisons given its importance for results.</w:t>
      </w:r>
      <w:r>
        <w:t xml:space="preserve"> </w:t>
      </w:r>
      <w:r w:rsidR="004F24C1">
        <w:t xml:space="preserve">Once </w:t>
      </w:r>
      <w:r w:rsidR="007009B2">
        <w:t>a researcher establishes a comprehensive set of issues</w:t>
      </w:r>
      <w:r w:rsidR="004F24C1">
        <w:t xml:space="preserve">, </w:t>
      </w:r>
      <w:r w:rsidR="007009B2">
        <w:t xml:space="preserve">they </w:t>
      </w:r>
      <w:r w:rsidR="004F24C1">
        <w:t xml:space="preserve">can turn to assess the </w:t>
      </w:r>
      <w:r w:rsidR="007009B2">
        <w:t>extent to which</w:t>
      </w:r>
      <w:r>
        <w:t xml:space="preserve"> </w:t>
      </w:r>
      <w:r w:rsidR="007009B2">
        <w:t>each</w:t>
      </w:r>
      <w:r w:rsidR="004F24C1">
        <w:t xml:space="preserve"> regulation </w:t>
      </w:r>
      <w:r w:rsidR="007009B2">
        <w:t>covers</w:t>
      </w:r>
      <w:r w:rsidR="004F24C1">
        <w:t xml:space="preserve"> </w:t>
      </w:r>
      <w:r w:rsidR="007009B2">
        <w:t>this set of issues</w:t>
      </w:r>
      <w:r>
        <w:t xml:space="preserve">. </w:t>
      </w:r>
      <w:commentRangeStart w:id="1"/>
      <w:r w:rsidR="00904A85">
        <w:t>^[</w:t>
      </w:r>
      <w:r>
        <w:t>While</w:t>
      </w:r>
      <w:r w:rsidR="00904A85">
        <w:t xml:space="preserve"> assessing a comprehensive set of issues </w:t>
      </w:r>
      <w:r>
        <w:t>reduces the risk of omitting key issues on which regulations may vary, it is</w:t>
      </w:r>
      <w:r w:rsidR="007009B2">
        <w:t xml:space="preserve"> often</w:t>
      </w:r>
      <w:r>
        <w:t xml:space="preserve"> </w:t>
      </w:r>
      <w:r w:rsidR="008B105B">
        <w:t xml:space="preserve">time </w:t>
      </w:r>
      <w:r w:rsidR="00EB01A4">
        <w:t xml:space="preserve">consuming and </w:t>
      </w:r>
      <w:r>
        <w:t>costly. Scholars may thus opt for a limited scope, as long as they clearly describe their scope relative to the potential set of comparisons. A comprehensive approach is necessary, however, to assess claims about the scope of regulations (such as the hypotheses from section 2.3).</w:t>
      </w:r>
      <w:r w:rsidR="00904A85">
        <w:t>]</w:t>
      </w:r>
      <w:r w:rsidR="00FB4BA9">
        <w:t xml:space="preserve"> </w:t>
      </w:r>
      <w:commentRangeEnd w:id="1"/>
      <w:r w:rsidR="003C44C7">
        <w:rPr>
          <w:rStyle w:val="CommentReference"/>
        </w:rPr>
        <w:commentReference w:id="1"/>
      </w:r>
      <w:r w:rsidR="00904A85">
        <w:t>With issue scope as a measurement concept, one can assess a regulation’s</w:t>
      </w:r>
      <w:r w:rsidR="00FB4BA9">
        <w:t xml:space="preserve"> </w:t>
      </w:r>
      <w:r>
        <w:t xml:space="preserve">absolute </w:t>
      </w:r>
      <w:r w:rsidR="00FB4BA9">
        <w:t xml:space="preserve">requirements </w:t>
      </w:r>
      <w:r>
        <w:t>(</w:t>
      </w:r>
      <w:r w:rsidR="00FB4BA9">
        <w:t>i.e.</w:t>
      </w:r>
      <w:r w:rsidR="00904A85">
        <w:t>,</w:t>
      </w:r>
      <w:r w:rsidR="00FB4BA9">
        <w:t xml:space="preserve"> </w:t>
      </w:r>
      <w:r>
        <w:t>how many</w:t>
      </w:r>
      <w:r w:rsidR="00904A85">
        <w:t xml:space="preserve"> key</w:t>
      </w:r>
      <w:r>
        <w:t xml:space="preserve"> issues</w:t>
      </w:r>
      <w:r w:rsidR="00904A85">
        <w:t xml:space="preserve"> it </w:t>
      </w:r>
      <w:r>
        <w:t>addresse</w:t>
      </w:r>
      <w:r w:rsidR="00904A85">
        <w:t>s</w:t>
      </w:r>
      <w:r>
        <w:t>)</w:t>
      </w:r>
      <w:proofErr w:type="gramStart"/>
      <w:r w:rsidR="00FB4BA9">
        <w:t>;</w:t>
      </w:r>
      <w:proofErr w:type="gramEnd"/>
      <w:r w:rsidR="00FB4BA9">
        <w:t xml:space="preserve"> its </w:t>
      </w:r>
      <w:r>
        <w:t xml:space="preserve">relative </w:t>
      </w:r>
      <w:r w:rsidR="00FB4BA9">
        <w:t xml:space="preserve">requirements </w:t>
      </w:r>
      <w:r>
        <w:t>(</w:t>
      </w:r>
      <w:r w:rsidR="00FB4BA9">
        <w:t>i.e.</w:t>
      </w:r>
      <w:r w:rsidR="00904A85">
        <w:t>,</w:t>
      </w:r>
      <w:r w:rsidR="00FB4BA9">
        <w:t xml:space="preserve"> </w:t>
      </w:r>
      <w:r>
        <w:t xml:space="preserve">how many more or fewer issues </w:t>
      </w:r>
      <w:r w:rsidR="00FB4BA9">
        <w:t xml:space="preserve">does it </w:t>
      </w:r>
      <w:proofErr w:type="spellStart"/>
      <w:r>
        <w:t>it</w:t>
      </w:r>
      <w:proofErr w:type="spellEnd"/>
      <w:r>
        <w:t xml:space="preserve"> address than its competitor), and in change over time (</w:t>
      </w:r>
      <w:r w:rsidR="00FB4BA9">
        <w:t xml:space="preserve">i.e. how many changes occurred </w:t>
      </w:r>
      <w:r w:rsidR="00904A85">
        <w:t>between</w:t>
      </w:r>
      <w:r w:rsidR="00FB4BA9">
        <w:t xml:space="preserve"> </w:t>
      </w:r>
      <w:r w:rsidR="00904A85">
        <w:t xml:space="preserve">time </w:t>
      </w:r>
      <w:r w:rsidR="00FB4BA9">
        <w:t xml:space="preserve">1 </w:t>
      </w:r>
      <w:r w:rsidR="00904A85">
        <w:t xml:space="preserve">and time </w:t>
      </w:r>
      <w:r w:rsidR="00FB4BA9">
        <w:t>2)</w:t>
      </w:r>
      <w:r w:rsidR="00904A85">
        <w:t>.</w:t>
      </w:r>
    </w:p>
    <w:p w14:paraId="5B40B2CB" w14:textId="77777777" w:rsidR="00417A57" w:rsidRDefault="00417A57" w:rsidP="00417A57"/>
    <w:p w14:paraId="7A4AD524" w14:textId="42B6486C" w:rsidR="003863DF" w:rsidRDefault="00417A57" w:rsidP="00417A57">
      <w:pPr>
        <w:rPr>
          <w:ins w:id="2" w:author="Cashore, Benjamin" w:date="2019-03-19T14:21:00Z"/>
        </w:rPr>
      </w:pPr>
      <w:r>
        <w:t>*Prescriptiveness</w:t>
      </w:r>
      <w:proofErr w:type="gramStart"/>
      <w:r>
        <w:t>:*</w:t>
      </w:r>
      <w:proofErr w:type="gramEnd"/>
      <w:r>
        <w:t xml:space="preserve"> Second, we measure the extent to which each requirement is prescriptive, i.e., has substantive and mandatory features </w:t>
      </w:r>
      <w:r w:rsidR="003863DF">
        <w:t>such as</w:t>
      </w:r>
      <w:r>
        <w:t xml:space="preserve"> performance thresholds (see Table \ref{prescriptiveness} adapted from @Cashore2007). </w:t>
      </w:r>
      <w:ins w:id="3" w:author="Cashore, Benjamin" w:date="2019-03-19T14:20:00Z">
        <w:r w:rsidR="003863DF">
          <w:t xml:space="preserve"> A </w:t>
        </w:r>
        <w:commentRangeStart w:id="4"/>
        <w:commentRangeStart w:id="5"/>
        <w:r w:rsidR="003863DF">
          <w:t>performance</w:t>
        </w:r>
      </w:ins>
      <w:commentRangeEnd w:id="4"/>
      <w:ins w:id="6" w:author="Cashore, Benjamin" w:date="2019-03-19T14:23:00Z">
        <w:r w:rsidR="00A73961">
          <w:rPr>
            <w:rStyle w:val="CommentReference"/>
          </w:rPr>
          <w:commentReference w:id="4"/>
        </w:r>
        <w:commentRangeEnd w:id="5"/>
        <w:r w:rsidR="00A73961">
          <w:rPr>
            <w:rStyle w:val="CommentReference"/>
          </w:rPr>
          <w:commentReference w:id="5"/>
        </w:r>
      </w:ins>
      <w:ins w:id="7" w:author="Cashore, Benjamin" w:date="2019-03-19T14:20:00Z">
        <w:r w:rsidR="003863DF">
          <w:t xml:space="preserve"> threshold refers to an act</w:t>
        </w:r>
      </w:ins>
      <w:ins w:id="8" w:author="Cashore, Benjamin" w:date="2019-03-19T14:21:00Z">
        <w:r w:rsidR="003863DF">
          <w:t xml:space="preserve">ual “on the ground” requirement, such as the actual size of a buffer zone near streams. </w:t>
        </w:r>
      </w:ins>
      <w:commentRangeStart w:id="9"/>
      <w:r>
        <w:t xml:space="preserve">Because "prescriptive versus flexible" refers to how each issue is addressed, not the ends of the policy, we can compare prescriptiveness across different substantive requirements. </w:t>
      </w:r>
      <w:commentRangeEnd w:id="9"/>
      <w:r w:rsidR="003863DF">
        <w:rPr>
          <w:rStyle w:val="CommentReference"/>
        </w:rPr>
        <w:commentReference w:id="9"/>
      </w:r>
      <w:commentRangeStart w:id="10"/>
      <w:r>
        <w:t xml:space="preserve">Prescriptiveness is a continuum from discretionary guidelines, which allow maximum flexibility, to </w:t>
      </w:r>
      <w:r>
        <w:lastRenderedPageBreak/>
        <w:t xml:space="preserve">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w:t>
      </w:r>
      <w:commentRangeEnd w:id="10"/>
      <w:r w:rsidR="003863DF">
        <w:rPr>
          <w:rStyle w:val="CommentReference"/>
        </w:rPr>
        <w:commentReference w:id="10"/>
      </w:r>
      <w:r>
        <w:t xml:space="preserve">even less prescriptive. </w:t>
      </w:r>
    </w:p>
    <w:p w14:paraId="5A9E4BB6" w14:textId="77777777" w:rsidR="003863DF" w:rsidRDefault="003863DF" w:rsidP="00417A57">
      <w:pPr>
        <w:rPr>
          <w:ins w:id="11" w:author="Cashore, Benjamin" w:date="2019-03-19T14:21:00Z"/>
        </w:rPr>
      </w:pPr>
    </w:p>
    <w:p w14:paraId="5C180444" w14:textId="53E46935" w:rsidR="00417A57" w:rsidRDefault="00417A57" w:rsidP="000472A7">
      <w:r>
        <w:t xml:space="preserve">On each issue, </w:t>
      </w:r>
      <w:r w:rsidR="003863DF">
        <w:t xml:space="preserve">our framework </w:t>
      </w:r>
      <w:r w:rsidR="000472A7">
        <w:t>identifies</w:t>
      </w:r>
      <w:r w:rsidR="003863DF">
        <w:t xml:space="preserve"> both </w:t>
      </w:r>
      <w:r>
        <w:t xml:space="preserve">absolute </w:t>
      </w:r>
      <w:r w:rsidR="000472A7">
        <w:t xml:space="preserve">and relative </w:t>
      </w:r>
      <w:r w:rsidR="003863DF">
        <w:t xml:space="preserve">measures of prescriptiveness, and relatively. This leads to three possibilities: </w:t>
      </w:r>
      <w:r>
        <w:t xml:space="preserve">“no prescriptive requirements” or “some prescriptive requirements”—and then, if the latter, in a relative sense—whether they are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t>
      </w:r>
      <w:r w:rsidR="000472A7">
        <w:t xml:space="preserve">our framework classifies </w:t>
      </w:r>
      <w:r>
        <w:t>changes as becoming more prescriptive or less prescriptive on each issue, thus capturing the direction of change in prescriptiveness.</w:t>
      </w:r>
    </w:p>
    <w:p w14:paraId="20687B79" w14:textId="77777777" w:rsidR="00417A57" w:rsidRDefault="00417A57" w:rsidP="00417A57"/>
    <w:p w14:paraId="63559178" w14:textId="77777777" w:rsidR="00417A57" w:rsidRDefault="00417A57" w:rsidP="00417A57">
      <w:r>
        <w:t>\input{tables/prescriptiveness}</w:t>
      </w:r>
    </w:p>
    <w:p w14:paraId="64BA917E" w14:textId="77777777" w:rsidR="00417A57" w:rsidRDefault="00417A57" w:rsidP="00417A57"/>
    <w:p w14:paraId="646C7400" w14:textId="77777777" w:rsidR="00417A57" w:rsidRDefault="00417A57" w:rsidP="00417A57">
      <w:r>
        <w:t>*Policy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2FAB0D0D" w14:textId="77777777" w:rsidR="00417A57" w:rsidRDefault="00417A57" w:rsidP="00417A57"/>
    <w:p w14:paraId="50207886" w14:textId="77777777" w:rsidR="00417A57" w:rsidRDefault="00417A57" w:rsidP="00417A57">
      <w:r>
        <w:t xml:space="preserve">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w:t>
      </w:r>
      <w:r>
        <w:lastRenderedPageBreak/>
        <w:t>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8BC8D7E" w14:textId="77777777" w:rsidR="00417A57" w:rsidRDefault="00417A57" w:rsidP="00417A57"/>
    <w:p w14:paraId="448CC1F6" w14:textId="77777777" w:rsidR="00417A57" w:rsidRDefault="00417A57" w:rsidP="00417A57">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66F9D421" w14:textId="77777777" w:rsidR="00417A57" w:rsidRDefault="00417A57" w:rsidP="00417A57"/>
    <w:p w14:paraId="194BE70F" w14:textId="77777777" w:rsidR="00417A57" w:rsidRDefault="00417A57" w:rsidP="00417A57">
      <w:r>
        <w:t>## Step 2: Classifying Patterns of Change</w:t>
      </w:r>
    </w:p>
    <w:p w14:paraId="0FEBE19A" w14:textId="77777777" w:rsidR="00417A57" w:rsidRDefault="00417A57" w:rsidP="00417A57">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\ref{patterns}). Thus, in aggregate, nine relationships fully capture the possible dynamics for each dimension of change.  All of the theories about regulatory stringency from Table \ref{review} should be able to be expressed in terms of the dimension(s) to which the theory applies, the absolute directions of change they predict, and relative relationships they anticipate.</w:t>
      </w:r>
    </w:p>
    <w:p w14:paraId="673A786E" w14:textId="77777777" w:rsidR="00417A57" w:rsidRDefault="00417A57" w:rsidP="00417A57"/>
    <w:p w14:paraId="492B0999" w14:textId="77777777" w:rsidR="00417A57" w:rsidRDefault="00417A57" w:rsidP="00417A57">
      <w:r>
        <w:t>\input{tables/patterns}</w:t>
      </w:r>
    </w:p>
    <w:p w14:paraId="131C132B" w14:textId="77777777" w:rsidR="00417A57" w:rsidRDefault="00417A57" w:rsidP="00417A57"/>
    <w:p w14:paraId="37181145" w14:textId="77777777" w:rsidR="00417A57" w:rsidRDefault="00417A57" w:rsidP="00417A57">
      <w:r>
        <w:t xml:space="preserve">*Conclusion:*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w:t>
      </w:r>
      <w:r>
        <w:lastRenderedPageBreak/>
        <w:t xml:space="preserve">add that any measurement approach should also capture qualitative differences in policy settings.  </w:t>
      </w:r>
    </w:p>
    <w:p w14:paraId="315B43D5" w14:textId="77777777" w:rsidR="00417A57" w:rsidRDefault="00417A57" w:rsidP="00417A57"/>
    <w:p w14:paraId="15460BF6" w14:textId="77777777" w:rsidR="00417A57" w:rsidRDefault="00417A57" w:rsidP="00417A57">
      <w:r>
        <w:t>## Theorizing in terms of scope, prescriptiveness, and policy settings</w:t>
      </w:r>
    </w:p>
    <w:p w14:paraId="3B459E14" w14:textId="77777777" w:rsidR="00417A57" w:rsidRDefault="00417A57" w:rsidP="00417A57">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78CE4A91" w14:textId="77777777" w:rsidR="00417A57" w:rsidRDefault="00417A57" w:rsidP="00417A57"/>
    <w:p w14:paraId="1D0F8CB2" w14:textId="77777777" w:rsidR="00417A57" w:rsidRDefault="00417A57" w:rsidP="00417A57">
      <w:r>
        <w:t>*Compliance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895516B" w14:textId="77777777" w:rsidR="00417A57" w:rsidRDefault="00417A57" w:rsidP="00417A57"/>
    <w:p w14:paraId="13615E06" w14:textId="77777777" w:rsidR="00417A57" w:rsidRDefault="00417A57" w:rsidP="00417A57">
      <w:r>
        <w:t>*Revised compliance cost hypotheses:* If broadening scope is low-cost for firms but increasing prescriptiveness and performance levels are high-cost,</w:t>
      </w:r>
    </w:p>
    <w:p w14:paraId="1960D23E" w14:textId="77777777" w:rsidR="00417A57" w:rsidRDefault="00417A57" w:rsidP="00417A57"/>
    <w:p w14:paraId="326E41A2" w14:textId="77777777" w:rsidR="00417A57" w:rsidRDefault="00417A57" w:rsidP="00417A57">
      <w:r>
        <w:t>&gt;**H1.1:** An industry-backed regulation will be more similar to an activist-backed regulation in scope than in prescriptiveness or performance levels.</w:t>
      </w:r>
    </w:p>
    <w:p w14:paraId="4AD8A4AA" w14:textId="77777777" w:rsidR="00417A57" w:rsidRDefault="00417A57" w:rsidP="00417A57"/>
    <w:p w14:paraId="7431EC2A" w14:textId="77777777" w:rsidR="00417A57" w:rsidRDefault="00417A57" w:rsidP="00417A57">
      <w:r>
        <w:t>&gt;**H1.2:** An industry-backed regulation will be more likely to respond to changes in an activist backed regulation by converging in scope than in prescriptiveness or performance levels.</w:t>
      </w:r>
    </w:p>
    <w:p w14:paraId="3A3E025E" w14:textId="77777777" w:rsidR="00417A57" w:rsidRDefault="00417A57" w:rsidP="00417A57"/>
    <w:p w14:paraId="77ED9468" w14:textId="77777777" w:rsidR="00417A57" w:rsidRDefault="00417A57" w:rsidP="00417A57">
      <w:r>
        <w:t>*Differentiation:* Another core theoretical claim is that different coalitions will establish qualitatively different policies [@Botzem2012; @Hsueh2012]. By distinguishing types of stringency, we can reflect on existing literature to identify qualitative differences in how stringency varies across programs.</w:t>
      </w:r>
    </w:p>
    <w:p w14:paraId="706345D3" w14:textId="77777777" w:rsidR="00417A57" w:rsidRDefault="00417A57" w:rsidP="00417A57"/>
    <w:p w14:paraId="2B7AAD29" w14:textId="77777777" w:rsidR="00417A57" w:rsidRDefault="00417A57" w:rsidP="00417A57">
      <w:r>
        <w:t>For instance, we expect that the relative stringency of an industry-backed program on a given issue will depend on whether the requirements results in net benefits to the industry. In contrast, we would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to be broader on issues where industry-backed programs can more easily foster an impression of stringency or where compliance costs are relatively higher.</w:t>
      </w:r>
    </w:p>
    <w:p w14:paraId="1C51BAF7" w14:textId="77777777" w:rsidR="00417A57" w:rsidRDefault="00417A57" w:rsidP="00417A57"/>
    <w:p w14:paraId="067E4AA2" w14:textId="77777777" w:rsidR="00417A57" w:rsidRDefault="00417A57" w:rsidP="00417A57">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3601E578" w14:textId="77777777" w:rsidR="00417A57" w:rsidRDefault="00417A57" w:rsidP="00417A57"/>
    <w:p w14:paraId="01CD046A" w14:textId="77777777" w:rsidR="00417A57" w:rsidRDefault="00417A57" w:rsidP="00417A57">
      <w:r>
        <w:t xml:space="preserve">*Revised differentiation hypotheses:* Where activist-backed and industry-backed private regulations compete, </w:t>
      </w:r>
    </w:p>
    <w:p w14:paraId="312F057D" w14:textId="77777777" w:rsidR="00417A57" w:rsidRDefault="00417A57" w:rsidP="00417A57"/>
    <w:p w14:paraId="73F261FA" w14:textId="77777777" w:rsidR="00417A57" w:rsidRDefault="00417A57" w:rsidP="00417A57">
      <w:r>
        <w:t xml:space="preserve">&gt;**H2.1:** Activist-backed regulations will have more comprehensive coverage, more prescriptive requirements, and higher performance thresholds on costly issues. </w:t>
      </w:r>
    </w:p>
    <w:p w14:paraId="34A5B54C" w14:textId="77777777" w:rsidR="00417A57" w:rsidRDefault="00417A57" w:rsidP="00417A57"/>
    <w:p w14:paraId="5428F9A7" w14:textId="77777777" w:rsidR="00417A57" w:rsidRDefault="00417A57" w:rsidP="00417A57">
      <w:r>
        <w:t>&gt;**H2.2:** Industry-backed regulations have more comprehensive coverage,  more prescriptive requirements, and higher performance thresholds on business-friendly issues, such as those that firms do anyway or those related to industry collective action problems.</w:t>
      </w:r>
    </w:p>
    <w:p w14:paraId="42FE5BBA" w14:textId="77777777" w:rsidR="00417A57" w:rsidRDefault="00417A57" w:rsidP="00417A57"/>
    <w:p w14:paraId="3311C32A" w14:textId="77777777" w:rsidR="00417A57" w:rsidRDefault="00417A57" w:rsidP="00417A57">
      <w:r>
        <w:t xml:space="preserve">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w:t>
      </w:r>
      <w:r>
        <w:lastRenderedPageBreak/>
        <w:t>prescriptiveness, and policy settings of forestry certification programs do follow different patterns and that existing theories cannot fully account for these changes.</w:t>
      </w:r>
    </w:p>
    <w:p w14:paraId="4B78FEDE" w14:textId="77777777" w:rsidR="00417A57" w:rsidRDefault="00417A57" w:rsidP="00417A57"/>
    <w:p w14:paraId="7BD677F7" w14:textId="77777777" w:rsidR="00417A57" w:rsidRDefault="00417A57" w:rsidP="00417A57">
      <w:r>
        <w:t># Competing US Forest Certification Programs</w:t>
      </w:r>
    </w:p>
    <w:p w14:paraId="6DC53F74" w14:textId="77777777" w:rsidR="00417A57" w:rsidRDefault="00417A57" w:rsidP="00417A57">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32047BE" w14:textId="77777777" w:rsidR="00417A57" w:rsidRDefault="00417A57" w:rsidP="00417A57"/>
    <w:p w14:paraId="486D0E94" w14:textId="77777777" w:rsidR="00417A57" w:rsidRDefault="00417A57" w:rsidP="00417A57">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1AD51358" w14:textId="77777777" w:rsidR="00417A57" w:rsidRDefault="00417A57" w:rsidP="00417A57"/>
    <w:p w14:paraId="7B53C6B2" w14:textId="77777777" w:rsidR="00417A57" w:rsidRDefault="00417A57" w:rsidP="00417A57">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57FA8F8D" w14:textId="77777777" w:rsidR="00417A57" w:rsidRDefault="00417A57" w:rsidP="00417A57"/>
    <w:p w14:paraId="4261FBD9" w14:textId="77777777" w:rsidR="00417A57" w:rsidRDefault="00417A57" w:rsidP="00417A57">
      <w:r>
        <w:t>![U.S. Timberland by ownership and certification scheme](Figs/acres-1.png)</w:t>
      </w:r>
    </w:p>
    <w:p w14:paraId="440795B0" w14:textId="77777777" w:rsidR="00417A57" w:rsidRDefault="00417A57" w:rsidP="00417A57"/>
    <w:p w14:paraId="72066351" w14:textId="77777777" w:rsidR="00417A57" w:rsidRDefault="00417A57" w:rsidP="00417A57">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7A1D0738" w14:textId="77777777" w:rsidR="00417A57" w:rsidRDefault="00417A57" w:rsidP="00417A57"/>
    <w:p w14:paraId="46AAE5A8" w14:textId="77777777" w:rsidR="00417A57" w:rsidRDefault="00417A57" w:rsidP="00417A57">
      <w:r>
        <w:lastRenderedPageBreak/>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253930AE" w14:textId="77777777" w:rsidR="00417A57" w:rsidRDefault="00417A57" w:rsidP="00417A57"/>
    <w:p w14:paraId="1E0D441A" w14:textId="77777777" w:rsidR="00417A57" w:rsidRDefault="00417A57" w:rsidP="00417A57">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7DFA5875" w14:textId="77777777" w:rsidR="00417A57" w:rsidRDefault="00417A57" w:rsidP="00417A57"/>
    <w:p w14:paraId="0820777E" w14:textId="77777777" w:rsidR="00417A57" w:rsidRDefault="00417A57" w:rsidP="00417A57">
      <w:r>
        <w:t>## Scope, prescriptiveness, and policy settings in forestry</w:t>
      </w:r>
    </w:p>
    <w:p w14:paraId="6094E155" w14:textId="77777777" w:rsidR="00417A57" w:rsidRDefault="00417A57" w:rsidP="00417A57">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4A955B6F" w14:textId="77777777" w:rsidR="00417A57" w:rsidRDefault="00417A57" w:rsidP="00417A57"/>
    <w:p w14:paraId="5EE19E32" w14:textId="77777777" w:rsidR="00417A57" w:rsidRDefault="00417A57" w:rsidP="00417A57">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107EBB16" w14:textId="77777777" w:rsidR="00417A57" w:rsidRDefault="00417A57" w:rsidP="00417A57"/>
    <w:p w14:paraId="68DBE314" w14:textId="77777777" w:rsidR="00417A57" w:rsidRDefault="00417A57" w:rsidP="00417A57">
      <w:r>
        <w:lastRenderedPageBreak/>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56A356EC" w14:textId="77777777" w:rsidR="00417A57" w:rsidRDefault="00417A57" w:rsidP="00417A57"/>
    <w:p w14:paraId="534A81B6" w14:textId="77777777" w:rsidR="00417A57" w:rsidRDefault="00417A57" w:rsidP="00417A57">
      <w:r>
        <w:t>## Results</w:t>
      </w:r>
    </w:p>
    <w:p w14:paraId="6C5F051F" w14:textId="77777777" w:rsidR="00417A57" w:rsidRDefault="00417A57" w:rsidP="00417A57">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4546695" w14:textId="77777777" w:rsidR="00417A57" w:rsidRDefault="00417A57" w:rsidP="00417A57"/>
    <w:p w14:paraId="04F02066" w14:textId="77777777" w:rsidR="00417A57" w:rsidRDefault="00417A57" w:rsidP="00417A57">
      <w:r>
        <w:t>### Comparing FSC’s and PEFC’s international requirements</w:t>
      </w:r>
    </w:p>
    <w:p w14:paraId="0B179A5C" w14:textId="77777777" w:rsidR="00417A57" w:rsidRDefault="00417A57" w:rsidP="00417A57">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238982D5" w14:textId="77777777" w:rsidR="00417A57" w:rsidRDefault="00417A57" w:rsidP="00417A57"/>
    <w:p w14:paraId="6D6CDCD3" w14:textId="77777777" w:rsidR="00417A57" w:rsidRDefault="00417A57" w:rsidP="00417A57">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w:t>
      </w:r>
    </w:p>
    <w:p w14:paraId="04607461" w14:textId="77777777" w:rsidR="00417A57" w:rsidRDefault="00417A57" w:rsidP="00417A57"/>
    <w:p w14:paraId="035D6C1B" w14:textId="77777777" w:rsidR="00417A57" w:rsidRDefault="00417A57" w:rsidP="00417A57">
      <w:r>
        <w:lastRenderedPageBreak/>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32090A7F" w14:textId="77777777" w:rsidR="00417A57" w:rsidRDefault="00417A57" w:rsidP="00417A57"/>
    <w:p w14:paraId="1FE476F1" w14:textId="77777777" w:rsidR="00417A57" w:rsidRDefault="00417A57" w:rsidP="00417A57">
      <w:r>
        <w:t>![Scope and Prescriptiveness of FSC P&amp;C and PEFC 2008-2015](Figs/FSC-PEFC-1.png)</w:t>
      </w:r>
    </w:p>
    <w:p w14:paraId="1AB3B5FF" w14:textId="77777777" w:rsidR="00417A57" w:rsidRDefault="00417A57" w:rsidP="00417A57"/>
    <w:p w14:paraId="7B59C52F" w14:textId="77777777" w:rsidR="00417A57" w:rsidRDefault="00417A57" w:rsidP="00417A57">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3DEE9C34" w14:textId="77777777" w:rsidR="00417A57" w:rsidRDefault="00417A57" w:rsidP="00417A57"/>
    <w:p w14:paraId="05EB41BF" w14:textId="77777777" w:rsidR="00417A57" w:rsidRDefault="00417A57" w:rsidP="00417A57">
      <w:r>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2D460179" w14:textId="77777777" w:rsidR="00417A57" w:rsidRDefault="00417A57" w:rsidP="00417A57"/>
    <w:p w14:paraId="71B34490" w14:textId="77777777" w:rsidR="00417A57" w:rsidRDefault="00417A57" w:rsidP="00417A57">
      <w:r>
        <w:t>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w:t>
      </w:r>
      <w:r>
        <w:lastRenderedPageBreak/>
        <w:t xml:space="preserve">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055A3EB4" w14:textId="77777777" w:rsidR="00417A57" w:rsidRDefault="00417A57" w:rsidP="00417A57"/>
    <w:p w14:paraId="72243290" w14:textId="77777777" w:rsidR="00417A57" w:rsidRDefault="00417A57" w:rsidP="00417A57">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71B4C0D6" w14:textId="77777777" w:rsidR="00417A57" w:rsidRDefault="00417A57" w:rsidP="00417A57"/>
    <w:p w14:paraId="3E56BBC4" w14:textId="77777777" w:rsidR="00417A57" w:rsidRDefault="00417A57" w:rsidP="00417A57">
      <w:r>
        <w:t>4.2.2 Comparing the FSC-US and SFI</w:t>
      </w:r>
    </w:p>
    <w:p w14:paraId="206E28F2" w14:textId="77777777" w:rsidR="00417A57" w:rsidRDefault="00417A57" w:rsidP="00417A57">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D257E1E" w14:textId="77777777" w:rsidR="00417A57" w:rsidRDefault="00417A57" w:rsidP="00417A57"/>
    <w:p w14:paraId="62641332" w14:textId="77777777" w:rsidR="00417A57" w:rsidRDefault="00417A57" w:rsidP="00417A57">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34415E40" w14:textId="77777777" w:rsidR="00417A57" w:rsidRDefault="00417A57" w:rsidP="00417A57"/>
    <w:p w14:paraId="4AC9851B" w14:textId="77777777" w:rsidR="00417A57" w:rsidRDefault="00417A57" w:rsidP="00417A57">
      <w:r>
        <w:t xml:space="preserve">Counting changes made to the FSC-US and SFI standards between 2008 and 2016 reveals an “upward diverging” pattern, where the FSC-US became more prescriptive </w:t>
      </w:r>
      <w:r>
        <w:lastRenderedPageBreak/>
        <w:t>than did the SFI  (the bottom panel of Figure 3). Of 48 key issues, the FSC-US became more prescriptive in 20, whereas SFI became more prescriptive in 12, eight in 2010, one more in 2013, and three more in 2015.</w:t>
      </w:r>
    </w:p>
    <w:p w14:paraId="30043E11" w14:textId="77777777" w:rsidR="00417A57" w:rsidRDefault="00417A57" w:rsidP="00417A57"/>
    <w:p w14:paraId="2DCDE32D" w14:textId="77777777" w:rsidR="00417A57" w:rsidRDefault="00417A57" w:rsidP="00417A57">
      <w:r>
        <w:t>![Scope and Prescriptiveness of FSC-US and SFI 2008-2016](Figs/FSC-SFI-1.png)</w:t>
      </w:r>
    </w:p>
    <w:p w14:paraId="4E90F663" w14:textId="77777777" w:rsidR="00417A57" w:rsidRDefault="00417A57" w:rsidP="00417A57"/>
    <w:p w14:paraId="2A4900EB" w14:textId="77777777" w:rsidR="00417A57" w:rsidRDefault="00417A57" w:rsidP="00417A57">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further restrictions based on region and forest type (Figure 4). </w:t>
      </w:r>
    </w:p>
    <w:p w14:paraId="4DB4FFC0" w14:textId="77777777" w:rsidR="00417A57" w:rsidRDefault="00417A57" w:rsidP="00417A57"/>
    <w:p w14:paraId="33C4546C" w14:textId="77777777" w:rsidR="00417A57" w:rsidRDefault="00417A57" w:rsidP="00417A57">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we can only compare other policy settings qualitatively, the FSC-US clearly requires higher levels of performance on many social and ecological issues (Table \ref{issues}).</w:t>
      </w:r>
    </w:p>
    <w:p w14:paraId="0DE78DC0" w14:textId="77777777" w:rsidR="00417A57" w:rsidRDefault="00417A57" w:rsidP="00417A57"/>
    <w:p w14:paraId="0735C26A" w14:textId="77777777" w:rsidR="00417A57" w:rsidRDefault="00417A57" w:rsidP="00417A57">
      <w:r>
        <w:t xml:space="preserve">![Limits on </w:t>
      </w:r>
      <w:proofErr w:type="spellStart"/>
      <w:r>
        <w:t>Clearcut</w:t>
      </w:r>
      <w:proofErr w:type="spellEnd"/>
      <w:r>
        <w:t xml:space="preserve"> Size](Figs/clearcuts-1.png)</w:t>
      </w:r>
    </w:p>
    <w:p w14:paraId="347010CF" w14:textId="77777777" w:rsidR="00417A57" w:rsidRDefault="00417A57" w:rsidP="00417A57"/>
    <w:p w14:paraId="4A41A6CC" w14:textId="77777777" w:rsidR="00417A57" w:rsidRDefault="00417A57" w:rsidP="00417A57">
      <w:r>
        <w:t>![Limits on Harvesting Near Streams](Figs/riparian-1.png)</w:t>
      </w:r>
    </w:p>
    <w:p w14:paraId="53A8B288" w14:textId="77777777" w:rsidR="00417A57" w:rsidRDefault="00417A57" w:rsidP="00417A57"/>
    <w:p w14:paraId="09D5DDC2" w14:textId="77777777" w:rsidR="00417A57" w:rsidRDefault="00417A57" w:rsidP="00417A57">
      <w:r>
        <w:t>\input{tables/issues}</w:t>
      </w:r>
    </w:p>
    <w:p w14:paraId="6CA9007D" w14:textId="77777777" w:rsidR="00417A57" w:rsidRDefault="00417A57" w:rsidP="00417A57"/>
    <w:p w14:paraId="2A84B146" w14:textId="77777777" w:rsidR="00417A57" w:rsidRDefault="00417A57" w:rsidP="00417A57">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3F9199A1" w14:textId="77777777" w:rsidR="00417A57" w:rsidRDefault="00417A57" w:rsidP="00417A57"/>
    <w:p w14:paraId="4FBF8F1A" w14:textId="77777777" w:rsidR="00417A57" w:rsidRDefault="00417A57" w:rsidP="00417A57">
      <w:r>
        <w:t xml:space="preserve">The bulk of the divergence occurred on ecological requirements like protecting habitat, where the FSC-US became more prescriptive while the SFI stayed constant </w:t>
      </w:r>
      <w:r>
        <w:lastRenderedPageBreak/>
        <w:t>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02E1BB94" w14:textId="77777777" w:rsidR="00417A57" w:rsidRDefault="00417A57" w:rsidP="00417A57"/>
    <w:p w14:paraId="28E5DC28" w14:textId="77777777" w:rsidR="00417A57" w:rsidRDefault="00417A57" w:rsidP="00417A57">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153BB7A3" w14:textId="77777777" w:rsidR="00417A57" w:rsidRDefault="00417A57" w:rsidP="00417A57"/>
    <w:p w14:paraId="2F00AF2C" w14:textId="77777777" w:rsidR="00417A57" w:rsidRDefault="00417A57" w:rsidP="00417A57">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484D0559" w14:textId="77777777" w:rsidR="00417A57" w:rsidRDefault="00417A57" w:rsidP="00417A57"/>
    <w:p w14:paraId="4DD3036B" w14:textId="77777777" w:rsidR="00417A57" w:rsidRDefault="00417A57" w:rsidP="00417A57">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333702C7" w14:textId="77777777" w:rsidR="00417A57" w:rsidRDefault="00417A57" w:rsidP="00417A57"/>
    <w:p w14:paraId="38F17C30" w14:textId="77777777" w:rsidR="007D1796" w:rsidRDefault="007D1796" w:rsidP="007D1796">
      <w:r>
        <w:t># Discussion</w:t>
      </w:r>
    </w:p>
    <w:p w14:paraId="233602C0" w14:textId="77777777" w:rsidR="007D1796" w:rsidRDefault="007D1796" w:rsidP="007D1796">
      <w:r>
        <w:t>## Overall comparison</w:t>
      </w:r>
    </w:p>
    <w:p w14:paraId="6A1433E6" w14:textId="77777777" w:rsidR="007D1796" w:rsidRDefault="007D1796" w:rsidP="007D1796">
      <w:r>
        <w:t xml:space="preserve">By distinguishing different types of stringency on a comprehensive set of issues, our framework improves upon blunt measures of “high” or “low” based on generalizations or on only a few issues. </w:t>
      </w:r>
    </w:p>
    <w:p w14:paraId="2417E895" w14:textId="77777777" w:rsidR="007D1796" w:rsidRDefault="007D1796" w:rsidP="007D1796"/>
    <w:p w14:paraId="4442506E" w14:textId="77777777" w:rsidR="007D1796" w:rsidRDefault="007D1796" w:rsidP="007D1796">
      <w:r w:rsidRPr="00781583">
        <w:t>Overall our results are consistent with the expectation that activist based programs have higher levels of more costly types of stringency</w:t>
      </w:r>
      <w:r w:rsidRPr="00701C64">
        <w:rPr>
          <w:b/>
        </w:rPr>
        <w:t>.</w:t>
      </w:r>
      <w:r>
        <w:t xml:space="preserve"> 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Numerically, FSC-US had a broader scope of social benefits, but the programs do present tradeoffs between conceptions of the public good. On prescriptiveness, the contrast is </w:t>
      </w:r>
      <w:proofErr w:type="gramStart"/>
      <w:r>
        <w:t>more stark</w:t>
      </w:r>
      <w:proofErr w:type="gramEnd"/>
      <w:r>
        <w:t xml:space="preserve">, with the FSC-US standard having significantly more prescriptive requirements on most social issues. On policy settings, the two programs have significant differences. On labor standards and indigenous rights, the FSC-US required higher wages and more attention to rights than the SFI did. In short, by conventional definitions of what counts as a social issue, by most qualitative comparisons, and certainly in terms of prescriptiveness, the FSC-US standard is more stringent than the SFI standard on social issues. </w:t>
      </w:r>
    </w:p>
    <w:p w14:paraId="3F145D8F" w14:textId="77777777" w:rsidR="007D1796" w:rsidRDefault="007D1796" w:rsidP="007D1796"/>
    <w:p w14:paraId="0B560960" w14:textId="77777777" w:rsidR="007D1796" w:rsidRDefault="007D1796" w:rsidP="007D1796">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EB253DB" w14:textId="77777777" w:rsidR="007D1796" w:rsidRDefault="007D1796" w:rsidP="007D1796"/>
    <w:p w14:paraId="1A47EA4D" w14:textId="77777777" w:rsidR="007D1796" w:rsidRDefault="007D1796" w:rsidP="007D1796">
      <w:r>
        <w:t xml:space="preserve">## Patterns of change </w:t>
      </w:r>
    </w:p>
    <w:p w14:paraId="53F45B9F" w14:textId="77777777" w:rsidR="007D1796" w:rsidRDefault="007D1796" w:rsidP="007D1796">
      <w:r>
        <w:t>In most years between 2008 and 2016, neither program changed on any issue (the center cell in Table \</w:t>
      </w:r>
      <w:proofErr w:type="gramStart"/>
      <w:r>
        <w:t>ref{</w:t>
      </w:r>
      <w:proofErr w:type="gramEnd"/>
      <w:r>
        <w:t>patterns}, “equilibrium”).</w:t>
      </w:r>
    </w:p>
    <w:p w14:paraId="606BBFD2" w14:textId="77777777" w:rsidR="007D1796" w:rsidRDefault="007D1796" w:rsidP="007D1796"/>
    <w:p w14:paraId="20AACC0F" w14:textId="77777777" w:rsidR="007D1796" w:rsidRDefault="007D1796" w:rsidP="007D1796">
      <w:r>
        <w:t xml:space="preserve">Where they did change, upwardly diverging prescriptiveness was the dominant pattern. Most changes for both programs occurred in 2010 where the overall pattern was divergence (also called differentiation), rather than convergence or stability. For all sixteen issues on which only the FSC-US added requirements, it </w:t>
      </w:r>
      <w:r>
        <w:lastRenderedPageBreak/>
        <w:t xml:space="preserve">already had the more prescriptive requirements, and almost all of these additions address ecological problems. Similarly, for three out of the four issues on which only the SFI added requirements, the SFI already had more prescriptive requirements. </w:t>
      </w:r>
    </w:p>
    <w:p w14:paraId="53631D16" w14:textId="77777777" w:rsidR="007D1796" w:rsidRDefault="007D1796" w:rsidP="007D1796"/>
    <w:p w14:paraId="1C5FB354" w14:textId="77777777" w:rsidR="007D1796" w:rsidRDefault="007D1796" w:rsidP="007D1796">
      <w:r>
        <w:t>The vast majority of changes (twenty-one of twenty-seven issues changed) fit a pattern where one program increased prescriptiveness while the other did not (or in one case, increased to a lesser degree) and the program that increased stringency already had the more prescriptive requirements. On eighteen issues, the less prescriptive program stayed the same, leading to upward divergence. On three issues, the less prescriptive program decreased prescriptiveness, leading to opposing divergence (see Table \</w:t>
      </w:r>
      <w:proofErr w:type="gramStart"/>
      <w:r>
        <w:t>ref{</w:t>
      </w:r>
      <w:proofErr w:type="gramEnd"/>
      <w:r>
        <w:t xml:space="preserve">patterns-2010-2015}). </w:t>
      </w:r>
    </w:p>
    <w:p w14:paraId="1E6F6B4B" w14:textId="77777777" w:rsidR="007D1796" w:rsidRDefault="007D1796" w:rsidP="007D1796"/>
    <w:p w14:paraId="3373E48E" w14:textId="77777777" w:rsidR="007D1796" w:rsidRDefault="007D1796" w:rsidP="007D1796">
      <w:r>
        <w:t>\</w:t>
      </w:r>
      <w:proofErr w:type="gramStart"/>
      <w:r>
        <w:t>input</w:t>
      </w:r>
      <w:proofErr w:type="gramEnd"/>
      <w:r>
        <w:t>{tables/patterns-2010-2015}</w:t>
      </w:r>
    </w:p>
    <w:p w14:paraId="0013D9EE" w14:textId="77777777" w:rsidR="007D1796" w:rsidRDefault="007D1796" w:rsidP="007D1796"/>
    <w:p w14:paraId="149C37BC" w14:textId="77777777" w:rsidR="007D1796" w:rsidRDefault="007D1796" w:rsidP="007D1796">
      <w:r>
        <w:t xml:space="preserve">Convergence was rare. In 2010,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4812EA95" w14:textId="77777777" w:rsidR="007D1796" w:rsidRDefault="007D1796" w:rsidP="007D1796"/>
    <w:p w14:paraId="18BE41F9" w14:textId="77777777" w:rsidR="007D1796" w:rsidRDefault="007D1796" w:rsidP="007D1796">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than those added by the SFI. No issues exhibited downward parallel change, as “race to the bottom” theory anticipates.</w:t>
      </w:r>
    </w:p>
    <w:p w14:paraId="55F5A7AD" w14:textId="77777777" w:rsidR="007D1796" w:rsidRDefault="007D1796" w:rsidP="007D1796"/>
    <w:p w14:paraId="4C2E76DB" w14:textId="77777777" w:rsidR="007D1796" w:rsidRDefault="007D1796" w:rsidP="007D1796">
      <w:r>
        <w:t xml:space="preserve">After the significant revisions of both programs in 2010, only the SFI updated its requirements, mostly in 2015. In contrast to the 2010 changes, the pattern in 2015 was a moderate upward convergence. SFI increased prescriptiveness on three issues where it did </w:t>
      </w:r>
      <w:r w:rsidRPr="00822851">
        <w:rPr>
          <w:b/>
          <w:bCs/>
        </w:rPr>
        <w:t>not</w:t>
      </w:r>
      <w:r>
        <w:t xml:space="preserve">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2D9295B0" w14:textId="77777777" w:rsidR="007D1796" w:rsidRDefault="007D1796" w:rsidP="007D1796"/>
    <w:p w14:paraId="6B854A84" w14:textId="77777777" w:rsidR="007D1796" w:rsidRDefault="007D1796" w:rsidP="007D1796">
      <w:r>
        <w:t>## Implications for theory</w:t>
      </w:r>
    </w:p>
    <w:p w14:paraId="73889207" w14:textId="77777777" w:rsidR="007D1796" w:rsidRDefault="007D1796" w:rsidP="007D1796">
      <w:r>
        <w:lastRenderedPageBreak/>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the upward by diverging trajectories of the SFI and FSC-US do not exactly fit a “race to the top” either.</w:t>
      </w:r>
    </w:p>
    <w:p w14:paraId="5956FBEB" w14:textId="77777777" w:rsidR="007D1796" w:rsidRDefault="007D1796" w:rsidP="007D1796"/>
    <w:p w14:paraId="790B5D6E" w14:textId="77777777" w:rsidR="007D1796" w:rsidRDefault="007D1796" w:rsidP="007D1796">
      <w:r>
        <w:t xml:space="preserve">Our results do support, with some caveats, hypotheses 1.1, </w:t>
      </w:r>
      <w:proofErr w:type="gramStart"/>
      <w:r>
        <w:t>2.1 ,</w:t>
      </w:r>
      <w:proofErr w:type="gramEnd"/>
      <w:r>
        <w:t xml:space="preserve"> and 2.2 outlined in Section 2.3. We ended up with no evidence either way on hypothesis 1.2.</w:t>
      </w:r>
    </w:p>
    <w:p w14:paraId="440C36DA" w14:textId="77777777" w:rsidR="007D1796" w:rsidRDefault="007D1796" w:rsidP="007D1796"/>
    <w:p w14:paraId="23A126A2" w14:textId="77777777" w:rsidR="007D1796" w:rsidRDefault="007D1796" w:rsidP="007D1796">
      <w:r>
        <w:t xml:space="preserve">Regarding H1.1, the industry-backed program often had language similar to that of an activist-driven standard (i.e., had a similar scope), but often lacked mandatory performance thresholds (i.e., did not have similar prescriptiveness). If “talk is cheap,” but prescriptive requirements are costly, it makes sense that an industry-backed program would cover similar issues as its competitor without adopting costly performance thresholds.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7853DBBB" w14:textId="77777777" w:rsidR="007D1796" w:rsidRDefault="007D1796" w:rsidP="007D1796"/>
    <w:p w14:paraId="44218EB1" w14:textId="77777777" w:rsidR="007D1796" w:rsidRDefault="007D1796" w:rsidP="007D1796">
      <w:r>
        <w:t xml:space="preserve">Regarding H2.1, we find differentiation between the FSC-US and the SFI; the activist-backed program was more comprehensive in scope and more prescriptive on issues that cost firms’, while the industry-backed program was more comprehensive in scope and more prescriptive on issues that create net utility for the industry. Hypothesis 2.2 posits that the same kind of differentiation will drive change. This aligns with changes to the FSC-US and SFI in 2010, but less so in 2015. More research is needed to further test these and other hypotheses, using similarly precise and comprehensive measures of regulatory stringency. Specifically, while “race to the top” theories anticipate the general upward direction we observe, more attention is needed to programs may increase prescriptiveness on different issues. </w:t>
      </w:r>
    </w:p>
    <w:p w14:paraId="566BFC95" w14:textId="77777777" w:rsidR="007D1796" w:rsidRDefault="007D1796" w:rsidP="007D1796"/>
    <w:p w14:paraId="07C5C9A2" w14:textId="77777777" w:rsidR="007D1796" w:rsidRDefault="007D1796" w:rsidP="007D1796">
      <w:r>
        <w:t>## Industry-backed certification programs as a form of collective action</w:t>
      </w:r>
    </w:p>
    <w:p w14:paraId="49D4F5BC" w14:textId="77777777" w:rsidR="007D1796" w:rsidRDefault="007D1796" w:rsidP="007D1796">
      <w:r>
        <w:t xml:space="preserve">Our finding that the SFI and FSC-US were each more prescriptive and continued to become more prescriptive on different issues highlights how industry-backed certification programs can serve their industry in two ways. First, they provide individual firms with a service—a market signal of "social responsibility" that requires a credible third party. These signals would be more expensive to send by </w:t>
      </w:r>
      <w:r>
        <w:lastRenderedPageBreak/>
        <w:t xml:space="preserve">complying with an activist-backed regulation. Second, they provide a mechanism for the industry to improve its collective reputation and capacity by coordinating contributions to collective goods, a common function of industry associations. </w:t>
      </w:r>
    </w:p>
    <w:p w14:paraId="09E41BBF" w14:textId="77777777" w:rsidR="007D1796" w:rsidRDefault="007D1796" w:rsidP="007D1796"/>
    <w:p w14:paraId="0F0917D3" w14:textId="77777777" w:rsidR="007D1796" w:rsidRDefault="007D1796" w:rsidP="007D1796">
      <w:r>
        <w:t xml:space="preserve">Regarding the first, industry-backed alternative programs were created to save firms money by offering a label that sends “green” or “socially responsible” signals in the market without some of the more costly demands of activist-backed programs. Such signals are often based on perceived stringency, which may vary from actual stringency. </w:t>
      </w:r>
      <w:commentRangeStart w:id="12"/>
      <w:r>
        <w:t>^[While our framework clarifies differences in actual stringency between activist- and industry- backed programs, which program one prefers will still depend on one’s problem definitions and values. What we do know is that, on many issues, industry-backed programs address the same issues as activist-backed programs with language that might give the impression of equivalence in stringency but contain substantially fewer prescriptive requirements. We show that seemingly similar looking language requires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t>ref{</w:t>
      </w:r>
      <w:proofErr w:type="gramEnd"/>
      <w:r>
        <w:t>riparian} and \ref{</w:t>
      </w:r>
      <w:proofErr w:type="spellStart"/>
      <w:r>
        <w:t>clearcuts</w:t>
      </w:r>
      <w:proofErr w:type="spellEnd"/>
      <w:r>
        <w:t>} and Table \ref{issues}). The extent to which this helps firms coordinate to maximize the impression of stringency while minimizing the costs of doing so is a question for future research.]</w:t>
      </w:r>
      <w:commentRangeEnd w:id="12"/>
      <w:r>
        <w:rPr>
          <w:rStyle w:val="CommentReference"/>
        </w:rPr>
        <w:commentReference w:id="12"/>
      </w:r>
      <w:r>
        <w:t xml:space="preserve"> Nevertheless, maintaining credibility may require some prescriptive requirements on costly issues. On these issues levels of prescriptiveness and change are likely driven by competition with activist-backed standards. </w:t>
      </w:r>
    </w:p>
    <w:p w14:paraId="6AE3BE49" w14:textId="77777777" w:rsidR="007D1796" w:rsidRDefault="007D1796" w:rsidP="007D1796"/>
    <w:p w14:paraId="3E07DF0C" w14:textId="77777777" w:rsidR="007D1796" w:rsidRDefault="007D1796" w:rsidP="007D1796"/>
    <w:p w14:paraId="4F0491D2" w14:textId="77777777" w:rsidR="007D1796" w:rsidRDefault="007D1796" w:rsidP="007D1796">
      <w:r>
        <w:t>Regarding the second, the fact that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unrelated to competition with the FSC. Instead, SFI had the most prescriptive requirements for actions that firms may take anyway—like training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standards, such requirements may provide collective benefits for the sector in the form of a positive public image and skilled workforce.</w:t>
      </w:r>
    </w:p>
    <w:p w14:paraId="7D5B038C" w14:textId="77777777" w:rsidR="007D1796" w:rsidRDefault="007D1796" w:rsidP="007D1796"/>
    <w:p w14:paraId="2528E567" w14:textId="13EBD160" w:rsidR="00417A57" w:rsidRDefault="007D1796" w:rsidP="00417A57">
      <w:r>
        <w:t xml:space="preserve">In sum, where the SFI developed more prescriptive requirements than the FSC, it required things that firms may do anyway (e.g., train workers or educate the public), </w:t>
      </w:r>
      <w:r>
        <w:lastRenderedPageBreak/>
        <w:t>but have additional collective benefits the more widely they are adopted. While unforeseen by existing theories, the fact that the SFI is more prescriptive on some issues is less surprising if these requirements provide net benefits to the sector regardless of activist pressures or consumer</w:t>
      </w:r>
      <w:r w:rsidR="00417A57">
        <w:t xml:space="preserve"> </w:t>
      </w:r>
      <w:commentRangeStart w:id="13"/>
      <w:commentRangeStart w:id="14"/>
      <w:r w:rsidR="00417A57">
        <w:t>demands</w:t>
      </w:r>
      <w:commentRangeEnd w:id="13"/>
      <w:r w:rsidR="009E0F09">
        <w:rPr>
          <w:rStyle w:val="CommentReference"/>
        </w:rPr>
        <w:commentReference w:id="13"/>
      </w:r>
      <w:commentRangeEnd w:id="14"/>
      <w:r w:rsidR="001F2575">
        <w:rPr>
          <w:rStyle w:val="CommentReference"/>
        </w:rPr>
        <w:commentReference w:id="14"/>
      </w:r>
      <w:r w:rsidR="00417A57">
        <w:t xml:space="preserve">.  </w:t>
      </w:r>
    </w:p>
    <w:p w14:paraId="2CF558C4" w14:textId="77777777" w:rsidR="00417A57" w:rsidRDefault="00417A57" w:rsidP="00417A57"/>
    <w:p w14:paraId="5B5B2175" w14:textId="77777777" w:rsidR="00417A57" w:rsidRDefault="00417A57" w:rsidP="00417A57">
      <w:r>
        <w:t># Conclusion</w:t>
      </w:r>
    </w:p>
    <w:p w14:paraId="521F5F91" w14:textId="77777777" w:rsidR="00417A57" w:rsidRDefault="00417A57" w:rsidP="00417A57">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18A22441" w14:textId="77777777" w:rsidR="00417A57" w:rsidRDefault="00417A57" w:rsidP="00417A57"/>
    <w:p w14:paraId="1F559EA4" w14:textId="77777777" w:rsidR="00417A57" w:rsidRDefault="00417A57" w:rsidP="00417A57">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32B3C8EE" w14:textId="77777777" w:rsidR="00417A57" w:rsidRDefault="00417A57" w:rsidP="00417A57"/>
    <w:p w14:paraId="363013A6" w14:textId="77777777" w:rsidR="00417A57" w:rsidRDefault="00417A57" w:rsidP="00417A57">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the effects on the ground.</w:t>
      </w:r>
    </w:p>
    <w:p w14:paraId="6D6EA231" w14:textId="77777777" w:rsidR="00417A57" w:rsidRDefault="00417A57" w:rsidP="00417A57"/>
    <w:p w14:paraId="5BB036FB" w14:textId="4851184D" w:rsidR="002F4C61" w:rsidRPr="00417A57" w:rsidRDefault="00417A57" w:rsidP="00417A57">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RPr="00417A57"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20T12:33:00Z" w:initials="D">
    <w:p w14:paraId="486A69A7" w14:textId="391C47E5" w:rsidR="000F0971" w:rsidRDefault="000F0971">
      <w:pPr>
        <w:pStyle w:val="CommentText"/>
      </w:pPr>
      <w:r>
        <w:rPr>
          <w:rStyle w:val="CommentReference"/>
        </w:rPr>
        <w:annotationRef/>
      </w:r>
      <w:r>
        <w:t>Made this a footnote.</w:t>
      </w:r>
    </w:p>
  </w:comment>
  <w:comment w:id="4" w:author="Cashore, Benjamin" w:date="2019-03-19T14:23:00Z" w:initials="CB">
    <w:p w14:paraId="71F1EFC3" w14:textId="7AAC3A4A" w:rsidR="000F0971" w:rsidRDefault="000F0971">
      <w:pPr>
        <w:pStyle w:val="CommentText"/>
      </w:pPr>
      <w:r>
        <w:rPr>
          <w:rStyle w:val="CommentReference"/>
        </w:rPr>
        <w:annotationRef/>
      </w:r>
      <w:r>
        <w:t>Seems I am wrong about putting the b</w:t>
      </w:r>
    </w:p>
  </w:comment>
  <w:comment w:id="5" w:author="Cashore, Benjamin" w:date="2019-03-19T14:23:00Z" w:initials="CB">
    <w:p w14:paraId="415D8429" w14:textId="34473149" w:rsidR="000F0971" w:rsidRDefault="000F0971">
      <w:pPr>
        <w:pStyle w:val="CommentText"/>
      </w:pPr>
      <w:r>
        <w:rPr>
          <w:rStyle w:val="CommentReference"/>
        </w:rPr>
        <w:annotationRef/>
      </w:r>
      <w:r>
        <w:t>Buffer statement here than below, which makes me confused about what this section is doing.</w:t>
      </w:r>
    </w:p>
  </w:comment>
  <w:comment w:id="9" w:author="Cashore, Benjamin" w:date="2019-03-19T14:21:00Z" w:initials="CB">
    <w:p w14:paraId="45B017D2" w14:textId="2F5EAEBC" w:rsidR="000F0971" w:rsidRDefault="000F0971">
      <w:pPr>
        <w:pStyle w:val="CommentText"/>
      </w:pPr>
      <w:r>
        <w:rPr>
          <w:rStyle w:val="CommentReference"/>
        </w:rPr>
        <w:annotationRef/>
      </w:r>
      <w:r>
        <w:t>I don’t understand</w:t>
      </w:r>
    </w:p>
  </w:comment>
  <w:comment w:id="10" w:author="Cashore, Benjamin" w:date="2019-03-19T14:22:00Z" w:initials="CB">
    <w:p w14:paraId="05CB78CF" w14:textId="7D33BB17" w:rsidR="000F0971" w:rsidRDefault="000F0971">
      <w:pPr>
        <w:pStyle w:val="CommentText"/>
      </w:pPr>
      <w:r>
        <w:rPr>
          <w:rStyle w:val="CommentReference"/>
        </w:rPr>
        <w:annotationRef/>
      </w:r>
      <w:r>
        <w:t>I don’t understand this paragraph… either</w:t>
      </w:r>
    </w:p>
  </w:comment>
  <w:comment w:id="12" w:author="DJL" w:date="2019-03-21T13:01:00Z" w:initials="D">
    <w:p w14:paraId="77125B13" w14:textId="77777777" w:rsidR="000F0971" w:rsidRDefault="000F0971" w:rsidP="007D1796">
      <w:pPr>
        <w:pStyle w:val="CommentText"/>
      </w:pPr>
      <w:r>
        <w:rPr>
          <w:rStyle w:val="CommentReference"/>
        </w:rPr>
        <w:annotationRef/>
      </w:r>
      <w:r>
        <w:t>This is now a footnote</w:t>
      </w:r>
    </w:p>
  </w:comment>
  <w:comment w:id="13" w:author="Cashore, Benjamin" w:date="2019-03-19T14:50:00Z" w:initials="CB">
    <w:p w14:paraId="1A697297" w14:textId="5E8609FA" w:rsidR="000F0971" w:rsidRDefault="000F0971">
      <w:pPr>
        <w:pStyle w:val="CommentText"/>
      </w:pPr>
      <w:r>
        <w:rPr>
          <w:rStyle w:val="CommentReference"/>
        </w:rPr>
        <w:annotationRef/>
      </w:r>
      <w:r>
        <w:t>Issues or regulations? I think we create some confusion in the text by using them synonymos.y</w:t>
      </w:r>
    </w:p>
  </w:comment>
  <w:comment w:id="14" w:author="DJL" w:date="2019-03-20T12:51:00Z" w:initials="D">
    <w:p w14:paraId="6DA8558E" w14:textId="24960ADA" w:rsidR="000F0971" w:rsidRDefault="000F0971">
      <w:pPr>
        <w:pStyle w:val="CommentText"/>
      </w:pPr>
      <w:r>
        <w:rPr>
          <w:rStyle w:val="CommentReference"/>
        </w:rPr>
        <w:annotationRef/>
      </w:r>
      <w:r>
        <w:t xml:space="preserve">In my mind a regulation is a policy text stating requirements on various issues.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1EFC3" w15:done="0"/>
  <w15:commentEx w15:paraId="415D8429" w15:paraIdParent="71F1EFC3" w15:done="0"/>
  <w15:commentEx w15:paraId="45B017D2" w15:done="0"/>
  <w15:commentEx w15:paraId="05CB78CF" w15:done="0"/>
  <w15:commentEx w15:paraId="3571F90E" w15:done="0"/>
  <w15:commentEx w15:paraId="6937010F" w15:done="0"/>
  <w15:commentEx w15:paraId="28776150" w15:done="0"/>
  <w15:commentEx w15:paraId="57791C15" w15:done="0"/>
  <w15:commentEx w15:paraId="341FB1E3" w15:done="0"/>
  <w15:commentEx w15:paraId="1A697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1EFC3" w16cid:durableId="203B79ED"/>
  <w16cid:commentId w16cid:paraId="415D8429" w16cid:durableId="203B79F6"/>
  <w16cid:commentId w16cid:paraId="45B017D2" w16cid:durableId="203B7962"/>
  <w16cid:commentId w16cid:paraId="05CB78CF" w16cid:durableId="203B7988"/>
  <w16cid:commentId w16cid:paraId="3571F90E" w16cid:durableId="203B7D32"/>
  <w16cid:commentId w16cid:paraId="6937010F" w16cid:durableId="203B7D7F"/>
  <w16cid:commentId w16cid:paraId="28776150" w16cid:durableId="203B7DF7"/>
  <w16cid:commentId w16cid:paraId="57791C15" w16cid:durableId="203B7DE7"/>
  <w16cid:commentId w16cid:paraId="341FB1E3" w16cid:durableId="203B7E0D"/>
  <w16cid:commentId w16cid:paraId="1A697297" w16cid:durableId="203B8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72A7"/>
    <w:rsid w:val="000609F7"/>
    <w:rsid w:val="0007551B"/>
    <w:rsid w:val="000933B6"/>
    <w:rsid w:val="000D14B2"/>
    <w:rsid w:val="000F0971"/>
    <w:rsid w:val="0010328A"/>
    <w:rsid w:val="0015002B"/>
    <w:rsid w:val="00151EA2"/>
    <w:rsid w:val="00152220"/>
    <w:rsid w:val="00183566"/>
    <w:rsid w:val="0019247C"/>
    <w:rsid w:val="00197163"/>
    <w:rsid w:val="001C2192"/>
    <w:rsid w:val="001C2C45"/>
    <w:rsid w:val="001F2575"/>
    <w:rsid w:val="00212313"/>
    <w:rsid w:val="0024014B"/>
    <w:rsid w:val="002425CC"/>
    <w:rsid w:val="00262743"/>
    <w:rsid w:val="0026645E"/>
    <w:rsid w:val="00280782"/>
    <w:rsid w:val="00280D6A"/>
    <w:rsid w:val="002868B0"/>
    <w:rsid w:val="00287054"/>
    <w:rsid w:val="002B100E"/>
    <w:rsid w:val="002D2109"/>
    <w:rsid w:val="002D5A0D"/>
    <w:rsid w:val="002E0BCA"/>
    <w:rsid w:val="002F2AB2"/>
    <w:rsid w:val="002F4C61"/>
    <w:rsid w:val="00306A36"/>
    <w:rsid w:val="00322A69"/>
    <w:rsid w:val="00325CF4"/>
    <w:rsid w:val="003325D1"/>
    <w:rsid w:val="00342D52"/>
    <w:rsid w:val="00352A50"/>
    <w:rsid w:val="00374206"/>
    <w:rsid w:val="003863DF"/>
    <w:rsid w:val="00390536"/>
    <w:rsid w:val="003B3D20"/>
    <w:rsid w:val="003C3A91"/>
    <w:rsid w:val="003C44C7"/>
    <w:rsid w:val="003D1A0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109DE"/>
    <w:rsid w:val="005A7399"/>
    <w:rsid w:val="005D0653"/>
    <w:rsid w:val="005D488E"/>
    <w:rsid w:val="00631D94"/>
    <w:rsid w:val="006744BF"/>
    <w:rsid w:val="006801DF"/>
    <w:rsid w:val="006A1D86"/>
    <w:rsid w:val="006B0816"/>
    <w:rsid w:val="006C2C1C"/>
    <w:rsid w:val="006F0196"/>
    <w:rsid w:val="007009B2"/>
    <w:rsid w:val="00743B55"/>
    <w:rsid w:val="0075005B"/>
    <w:rsid w:val="00766E26"/>
    <w:rsid w:val="0078484A"/>
    <w:rsid w:val="0079058F"/>
    <w:rsid w:val="00791EC0"/>
    <w:rsid w:val="007A4985"/>
    <w:rsid w:val="007D1796"/>
    <w:rsid w:val="007E2C52"/>
    <w:rsid w:val="00800CEB"/>
    <w:rsid w:val="00815AA0"/>
    <w:rsid w:val="00831AEB"/>
    <w:rsid w:val="00857B16"/>
    <w:rsid w:val="00863AC2"/>
    <w:rsid w:val="0086546A"/>
    <w:rsid w:val="00865D28"/>
    <w:rsid w:val="008722CE"/>
    <w:rsid w:val="00872E0F"/>
    <w:rsid w:val="00876802"/>
    <w:rsid w:val="008B105B"/>
    <w:rsid w:val="008D6D03"/>
    <w:rsid w:val="008E26D0"/>
    <w:rsid w:val="008E72E2"/>
    <w:rsid w:val="008F059E"/>
    <w:rsid w:val="00904436"/>
    <w:rsid w:val="00904A85"/>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E03C22"/>
    <w:rsid w:val="00E21E60"/>
    <w:rsid w:val="00E3390B"/>
    <w:rsid w:val="00E44059"/>
    <w:rsid w:val="00E579F0"/>
    <w:rsid w:val="00E66BCD"/>
    <w:rsid w:val="00E73F70"/>
    <w:rsid w:val="00E856DD"/>
    <w:rsid w:val="00EA6619"/>
    <w:rsid w:val="00EB0173"/>
    <w:rsid w:val="00EB01A4"/>
    <w:rsid w:val="00ED6212"/>
    <w:rsid w:val="00EE01B3"/>
    <w:rsid w:val="00EF48EE"/>
    <w:rsid w:val="00F23F5F"/>
    <w:rsid w:val="00F26EDE"/>
    <w:rsid w:val="00F514AA"/>
    <w:rsid w:val="00F60C45"/>
    <w:rsid w:val="00F72956"/>
    <w:rsid w:val="00F94603"/>
    <w:rsid w:val="00FB4BA9"/>
    <w:rsid w:val="00FD5A6D"/>
    <w:rsid w:val="00FD7A60"/>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24</Pages>
  <Words>10885</Words>
  <Characters>62051</Characters>
  <Application>Microsoft Macintosh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9</cp:revision>
  <dcterms:created xsi:type="dcterms:W3CDTF">2019-03-20T15:39:00Z</dcterms:created>
  <dcterms:modified xsi:type="dcterms:W3CDTF">2019-03-27T18:25:00Z</dcterms:modified>
</cp:coreProperties>
</file>