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3FC15963"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98520C">
        <w:rPr>
          <w:bCs/>
          <w:color w:val="000000" w:themeColor="text1"/>
        </w:rPr>
        <w:t>of</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A11385">
        <w:rPr>
          <w:bCs/>
          <w:color w:val="000000" w:themeColor="text1"/>
        </w:rPr>
        <w:t xml:space="preserve"> over time</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1" w:author="Cashore, Benjamin" w:date="2019-03-11T17:47:00Z">
        <w:r w:rsidR="00C709E6" w:rsidDel="00756050">
          <w:rPr>
            <w:bCs/>
            <w:color w:val="000000" w:themeColor="text1"/>
          </w:rPr>
          <w:delText xml:space="preserve">that </w:delText>
        </w:r>
      </w:del>
      <w:del w:id="2" w:author="Cashore, Benjamin" w:date="2019-03-11T17:46:00Z">
        <w:r w:rsidR="00C709E6" w:rsidDel="008C793B">
          <w:rPr>
            <w:bCs/>
            <w:color w:val="000000" w:themeColor="text1"/>
          </w:rPr>
          <w:delText xml:space="preserve">solved </w:delText>
        </w:r>
      </w:del>
      <w:del w:id="3" w:author="Cashore, Benjamin" w:date="2019-03-11T17:47:00Z">
        <w:r w:rsidR="00C709E6" w:rsidDel="00756050">
          <w:rPr>
            <w:bCs/>
            <w:color w:val="000000" w:themeColor="text1"/>
          </w:rPr>
          <w:delText>industry collective action problems related to reputation and risk</w:delText>
        </w:r>
      </w:del>
      <w:del w:id="4"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5" w:author="Cashore, Benjamin" w:date="2019-03-10T21:54:00Z">
        <w:r w:rsidR="005E5AAC" w:rsidDel="00413B64">
          <w:rPr>
            <w:bCs/>
            <w:color w:val="000000" w:themeColor="text1"/>
          </w:rPr>
          <w:delText xml:space="preserve">benefit </w:delText>
        </w:r>
      </w:del>
      <w:del w:id="6"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7"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 xml:space="preserve">Activists created </w:t>
      </w:r>
      <w:r w:rsidR="00476008">
        <w:lastRenderedPageBreak/>
        <w:t>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w:t>
      </w:r>
      <w:proofErr w:type="spellStart"/>
      <w:r w:rsidR="009C0F03" w:rsidRPr="00387397">
        <w:t>Cashore</w:t>
      </w:r>
      <w:proofErr w:type="spellEnd"/>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8"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9"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0"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1" w:author="Cashore, Benjamin" w:date="2019-03-11T18:35:00Z">
        <w:r w:rsidR="009E2B31" w:rsidRPr="00387397" w:rsidDel="0006684D">
          <w:rPr>
            <w:rFonts w:eastAsia="Times New Roman"/>
            <w:color w:val="000000" w:themeColor="text1"/>
            <w:lang w:eastAsia="zh-CN"/>
          </w:rPr>
          <w:delText>measur</w:delText>
        </w:r>
      </w:del>
      <w:del w:id="12"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lastRenderedPageBreak/>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89AD12F" w:rsidR="00A95CF9" w:rsidRPr="00387397" w:rsidRDefault="006E2BF5" w:rsidP="00387397">
      <w:pPr>
        <w:spacing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56DB27FE" w:rsidR="00DD7F8E" w:rsidRPr="00387397" w:rsidRDefault="001C0DB9" w:rsidP="00387397">
      <w:pPr>
        <w:spacing w:line="480" w:lineRule="auto"/>
        <w:rPr>
          <w:color w:val="000000" w:themeColor="text1"/>
        </w:rPr>
      </w:pPr>
      <w:r>
        <w:t>Distinguishing types of stringency</w:t>
      </w:r>
      <w:r w:rsidR="00A4707F" w:rsidRPr="00387397">
        <w:t xml:space="preserve"> </w:t>
      </w:r>
      <w:r w:rsidR="00807943">
        <w:t xml:space="preserve">also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ins w:id="13" w:author="Cashore, Benjamin" w:date="2019-03-10T22:36:00Z">
        <w:r w:rsidR="004E04DD">
          <w:t>S</w:t>
        </w:r>
      </w:ins>
      <w:r w:rsidR="00DD7F8E" w:rsidRPr="00387397">
        <w:t xml:space="preserve">ome scholars </w:t>
      </w:r>
      <w:r w:rsidR="00BD3B6B">
        <w:t>posit</w:t>
      </w:r>
      <w:r w:rsidR="00A4707F" w:rsidRPr="00387397">
        <w:t>—</w:t>
      </w:r>
      <w:commentRangeStart w:id="14"/>
      <w:r w:rsidR="00DD7F8E" w:rsidRPr="00387397">
        <w:t>and</w:t>
      </w:r>
      <w:r w:rsidR="00D11324" w:rsidRPr="00387397">
        <w:t xml:space="preserve"> find </w:t>
      </w:r>
      <w:r w:rsidR="001C46D2">
        <w:t>evidence</w:t>
      </w:r>
      <w:r w:rsidR="00D11324" w:rsidRPr="00387397">
        <w:t xml:space="preserve"> for</w:t>
      </w:r>
      <w:commentRangeEnd w:id="14"/>
      <w:r w:rsidR="001C46D2">
        <w:rPr>
          <w:rStyle w:val="CommentReference"/>
          <w:rFonts w:asciiTheme="minorHAnsi" w:hAnsiTheme="minorHAnsi" w:cstheme="minorBidi"/>
        </w:rPr>
        <w:commentReference w:id="14"/>
      </w:r>
      <w:r w:rsidR="00A4707F" w:rsidRPr="00387397">
        <w:t>—</w:t>
      </w:r>
      <w:r w:rsidR="001C46D2">
        <w:t xml:space="preserve">a </w:t>
      </w:r>
      <w:r w:rsidR="00D11324" w:rsidRPr="00387397">
        <w:t xml:space="preserve">dynamics where </w:t>
      </w:r>
      <w:r w:rsidR="0000243F" w:rsidRPr="00387397">
        <w:t xml:space="preserve">competing </w:t>
      </w:r>
      <w:r w:rsidR="0000243F" w:rsidRPr="00387397">
        <w:lastRenderedPageBreak/>
        <w:t>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 xml:space="preserve">ther scholars </w:t>
      </w:r>
      <w:r w:rsidR="00BD3B6B">
        <w:t>posit</w:t>
      </w:r>
      <w:r w:rsidR="001C46D2">
        <w:t xml:space="preserve">—and find evidence for—the </w:t>
      </w:r>
      <w:r w:rsidR="004B1D30">
        <w:t>exact opposite</w:t>
      </w:r>
      <w:r w:rsidR="001C46D2">
        <w:t xml:space="preserve"> dynamic</w:t>
      </w:r>
      <w:r w:rsidR="00BD3B6B">
        <w:t>,</w:t>
      </w:r>
      <w:r w:rsidR="001C46D2">
        <w:t xml:space="preserve"> </w:t>
      </w:r>
      <w:r w:rsidR="004B1D30">
        <w:t xml:space="preserve">in which </w:t>
      </w:r>
      <w:r w:rsidR="00DD7F8E" w:rsidRPr="00387397">
        <w:t>competit</w:t>
      </w:r>
      <w:r w:rsidR="004B1D30">
        <w:t>ive</w:t>
      </w:r>
      <w:r w:rsidR="00DD7F8E" w:rsidRPr="00387397">
        <w:t xml:space="preserve"> pressures </w:t>
      </w:r>
      <w:r w:rsidR="004B1D30">
        <w:t xml:space="preserve">lead </w:t>
      </w:r>
      <w:r w:rsidR="00FB3C0C">
        <w:t>a “race to the bottom</w:t>
      </w:r>
      <w:proofErr w:type="gramStart"/>
      <w:r w:rsidR="00FB3C0C">
        <w:t>”</w:t>
      </w:r>
      <w:r w:rsidR="00FB3C0C" w:rsidRPr="00387397">
        <w:rPr>
          <w:color w:val="000000" w:themeColor="text1"/>
        </w:rPr>
        <w:t xml:space="preserve"> </w:t>
      </w:r>
      <w:r w:rsidR="00FB3C0C">
        <w:rPr>
          <w:color w:val="000000" w:themeColor="text1"/>
        </w:rPr>
        <w:t xml:space="preserve"> with</w:t>
      </w:r>
      <w:proofErr w:type="gramEnd"/>
      <w:r w:rsidR="00FB3C0C">
        <w:rPr>
          <w:color w:val="000000" w:themeColor="text1"/>
        </w:rPr>
        <w:t xml:space="preserve"> </w:t>
      </w:r>
      <w:r w:rsidR="00D11324" w:rsidRPr="00387397">
        <w:t>more stringent</w:t>
      </w:r>
      <w:r w:rsidR="00FB3C0C">
        <w:t xml:space="preserve"> programs decreasing </w:t>
      </w:r>
      <w:r w:rsidR="00DD7F8E" w:rsidRPr="00387397">
        <w:t>stringency</w:t>
      </w:r>
      <w:r w:rsidR="00FB3C0C">
        <w:t xml:space="preserve"> and</w:t>
      </w:r>
      <w:r w:rsidR="00013F0A" w:rsidRPr="00387397">
        <w:t xml:space="preserve"> converging toward less stringent ones</w:t>
      </w:r>
      <w:r w:rsidR="00BD3B6B">
        <w:t xml:space="preserve"> in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w:t>
      </w:r>
      <w:r w:rsidR="00BD3B6B">
        <w:t xml:space="preserve">posit—and find evidence for—dynamics where </w:t>
      </w:r>
      <w:r w:rsidR="007A3743" w:rsidRPr="00387397">
        <w:t xml:space="preserve">programs </w:t>
      </w:r>
      <w:r w:rsidR="00D11324" w:rsidRPr="00387397">
        <w:t>maintain different levels of stringency</w:t>
      </w:r>
      <w:r w:rsidR="007A3743" w:rsidRPr="00387397">
        <w:t>,</w:t>
      </w:r>
      <w:r w:rsidR="004D0D13" w:rsidRPr="00387397">
        <w:t xml:space="preserve"> i.e.</w:t>
      </w:r>
      <w:r w:rsidR="00A4349C">
        <w:t xml:space="preserve"> </w:t>
      </w:r>
      <w:r w:rsidR="001738D2">
        <w:t>they</w:t>
      </w:r>
      <w:r w:rsidR="00A4349C">
        <w:t xml:space="preserve"> remain distinct,</w:t>
      </w:r>
      <w:r w:rsidR="001738D2">
        <w:t xml:space="preserve"> neither </w:t>
      </w:r>
      <w:r w:rsidR="007A3743" w:rsidRPr="00387397">
        <w:t>conver</w:t>
      </w:r>
      <w:r w:rsidR="001738D2">
        <w:t>g</w:t>
      </w:r>
      <w:r w:rsidR="00A4349C">
        <w:t>ing</w:t>
      </w:r>
      <w:r w:rsidR="007A3743" w:rsidRPr="00387397">
        <w:t xml:space="preserve"> to the “top” </w:t>
      </w:r>
      <w:r w:rsidR="001738D2">
        <w:t>n</w:t>
      </w:r>
      <w:r w:rsidR="007A3743" w:rsidRPr="00387397">
        <w:t>or</w:t>
      </w:r>
      <w:r w:rsidR="001738D2">
        <w:t xml:space="preserve"> the</w:t>
      </w:r>
      <w:r w:rsidR="007A3743" w:rsidRPr="00387397">
        <w:t xml:space="preserve">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t>
      </w:r>
      <w:r w:rsidR="00BD3B6B">
        <w:t>While these three sets of findings seem incompatible</w:t>
      </w:r>
      <w:r w:rsidR="00E82696">
        <w:t>, we argue</w:t>
      </w:r>
      <w:r w:rsidR="00BD3B6B">
        <w:t xml:space="preserve"> that they are the result of different measurements strategies</w:t>
      </w:r>
      <w:r>
        <w:t xml:space="preserve">. </w:t>
      </w:r>
      <w:r w:rsidR="00BD3B6B">
        <w:t xml:space="preserve">Adjudicating or reconciling them thus requires a set of common concepts and measures of regulatory stringency.  </w:t>
      </w:r>
    </w:p>
    <w:p w14:paraId="33E4E4EF" w14:textId="77777777" w:rsidR="001F6B43" w:rsidRPr="00387397" w:rsidRDefault="001F6B43" w:rsidP="00387397">
      <w:pPr>
        <w:spacing w:line="480" w:lineRule="auto"/>
        <w:rPr>
          <w:color w:val="000000" w:themeColor="text1"/>
        </w:rPr>
      </w:pPr>
    </w:p>
    <w:p w14:paraId="1B8FA856" w14:textId="1E9497D2"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Pr="00387397">
        <w:rPr>
          <w:color w:val="000000" w:themeColor="text1"/>
        </w:rPr>
        <w:t>two-part framework</w:t>
      </w:r>
      <w:r w:rsidR="00737907">
        <w:rPr>
          <w:color w:val="000000" w:themeColor="text1"/>
        </w:rPr>
        <w:t xml:space="preserve"> designed to overcome these challenges</w:t>
      </w:r>
      <w:r w:rsidR="00F4039A" w:rsidRPr="00387397">
        <w:rPr>
          <w:color w:val="000000" w:themeColor="text1"/>
        </w:rPr>
        <w:t>.</w:t>
      </w:r>
      <w:r w:rsidR="003C5AC4" w:rsidRPr="00387397">
        <w:rPr>
          <w:color w:val="000000" w:themeColor="text1"/>
        </w:rPr>
        <w:t xml:space="preserve"> </w:t>
      </w:r>
      <w:r w:rsidR="00737907">
        <w:t>Sect</w:t>
      </w:r>
      <w:r w:rsidR="005D0B79">
        <w:t xml:space="preserve">ion </w:t>
      </w:r>
      <w:r w:rsidR="00737907">
        <w:t xml:space="preserve">four </w:t>
      </w:r>
      <w:r w:rsidR="000D72D5">
        <w:t xml:space="preserve">uses the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DB545A">
        <w:t xml:space="preserve"> i</w:t>
      </w:r>
      <w:r w:rsidR="00DA13B9">
        <w:t>n</w:t>
      </w:r>
      <w:r w:rsidR="00DB545A">
        <w:t xml:space="preserve"> the United States:</w:t>
      </w:r>
      <w:r w:rsidR="00DA13B9">
        <w:t xml:space="preserve"> </w:t>
      </w:r>
      <w:r w:rsidR="00DA13B9">
        <w:rPr>
          <w:color w:val="000000" w:themeColor="text1"/>
        </w:rPr>
        <w:t>the US Forest Stewardship Council (FSC)</w:t>
      </w:r>
      <w:r w:rsidR="00372505">
        <w:rPr>
          <w:color w:val="000000" w:themeColor="text1"/>
        </w:rPr>
        <w:t>, which was created by the World Wide Fund for Nature and</w:t>
      </w:r>
      <w:r w:rsidR="00DA13B9">
        <w:rPr>
          <w:color w:val="000000" w:themeColor="text1"/>
        </w:rPr>
        <w:t xml:space="preserve"> </w:t>
      </w:r>
      <w:r w:rsidR="00372505">
        <w:rPr>
          <w:color w:val="000000" w:themeColor="text1"/>
        </w:rPr>
        <w:t xml:space="preserve">its allies, </w:t>
      </w:r>
      <w:r w:rsidR="00DA13B9">
        <w:rPr>
          <w:color w:val="000000" w:themeColor="text1"/>
        </w:rPr>
        <w:t>and the US Sustainable Forestry Initiative (SFI)</w:t>
      </w:r>
      <w:r w:rsidR="00372505">
        <w:rPr>
          <w:color w:val="000000" w:themeColor="text1"/>
        </w:rPr>
        <w:t>, which was created by the American Forest and Paper Association.</w:t>
      </w:r>
      <w:r w:rsidR="00DB545A">
        <w:t xml:space="preserve"> </w:t>
      </w:r>
      <w:r w:rsidR="0023447D">
        <w:t xml:space="preserve"> We chose forestry </w:t>
      </w:r>
      <w:r w:rsidR="00432103">
        <w:t>as</w:t>
      </w:r>
      <w:r w:rsidR="000D72D5">
        <w:t xml:space="preserve"> one of the most institutionalized forms of private regulation</w:t>
      </w:r>
      <w:r w:rsidR="00167131" w:rsidRPr="00387397">
        <w:t>.</w:t>
      </w:r>
      <w:r w:rsidR="002253F7" w:rsidRPr="00387397">
        <w:t xml:space="preserve">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ins w:id="17" w:author="Cashore, Benjamin" w:date="2019-03-10T22:53:00Z">
        <w:r w:rsidR="00C24919">
          <w:rPr>
            <w:color w:val="000000" w:themeColor="text1"/>
          </w:rPr>
          <w:t>extant research had not uncovered:</w:t>
        </w:r>
      </w:ins>
      <w:del w:id="18" w:author="Cashore, Benjamin" w:date="2019-03-10T22:53:00Z">
        <w:r w:rsidR="00C75CF3" w:rsidRPr="00387397" w:rsidDel="00C24919">
          <w:rPr>
            <w:color w:val="000000" w:themeColor="text1"/>
          </w:rPr>
          <w:delText>no study of which we are aware</w:delText>
        </w:r>
        <w:r w:rsidR="00BF70D3" w:rsidRPr="00387397" w:rsidDel="00C24919">
          <w:rPr>
            <w:color w:val="000000" w:themeColor="text1"/>
          </w:rPr>
          <w:delText xml:space="preserve"> had predicted:</w:delText>
        </w:r>
      </w:del>
      <w:r w:rsidR="00BF70D3" w:rsidRPr="00387397">
        <w:rPr>
          <w:color w:val="000000" w:themeColor="text1"/>
        </w:rPr>
        <w:t xml:space="preserve">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0D72D5">
        <w:rPr>
          <w:color w:val="000000" w:themeColor="text1"/>
        </w:rPr>
        <w:t>,</w:t>
      </w:r>
      <w:r w:rsidR="00DA13B9">
        <w:rPr>
          <w:color w:val="000000" w:themeColor="text1"/>
        </w:rPr>
        <w:t xml:space="preserve"> </w:t>
      </w:r>
      <w:del w:id="19" w:author="Cashore, Benjamin" w:date="2019-03-10T22:54:00Z">
        <w:r w:rsidR="00D40112" w:rsidRPr="00387397" w:rsidDel="00900414">
          <w:rPr>
            <w:color w:val="000000" w:themeColor="text1"/>
          </w:rPr>
          <w:delText xml:space="preserve">when comparing </w:delText>
        </w:r>
      </w:del>
      <w:del w:id="20" w:author="Cashore, Benjamin" w:date="2019-03-11T18:39:00Z">
        <w:r w:rsidR="0085768A" w:rsidRPr="00387397" w:rsidDel="00DA13B9">
          <w:rPr>
            <w:color w:val="000000" w:themeColor="text1"/>
          </w:rPr>
          <w:delText xml:space="preserve">the two major </w:delText>
        </w:r>
        <w:r w:rsidR="00A542B9" w:rsidRPr="00387397" w:rsidDel="00DA13B9">
          <w:rPr>
            <w:color w:val="000000" w:themeColor="text1"/>
          </w:rPr>
          <w:delText xml:space="preserve">U.S. </w:delText>
        </w:r>
        <w:r w:rsidR="0085768A" w:rsidRPr="00387397" w:rsidDel="00DA13B9">
          <w:rPr>
            <w:color w:val="000000" w:themeColor="text1"/>
          </w:rPr>
          <w:delText>national-level</w:delText>
        </w:r>
        <w:r w:rsidR="00C75CF3" w:rsidRPr="00387397" w:rsidDel="00DA13B9">
          <w:rPr>
            <w:color w:val="000000" w:themeColor="text1"/>
          </w:rPr>
          <w:delText xml:space="preserve"> forestry certification</w:delText>
        </w:r>
        <w:r w:rsidR="0085768A" w:rsidRPr="00387397" w:rsidDel="00DA13B9">
          <w:rPr>
            <w:color w:val="000000" w:themeColor="text1"/>
          </w:rPr>
          <w:delText xml:space="preserve"> programs</w:delText>
        </w:r>
      </w:del>
      <w:del w:id="21" w:author="Cashore, Benjamin" w:date="2019-03-11T18:38:00Z">
        <w:r w:rsidR="00D40112" w:rsidRPr="00387397" w:rsidDel="00DA13B9">
          <w:rPr>
            <w:color w:val="000000" w:themeColor="text1"/>
          </w:rPr>
          <w:delText xml:space="preserve"> </w:delText>
        </w:r>
      </w:del>
      <w:del w:id="22" w:author="Cashore, Benjamin" w:date="2019-03-11T18:39:00Z">
        <w:r w:rsidR="00D40112" w:rsidRPr="00387397" w:rsidDel="00DA13B9">
          <w:rPr>
            <w:color w:val="000000" w:themeColor="text1"/>
          </w:rPr>
          <w:delText>on prescriptiveness</w:delText>
        </w:r>
        <w:r w:rsidR="00BF70D3" w:rsidRPr="00387397" w:rsidDel="00DA13B9">
          <w:rPr>
            <w:color w:val="000000" w:themeColor="text1"/>
          </w:rPr>
          <w:delText xml:space="preserve">. </w:delText>
        </w:r>
      </w:del>
      <w:r w:rsidR="00BF70D3" w:rsidRPr="00387397">
        <w:rPr>
          <w:color w:val="000000" w:themeColor="text1"/>
        </w:rPr>
        <w:t>T</w:t>
      </w:r>
      <w:r w:rsidR="00267F40" w:rsidRPr="00387397">
        <w:rPr>
          <w:color w:val="000000" w:themeColor="text1"/>
        </w:rPr>
        <w:t xml:space="preserve">he </w:t>
      </w:r>
      <w:ins w:id="23" w:author="Cashore, Benjamin" w:date="2019-03-10T22:54:00Z">
        <w:r w:rsidR="00227591">
          <w:rPr>
            <w:color w:val="000000" w:themeColor="text1"/>
          </w:rPr>
          <w:t>FSC</w:t>
        </w:r>
      </w:ins>
      <w:r w:rsidR="00850B27">
        <w:rPr>
          <w:color w:val="000000" w:themeColor="text1"/>
        </w:rPr>
        <w:t>,</w:t>
      </w:r>
      <w:del w:id="24" w:author="Cashore, Benjamin" w:date="2019-03-09T14:08:00Z">
        <w:r w:rsidR="00D465EE" w:rsidRPr="00387397" w:rsidDel="00DD7268">
          <w:rPr>
            <w:color w:val="000000" w:themeColor="text1"/>
          </w:rPr>
          <w:delText xml:space="preserve">activist-backed </w:delText>
        </w:r>
      </w:del>
      <w:del w:id="25" w:author="Cashore, Benjamin" w:date="2019-03-10T22:55:00Z">
        <w:r w:rsidR="00C76E44" w:rsidRPr="00387397" w:rsidDel="00227591">
          <w:rPr>
            <w:color w:val="000000" w:themeColor="text1"/>
          </w:rPr>
          <w:delText>program</w:delText>
        </w:r>
      </w:del>
      <w:r w:rsidR="00D465EE" w:rsidRPr="00387397">
        <w:rPr>
          <w:color w:val="000000" w:themeColor="text1"/>
        </w:rPr>
        <w:t xml:space="preserve"> </w:t>
      </w:r>
      <w:ins w:id="26" w:author="Cashore, Benjamin" w:date="2019-03-09T14:09:00Z">
        <w:r w:rsidR="00273F10">
          <w:rPr>
            <w:color w:val="000000" w:themeColor="text1"/>
          </w:rPr>
          <w:t>wi</w:t>
        </w:r>
      </w:ins>
      <w:r w:rsidR="000D72D5">
        <w:rPr>
          <w:color w:val="000000" w:themeColor="text1"/>
        </w:rPr>
        <w:t xml:space="preserve">th </w:t>
      </w:r>
      <w:ins w:id="27" w:author="Cashore, Benjamin" w:date="2019-03-09T14:09:00Z">
        <w:r w:rsidR="00273F10">
          <w:rPr>
            <w:color w:val="000000" w:themeColor="text1"/>
          </w:rPr>
          <w:t xml:space="preserve">initial support by </w:t>
        </w:r>
      </w:ins>
      <w:ins w:id="28" w:author="Cashore, Benjamin" w:date="2019-03-09T14:08:00Z">
        <w:r w:rsidR="00DD7268">
          <w:rPr>
            <w:color w:val="000000" w:themeColor="text1"/>
          </w:rPr>
          <w:t>activists</w:t>
        </w:r>
      </w:ins>
      <w:r w:rsidR="00850B27">
        <w:rPr>
          <w:color w:val="000000" w:themeColor="text1"/>
        </w:rPr>
        <w:t>,</w:t>
      </w:r>
      <w:ins w:id="29" w:author="Cashore, Benjamin" w:date="2019-03-09T14:08:00Z">
        <w:r w:rsidR="00DD7268">
          <w:rPr>
            <w:color w:val="000000" w:themeColor="text1"/>
          </w:rPr>
          <w:t xml:space="preserve">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30" w:author="Cashore, Benjamin" w:date="2019-03-09T14:09:00Z">
        <w:r w:rsidR="00782F26">
          <w:rPr>
            <w:color w:val="000000" w:themeColor="text1"/>
          </w:rPr>
          <w:t xml:space="preserve">those standards from </w:t>
        </w:r>
      </w:ins>
      <w:ins w:id="31" w:author="Cashore, Benjamin" w:date="2019-03-09T14:10:00Z">
        <w:r w:rsidR="00782F26">
          <w:rPr>
            <w:color w:val="000000" w:themeColor="text1"/>
          </w:rPr>
          <w:t xml:space="preserve">the </w:t>
        </w:r>
      </w:ins>
      <w:ins w:id="32" w:author="Cashore, Benjamin" w:date="2019-03-10T22:55:00Z">
        <w:r w:rsidR="00227591">
          <w:rPr>
            <w:color w:val="000000" w:themeColor="text1"/>
          </w:rPr>
          <w:t xml:space="preserve">SFI </w:t>
        </w:r>
      </w:ins>
      <w:del w:id="3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r w:rsidR="003F2F78">
        <w:rPr>
          <w:color w:val="000000" w:themeColor="text1"/>
        </w:rPr>
        <w:t>.</w:t>
      </w:r>
      <w:r w:rsidR="00782F26">
        <w:rPr>
          <w:color w:val="000000" w:themeColor="text1"/>
        </w:rPr>
        <w:t xml:space="preserve"> </w:t>
      </w:r>
      <w:commentRangeStart w:id="34"/>
      <w:del w:id="35" w:author="Cashore, Benjamin" w:date="2019-03-10T22:57:00Z">
        <w:r w:rsidR="00782F26" w:rsidDel="00CC7595">
          <w:rPr>
            <w:color w:val="000000" w:themeColor="text1"/>
          </w:rPr>
          <w:delText>Our framew</w:delText>
        </w:r>
        <w:r w:rsidR="0081786F" w:rsidDel="00CC7595">
          <w:rPr>
            <w:color w:val="000000" w:themeColor="text1"/>
          </w:rPr>
          <w:delText>ork also allows us to conduct</w:delText>
        </w:r>
        <w:r w:rsidR="00782F26" w:rsidDel="00CC7595">
          <w:rPr>
            <w:color w:val="000000" w:themeColor="text1"/>
          </w:rPr>
          <w:delText xml:space="preserve"> </w:delText>
        </w:r>
        <w:r w:rsidR="008E51A4" w:rsidRPr="00387397" w:rsidDel="00CC7595">
          <w:rPr>
            <w:color w:val="000000" w:themeColor="text1"/>
          </w:rPr>
          <w:delText>issue-by-issue comparison</w:delText>
        </w:r>
        <w:r w:rsidR="000E778E" w:rsidRPr="00387397" w:rsidDel="00CC7595">
          <w:rPr>
            <w:color w:val="000000" w:themeColor="text1"/>
          </w:rPr>
          <w:delText xml:space="preserve"> of </w:delText>
        </w:r>
        <w:r w:rsidR="00D025B1" w:rsidRPr="00387397" w:rsidDel="00CC7595">
          <w:rPr>
            <w:color w:val="000000" w:themeColor="text1"/>
          </w:rPr>
          <w:delText>specific requirements</w:delText>
        </w:r>
        <w:r w:rsidR="00782F26" w:rsidDel="00CC7595">
          <w:rPr>
            <w:color w:val="000000" w:themeColor="text1"/>
          </w:rPr>
          <w:delText xml:space="preserve"> to assess </w:delText>
        </w:r>
        <w:r w:rsidR="00B067B9" w:rsidDel="00CC7595">
          <w:rPr>
            <w:color w:val="000000" w:themeColor="text1"/>
          </w:rPr>
          <w:delText xml:space="preserve">the qualitative nature of </w:delText>
        </w:r>
        <w:r w:rsidR="000230CA" w:rsidRPr="00387397" w:rsidDel="00CC7595">
          <w:rPr>
            <w:color w:val="000000" w:themeColor="text1"/>
          </w:rPr>
          <w:delText>change</w:delText>
        </w:r>
        <w:r w:rsidR="00782F26" w:rsidDel="00CC7595">
          <w:rPr>
            <w:color w:val="000000" w:themeColor="text1"/>
          </w:rPr>
          <w:delText>d</w:delText>
        </w:r>
        <w:r w:rsidR="000230CA" w:rsidRPr="00387397" w:rsidDel="00CC7595">
          <w:rPr>
            <w:color w:val="000000" w:themeColor="text1"/>
          </w:rPr>
          <w:delText xml:space="preserve"> over time.</w:delText>
        </w:r>
        <w:r w:rsidR="00267F40" w:rsidRPr="00387397" w:rsidDel="00CC7595">
          <w:rPr>
            <w:color w:val="000000" w:themeColor="text1"/>
          </w:rPr>
          <w:delText xml:space="preserve"> </w:delText>
        </w:r>
      </w:del>
      <w:r w:rsidR="00D73C39">
        <w:rPr>
          <w:color w:val="000000" w:themeColor="text1"/>
        </w:rPr>
        <w:t>We</w:t>
      </w:r>
      <w:commentRangeEnd w:id="34"/>
      <w:r w:rsidR="003F2F78">
        <w:rPr>
          <w:rStyle w:val="CommentReference"/>
          <w:rFonts w:asciiTheme="minorHAnsi" w:hAnsiTheme="minorHAnsi" w:cstheme="minorBidi"/>
        </w:rPr>
        <w:commentReference w:id="34"/>
      </w:r>
      <w:r w:rsidR="00D73C39">
        <w:rPr>
          <w:color w:val="000000" w:themeColor="text1"/>
        </w:rPr>
        <w:t xml:space="preserve"> </w:t>
      </w:r>
      <w:r w:rsidR="003F2F78">
        <w:rPr>
          <w:color w:val="000000" w:themeColor="text1"/>
        </w:rPr>
        <w:t>find</w:t>
      </w:r>
      <w:r w:rsidR="00D73C39">
        <w:rPr>
          <w:color w:val="000000" w:themeColor="text1"/>
        </w:rPr>
        <w:t xml:space="preserve"> </w:t>
      </w:r>
      <w:r w:rsidR="003F2F78">
        <w:rPr>
          <w:color w:val="000000" w:themeColor="text1"/>
        </w:rPr>
        <w:t>each</w:t>
      </w:r>
      <w:r w:rsidR="00735013" w:rsidRPr="00387397">
        <w:rPr>
          <w:color w:val="000000" w:themeColor="text1"/>
        </w:rPr>
        <w:t xml:space="preserve"> program</w:t>
      </w:r>
      <w:r w:rsidR="003F2F78">
        <w:rPr>
          <w:color w:val="000000" w:themeColor="text1"/>
        </w:rPr>
        <w:t>s</w:t>
      </w:r>
      <w:r w:rsidR="00735013" w:rsidRPr="00387397">
        <w:rPr>
          <w:color w:val="000000" w:themeColor="text1"/>
        </w:rPr>
        <w:t xml:space="preserve"> </w:t>
      </w:r>
      <w:r w:rsidR="003F2F78">
        <w:rPr>
          <w:color w:val="000000" w:themeColor="text1"/>
        </w:rPr>
        <w:t xml:space="preserve">increases </w:t>
      </w:r>
      <w:proofErr w:type="spellStart"/>
      <w:r w:rsidR="003F2F78">
        <w:rPr>
          <w:color w:val="000000" w:themeColor="text1"/>
        </w:rPr>
        <w:t>prescritpiveness</w:t>
      </w:r>
      <w:proofErr w:type="spellEnd"/>
      <w:r w:rsidR="00735013" w:rsidRPr="00387397">
        <w:rPr>
          <w:color w:val="000000" w:themeColor="text1"/>
        </w:rPr>
        <w:t xml:space="preserve"> </w:t>
      </w:r>
      <w:ins w:id="36" w:author="Cashore, Benjamin" w:date="2019-03-10T22:57:00Z">
        <w:r w:rsidR="00CC7595">
          <w:rPr>
            <w:color w:val="000000" w:themeColor="text1"/>
          </w:rPr>
          <w:t>from 2010-</w:t>
        </w:r>
      </w:ins>
      <w:ins w:id="37" w:author="Cashore, Benjamin" w:date="2019-03-10T22:58:00Z">
        <w:r w:rsidR="00CC7595">
          <w:rPr>
            <w:color w:val="000000" w:themeColor="text1"/>
          </w:rPr>
          <w:lastRenderedPageBreak/>
          <w:t xml:space="preserve">2016 </w:t>
        </w:r>
      </w:ins>
      <w:r w:rsidR="00735013" w:rsidRPr="00387397">
        <w:rPr>
          <w:color w:val="000000" w:themeColor="text1"/>
        </w:rPr>
        <w:t xml:space="preserve">on issues </w:t>
      </w:r>
      <w:ins w:id="38" w:author="Cashore, Benjamin" w:date="2019-03-10T22:58:00Z">
        <w:r w:rsidR="00333B6B">
          <w:rPr>
            <w:color w:val="000000" w:themeColor="text1"/>
          </w:rPr>
          <w:t xml:space="preserve">in which it already had the most </w:t>
        </w:r>
      </w:ins>
      <w:r w:rsidR="00735013" w:rsidRPr="00387397">
        <w:rPr>
          <w:color w:val="000000" w:themeColor="text1"/>
        </w:rPr>
        <w:t>prescriptive requirements</w:t>
      </w:r>
      <w:r w:rsidR="003F2F78">
        <w:rPr>
          <w:color w:val="000000" w:themeColor="text1"/>
        </w:rPr>
        <w:t xml:space="preserve">, </w:t>
      </w:r>
      <w:proofErr w:type="gramStart"/>
      <w:r w:rsidR="003F2F78">
        <w:rPr>
          <w:color w:val="000000" w:themeColor="text1"/>
        </w:rPr>
        <w:t>Overall</w:t>
      </w:r>
      <w:proofErr w:type="gramEnd"/>
      <w:r w:rsidR="003F2F78">
        <w:rPr>
          <w:color w:val="000000" w:themeColor="text1"/>
        </w:rPr>
        <w:t>, the activist-backed program became even more prescriptive on more issues, yielding</w:t>
      </w:r>
      <w:r w:rsidR="003F2F78" w:rsidRPr="00387397">
        <w:rPr>
          <w:color w:val="000000" w:themeColor="text1"/>
        </w:rPr>
        <w:t xml:space="preserve"> a pattern </w:t>
      </w:r>
      <w:r w:rsidR="003F2F78">
        <w:rPr>
          <w:color w:val="000000" w:themeColor="text1"/>
        </w:rPr>
        <w:t xml:space="preserve">patter where these </w:t>
      </w:r>
      <w:r w:rsidR="003F2F78" w:rsidRPr="00387397">
        <w:rPr>
          <w:color w:val="000000" w:themeColor="text1"/>
        </w:rPr>
        <w:t>programs “ratchet</w:t>
      </w:r>
      <w:r w:rsidR="003F2F78">
        <w:rPr>
          <w:color w:val="000000" w:themeColor="text1"/>
        </w:rPr>
        <w:t>ed</w:t>
      </w:r>
      <w:r w:rsidR="003F2F78" w:rsidRPr="00387397">
        <w:rPr>
          <w:color w:val="000000" w:themeColor="text1"/>
        </w:rPr>
        <w:t xml:space="preserve"> up”</w:t>
      </w:r>
      <w:r w:rsidR="003F2F78">
        <w:rPr>
          <w:color w:val="000000" w:themeColor="text1"/>
        </w:rPr>
        <w:t xml:space="preserve"> but also diverged</w:t>
      </w:r>
      <w:r w:rsidR="003F2F78" w:rsidRPr="00387397">
        <w:rPr>
          <w:color w:val="000000" w:themeColor="text1"/>
        </w:rPr>
        <w:t xml:space="preserve"> in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ecological issues</w:t>
      </w:r>
      <w:r w:rsidR="00C5607D">
        <w:rPr>
          <w:color w:val="000000" w:themeColor="text1"/>
        </w:rPr>
        <w:t xml:space="preserve">, while the SFI increased </w:t>
      </w:r>
      <w:r w:rsidR="003F2F78">
        <w:rPr>
          <w:color w:val="000000" w:themeColor="text1"/>
        </w:rPr>
        <w:t>requirements</w:t>
      </w:r>
      <w:r w:rsidR="00C5607D">
        <w:rPr>
          <w:color w:val="000000" w:themeColor="text1"/>
        </w:rPr>
        <w:t xml:space="preserve"> </w:t>
      </w:r>
      <w:commentRangeStart w:id="39"/>
      <w:r w:rsidR="00C5607D">
        <w:rPr>
          <w:color w:val="000000" w:themeColor="text1"/>
        </w:rPr>
        <w:t>on economic issues</w:t>
      </w:r>
      <w:commentRangeEnd w:id="39"/>
      <w:r w:rsidR="003F2F78">
        <w:rPr>
          <w:rStyle w:val="CommentReference"/>
          <w:rFonts w:asciiTheme="minorHAnsi" w:hAnsiTheme="minorHAnsi" w:cstheme="minorBidi"/>
        </w:rPr>
        <w:commentReference w:id="39"/>
      </w:r>
      <w:r w:rsidR="003F2F78">
        <w:rPr>
          <w:color w:val="000000" w:themeColor="text1"/>
        </w:rPr>
        <w:t>. However</w:t>
      </w:r>
      <w:r w:rsidR="00C5607D">
        <w:rPr>
          <w:color w:val="000000" w:themeColor="text1"/>
        </w:rPr>
        <w:t xml:space="preserve">, </w:t>
      </w:r>
      <w:del w:id="40" w:author="Cashore, Benjamin" w:date="2019-03-10T22:59:00Z">
        <w:r w:rsidR="00CE3111" w:rsidRPr="00387397" w:rsidDel="00C5607D">
          <w:rPr>
            <w:color w:val="000000" w:themeColor="text1"/>
          </w:rPr>
          <w:delText xml:space="preserve"> for the </w:delText>
        </w:r>
      </w:del>
      <w:del w:id="41" w:author="Cashore, Benjamin" w:date="2019-03-09T14:11:00Z">
        <w:r w:rsidR="00CE3111" w:rsidRPr="00387397" w:rsidDel="00D73C39">
          <w:rPr>
            <w:color w:val="000000" w:themeColor="text1"/>
          </w:rPr>
          <w:delText xml:space="preserve">activist-backed </w:delText>
        </w:r>
      </w:del>
      <w:del w:id="42" w:author="Cashore, Benjamin" w:date="2019-03-10T22:59:00Z">
        <w:r w:rsidR="00CE3111" w:rsidRPr="00387397" w:rsidDel="00C5607D">
          <w:rPr>
            <w:color w:val="000000" w:themeColor="text1"/>
          </w:rPr>
          <w:delText xml:space="preserve">program and </w:delText>
        </w:r>
        <w:r w:rsidR="00B877C6" w:rsidDel="00C5607D">
          <w:rPr>
            <w:color w:val="000000" w:themeColor="text1"/>
          </w:rPr>
          <w:delText>forestry-sector</w:delText>
        </w:r>
        <w:r w:rsidR="00B877C6" w:rsidRPr="00387397" w:rsidDel="00C5607D">
          <w:rPr>
            <w:color w:val="000000" w:themeColor="text1"/>
          </w:rPr>
          <w:delText xml:space="preserve"> </w:delText>
        </w:r>
        <w:r w:rsidR="00CE3111" w:rsidRPr="00387397" w:rsidDel="00C5607D">
          <w:rPr>
            <w:color w:val="000000" w:themeColor="text1"/>
          </w:rPr>
          <w:delText xml:space="preserve">capacity issues </w:delText>
        </w:r>
      </w:del>
      <w:del w:id="43" w:author="Cashore, Benjamin" w:date="2019-03-09T14:11:00Z">
        <w:r w:rsidR="00CE3111" w:rsidRPr="00387397" w:rsidDel="00D73C39">
          <w:rPr>
            <w:color w:val="000000" w:themeColor="text1"/>
          </w:rPr>
          <w:delText xml:space="preserve">for the </w:delText>
        </w:r>
      </w:del>
      <w:del w:id="44" w:author="Cashore, Benjamin" w:date="2019-03-10T22:59:00Z">
        <w:r w:rsidR="00CE3111" w:rsidRPr="00387397" w:rsidDel="00C5607D">
          <w:rPr>
            <w:color w:val="000000" w:themeColor="text1"/>
          </w:rPr>
          <w:delText>industry</w:delText>
        </w:r>
      </w:del>
      <w:del w:id="45" w:author="Cashore, Benjamin" w:date="2019-03-09T14:13:00Z">
        <w:r w:rsidR="00CE3111" w:rsidRPr="00387397" w:rsidDel="004F47DE">
          <w:rPr>
            <w:color w:val="000000" w:themeColor="text1"/>
          </w:rPr>
          <w:delText>-backed program</w:delText>
        </w:r>
      </w:del>
      <w:del w:id="46" w:author="Cashore, Benjamin" w:date="2019-03-10T22:59:00Z">
        <w:r w:rsidR="00CE3111" w:rsidRPr="00387397" w:rsidDel="00C5607D">
          <w:rPr>
            <w:color w:val="000000" w:themeColor="text1"/>
          </w:rPr>
          <w:delText>)</w:delText>
        </w:r>
        <w:r w:rsidR="00B877C6" w:rsidDel="00C5607D">
          <w:rPr>
            <w:color w:val="000000" w:themeColor="text1"/>
          </w:rPr>
          <w:delText xml:space="preserve">. </w:delText>
        </w:r>
        <w:r w:rsidR="006528C4" w:rsidDel="00C5607D">
          <w:rPr>
            <w:color w:val="000000" w:themeColor="text1"/>
          </w:rPr>
          <w:delText>However</w:delText>
        </w:r>
        <w:r w:rsidR="00B067B9" w:rsidDel="00C5607D">
          <w:rPr>
            <w:color w:val="000000" w:themeColor="text1"/>
          </w:rPr>
          <w:delText>,</w:delText>
        </w:r>
        <w:r w:rsidR="006528C4" w:rsidDel="00C5607D">
          <w:rPr>
            <w:color w:val="000000" w:themeColor="text1"/>
          </w:rPr>
          <w:delText xml:space="preserve"> </w:delText>
        </w:r>
      </w:del>
      <w:r w:rsidR="003A4075" w:rsidRPr="00387397">
        <w:rPr>
          <w:color w:val="000000" w:themeColor="text1"/>
        </w:rPr>
        <w:t>in 2015</w:t>
      </w:r>
      <w:r w:rsidR="00267F40" w:rsidRPr="00387397">
        <w:rPr>
          <w:color w:val="000000" w:themeColor="text1"/>
        </w:rPr>
        <w:t xml:space="preserve"> the </w:t>
      </w:r>
      <w:r w:rsidR="004D42C6">
        <w:rPr>
          <w:color w:val="000000" w:themeColor="text1"/>
        </w:rPr>
        <w:t xml:space="preserve">SFI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w:t>
      </w:r>
      <w:commentRangeStart w:id="47"/>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issues</w:t>
      </w:r>
      <w:commentRangeEnd w:id="47"/>
      <w:r w:rsidR="003F2F78">
        <w:rPr>
          <w:rStyle w:val="CommentReference"/>
          <w:rFonts w:asciiTheme="minorHAnsi" w:hAnsiTheme="minorHAnsi" w:cstheme="minorBidi"/>
        </w:rPr>
        <w:commentReference w:id="47"/>
      </w:r>
      <w:proofErr w:type="gramStart"/>
      <w:r w:rsidR="00ED7205">
        <w:rPr>
          <w:color w:val="000000" w:themeColor="text1"/>
        </w:rPr>
        <w:t>,</w:t>
      </w:r>
      <w:r w:rsidR="00BD5DE0" w:rsidRPr="00387397">
        <w:rPr>
          <w:color w:val="000000" w:themeColor="text1"/>
        </w:rPr>
        <w:t xml:space="preserve"> </w:t>
      </w:r>
      <w:r w:rsidR="00CB4288" w:rsidRPr="00387397">
        <w:rPr>
          <w:color w:val="000000" w:themeColor="text1"/>
        </w:rPr>
        <w:t>that</w:t>
      </w:r>
      <w:proofErr w:type="gramEnd"/>
      <w:r w:rsidR="00CB4288" w:rsidRPr="00387397">
        <w:rPr>
          <w:color w:val="000000" w:themeColor="text1"/>
        </w:rPr>
        <w:t xml:space="preserve">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48"/>
      <w:r w:rsidR="004D42C6">
        <w:rPr>
          <w:color w:val="000000" w:themeColor="text1"/>
        </w:rPr>
        <w:t>the FSC</w:t>
      </w:r>
      <w:commentRangeEnd w:id="48"/>
      <w:r w:rsidR="00ED7205">
        <w:rPr>
          <w:rStyle w:val="CommentReference"/>
          <w:rFonts w:asciiTheme="minorHAnsi" w:hAnsiTheme="minorHAnsi" w:cstheme="minorBidi"/>
        </w:rPr>
        <w:commentReference w:id="48"/>
      </w:r>
      <w:r w:rsidR="00267F40" w:rsidRPr="00387397">
        <w:rPr>
          <w:color w:val="000000" w:themeColor="text1"/>
        </w:rPr>
        <w:t>.</w:t>
      </w:r>
      <w:r w:rsidR="005C5C8F" w:rsidRPr="00387397">
        <w:rPr>
          <w:color w:val="000000" w:themeColor="text1"/>
        </w:rPr>
        <w:t xml:space="preserve"> </w:t>
      </w:r>
      <w:del w:id="49"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001B7036" w:rsidR="00A72CEF"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50"/>
      <w:commentRangeStart w:id="51"/>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50"/>
      <w:r w:rsidR="00527EFD">
        <w:rPr>
          <w:rStyle w:val="CommentReference"/>
          <w:rFonts w:asciiTheme="minorHAnsi" w:hAnsiTheme="minorHAnsi" w:cstheme="minorBidi"/>
        </w:rPr>
        <w:commentReference w:id="50"/>
      </w:r>
      <w:commentRangeEnd w:id="51"/>
      <w:r w:rsidR="00432103">
        <w:rPr>
          <w:rStyle w:val="CommentReference"/>
          <w:rFonts w:asciiTheme="minorHAnsi" w:hAnsiTheme="minorHAnsi" w:cstheme="minorBidi"/>
        </w:rPr>
        <w:commentReference w:id="51"/>
      </w:r>
      <w:r w:rsidR="00E63AB8">
        <w:rPr>
          <w:color w:val="000000" w:themeColor="text1"/>
        </w:rPr>
        <w:t>P</w:t>
      </w:r>
      <w:del w:id="52" w:author="Cashore, Benjamin" w:date="2019-03-10T23:03:00Z">
        <w:r w:rsidR="008F251F" w:rsidDel="00E63AB8">
          <w:rPr>
            <w:color w:val="000000" w:themeColor="text1"/>
          </w:rPr>
          <w:delText>p</w:delText>
        </w:r>
      </w:del>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53"/>
      <w:commentRangeStart w:id="5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53"/>
      <w:r w:rsidR="006F3194">
        <w:rPr>
          <w:rStyle w:val="CommentReference"/>
          <w:rFonts w:asciiTheme="minorHAnsi" w:hAnsiTheme="minorHAnsi" w:cstheme="minorBidi"/>
        </w:rPr>
        <w:commentReference w:id="53"/>
      </w:r>
      <w:commentRangeEnd w:id="54"/>
      <w:r w:rsidR="00C31FF7">
        <w:rPr>
          <w:rStyle w:val="CommentReference"/>
          <w:rFonts w:asciiTheme="minorHAnsi" w:hAnsiTheme="minorHAnsi" w:cstheme="minorBidi"/>
        </w:rPr>
        <w:commentReference w:id="5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206B7B9"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del w:id="55" w:author="Cashore, Benjamin" w:date="2019-03-10T23:05:00Z">
        <w:r w:rsidR="008E51A4" w:rsidRPr="00387397" w:rsidDel="00DB7E3D">
          <w:rPr>
            <w:color w:val="000000" w:themeColor="text1"/>
          </w:rPr>
          <w:delText xml:space="preserve">is </w:delText>
        </w:r>
      </w:del>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lastRenderedPageBreak/>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1B727AAA" w14:textId="1800F872" w:rsidR="000D458C" w:rsidRDefault="00AC5B95" w:rsidP="000D458C">
      <w:pPr>
        <w:spacing w:line="480" w:lineRule="auto"/>
        <w:rPr>
          <w:color w:val="000000" w:themeColor="text1"/>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05FA4D7C" w14:textId="314411FA" w:rsidR="001D4D15" w:rsidRPr="00387397" w:rsidRDefault="001D4D15" w:rsidP="00387397">
      <w:pPr>
        <w:spacing w:line="480" w:lineRule="auto"/>
        <w:rPr>
          <w:b/>
        </w:rPr>
      </w:pP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 xml:space="preserve">(e.g. Bartley, 2003; </w:t>
      </w:r>
      <w:r w:rsidR="00514700" w:rsidRPr="00387397">
        <w:rPr>
          <w:noProof/>
          <w:color w:val="000000" w:themeColor="text1"/>
        </w:rPr>
        <w:lastRenderedPageBreak/>
        <w:t>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56" w:name="bbib65"/>
      <w:r w:rsidR="00901C58" w:rsidRPr="00387397">
        <w:rPr>
          <w:color w:val="000000" w:themeColor="text1"/>
        </w:rPr>
        <w:t xml:space="preserve"> </w:t>
      </w:r>
      <w:r w:rsidR="00623B55" w:rsidRPr="00387397">
        <w:rPr>
          <w:color w:val="000000" w:themeColor="text1"/>
        </w:rPr>
        <w:t>Prakash, 2000</w:t>
      </w:r>
      <w:bookmarkEnd w:id="56"/>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46E98FE3"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 xml:space="preserve">(DeLeon &amp; Rivera, 2009; Eberlein, Abbott, Black, Meidinger, &amp; Wood, 2014; Green &amp; Auld, 2017; Gulbrandsen, 2014; Howard-Grenville, Nash, &amp; Coglianese, </w:t>
      </w:r>
      <w:r w:rsidR="00B901F5" w:rsidRPr="00387397">
        <w:rPr>
          <w:noProof/>
          <w:color w:val="000000" w:themeColor="text1"/>
        </w:rPr>
        <w:lastRenderedPageBreak/>
        <w:t>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57"/>
      <w:commentRangeStart w:id="58"/>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7"/>
      <w:r w:rsidR="001F354C">
        <w:rPr>
          <w:rStyle w:val="CommentReference"/>
          <w:rFonts w:asciiTheme="minorHAnsi" w:hAnsiTheme="minorHAnsi" w:cstheme="minorBidi"/>
        </w:rPr>
        <w:commentReference w:id="57"/>
      </w:r>
      <w:commentRangeEnd w:id="58"/>
      <w:r w:rsidR="001E44F7">
        <w:rPr>
          <w:rStyle w:val="CommentReference"/>
          <w:rFonts w:asciiTheme="minorHAnsi" w:hAnsiTheme="minorHAnsi" w:cstheme="minorBidi"/>
        </w:rPr>
        <w:commentReference w:id="58"/>
      </w:r>
      <w:commentRangeStart w:id="59"/>
      <w:del w:id="60"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del>
      <w:commentRangeEnd w:id="59"/>
      <w:r w:rsidR="001E44F7">
        <w:rPr>
          <w:rStyle w:val="CommentReference"/>
          <w:rFonts w:asciiTheme="minorHAnsi" w:hAnsiTheme="minorHAnsi" w:cstheme="minorBidi"/>
        </w:rPr>
        <w:commentReference w:id="59"/>
      </w:r>
      <w:del w:id="61" w:author="Cashore, Benjamin" w:date="2019-03-11T18:45:00Z">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7C6C2C6B"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1246C0">
        <w:rPr>
          <w:color w:val="000000" w:themeColor="text1"/>
        </w:rPr>
        <w:t xml:space="preserve">However, </w:t>
      </w:r>
      <w:r w:rsidR="000E626B">
        <w:rPr>
          <w:color w:val="000000" w:themeColor="text1"/>
        </w:rPr>
        <w:t xml:space="preserve">as </w:t>
      </w:r>
      <w:r w:rsidR="001246C0">
        <w:rPr>
          <w:color w:val="000000" w:themeColor="text1"/>
        </w:rPr>
        <w:t>we show below</w:t>
      </w:r>
      <w:r w:rsidR="000E626B">
        <w:rPr>
          <w:color w:val="000000" w:themeColor="text1"/>
        </w:rPr>
        <w:t>,</w:t>
      </w:r>
      <w:r w:rsidR="001246C0">
        <w:rPr>
          <w:color w:val="000000" w:themeColor="text1"/>
        </w:rPr>
        <w:t xml:space="preserve"> w</w:t>
      </w:r>
      <w:r w:rsidR="003D711B" w:rsidRPr="00387397">
        <w:rPr>
          <w:color w:val="000000" w:themeColor="text1"/>
        </w:rPr>
        <w:t>h</w:t>
      </w:r>
      <w:r w:rsidR="00C95F61">
        <w:rPr>
          <w:color w:val="000000" w:themeColor="text1"/>
        </w:rPr>
        <w:t xml:space="preserve">at </w:t>
      </w:r>
      <w:r w:rsidR="000E626B">
        <w:rPr>
          <w:color w:val="000000" w:themeColor="text1"/>
        </w:rPr>
        <w:t>appear</w:t>
      </w:r>
      <w:r w:rsidR="001676BE" w:rsidRPr="00387397">
        <w:rPr>
          <w:color w:val="000000" w:themeColor="text1"/>
        </w:rPr>
        <w:t xml:space="preserve"> to </w:t>
      </w:r>
      <w:r w:rsidR="00C95F61">
        <w:rPr>
          <w:color w:val="000000" w:themeColor="text1"/>
        </w:rPr>
        <w:t>inconsistent</w:t>
      </w:r>
      <w:r w:rsidR="003D711B" w:rsidRPr="00387397">
        <w:rPr>
          <w:color w:val="000000" w:themeColor="text1"/>
        </w:rPr>
        <w:t xml:space="preserve"> empirical </w:t>
      </w:r>
      <w:r w:rsidR="00C95F61">
        <w:rPr>
          <w:color w:val="000000" w:themeColor="text1"/>
        </w:rPr>
        <w:t xml:space="preserve">results actually reflect </w:t>
      </w:r>
      <w:r w:rsidR="003D711B" w:rsidRPr="00387397">
        <w:rPr>
          <w:color w:val="000000" w:themeColor="text1"/>
        </w:rPr>
        <w:t>different measurement strategies.</w:t>
      </w:r>
      <w:r w:rsidR="00880F93">
        <w:rPr>
          <w:color w:val="000000" w:themeColor="text1"/>
        </w:rPr>
        <w:t xml:space="preserve"> </w:t>
      </w:r>
      <w:r w:rsidR="00880F93" w:rsidRPr="00387397">
        <w:rPr>
          <w:color w:val="000000" w:themeColor="text1"/>
        </w:rPr>
        <w:t xml:space="preserve">For example, in the broadest study to date, van der </w:t>
      </w:r>
      <w:proofErr w:type="spellStart"/>
      <w:r w:rsidR="00880F93" w:rsidRPr="00387397">
        <w:rPr>
          <w:color w:val="000000" w:themeColor="text1"/>
        </w:rPr>
        <w:t>Ven</w:t>
      </w:r>
      <w:proofErr w:type="spellEnd"/>
      <w:r w:rsidR="00880F93" w:rsidRPr="00387397">
        <w:rPr>
          <w:color w:val="000000" w:themeColor="text1"/>
        </w:rPr>
        <w:t xml:space="preserve"> </w:t>
      </w:r>
      <w:r w:rsidR="00880F93" w:rsidRPr="00387397">
        <w:rPr>
          <w:color w:val="000000" w:themeColor="text1"/>
        </w:rPr>
        <w:fldChar w:fldCharType="begin" w:fldLock="1"/>
      </w:r>
      <w:r w:rsidR="00880F93"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880F93" w:rsidRPr="00387397">
        <w:rPr>
          <w:color w:val="000000" w:themeColor="text1"/>
        </w:rPr>
        <w:fldChar w:fldCharType="separate"/>
      </w:r>
      <w:r w:rsidR="00880F93" w:rsidRPr="00387397">
        <w:rPr>
          <w:noProof/>
          <w:color w:val="000000" w:themeColor="text1"/>
        </w:rPr>
        <w:t>(2015)</w:t>
      </w:r>
      <w:r w:rsidR="00880F93" w:rsidRPr="00387397">
        <w:rPr>
          <w:color w:val="000000" w:themeColor="text1"/>
        </w:rPr>
        <w:fldChar w:fldCharType="end"/>
      </w:r>
      <w:r w:rsidR="00880F93"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are less likely to do so. While the latter finding seems to contradict findings by Cashore et al. (2004) that industry-backed programs set less stringent requirements, </w:t>
      </w:r>
      <w:r w:rsidR="00880F93">
        <w:rPr>
          <w:color w:val="000000" w:themeColor="text1"/>
        </w:rPr>
        <w:t>this is</w:t>
      </w:r>
      <w:r w:rsidR="00880F93" w:rsidRPr="00387397">
        <w:rPr>
          <w:color w:val="000000" w:themeColor="text1"/>
        </w:rPr>
        <w:t xml:space="preserve"> due to differences in measurement</w:t>
      </w:r>
      <w:r w:rsidR="00880F93">
        <w:rPr>
          <w:color w:val="000000" w:themeColor="text1"/>
        </w:rPr>
        <w:t>;</w:t>
      </w:r>
      <w:r w:rsidR="00880F93" w:rsidRPr="00387397">
        <w:rPr>
          <w:color w:val="000000" w:themeColor="text1"/>
        </w:rPr>
        <w:t xml:space="preserve"> Cashore et al. focus on </w:t>
      </w:r>
      <w:r w:rsidR="00876BF6">
        <w:rPr>
          <w:color w:val="000000" w:themeColor="text1"/>
        </w:rPr>
        <w:t>substantive</w:t>
      </w:r>
      <w:r w:rsidR="00880F93">
        <w:rPr>
          <w:color w:val="000000" w:themeColor="text1"/>
        </w:rPr>
        <w:t xml:space="preserve"> </w:t>
      </w:r>
      <w:r w:rsidR="00880F93" w:rsidRPr="00387397">
        <w:rPr>
          <w:color w:val="000000" w:themeColor="text1"/>
        </w:rPr>
        <w:t xml:space="preserve">prescriptiveness rather than </w:t>
      </w:r>
      <w:r w:rsidR="00880F93">
        <w:rPr>
          <w:color w:val="000000" w:themeColor="text1"/>
        </w:rPr>
        <w:t xml:space="preserve">procedural </w:t>
      </w:r>
      <w:r w:rsidR="00880F93" w:rsidRPr="00387397">
        <w:rPr>
          <w:color w:val="000000" w:themeColor="text1"/>
        </w:rPr>
        <w:t>“best practices.”</w:t>
      </w:r>
    </w:p>
    <w:p w14:paraId="35DBAEAE" w14:textId="77777777" w:rsidR="003D711B" w:rsidRPr="00387397" w:rsidRDefault="003D711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lastRenderedPageBreak/>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62"/>
      <w:r w:rsidR="00D00707" w:rsidRPr="00387397">
        <w:rPr>
          <w:color w:val="000000" w:themeColor="text1"/>
        </w:rPr>
        <w:t>.</w:t>
      </w:r>
      <w:del w:id="63"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62"/>
      <w:r w:rsidR="00876BF6">
        <w:rPr>
          <w:rStyle w:val="CommentReference"/>
          <w:rFonts w:asciiTheme="minorHAnsi" w:hAnsiTheme="minorHAnsi" w:cstheme="minorBidi"/>
        </w:rPr>
        <w:commentReference w:id="62"/>
      </w:r>
      <w:r w:rsidR="000F3031" w:rsidRPr="00387397">
        <w:rPr>
          <w:color w:val="000000" w:themeColor="text1"/>
        </w:rPr>
        <w:t xml:space="preserve"> </w:t>
      </w:r>
    </w:p>
    <w:p w14:paraId="2ACBB20A" w14:textId="7677E7BA" w:rsidR="0077660E" w:rsidRDefault="00880F93" w:rsidP="00387397">
      <w:pPr>
        <w:spacing w:line="480" w:lineRule="auto"/>
        <w:rPr>
          <w:color w:val="000000" w:themeColor="text1"/>
        </w:rPr>
      </w:pPr>
      <w:r>
        <w:rPr>
          <w:color w:val="000000" w:themeColor="text1"/>
        </w:rPr>
        <w:t>Taken together</w:t>
      </w:r>
      <w:r w:rsidR="00876BF6">
        <w:rPr>
          <w:color w:val="000000" w:themeColor="text1"/>
        </w:rPr>
        <w:t xml:space="preserve"> these studies</w:t>
      </w:r>
      <w:r>
        <w:rPr>
          <w:color w:val="000000" w:themeColor="text1"/>
        </w:rPr>
        <w:t xml:space="preserve"> offer a range of explanations about regulatory stringency and changes over time, but </w:t>
      </w:r>
      <w:r w:rsidR="00876BF6">
        <w:rPr>
          <w:color w:val="000000" w:themeColor="text1"/>
        </w:rPr>
        <w:t>assessing them is often</w:t>
      </w:r>
      <w:r>
        <w:rPr>
          <w:color w:val="000000" w:themeColor="text1"/>
        </w:rPr>
        <w:t xml:space="preserve"> hampered by </w:t>
      </w:r>
      <w:r w:rsidR="00876BF6">
        <w:rPr>
          <w:color w:val="000000" w:themeColor="text1"/>
        </w:rPr>
        <w:t>poor</w:t>
      </w:r>
      <w:r>
        <w:rPr>
          <w:color w:val="000000" w:themeColor="text1"/>
        </w:rPr>
        <w:t xml:space="preserve"> attention to the dependent variable they seek to explain.</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39A843C8" w:rsidR="00A44743" w:rsidRPr="00387397" w:rsidDel="00A44743" w:rsidRDefault="00104A05" w:rsidP="00A44743">
      <w:pPr>
        <w:spacing w:line="480" w:lineRule="auto"/>
        <w:rPr>
          <w:del w:id="64"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 xml:space="preserve">These distinct dimensions of stringency are often </w:t>
      </w:r>
      <w:r w:rsidR="000D458C">
        <w:rPr>
          <w:color w:val="000000" w:themeColor="text1"/>
        </w:rPr>
        <w:lastRenderedPageBreak/>
        <w:t>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results. </w:t>
      </w:r>
    </w:p>
    <w:p w14:paraId="5E85828B" w14:textId="2B03F68E" w:rsidR="00326B17" w:rsidRPr="00387397" w:rsidRDefault="00B37010" w:rsidP="00A44743">
      <w:pPr>
        <w:spacing w:line="480" w:lineRule="auto"/>
        <w:rPr>
          <w:color w:val="000000" w:themeColor="text1"/>
        </w:rPr>
      </w:pPr>
      <w:del w:id="65"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414A02CF" w:rsidR="001F51BC" w:rsidRPr="00387397" w:rsidRDefault="000D458C" w:rsidP="00A44743">
      <w:pPr>
        <w:spacing w:line="480" w:lineRule="auto"/>
        <w:rPr>
          <w:color w:val="000000" w:themeColor="text1"/>
        </w:rPr>
      </w:pPr>
      <w:r>
        <w:rPr>
          <w:color w:val="000000" w:themeColor="text1"/>
        </w:rPr>
        <w:t>Overall,</w:t>
      </w:r>
      <w:r w:rsidR="00457C67">
        <w:rPr>
          <w:color w:val="000000" w:themeColor="text1"/>
        </w:rPr>
        <w:t xml:space="preserve"> </w:t>
      </w:r>
      <w:r>
        <w:rPr>
          <w:color w:val="000000" w:themeColor="text1"/>
        </w:rPr>
        <w:t xml:space="preserve">we find existing </w:t>
      </w:r>
      <w:r w:rsidR="00B37010" w:rsidRPr="00387397">
        <w:rPr>
          <w:color w:val="000000" w:themeColor="text1"/>
        </w:rPr>
        <w:t>conceptual d</w:t>
      </w:r>
      <w:r w:rsidR="00BD3C20" w:rsidRPr="00387397">
        <w:rPr>
          <w:color w:val="000000" w:themeColor="text1"/>
        </w:rPr>
        <w:t xml:space="preserve">efinitions of </w:t>
      </w:r>
      <w:r w:rsidR="0038489B" w:rsidRPr="00387397">
        <w:rPr>
          <w:color w:val="000000" w:themeColor="text1"/>
        </w:rPr>
        <w:t xml:space="preserve">stringency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0C28CD" w:rsidRPr="00387397">
        <w:rPr>
          <w:color w:val="000000" w:themeColor="text1"/>
        </w:rPr>
        <w:t xml:space="preserve"> (</w:t>
      </w:r>
      <w:del w:id="66" w:author="Cashore, Benjamin" w:date="2019-03-11T18:50:00Z">
        <w:r w:rsidR="0096451E" w:rsidDel="0058720A">
          <w:rPr>
            <w:color w:val="000000" w:themeColor="text1"/>
          </w:rPr>
          <w:delText>Note the variety of approaches in</w:delText>
        </w:r>
        <w:r w:rsidR="0096451E" w:rsidRPr="00387397" w:rsidDel="0058720A">
          <w:rPr>
            <w:color w:val="000000" w:themeColor="text1"/>
          </w:rPr>
          <w:delText xml:space="preserve"> </w:delText>
        </w:r>
      </w:del>
      <w:r w:rsidR="000C28CD" w:rsidRPr="00387397">
        <w:rPr>
          <w:color w:val="000000" w:themeColor="text1"/>
        </w:rPr>
        <w:t>Table 1</w:t>
      </w:r>
      <w:r w:rsidR="001527C2">
        <w:rPr>
          <w:color w:val="000000" w:themeColor="text1"/>
        </w:rPr>
        <w:t>.</w:t>
      </w:r>
      <w:r w:rsidR="000C28CD" w:rsidRPr="00387397">
        <w:rPr>
          <w:color w:val="000000" w:themeColor="text1"/>
        </w:rPr>
        <w:t>)</w:t>
      </w:r>
      <w:r w:rsidR="00B37010"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6B68B02E"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ins w:id="67" w:author="Cashore, Benjamin" w:date="2019-03-11T18:51:00Z">
        <w:r w:rsidR="00F4452C">
          <w:rPr>
            <w:color w:val="000000" w:themeColor="text1"/>
          </w:rPr>
          <w:t xml:space="preserve">turned to a number of proxy measures to </w:t>
        </w:r>
      </w:ins>
      <w:del w:id="68" w:author="Cashore, Benjamin" w:date="2019-03-11T18:51:00Z">
        <w:r w:rsidRPr="00387397" w:rsidDel="00F4452C">
          <w:rPr>
            <w:color w:val="000000" w:themeColor="text1"/>
          </w:rPr>
          <w:delText>used</w:delText>
        </w:r>
        <w:r w:rsidR="004A59BB" w:rsidRPr="00387397" w:rsidDel="00F4452C">
          <w:rPr>
            <w:color w:val="000000" w:themeColor="text1"/>
          </w:rPr>
          <w:delText xml:space="preserve"> proximate</w:delText>
        </w:r>
        <w:r w:rsidR="00B40191" w:rsidRPr="00387397" w:rsidDel="00F4452C">
          <w:rPr>
            <w:color w:val="000000" w:themeColor="text1"/>
          </w:rPr>
          <w:delText xml:space="preserve"> features</w:delText>
        </w:r>
        <w:r w:rsidR="009D1090" w:rsidRPr="00387397" w:rsidDel="00F4452C">
          <w:rPr>
            <w:color w:val="000000" w:themeColor="text1"/>
          </w:rPr>
          <w:delText xml:space="preserve"> that are </w:delText>
        </w:r>
      </w:del>
      <w:r w:rsidR="009D1090" w:rsidRPr="00387397">
        <w:rPr>
          <w:color w:val="000000" w:themeColor="text1"/>
        </w:rPr>
        <w:t>compar</w:t>
      </w:r>
      <w:ins w:id="69" w:author="Cashore, Benjamin" w:date="2019-03-11T18:51:00Z">
        <w:r w:rsidR="00F4452C">
          <w:rPr>
            <w:color w:val="000000" w:themeColor="text1"/>
          </w:rPr>
          <w:t>e</w:t>
        </w:r>
      </w:ins>
      <w:del w:id="70" w:author="Cashore, Benjamin" w:date="2019-03-11T18:51:00Z">
        <w:r w:rsidR="009D1090" w:rsidRPr="00387397" w:rsidDel="00F4452C">
          <w:rPr>
            <w:color w:val="000000" w:themeColor="text1"/>
          </w:rPr>
          <w:delText>able</w:delText>
        </w:r>
      </w:del>
      <w:r w:rsidR="009D1090" w:rsidRPr="00387397">
        <w:rPr>
          <w:color w:val="000000" w:themeColor="text1"/>
        </w:rPr>
        <w:t xml:space="preserv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 xml:space="preserve">compliance with </w:t>
      </w:r>
      <w:commentRangeStart w:id="71"/>
      <w:r w:rsidR="00503C39" w:rsidRPr="00387397">
        <w:rPr>
          <w:color w:val="000000" w:themeColor="text1"/>
        </w:rPr>
        <w:t>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w:t>
      </w:r>
      <w:commentRangeEnd w:id="71"/>
      <w:r w:rsidR="00F4452C">
        <w:rPr>
          <w:rStyle w:val="CommentReference"/>
          <w:rFonts w:asciiTheme="minorHAnsi" w:hAnsiTheme="minorHAnsi" w:cstheme="minorBidi"/>
        </w:rPr>
        <w:commentReference w:id="71"/>
      </w:r>
      <w:del w:id="72" w:author="Cashore, Benjamin" w:date="2019-03-11T18:52:00Z">
        <w:r w:rsidR="009F69EA" w:rsidRPr="00387397" w:rsidDel="006B74EB">
          <w:rPr>
            <w:color w:val="000000" w:themeColor="text1"/>
          </w:rPr>
          <w:delText xml:space="preserve">As noted, many studies also use compliance costs or perceived </w:delText>
        </w:r>
        <w:r w:rsidR="0072282C" w:rsidRPr="00387397" w:rsidDel="006B74EB">
          <w:rPr>
            <w:color w:val="000000" w:themeColor="text1"/>
          </w:rPr>
          <w:delText>stringency as proxies.</w:delText>
        </w:r>
      </w:del>
      <w:r w:rsidR="0072282C" w:rsidRPr="00387397">
        <w:rPr>
          <w:color w:val="000000" w:themeColor="text1"/>
        </w:rPr>
        <w:t xml:space="preserve"> </w:t>
      </w:r>
      <w:ins w:id="73" w:author="Cashore, Benjamin" w:date="2019-03-11T18:52:00Z">
        <w:r w:rsidR="006B74EB">
          <w:rPr>
            <w:color w:val="000000" w:themeColor="text1"/>
          </w:rPr>
          <w:t xml:space="preserve">However, </w:t>
        </w:r>
      </w:ins>
      <w:del w:id="74" w:author="Cashore, Benjamin" w:date="2019-03-11T18:52:00Z">
        <w:r w:rsidR="0072282C" w:rsidRPr="00387397" w:rsidDel="006B74EB">
          <w:rPr>
            <w:color w:val="000000" w:themeColor="text1"/>
          </w:rPr>
          <w:delText xml:space="preserve">Unfortunately, such </w:delText>
        </w:r>
      </w:del>
      <w:ins w:id="75" w:author="Cashore, Benjamin" w:date="2019-03-11T18:52:00Z">
        <w:r w:rsidR="006B74EB">
          <w:rPr>
            <w:color w:val="000000" w:themeColor="text1"/>
          </w:rPr>
          <w:t xml:space="preserve">these approaches </w:t>
        </w:r>
      </w:ins>
      <w:del w:id="76" w:author="Cashore, Benjamin" w:date="2019-03-11T18:52:00Z">
        <w:r w:rsidR="0072282C" w:rsidRPr="00387397" w:rsidDel="006B74EB">
          <w:rPr>
            <w:color w:val="000000" w:themeColor="text1"/>
          </w:rPr>
          <w:delText xml:space="preserve">measures </w:delText>
        </w:r>
      </w:del>
      <w:r w:rsidR="0072282C" w:rsidRPr="00387397">
        <w:rPr>
          <w:color w:val="000000" w:themeColor="text1"/>
        </w:rPr>
        <w:t xml:space="preserve">do not allow </w:t>
      </w:r>
      <w:del w:id="77" w:author="Cashore, Benjamin" w:date="2019-03-11T18:52:00Z">
        <w:r w:rsidR="0072282C" w:rsidRPr="00387397" w:rsidDel="006B74EB">
          <w:rPr>
            <w:color w:val="000000" w:themeColor="text1"/>
          </w:rPr>
          <w:delText>one to</w:delText>
        </w:r>
      </w:del>
      <w:ins w:id="78" w:author="Cashore, Benjamin" w:date="2019-03-11T18:52:00Z">
        <w:r w:rsidR="006B74EB">
          <w:rPr>
            <w:color w:val="000000" w:themeColor="text1"/>
          </w:rPr>
          <w:t>the</w:t>
        </w:r>
      </w:ins>
      <w:r w:rsidR="0072282C" w:rsidRPr="00387397">
        <w:rPr>
          <w:color w:val="000000" w:themeColor="text1"/>
        </w:rPr>
        <w:t xml:space="preserve"> examin</w:t>
      </w:r>
      <w:ins w:id="79" w:author="Cashore, Benjamin" w:date="2019-03-11T18:52:00Z">
        <w:r w:rsidR="006B74EB">
          <w:rPr>
            <w:color w:val="000000" w:themeColor="text1"/>
          </w:rPr>
          <w:t>ation of</w:t>
        </w:r>
      </w:ins>
      <w:del w:id="80" w:author="Cashore, Benjamin" w:date="2019-03-11T18:52:00Z">
        <w:r w:rsidR="0072282C" w:rsidRPr="00387397" w:rsidDel="006B74EB">
          <w:rPr>
            <w:color w:val="000000" w:themeColor="text1"/>
          </w:rPr>
          <w:delText>e</w:delText>
        </w:r>
      </w:del>
      <w:r w:rsidR="0072282C" w:rsidRPr="00387397">
        <w:rPr>
          <w:color w:val="000000" w:themeColor="text1"/>
        </w:rPr>
        <w:t xml:space="preserve"> relationships between </w:t>
      </w:r>
      <w:commentRangeStart w:id="81"/>
      <w:r w:rsidR="0072282C" w:rsidRPr="00387397">
        <w:rPr>
          <w:color w:val="000000" w:themeColor="text1"/>
        </w:rPr>
        <w:t xml:space="preserve">stringency and </w:t>
      </w:r>
      <w:del w:id="82" w:author="Cashore, Benjamin" w:date="2019-03-11T18:52:00Z">
        <w:r w:rsidR="0072282C" w:rsidRPr="00387397" w:rsidDel="006B74EB">
          <w:rPr>
            <w:color w:val="000000" w:themeColor="text1"/>
          </w:rPr>
          <w:delText>these</w:delText>
        </w:r>
      </w:del>
      <w:r w:rsidR="0072282C" w:rsidRPr="00387397">
        <w:rPr>
          <w:color w:val="000000" w:themeColor="text1"/>
        </w:rPr>
        <w:t xml:space="preserve"> other </w:t>
      </w:r>
      <w:del w:id="83" w:author="Cashore, Benjamin" w:date="2019-03-11T18:52:00Z">
        <w:r w:rsidR="0072282C" w:rsidRPr="00387397" w:rsidDel="006B74EB">
          <w:rPr>
            <w:color w:val="000000" w:themeColor="text1"/>
          </w:rPr>
          <w:delText xml:space="preserve">important </w:delText>
        </w:r>
      </w:del>
      <w:r w:rsidR="0072282C" w:rsidRPr="00387397">
        <w:rPr>
          <w:color w:val="000000" w:themeColor="text1"/>
        </w:rPr>
        <w:t xml:space="preserve">features of </w:t>
      </w:r>
      <w:r w:rsidR="001527C2">
        <w:rPr>
          <w:color w:val="000000" w:themeColor="text1"/>
        </w:rPr>
        <w:t>a regulation</w:t>
      </w:r>
      <w:r w:rsidR="0072282C" w:rsidRPr="00387397">
        <w:rPr>
          <w:color w:val="000000" w:themeColor="text1"/>
        </w:rPr>
        <w:t>.</w:t>
      </w:r>
      <w:commentRangeEnd w:id="81"/>
      <w:r w:rsidR="006B74EB">
        <w:rPr>
          <w:rStyle w:val="CommentReference"/>
          <w:rFonts w:asciiTheme="minorHAnsi" w:hAnsiTheme="minorHAnsi" w:cstheme="minorBidi"/>
        </w:rPr>
        <w:commentReference w:id="81"/>
      </w:r>
    </w:p>
    <w:p w14:paraId="700425A0" w14:textId="77777777" w:rsidR="000760C3" w:rsidRPr="00387397" w:rsidRDefault="000760C3" w:rsidP="00387397">
      <w:pPr>
        <w:spacing w:line="480" w:lineRule="auto"/>
        <w:rPr>
          <w:color w:val="000000" w:themeColor="text1"/>
        </w:rPr>
      </w:pPr>
    </w:p>
    <w:p w14:paraId="0C17DAA4" w14:textId="77777777" w:rsidR="006C77F6" w:rsidRDefault="009A1AFE" w:rsidP="00387397">
      <w:pPr>
        <w:spacing w:line="480" w:lineRule="auto"/>
        <w:rPr>
          <w:color w:val="000000" w:themeColor="text1"/>
        </w:rPr>
      </w:pPr>
      <w:ins w:id="84" w:author="Cashore, Benjamin" w:date="2019-03-11T18:53:00Z">
        <w:r>
          <w:rPr>
            <w:color w:val="000000" w:themeColor="text1"/>
          </w:rPr>
          <w:t>Even t</w:t>
        </w:r>
      </w:ins>
      <w:del w:id="85" w:author="Cashore, Benjamin" w:date="2019-03-11T18:53:00Z">
        <w:r w:rsidR="00A677AD" w:rsidRPr="00387397" w:rsidDel="009A1AFE">
          <w:rPr>
            <w:color w:val="000000" w:themeColor="text1"/>
          </w:rPr>
          <w:delText>T</w:delText>
        </w:r>
      </w:del>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00A677AD" w:rsidRPr="00387397">
        <w:rPr>
          <w:color w:val="000000" w:themeColor="text1"/>
        </w:rPr>
        <w:t xml:space="preserve">ement strategies </w:t>
      </w:r>
      <w:r w:rsidR="00681883" w:rsidRPr="00387397">
        <w:rPr>
          <w:color w:val="000000" w:themeColor="text1"/>
        </w:rPr>
        <w:t xml:space="preserve">tend to </w:t>
      </w:r>
      <w:ins w:id="86" w:author="Cashore, Benjamin" w:date="2019-03-11T18:53:00Z">
        <w:r>
          <w:rPr>
            <w:color w:val="000000" w:themeColor="text1"/>
          </w:rPr>
          <w:t xml:space="preserve">fall short because they only </w:t>
        </w:r>
      </w:ins>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ins w:id="87" w:author="Cashore, Benjamin" w:date="2019-03-11T18:53:00Z">
        <w:r w:rsidR="000756DB">
          <w:rPr>
            <w:color w:val="000000" w:themeColor="text1"/>
          </w:rPr>
          <w:t xml:space="preserve">. This approach, in turn, can lead to </w:t>
        </w:r>
      </w:ins>
      <w:ins w:id="88" w:author="Cashore, Benjamin" w:date="2019-03-11T18:54:00Z">
        <w:r w:rsidR="00C41923">
          <w:rPr>
            <w:color w:val="000000" w:themeColor="text1"/>
          </w:rPr>
          <w:t xml:space="preserve">measuring different issues with varying </w:t>
        </w:r>
      </w:ins>
      <w:del w:id="89" w:author="Cashore, Benjamin" w:date="2019-03-11T18:54:00Z">
        <w:r w:rsidR="0038489B" w:rsidRPr="00387397" w:rsidDel="00C41923">
          <w:rPr>
            <w:color w:val="000000" w:themeColor="text1"/>
          </w:rPr>
          <w:delText xml:space="preserve">, </w:delText>
        </w:r>
        <w:r w:rsidR="00681883" w:rsidRPr="00387397" w:rsidDel="00C41923">
          <w:rPr>
            <w:color w:val="000000" w:themeColor="text1"/>
          </w:rPr>
          <w:delText xml:space="preserve">causing </w:delText>
        </w:r>
        <w:r w:rsidR="0038489B" w:rsidRPr="00387397" w:rsidDel="00C41923">
          <w:rPr>
            <w:color w:val="000000" w:themeColor="text1"/>
          </w:rPr>
          <w:delText xml:space="preserve">similar concepts to be measured in </w:delText>
        </w:r>
        <w:r w:rsidR="00821839" w:rsidRPr="00387397" w:rsidDel="00C41923">
          <w:rPr>
            <w:color w:val="000000" w:themeColor="text1"/>
          </w:rPr>
          <w:delText xml:space="preserve">different </w:delText>
        </w:r>
        <w:r w:rsidR="0038489B" w:rsidRPr="00387397" w:rsidDel="00C41923">
          <w:rPr>
            <w:color w:val="000000" w:themeColor="text1"/>
          </w:rPr>
          <w:delText>ways</w:delText>
        </w:r>
        <w:r w:rsidR="00B37010" w:rsidRPr="00387397" w:rsidDel="00C41923">
          <w:rPr>
            <w:color w:val="000000" w:themeColor="text1"/>
          </w:rPr>
          <w:delText>,</w:delText>
        </w:r>
        <w:r w:rsidR="0038489B" w:rsidRPr="00387397" w:rsidDel="00C41923">
          <w:rPr>
            <w:color w:val="000000" w:themeColor="text1"/>
          </w:rPr>
          <w:delText xml:space="preserve"> </w:delText>
        </w:r>
        <w:r w:rsidR="00D7178E" w:rsidRPr="00387397" w:rsidDel="00C41923">
          <w:rPr>
            <w:color w:val="000000" w:themeColor="text1"/>
          </w:rPr>
          <w:delText xml:space="preserve">leading to different </w:delText>
        </w:r>
      </w:del>
      <w:r w:rsidR="004A6A03" w:rsidRPr="00387397">
        <w:rPr>
          <w:color w:val="000000" w:themeColor="text1"/>
        </w:rPr>
        <w:t xml:space="preserve">results. </w:t>
      </w:r>
    </w:p>
    <w:p w14:paraId="29D78806" w14:textId="77777777" w:rsidR="006C77F6" w:rsidRDefault="006C77F6" w:rsidP="00387397">
      <w:pPr>
        <w:spacing w:line="480" w:lineRule="auto"/>
        <w:rPr>
          <w:color w:val="000000" w:themeColor="text1"/>
        </w:rPr>
      </w:pPr>
    </w:p>
    <w:p w14:paraId="74C8ED9A" w14:textId="5A1A55F5" w:rsidR="00AC0AFB" w:rsidRDefault="006C77F6" w:rsidP="00387397">
      <w:pPr>
        <w:spacing w:line="480" w:lineRule="auto"/>
        <w:rPr>
          <w:ins w:id="90" w:author="Cashore, Benjamin" w:date="2019-03-11T18:57:00Z"/>
          <w:rFonts w:eastAsia="Times New Roman"/>
          <w:color w:val="000000" w:themeColor="text1"/>
        </w:rPr>
      </w:pPr>
      <w:r>
        <w:rPr>
          <w:color w:val="000000" w:themeColor="text1"/>
        </w:rPr>
        <w:lastRenderedPageBreak/>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ins w:id="91" w:author="Cashore, Benjamin" w:date="2019-03-11T18:55:00Z">
        <w:r w:rsidR="00AC0AFB">
          <w:rPr>
            <w:rFonts w:eastAsia="Times New Roman"/>
            <w:color w:val="000000" w:themeColor="text1"/>
          </w:rPr>
          <w:t xml:space="preserve">Hence, </w:t>
        </w:r>
      </w:ins>
      <w:ins w:id="92" w:author="Cashore, Benjamin" w:date="2019-03-11T18:56:00Z">
        <w:r w:rsidR="00AC0AFB">
          <w:rPr>
            <w:rFonts w:eastAsia="Times New Roman"/>
            <w:color w:val="000000" w:themeColor="text1"/>
          </w:rPr>
          <w:t xml:space="preserve">choices about which </w:t>
        </w:r>
      </w:ins>
      <w:del w:id="93" w:author="Cashore, Benjamin" w:date="2019-03-11T18:55:00Z">
        <w:r w:rsidR="00862563" w:rsidRPr="00387397" w:rsidDel="00AC0AFB">
          <w:rPr>
            <w:rFonts w:eastAsia="Times New Roman"/>
            <w:color w:val="000000" w:themeColor="text1"/>
          </w:rPr>
          <w:delText>T</w:delText>
        </w:r>
        <w:r w:rsidR="0038489B" w:rsidRPr="00387397" w:rsidDel="00AC0AFB">
          <w:rPr>
            <w:rFonts w:eastAsia="Times New Roman"/>
            <w:color w:val="000000" w:themeColor="text1"/>
          </w:rPr>
          <w:delText>h</w:delText>
        </w:r>
        <w:r w:rsidR="001F51BC" w:rsidRPr="00387397" w:rsidDel="00AC0AFB">
          <w:rPr>
            <w:rFonts w:eastAsia="Times New Roman"/>
            <w:color w:val="000000" w:themeColor="text1"/>
          </w:rPr>
          <w:delText>e</w:delText>
        </w:r>
        <w:r w:rsidR="0038489B" w:rsidRPr="00387397" w:rsidDel="00AC0AFB">
          <w:rPr>
            <w:rFonts w:eastAsia="Times New Roman"/>
            <w:color w:val="000000" w:themeColor="text1"/>
          </w:rPr>
          <w:delText xml:space="preserve"> </w:delText>
        </w:r>
      </w:del>
      <w:del w:id="94" w:author="Cashore, Benjamin" w:date="2019-03-11T18:56:00Z">
        <w:r w:rsidR="001F51BC" w:rsidRPr="00387397" w:rsidDel="00AC0AFB">
          <w:rPr>
            <w:rFonts w:eastAsia="Times New Roman"/>
            <w:color w:val="000000" w:themeColor="text1"/>
          </w:rPr>
          <w:delText>differen</w:delText>
        </w:r>
      </w:del>
      <w:del w:id="95" w:author="Cashore, Benjamin" w:date="2019-03-11T18:55:00Z">
        <w:r w:rsidR="001F51BC" w:rsidRPr="00387397" w:rsidDel="00AC0AFB">
          <w:rPr>
            <w:rFonts w:eastAsia="Times New Roman"/>
            <w:color w:val="000000" w:themeColor="text1"/>
          </w:rPr>
          <w:delText>t</w:delText>
        </w:r>
      </w:del>
      <w:del w:id="96" w:author="Cashore, Benjamin" w:date="2019-03-11T18:56:00Z">
        <w:r w:rsidR="001F51BC" w:rsidRPr="00387397" w:rsidDel="00AC0AFB">
          <w:rPr>
            <w:rFonts w:eastAsia="Times New Roman"/>
            <w:color w:val="000000" w:themeColor="text1"/>
          </w:rPr>
          <w:delText xml:space="preserve"> sets </w:delText>
        </w:r>
        <w:r w:rsidR="004A6A03" w:rsidRPr="00387397" w:rsidDel="00AC0AFB">
          <w:rPr>
            <w:rFonts w:eastAsia="Times New Roman"/>
            <w:color w:val="000000" w:themeColor="text1"/>
          </w:rPr>
          <w:delText xml:space="preserve">of </w:delText>
        </w:r>
      </w:del>
      <w:r w:rsidR="004A6A03" w:rsidRPr="00387397">
        <w:rPr>
          <w:rFonts w:eastAsia="Times New Roman"/>
          <w:color w:val="000000" w:themeColor="text1"/>
        </w:rPr>
        <w:t>issue</w:t>
      </w:r>
      <w:ins w:id="97" w:author="Cashore, Benjamin" w:date="2019-03-11T18:56:00Z">
        <w:r w:rsidR="00AC0AFB">
          <w:rPr>
            <w:rFonts w:eastAsia="Times New Roman"/>
            <w:color w:val="000000" w:themeColor="text1"/>
          </w:rPr>
          <w:t xml:space="preserve"> to measure lead to fundamentally different conclusions about variation, </w:t>
        </w:r>
      </w:ins>
      <w:ins w:id="98" w:author="Cashore, Benjamin" w:date="2019-03-11T18:57:00Z">
        <w:r w:rsidR="00AC0AFB">
          <w:rPr>
            <w:rFonts w:eastAsia="Times New Roman"/>
            <w:color w:val="000000" w:themeColor="text1"/>
          </w:rPr>
          <w:t>and also help account for strong differences in explanatory accounts.</w:t>
        </w:r>
      </w:ins>
    </w:p>
    <w:p w14:paraId="52060C46" w14:textId="42A45E70" w:rsidR="00E00ADD" w:rsidRPr="00387397" w:rsidDel="00AC0AFB" w:rsidRDefault="004A6A03" w:rsidP="00387397">
      <w:pPr>
        <w:spacing w:line="480" w:lineRule="auto"/>
        <w:rPr>
          <w:del w:id="99" w:author="Cashore, Benjamin" w:date="2019-03-11T18:57:00Z"/>
          <w:rFonts w:eastAsia="Times New Roman"/>
          <w:color w:val="000000" w:themeColor="text1"/>
        </w:rPr>
      </w:pPr>
      <w:del w:id="100" w:author="Cashore, Benjamin" w:date="2019-03-11T18:56:00Z">
        <w:r w:rsidRPr="00387397" w:rsidDel="00AC0AFB">
          <w:rPr>
            <w:rFonts w:eastAsia="Times New Roman"/>
            <w:color w:val="000000" w:themeColor="text1"/>
          </w:rPr>
          <w:delText>s</w:delText>
        </w:r>
      </w:del>
      <w:del w:id="101" w:author="Cashore, Benjamin" w:date="2019-03-11T18:57:00Z">
        <w:r w:rsidR="001F51BC" w:rsidRPr="00387397" w:rsidDel="00AC0AFB">
          <w:rPr>
            <w:rFonts w:eastAsia="Times New Roman"/>
            <w:color w:val="000000" w:themeColor="text1"/>
          </w:rPr>
          <w:delText xml:space="preserve"> selected by these two studies</w:delText>
        </w:r>
        <w:r w:rsidR="0038489B" w:rsidRPr="00387397" w:rsidDel="00AC0AFB">
          <w:rPr>
            <w:rFonts w:eastAsia="Times New Roman"/>
            <w:color w:val="000000" w:themeColor="text1"/>
          </w:rPr>
          <w:delText xml:space="preserve"> illustrate </w:delText>
        </w:r>
        <w:r w:rsidR="000C28CD" w:rsidRPr="00387397" w:rsidDel="00AC0AFB">
          <w:rPr>
            <w:rFonts w:eastAsia="Times New Roman"/>
            <w:color w:val="000000" w:themeColor="text1"/>
          </w:rPr>
          <w:delText>only a few of the many</w:delText>
        </w:r>
        <w:r w:rsidR="0038489B" w:rsidRPr="00387397" w:rsidDel="00AC0AFB">
          <w:rPr>
            <w:rFonts w:eastAsia="Times New Roman"/>
            <w:color w:val="000000" w:themeColor="text1"/>
          </w:rPr>
          <w:delText xml:space="preserve"> different ways </w:delText>
        </w:r>
        <w:r w:rsidR="00503C39" w:rsidRPr="00387397" w:rsidDel="00AC0AFB">
          <w:rPr>
            <w:rFonts w:eastAsia="Times New Roman"/>
            <w:color w:val="000000" w:themeColor="text1"/>
          </w:rPr>
          <w:delText>private regulations</w:delText>
        </w:r>
        <w:r w:rsidR="0038489B" w:rsidRPr="00387397" w:rsidDel="00AC0AFB">
          <w:rPr>
            <w:rFonts w:eastAsia="Times New Roman"/>
            <w:color w:val="000000" w:themeColor="text1"/>
          </w:rPr>
          <w:delText xml:space="preserve"> may vary</w:delText>
        </w:r>
        <w:r w:rsidR="00E00ADD" w:rsidRPr="00387397" w:rsidDel="00AC0AFB">
          <w:rPr>
            <w:rFonts w:eastAsia="Times New Roman"/>
            <w:color w:val="000000" w:themeColor="text1"/>
          </w:rPr>
          <w:delText xml:space="preserve">. </w:delText>
        </w:r>
      </w:del>
    </w:p>
    <w:p w14:paraId="3A005C49" w14:textId="77777777" w:rsidR="00E00ADD" w:rsidRPr="00387397" w:rsidRDefault="00E00ADD" w:rsidP="00387397">
      <w:pPr>
        <w:spacing w:line="480" w:lineRule="auto"/>
        <w:rPr>
          <w:rFonts w:eastAsia="Times New Roman"/>
          <w:color w:val="000000" w:themeColor="text1"/>
        </w:rPr>
      </w:pPr>
    </w:p>
    <w:p w14:paraId="7F51C550" w14:textId="34453386" w:rsidR="00C80933" w:rsidRPr="00387397" w:rsidRDefault="0033739D" w:rsidP="0033739D">
      <w:pPr>
        <w:spacing w:line="480" w:lineRule="auto"/>
        <w:rPr>
          <w:rFonts w:eastAsia="Times New Roman"/>
          <w:color w:val="000000" w:themeColor="text1"/>
        </w:rPr>
      </w:pPr>
      <w:ins w:id="102" w:author="Cashore, Benjamin" w:date="2019-03-11T18:58:00Z">
        <w:r>
          <w:rPr>
            <w:rFonts w:eastAsia="Times New Roman"/>
            <w:color w:val="000000" w:themeColor="text1"/>
          </w:rPr>
          <w:t xml:space="preserve">Hence, </w:t>
        </w:r>
      </w:ins>
      <w:del w:id="103" w:author="Cashore, Benjamin" w:date="2019-03-11T18:57:00Z">
        <w:r w:rsidR="00E00ADD" w:rsidRPr="00387397" w:rsidDel="00AC0AFB">
          <w:rPr>
            <w:rFonts w:eastAsia="Times New Roman"/>
            <w:color w:val="000000" w:themeColor="text1"/>
          </w:rPr>
          <w:delText>The above example</w:delText>
        </w:r>
        <w:r w:rsidR="00862563" w:rsidRPr="00387397" w:rsidDel="00AC0AFB">
          <w:rPr>
            <w:rFonts w:eastAsia="Times New Roman"/>
            <w:color w:val="000000" w:themeColor="text1"/>
          </w:rPr>
          <w:delText xml:space="preserve"> also illustrates two</w:delText>
        </w:r>
      </w:del>
      <w:ins w:id="104" w:author="Cashore, Benjamin" w:date="2019-03-11T18:58:00Z">
        <w:r>
          <w:rPr>
            <w:rFonts w:eastAsia="Times New Roman"/>
            <w:color w:val="000000" w:themeColor="text1"/>
          </w:rPr>
          <w:t>t</w:t>
        </w:r>
      </w:ins>
      <w:ins w:id="105" w:author="Cashore, Benjamin" w:date="2019-03-11T18:57:00Z">
        <w:r w:rsidR="00AC0AFB">
          <w:rPr>
            <w:rFonts w:eastAsia="Times New Roman"/>
            <w:color w:val="000000" w:themeColor="text1"/>
          </w:rPr>
          <w:t>wo</w:t>
        </w:r>
      </w:ins>
      <w:r w:rsidR="00862563" w:rsidRPr="00387397">
        <w:rPr>
          <w:rFonts w:eastAsia="Times New Roman"/>
          <w:color w:val="000000" w:themeColor="text1"/>
        </w:rPr>
        <w:t xml:space="preserve"> common </w:t>
      </w:r>
      <w:ins w:id="106" w:author="Cashore, Benjamin" w:date="2019-03-11T18:57:00Z">
        <w:r w:rsidR="00AC0AFB">
          <w:rPr>
            <w:rFonts w:eastAsia="Times New Roman"/>
            <w:color w:val="000000" w:themeColor="text1"/>
          </w:rPr>
          <w:t xml:space="preserve">challenges face efforts to </w:t>
        </w:r>
      </w:ins>
      <w:del w:id="107" w:author="Cashore, Benjamin" w:date="2019-03-11T18:57:00Z">
        <w:r w:rsidR="00674894" w:rsidRPr="00387397" w:rsidDel="00AC0AFB">
          <w:rPr>
            <w:rFonts w:eastAsia="Times New Roman"/>
            <w:color w:val="000000" w:themeColor="text1"/>
          </w:rPr>
          <w:delText>difficulties</w:delText>
        </w:r>
        <w:r w:rsidR="00862563" w:rsidRPr="00387397" w:rsidDel="00AC0AFB">
          <w:rPr>
            <w:rFonts w:eastAsia="Times New Roman"/>
            <w:color w:val="000000" w:themeColor="text1"/>
          </w:rPr>
          <w:delText xml:space="preserve"> in </w:delText>
        </w:r>
      </w:del>
      <w:r w:rsidR="00862563" w:rsidRPr="00387397">
        <w:rPr>
          <w:rFonts w:eastAsia="Times New Roman"/>
          <w:color w:val="000000" w:themeColor="text1"/>
        </w:rPr>
        <w:t xml:space="preserve">identifying </w:t>
      </w:r>
      <w:ins w:id="108" w:author="Cashore, Benjamin" w:date="2019-03-11T18:57:00Z">
        <w:r w:rsidR="00AC0AFB">
          <w:rPr>
            <w:rFonts w:eastAsia="Times New Roman"/>
            <w:color w:val="000000" w:themeColor="text1"/>
          </w:rPr>
          <w:t xml:space="preserve">change </w:t>
        </w:r>
      </w:ins>
      <w:r w:rsidR="00862563" w:rsidRPr="00387397">
        <w:rPr>
          <w:rFonts w:eastAsia="Times New Roman"/>
          <w:color w:val="000000" w:themeColor="text1"/>
        </w:rPr>
        <w:t>patterns</w:t>
      </w:r>
      <w:del w:id="109" w:author="Cashore, Benjamin" w:date="2019-03-11T18:58:00Z">
        <w:r w:rsidR="00862563" w:rsidRPr="00387397" w:rsidDel="00AC0AFB">
          <w:rPr>
            <w:rFonts w:eastAsia="Times New Roman"/>
            <w:color w:val="000000" w:themeColor="text1"/>
          </w:rPr>
          <w:delText xml:space="preserve"> like convergence</w:delText>
        </w:r>
      </w:del>
      <w:r w:rsidR="0038489B" w:rsidRPr="00387397">
        <w:rPr>
          <w:rFonts w:eastAsia="Times New Roman"/>
          <w:color w:val="000000" w:themeColor="text1"/>
        </w:rPr>
        <w:t xml:space="preserve">. First, </w:t>
      </w:r>
      <w:del w:id="110" w:author="Cashore, Benjamin" w:date="2019-03-11T18:58:00Z">
        <w:r w:rsidR="00F10DAC" w:rsidRPr="00387397" w:rsidDel="0033739D">
          <w:rPr>
            <w:rFonts w:eastAsia="Times New Roman"/>
            <w:color w:val="000000" w:themeColor="text1"/>
          </w:rPr>
          <w:delText>conclusions may</w:delText>
        </w:r>
      </w:del>
      <w:ins w:id="111" w:author="Cashore, Benjamin" w:date="2019-03-11T18:58:00Z">
        <w:r>
          <w:rPr>
            <w:rFonts w:eastAsia="Times New Roman"/>
            <w:color w:val="000000" w:themeColor="text1"/>
          </w:rPr>
          <w:t>results vary</w:t>
        </w:r>
      </w:ins>
      <w:r w:rsidR="00F10DAC" w:rsidRPr="00387397">
        <w:rPr>
          <w:rFonts w:eastAsia="Times New Roman"/>
          <w:color w:val="000000" w:themeColor="text1"/>
        </w:rPr>
        <w:t xml:space="preserve"> </w:t>
      </w:r>
      <w:del w:id="112" w:author="Cashore, Benjamin" w:date="2019-03-11T18:58:00Z">
        <w:r w:rsidR="005B1D92" w:rsidRPr="00387397" w:rsidDel="0033739D">
          <w:rPr>
            <w:rFonts w:eastAsia="Times New Roman"/>
            <w:color w:val="000000" w:themeColor="text1"/>
          </w:rPr>
          <w:delText>differ if drawn from a different set</w:delText>
        </w:r>
        <w:r w:rsidR="0038489B" w:rsidRPr="00387397" w:rsidDel="0033739D">
          <w:rPr>
            <w:rFonts w:eastAsia="Times New Roman"/>
            <w:color w:val="000000" w:themeColor="text1"/>
          </w:rPr>
          <w:delText xml:space="preserve"> of known </w:delText>
        </w:r>
        <w:r w:rsidR="000C28CD" w:rsidRPr="00387397" w:rsidDel="0033739D">
          <w:rPr>
            <w:rFonts w:eastAsia="Times New Roman"/>
            <w:color w:val="000000" w:themeColor="text1"/>
          </w:rPr>
          <w:delText>areas</w:delText>
        </w:r>
        <w:r w:rsidR="0038489B" w:rsidRPr="00387397" w:rsidDel="0033739D">
          <w:rPr>
            <w:rFonts w:eastAsia="Times New Roman"/>
            <w:color w:val="000000" w:themeColor="text1"/>
          </w:rPr>
          <w:delText xml:space="preserve"> of</w:delText>
        </w:r>
        <w:r w:rsidR="000C28CD" w:rsidRPr="00387397" w:rsidDel="0033739D">
          <w:rPr>
            <w:rFonts w:eastAsia="Times New Roman"/>
            <w:color w:val="000000" w:themeColor="text1"/>
          </w:rPr>
          <w:delText xml:space="preserve"> potential</w:delText>
        </w:r>
        <w:r w:rsidR="0038489B" w:rsidRPr="00387397" w:rsidDel="0033739D">
          <w:rPr>
            <w:rFonts w:eastAsia="Times New Roman"/>
            <w:color w:val="000000" w:themeColor="text1"/>
          </w:rPr>
          <w:delText xml:space="preserve"> variation</w:delText>
        </w:r>
      </w:del>
      <w:ins w:id="113" w:author="Cashore, Benjamin" w:date="2019-03-11T18:58:00Z">
        <w:r>
          <w:rPr>
            <w:rFonts w:eastAsia="Times New Roman"/>
            <w:color w:val="000000" w:themeColor="text1"/>
          </w:rPr>
          <w:t>depending on issues studied</w:t>
        </w:r>
      </w:ins>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del w:id="114" w:author="Cashore, Benjamin" w:date="2019-03-11T18:58:00Z">
        <w:r w:rsidR="001F51BC" w:rsidRPr="00387397" w:rsidDel="0033739D">
          <w:rPr>
            <w:rFonts w:eastAsia="Times New Roman"/>
            <w:bCs/>
            <w:color w:val="000000" w:themeColor="text1"/>
          </w:rPr>
          <w:delText>Indeed, as we show in section</w:delText>
        </w:r>
        <w:r w:rsidR="00FC4A9B" w:rsidRPr="00387397" w:rsidDel="0033739D">
          <w:rPr>
            <w:rFonts w:eastAsia="Times New Roman"/>
            <w:bCs/>
            <w:color w:val="000000" w:themeColor="text1"/>
          </w:rPr>
          <w:delText>s</w:delText>
        </w:r>
        <w:r w:rsidR="001F51BC" w:rsidRPr="00387397" w:rsidDel="0033739D">
          <w:rPr>
            <w:rFonts w:eastAsia="Times New Roman"/>
            <w:bCs/>
            <w:color w:val="000000" w:themeColor="text1"/>
          </w:rPr>
          <w:delText xml:space="preserve"> 4</w:delText>
        </w:r>
        <w:r w:rsidR="00FC4A9B" w:rsidRPr="00387397" w:rsidDel="0033739D">
          <w:rPr>
            <w:rFonts w:eastAsia="Times New Roman"/>
            <w:bCs/>
            <w:color w:val="000000" w:themeColor="text1"/>
          </w:rPr>
          <w:delText xml:space="preserve"> and 5</w:delText>
        </w:r>
        <w:r w:rsidR="001F51BC" w:rsidRPr="00387397" w:rsidDel="0033739D">
          <w:rPr>
            <w:rFonts w:eastAsia="Times New Roman"/>
            <w:bCs/>
            <w:color w:val="000000" w:themeColor="text1"/>
          </w:rPr>
          <w:delText xml:space="preserve">, these </w:delText>
        </w:r>
        <w:r w:rsidR="005B1D92" w:rsidRPr="00387397" w:rsidDel="0033739D">
          <w:rPr>
            <w:rFonts w:eastAsia="Times New Roman"/>
            <w:bCs/>
            <w:color w:val="000000" w:themeColor="text1"/>
          </w:rPr>
          <w:delText xml:space="preserve">forestry </w:delText>
        </w:r>
        <w:r w:rsidR="00074F81" w:rsidRPr="00387397" w:rsidDel="0033739D">
          <w:rPr>
            <w:rFonts w:eastAsia="Times New Roman"/>
            <w:bCs/>
            <w:color w:val="000000" w:themeColor="text1"/>
          </w:rPr>
          <w:delText xml:space="preserve">certification </w:delText>
        </w:r>
        <w:r w:rsidR="0072282C" w:rsidRPr="00387397" w:rsidDel="0033739D">
          <w:rPr>
            <w:rFonts w:eastAsia="Times New Roman"/>
            <w:bCs/>
            <w:color w:val="000000" w:themeColor="text1"/>
          </w:rPr>
          <w:delText>programs</w:delText>
        </w:r>
        <w:r w:rsidR="005B1D92" w:rsidRPr="00387397" w:rsidDel="0033739D">
          <w:rPr>
            <w:rFonts w:eastAsia="Times New Roman"/>
            <w:bCs/>
            <w:color w:val="000000" w:themeColor="text1"/>
          </w:rPr>
          <w:delText xml:space="preserve"> </w:delText>
        </w:r>
        <w:r w:rsidR="000C28CD" w:rsidRPr="00387397" w:rsidDel="0033739D">
          <w:rPr>
            <w:i/>
            <w:color w:val="000000" w:themeColor="text1"/>
          </w:rPr>
          <w:delText>do</w:delText>
        </w:r>
        <w:r w:rsidR="000C28CD" w:rsidRPr="00387397" w:rsidDel="0033739D">
          <w:rPr>
            <w:rFonts w:eastAsia="Times New Roman"/>
            <w:bCs/>
            <w:color w:val="000000" w:themeColor="text1"/>
          </w:rPr>
          <w:delText xml:space="preserve"> </w:delText>
        </w:r>
        <w:r w:rsidR="001F51BC"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common trajectories on</w:delText>
        </w:r>
        <w:r w:rsidR="005B1D92" w:rsidRPr="00387397" w:rsidDel="0033739D">
          <w:rPr>
            <w:rFonts w:eastAsia="Times New Roman"/>
            <w:bCs/>
            <w:color w:val="000000" w:themeColor="text1"/>
          </w:rPr>
          <w:delText xml:space="preserve"> pro</w:delText>
        </w:r>
        <w:r w:rsidR="005B2406" w:rsidRPr="00387397" w:rsidDel="0033739D">
          <w:rPr>
            <w:rFonts w:eastAsia="Times New Roman"/>
            <w:bCs/>
            <w:color w:val="000000" w:themeColor="text1"/>
          </w:rPr>
          <w:delText>cedural openness</w:delText>
        </w:r>
        <w:r w:rsidR="00B40706" w:rsidRPr="00387397" w:rsidDel="0033739D">
          <w:rPr>
            <w:rFonts w:eastAsia="Times New Roman"/>
            <w:bCs/>
            <w:color w:val="000000" w:themeColor="text1"/>
          </w:rPr>
          <w:delText>,</w:delText>
        </w:r>
        <w:r w:rsidR="005B2406" w:rsidRPr="00387397" w:rsidDel="0033739D">
          <w:rPr>
            <w:rFonts w:eastAsia="Times New Roman"/>
            <w:bCs/>
            <w:color w:val="000000" w:themeColor="text1"/>
          </w:rPr>
          <w:delText xml:space="preserve"> but </w:delText>
        </w:r>
        <w:r w:rsidR="00B40706" w:rsidRPr="00387397" w:rsidDel="0033739D">
          <w:rPr>
            <w:rFonts w:eastAsia="Times New Roman"/>
            <w:bCs/>
            <w:color w:val="000000" w:themeColor="text1"/>
          </w:rPr>
          <w:delText xml:space="preserve">they </w:delText>
        </w:r>
        <w:r w:rsidR="00F04715" w:rsidRPr="00532339" w:rsidDel="0033739D">
          <w:rPr>
            <w:rFonts w:eastAsia="Times New Roman"/>
            <w:bCs/>
            <w:i/>
            <w:color w:val="000000" w:themeColor="text1"/>
          </w:rPr>
          <w:delText>also</w:delText>
        </w:r>
        <w:r w:rsidR="00F04715" w:rsidDel="0033739D">
          <w:rPr>
            <w:rFonts w:eastAsia="Times New Roman"/>
            <w:bCs/>
            <w:color w:val="000000" w:themeColor="text1"/>
          </w:rPr>
          <w:delText xml:space="preserve"> </w:delText>
        </w:r>
        <w:r w:rsidR="00B40706" w:rsidRPr="00387397" w:rsidDel="0033739D">
          <w:rPr>
            <w:rFonts w:eastAsia="Times New Roman"/>
            <w:bCs/>
            <w:color w:val="000000" w:themeColor="text1"/>
          </w:rPr>
          <w:delText xml:space="preserve">have </w:delText>
        </w:r>
        <w:r w:rsidR="005B2406" w:rsidRPr="00387397" w:rsidDel="0033739D">
          <w:rPr>
            <w:rFonts w:eastAsia="Times New Roman"/>
            <w:bCs/>
            <w:color w:val="000000" w:themeColor="text1"/>
          </w:rPr>
          <w:delText>divergent trajectories on</w:delText>
        </w:r>
        <w:r w:rsidR="005B1D92" w:rsidRPr="00387397" w:rsidDel="0033739D">
          <w:rPr>
            <w:rFonts w:eastAsia="Times New Roman"/>
            <w:bCs/>
            <w:color w:val="000000" w:themeColor="text1"/>
          </w:rPr>
          <w:delText xml:space="preserve"> ecological protection.</w:delText>
        </w:r>
      </w:del>
    </w:p>
    <w:p w14:paraId="798016E5" w14:textId="77777777" w:rsidR="00C80933" w:rsidRPr="00387397" w:rsidRDefault="00C80933" w:rsidP="00387397">
      <w:pPr>
        <w:spacing w:line="480" w:lineRule="auto"/>
        <w:rPr>
          <w:rFonts w:eastAsia="Times New Roman"/>
          <w:bCs/>
          <w:color w:val="000000" w:themeColor="text1"/>
        </w:rPr>
      </w:pPr>
    </w:p>
    <w:p w14:paraId="4CE158F3" w14:textId="598DDDB9" w:rsidR="00522762" w:rsidDel="001D5EB6" w:rsidRDefault="001F51BC" w:rsidP="00387397">
      <w:pPr>
        <w:spacing w:line="480" w:lineRule="auto"/>
        <w:rPr>
          <w:del w:id="115" w:author="Cashore, Benjamin" w:date="2019-03-11T18:59:00Z"/>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w:t>
      </w:r>
      <w:r w:rsidR="005F4C03" w:rsidRPr="00387397">
        <w:rPr>
          <w:rFonts w:eastAsia="Times New Roman"/>
          <w:color w:val="000000" w:themeColor="text1"/>
        </w:rPr>
        <w:lastRenderedPageBreak/>
        <w:t>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del w:id="116" w:author="Cashore, Benjamin" w:date="2019-03-11T18:59:00Z">
        <w:r w:rsidR="005F4C03" w:rsidRPr="00387397" w:rsidDel="001D5EB6">
          <w:rPr>
            <w:rFonts w:eastAsia="Times New Roman"/>
            <w:color w:val="000000" w:themeColor="text1"/>
          </w:rPr>
          <w:delText>Indeed, a</w:delText>
        </w:r>
        <w:r w:rsidRPr="00387397" w:rsidDel="001D5EB6">
          <w:rPr>
            <w:rFonts w:eastAsia="Times New Roman"/>
            <w:color w:val="000000" w:themeColor="text1"/>
          </w:rPr>
          <w:delText>s we show in section</w:delText>
        </w:r>
        <w:r w:rsidR="00FC4A9B" w:rsidRPr="00387397" w:rsidDel="001D5EB6">
          <w:rPr>
            <w:rFonts w:eastAsia="Times New Roman"/>
            <w:color w:val="000000" w:themeColor="text1"/>
          </w:rPr>
          <w:delText>s</w:delText>
        </w:r>
        <w:r w:rsidRPr="00387397" w:rsidDel="001D5EB6">
          <w:rPr>
            <w:rFonts w:eastAsia="Times New Roman"/>
            <w:color w:val="000000" w:themeColor="text1"/>
          </w:rPr>
          <w:delText xml:space="preserve"> 4</w:delText>
        </w:r>
        <w:r w:rsidR="00FC4A9B" w:rsidRPr="00387397" w:rsidDel="001D5EB6">
          <w:rPr>
            <w:rFonts w:eastAsia="Times New Roman"/>
            <w:color w:val="000000" w:themeColor="text1"/>
          </w:rPr>
          <w:delText xml:space="preserve"> and 5</w:delText>
        </w:r>
        <w:r w:rsidRPr="00387397" w:rsidDel="001D5EB6">
          <w:rPr>
            <w:rFonts w:eastAsia="Times New Roman"/>
            <w:color w:val="000000" w:themeColor="text1"/>
          </w:rPr>
          <w:delText xml:space="preserve">, </w:delText>
        </w:r>
        <w:r w:rsidR="00745275" w:rsidRPr="00387397" w:rsidDel="001D5EB6">
          <w:rPr>
            <w:rFonts w:eastAsia="Times New Roman"/>
            <w:color w:val="000000" w:themeColor="text1"/>
          </w:rPr>
          <w:delText>U.S.</w:delText>
        </w:r>
        <w:r w:rsidRPr="00387397" w:rsidDel="001D5EB6">
          <w:rPr>
            <w:rFonts w:eastAsia="Times New Roman"/>
            <w:color w:val="000000" w:themeColor="text1"/>
          </w:rPr>
          <w:delText xml:space="preserve"> forest certification standards </w:delText>
        </w:r>
        <w:r w:rsidR="005F4C03" w:rsidRPr="00387397" w:rsidDel="001D5EB6">
          <w:rPr>
            <w:rFonts w:eastAsia="Times New Roman"/>
            <w:color w:val="000000" w:themeColor="text1"/>
          </w:rPr>
          <w:delText xml:space="preserve">may have </w:delText>
        </w:r>
        <w:r w:rsidRPr="00387397" w:rsidDel="001D5EB6">
          <w:rPr>
            <w:rFonts w:eastAsia="Times New Roman"/>
            <w:color w:val="000000" w:themeColor="text1"/>
          </w:rPr>
          <w:delText xml:space="preserve">slightly converged in scope but </w:delText>
        </w:r>
        <w:r w:rsidR="005F4C03" w:rsidRPr="00387397" w:rsidDel="001D5EB6">
          <w:rPr>
            <w:rFonts w:eastAsia="Times New Roman"/>
            <w:color w:val="000000" w:themeColor="text1"/>
          </w:rPr>
          <w:delText xml:space="preserve">they </w:delText>
        </w:r>
        <w:r w:rsidRPr="00387397" w:rsidDel="001D5EB6">
          <w:rPr>
            <w:rFonts w:eastAsia="Times New Roman"/>
            <w:color w:val="000000" w:themeColor="text1"/>
          </w:rPr>
          <w:delText xml:space="preserve">diverged in overall prescriptiveness and levels of performance required. </w:delText>
        </w:r>
      </w:del>
    </w:p>
    <w:p w14:paraId="3273145A" w14:textId="327FD681" w:rsidR="00522762" w:rsidRDefault="00522762" w:rsidP="001D5EB6">
      <w:pPr>
        <w:spacing w:line="480" w:lineRule="auto"/>
        <w:rPr>
          <w:ins w:id="117" w:author="Cashore, Benjamin" w:date="2019-03-11T18:59:00Z"/>
          <w:rFonts w:eastAsia="Times New Roman"/>
          <w:color w:val="000000" w:themeColor="text1"/>
        </w:rPr>
      </w:pPr>
    </w:p>
    <w:p w14:paraId="6D54D399" w14:textId="77777777" w:rsidR="001D5EB6" w:rsidRPr="00387397" w:rsidRDefault="001D5EB6" w:rsidP="001D5EB6">
      <w:pPr>
        <w:spacing w:line="480" w:lineRule="auto"/>
        <w:rPr>
          <w:rFonts w:eastAsia="Times New Roman"/>
          <w:color w:val="000000" w:themeColor="text1"/>
        </w:rPr>
      </w:pPr>
    </w:p>
    <w:p w14:paraId="7B32AD0B" w14:textId="1F1B9B78" w:rsidR="00242C3C" w:rsidRPr="00242C3C" w:rsidRDefault="00F04715" w:rsidP="00242C3C">
      <w:pPr>
        <w:shd w:val="clear" w:color="auto" w:fill="FFFFFF"/>
        <w:rPr>
          <w:ins w:id="118" w:author="DJL" w:date="2019-03-12T10:39:00Z"/>
          <w:rFonts w:ascii="Arial" w:hAnsi="Arial" w:cs="Arial"/>
          <w:color w:val="222222"/>
        </w:rPr>
      </w:pPr>
      <w:commentRangeStart w:id="119"/>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commentRangeEnd w:id="119"/>
      <w:r w:rsidR="0033739D">
        <w:rPr>
          <w:rStyle w:val="CommentReference"/>
          <w:rFonts w:asciiTheme="minorHAnsi" w:hAnsiTheme="minorHAnsi" w:cstheme="minorBidi"/>
        </w:rPr>
        <w:commentReference w:id="119"/>
      </w:r>
      <w:ins w:id="120" w:author="Cashore, Benjamin" w:date="2019-03-11T19:00:00Z">
        <w:r w:rsidR="001D5EB6">
          <w:rPr>
            <w:rFonts w:eastAsia="Times New Roman"/>
            <w:color w:val="000000" w:themeColor="text1"/>
          </w:rPr>
          <w:t xml:space="preserve">It is for these reasons that </w:t>
        </w:r>
      </w:ins>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del w:id="121" w:author="Cashore, Benjamin" w:date="2019-03-11T19:00:00Z">
        <w:r w:rsidR="0081786F" w:rsidDel="003A7534">
          <w:rPr>
            <w:rFonts w:eastAsia="Times New Roman"/>
            <w:bCs/>
            <w:color w:val="000000" w:themeColor="text1"/>
          </w:rPr>
          <w:delText>are correct</w:delText>
        </w:r>
      </w:del>
      <w:ins w:id="122" w:author="Cashore, Benjamin" w:date="2019-03-11T19:00:00Z">
        <w:r w:rsidR="001D5EB6">
          <w:rPr>
            <w:rFonts w:eastAsia="Times New Roman"/>
            <w:bCs/>
            <w:color w:val="000000" w:themeColor="text1"/>
          </w:rPr>
          <w:t xml:space="preserve">assert </w:t>
        </w:r>
      </w:ins>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w:t>
      </w:r>
      <w:ins w:id="123" w:author="Cashore, Benjamin" w:date="2019-03-11T19:00:00Z">
        <w:r w:rsidR="001D5EB6">
          <w:rPr>
            <w:rFonts w:eastAsia="Times New Roman"/>
            <w:bCs/>
            <w:color w:val="000000" w:themeColor="text1"/>
          </w:rPr>
          <w:t xml:space="preserve">SFI </w:t>
        </w:r>
      </w:ins>
      <w:del w:id="124" w:author="Cashore, Benjamin" w:date="2019-03-11T19:00:00Z">
        <w:r w:rsidR="005B2406" w:rsidRPr="00387397" w:rsidDel="001D5EB6">
          <w:rPr>
            <w:rFonts w:eastAsia="Times New Roman"/>
            <w:bCs/>
            <w:color w:val="000000" w:themeColor="text1"/>
          </w:rPr>
          <w:delText xml:space="preserve">industry-backed program </w:delText>
        </w:r>
      </w:del>
      <w:r w:rsidR="005B2406" w:rsidRPr="00387397">
        <w:rPr>
          <w:rFonts w:eastAsia="Times New Roman"/>
          <w:bCs/>
          <w:color w:val="000000" w:themeColor="text1"/>
        </w:rPr>
        <w:t xml:space="preserve">moved in the direction of the </w:t>
      </w:r>
      <w:ins w:id="125" w:author="Cashore, Benjamin" w:date="2019-03-11T19:00:00Z">
        <w:r w:rsidR="001D5EB6">
          <w:rPr>
            <w:rFonts w:eastAsia="Times New Roman"/>
            <w:bCs/>
            <w:color w:val="000000" w:themeColor="text1"/>
          </w:rPr>
          <w:t xml:space="preserve">FSC </w:t>
        </w:r>
      </w:ins>
      <w:del w:id="126" w:author="Cashore, Benjamin" w:date="2019-03-11T19:00:00Z">
        <w:r w:rsidR="005B2406" w:rsidRPr="00387397" w:rsidDel="001D5EB6">
          <w:rPr>
            <w:rFonts w:eastAsia="Times New Roman"/>
            <w:bCs/>
            <w:color w:val="000000" w:themeColor="text1"/>
          </w:rPr>
          <w:delText xml:space="preserve">activist-backed program </w:delText>
        </w:r>
      </w:del>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ins w:id="127" w:author="Cashore, Benjamin" w:date="2019-03-11T19:00:00Z">
        <w:r w:rsidR="001D5EB6">
          <w:rPr>
            <w:rFonts w:eastAsia="Times New Roman"/>
            <w:bCs/>
            <w:color w:val="000000" w:themeColor="text1"/>
          </w:rPr>
          <w:t xml:space="preserve">found that </w:t>
        </w:r>
      </w:ins>
      <w:del w:id="128" w:author="Cashore, Benjamin" w:date="2019-03-11T19:00:00Z">
        <w:r w:rsidR="005F4C03" w:rsidRPr="00387397" w:rsidDel="001D5EB6">
          <w:rPr>
            <w:rFonts w:eastAsia="Times New Roman"/>
            <w:bCs/>
            <w:color w:val="000000" w:themeColor="text1"/>
          </w:rPr>
          <w:delText>are</w:delText>
        </w:r>
        <w:r w:rsidR="00C80933" w:rsidRPr="00387397" w:rsidDel="001D5EB6">
          <w:rPr>
            <w:rFonts w:eastAsia="Times New Roman"/>
            <w:bCs/>
            <w:color w:val="000000" w:themeColor="text1"/>
          </w:rPr>
          <w:delText xml:space="preserve"> also correct that </w:delText>
        </w:r>
      </w:del>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proofErr w:type="gramStart"/>
      <w:ins w:id="129" w:author="DJL" w:date="2019-03-12T10:39:00Z">
        <w:r w:rsidR="00242C3C" w:rsidRPr="00242C3C">
          <w:rPr>
            <w:color w:val="222222"/>
            <w:sz w:val="28"/>
            <w:szCs w:val="28"/>
          </w:rPr>
          <w:t>our</w:t>
        </w:r>
        <w:proofErr w:type="gramEnd"/>
        <w:r w:rsidR="00242C3C" w:rsidRPr="00242C3C">
          <w:rPr>
            <w:color w:val="222222"/>
            <w:sz w:val="28"/>
            <w:szCs w:val="28"/>
          </w:rPr>
          <w:t xml:space="preserve"> </w:t>
        </w:r>
      </w:ins>
      <w:ins w:id="130" w:author="DJL" w:date="2019-03-12T10:40:00Z">
        <w:r w:rsidR="00242C3C">
          <w:rPr>
            <w:color w:val="222222"/>
            <w:sz w:val="28"/>
            <w:szCs w:val="28"/>
          </w:rPr>
          <w:t>analysis</w:t>
        </w:r>
      </w:ins>
      <w:ins w:id="131" w:author="DJL" w:date="2019-03-12T10:39:00Z">
        <w:r w:rsidR="00242C3C" w:rsidRPr="00242C3C">
          <w:rPr>
            <w:color w:val="222222"/>
            <w:sz w:val="28"/>
            <w:szCs w:val="28"/>
          </w:rPr>
          <w:t xml:space="preserve"> of SFI and FSC does answer the contradictory findings between </w:t>
        </w:r>
        <w:proofErr w:type="spellStart"/>
        <w:r w:rsidR="00242C3C" w:rsidRPr="00242C3C">
          <w:rPr>
            <w:color w:val="222222"/>
            <w:sz w:val="28"/>
            <w:szCs w:val="28"/>
          </w:rPr>
          <w:t>Zietland</w:t>
        </w:r>
        <w:proofErr w:type="spellEnd"/>
        <w:r w:rsidR="00242C3C" w:rsidRPr="00242C3C">
          <w:rPr>
            <w:color w:val="222222"/>
            <w:sz w:val="28"/>
            <w:szCs w:val="28"/>
          </w:rPr>
          <w:t xml:space="preserve"> and </w:t>
        </w:r>
        <w:proofErr w:type="spellStart"/>
        <w:r w:rsidR="00242C3C" w:rsidRPr="00242C3C">
          <w:rPr>
            <w:color w:val="222222"/>
            <w:sz w:val="28"/>
            <w:szCs w:val="28"/>
          </w:rPr>
          <w:t>overdevest</w:t>
        </w:r>
        <w:proofErr w:type="spellEnd"/>
        <w:r w:rsidR="00242C3C" w:rsidRPr="00242C3C">
          <w:rPr>
            <w:color w:val="222222"/>
            <w:sz w:val="28"/>
            <w:szCs w:val="28"/>
          </w:rPr>
          <w:t xml:space="preserve"> on the one hand, and </w:t>
        </w:r>
        <w:proofErr w:type="spellStart"/>
        <w:r w:rsidR="00242C3C" w:rsidRPr="00242C3C">
          <w:rPr>
            <w:color w:val="222222"/>
            <w:sz w:val="28"/>
            <w:szCs w:val="28"/>
          </w:rPr>
          <w:t>Cashore</w:t>
        </w:r>
        <w:proofErr w:type="spellEnd"/>
        <w:r w:rsidR="00242C3C" w:rsidRPr="00242C3C">
          <w:rPr>
            <w:color w:val="222222"/>
            <w:sz w:val="28"/>
            <w:szCs w:val="28"/>
          </w:rPr>
          <w:t xml:space="preserve"> et al on the other hand</w:t>
        </w:r>
        <w:r w:rsidR="00242C3C">
          <w:rPr>
            <w:color w:val="222222"/>
            <w:sz w:val="28"/>
            <w:szCs w:val="28"/>
          </w:rPr>
          <w:t>: Both increased</w:t>
        </w:r>
        <w:r w:rsidR="00242C3C" w:rsidRPr="00242C3C">
          <w:rPr>
            <w:color w:val="222222"/>
            <w:sz w:val="28"/>
            <w:szCs w:val="28"/>
          </w:rPr>
          <w:t xml:space="preserve"> in prescriptiveness, but over very different issue areas, and providing very different requirements – with the FSC generally creating regulatory requirements on firms that that increase costs on a company’s bottom line (and hence require a countervailing economic benefit) and the SFI creating regulatory requirements that provide economic benefits for a company’s bottom line (and hence do not require further economic benefits through certification)</w:t>
        </w:r>
      </w:ins>
      <w:ins w:id="132" w:author="DJL" w:date="2019-03-12T10:40:00Z">
        <w:r w:rsidR="00242C3C">
          <w:rPr>
            <w:rFonts w:ascii="Arial" w:hAnsi="Arial" w:cs="Arial"/>
            <w:color w:val="222222"/>
          </w:rPr>
          <w:t xml:space="preserve">. </w:t>
        </w:r>
      </w:ins>
      <w:ins w:id="133" w:author="DJL" w:date="2019-03-12T10:39:00Z">
        <w:r w:rsidR="00242C3C" w:rsidRPr="00242C3C">
          <w:rPr>
            <w:color w:val="222222"/>
            <w:sz w:val="28"/>
            <w:szCs w:val="28"/>
          </w:rPr>
          <w:t>Failure to make these distinctions helps explain seemingly contradictory findings.</w:t>
        </w:r>
      </w:ins>
      <w:ins w:id="134" w:author="DJL" w:date="2019-03-12T10:40:00Z">
        <w:r w:rsidR="00242C3C">
          <w:rPr>
            <w:rFonts w:ascii="Arial" w:hAnsi="Arial" w:cs="Arial"/>
            <w:color w:val="222222"/>
          </w:rPr>
          <w:t xml:space="preserve"> </w:t>
        </w:r>
      </w:ins>
      <w:bookmarkStart w:id="135" w:name="_GoBack"/>
      <w:bookmarkEnd w:id="135"/>
      <w:ins w:id="136" w:author="DJL" w:date="2019-03-12T10:39:00Z">
        <w:r w:rsidR="00242C3C" w:rsidRPr="00242C3C">
          <w:rPr>
            <w:color w:val="222222"/>
            <w:sz w:val="28"/>
            <w:szCs w:val="28"/>
          </w:rPr>
          <w:t>Our framework therefore not only helps unpack this puzzle, but in so doing, confronts most extant research on private regulatory standards in general, requiring us to revisit a range of existing theories that are based on incomplete measurements of regulations as a dependent, or independent, variable</w:t>
        </w:r>
      </w:ins>
    </w:p>
    <w:p w14:paraId="4F1EF73B" w14:textId="3137AD26" w:rsidR="00921C3C" w:rsidRPr="00387397" w:rsidRDefault="007E744D" w:rsidP="00EB4F8E">
      <w:pPr>
        <w:spacing w:line="480" w:lineRule="auto"/>
        <w:rPr>
          <w:rFonts w:eastAsia="Times New Roman"/>
          <w:color w:val="000000" w:themeColor="text1"/>
        </w:rPr>
      </w:pPr>
      <w:del w:id="137" w:author="Cashore, Benjamin" w:date="2019-03-11T19:01:00Z">
        <w:r w:rsidDel="00EB4F8E">
          <w:rPr>
            <w:rFonts w:eastAsia="Times New Roman"/>
            <w:bCs/>
            <w:color w:val="000000" w:themeColor="text1"/>
          </w:rPr>
          <w:delText xml:space="preserve">Distinguishing among often-conflated dimensions of stringency thus clarifies both findings. It also cautions </w:delText>
        </w:r>
        <w:r w:rsidRPr="00387397" w:rsidDel="00EB4F8E">
          <w:rPr>
            <w:rFonts w:eastAsia="Times New Roman"/>
            <w:bCs/>
            <w:color w:val="000000" w:themeColor="text1"/>
          </w:rPr>
          <w:delText xml:space="preserve">readers and practitioners </w:delText>
        </w:r>
        <w:r w:rsidDel="00EB4F8E">
          <w:rPr>
            <w:rFonts w:eastAsia="Times New Roman"/>
            <w:bCs/>
            <w:color w:val="000000" w:themeColor="text1"/>
          </w:rPr>
          <w:delText>against</w:delText>
        </w:r>
        <w:r w:rsidRPr="00387397" w:rsidDel="00EB4F8E">
          <w:rPr>
            <w:rFonts w:eastAsia="Times New Roman"/>
            <w:bCs/>
            <w:color w:val="000000" w:themeColor="text1"/>
          </w:rPr>
          <w:delText xml:space="preserve"> overgeneralizing</w:delText>
        </w:r>
        <w:r w:rsidDel="00EB4F8E">
          <w:rPr>
            <w:rFonts w:eastAsia="Times New Roman"/>
            <w:bCs/>
            <w:color w:val="000000" w:themeColor="text1"/>
          </w:rPr>
          <w:delText xml:space="preserve"> and demands that scholars</w:delText>
        </w:r>
        <w:r w:rsidRPr="00387397" w:rsidDel="00EB4F8E">
          <w:rPr>
            <w:rFonts w:eastAsia="Times New Roman"/>
            <w:bCs/>
            <w:color w:val="000000" w:themeColor="text1"/>
          </w:rPr>
          <w:delText xml:space="preserve"> </w:delText>
        </w:r>
        <w:r w:rsidDel="00EB4F8E">
          <w:rPr>
            <w:rFonts w:eastAsia="Times New Roman"/>
            <w:bCs/>
            <w:color w:val="000000" w:themeColor="text1"/>
          </w:rPr>
          <w:delText>are</w:delText>
        </w:r>
        <w:r w:rsidRPr="00387397" w:rsidDel="00EB4F8E">
          <w:rPr>
            <w:rFonts w:eastAsia="Times New Roman"/>
            <w:bCs/>
            <w:color w:val="000000" w:themeColor="text1"/>
          </w:rPr>
          <w:delText xml:space="preserve"> extraordinarily clear about concepts and measurement</w:delText>
        </w:r>
      </w:del>
      <w:del w:id="138"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139"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del w:id="140" w:author="Cashore, Benjamin" w:date="2019-03-11T19:01:00Z">
        <w:r w:rsidDel="00EB4F8E">
          <w:rPr>
            <w:rFonts w:eastAsia="Times New Roman"/>
            <w:bCs/>
            <w:color w:val="000000" w:themeColor="text1"/>
          </w:rPr>
          <w:delText>.</w:delText>
        </w:r>
        <w:r w:rsidR="002C24AA" w:rsidRPr="00387397" w:rsidDel="00EB4F8E">
          <w:rPr>
            <w:rFonts w:eastAsia="Times New Roman"/>
            <w:bCs/>
            <w:color w:val="000000" w:themeColor="text1"/>
          </w:rPr>
          <w:delText xml:space="preserve"> </w:delText>
        </w:r>
        <w:r w:rsidR="00A91BFB" w:rsidRPr="00387397" w:rsidDel="00EB4F8E">
          <w:rPr>
            <w:rFonts w:eastAsia="Times New Roman"/>
            <w:bCs/>
            <w:color w:val="000000" w:themeColor="text1"/>
          </w:rPr>
          <w:delText xml:space="preserve">Such clarity is difficult without a framework to relate </w:delText>
        </w:r>
        <w:r w:rsidR="00572BE5" w:rsidDel="00EB4F8E">
          <w:rPr>
            <w:rFonts w:eastAsia="Times New Roman"/>
            <w:bCs/>
            <w:color w:val="000000" w:themeColor="text1"/>
          </w:rPr>
          <w:delText xml:space="preserve">different bits of </w:delText>
        </w:r>
        <w:r w:rsidR="00A91BFB" w:rsidRPr="00387397" w:rsidDel="00EB4F8E">
          <w:rPr>
            <w:rFonts w:eastAsia="Times New Roman"/>
            <w:bCs/>
            <w:color w:val="000000" w:themeColor="text1"/>
          </w:rPr>
          <w:delText xml:space="preserve">particular evidence to </w:delText>
        </w:r>
        <w:r w:rsidR="00F04715" w:rsidDel="00EB4F8E">
          <w:rPr>
            <w:rFonts w:eastAsia="Times New Roman"/>
            <w:bCs/>
            <w:color w:val="000000" w:themeColor="text1"/>
          </w:rPr>
          <w:delText xml:space="preserve">shared </w:delText>
        </w:r>
        <w:r w:rsidR="00A91BFB" w:rsidRPr="00387397" w:rsidDel="00EB4F8E">
          <w:rPr>
            <w:rFonts w:eastAsia="Times New Roman"/>
            <w:bCs/>
            <w:color w:val="000000" w:themeColor="text1"/>
          </w:rPr>
          <w:delText>broader concepts of stringency.</w:delText>
        </w:r>
        <w:r w:rsidR="00E85074" w:rsidRPr="00387397" w:rsidDel="00EB4F8E">
          <w:rPr>
            <w:rFonts w:eastAsia="Times New Roman"/>
            <w:bCs/>
            <w:color w:val="000000" w:themeColor="text1"/>
          </w:rPr>
          <w:delText xml:space="preserve"> </w:delText>
        </w:r>
        <w:r w:rsidR="009C57F6" w:rsidRPr="00387397" w:rsidDel="00EB4F8E">
          <w:rPr>
            <w:rFonts w:eastAsia="Times New Roman"/>
            <w:bCs/>
            <w:color w:val="000000" w:themeColor="text1"/>
          </w:rPr>
          <w:delText>Indeed, g</w:delText>
        </w:r>
        <w:r w:rsidR="00ED725B" w:rsidRPr="00387397" w:rsidDel="00EB4F8E">
          <w:rPr>
            <w:rFonts w:eastAsia="Times New Roman"/>
            <w:bCs/>
            <w:color w:val="000000" w:themeColor="text1"/>
          </w:rPr>
          <w:delText xml:space="preserve">eneralizing from different </w:delText>
        </w:r>
        <w:r w:rsidR="00FB51C0" w:rsidRPr="00387397" w:rsidDel="00EB4F8E">
          <w:rPr>
            <w:rFonts w:eastAsia="Times New Roman"/>
            <w:bCs/>
            <w:color w:val="000000" w:themeColor="text1"/>
          </w:rPr>
          <w:delText>evidence—</w:delText>
        </w:r>
        <w:r w:rsidR="00D546C8" w:rsidRPr="00387397" w:rsidDel="00EB4F8E">
          <w:rPr>
            <w:rFonts w:eastAsia="Times New Roman"/>
            <w:bCs/>
            <w:color w:val="000000" w:themeColor="text1"/>
          </w:rPr>
          <w:delText xml:space="preserve">broad </w:delText>
        </w:r>
        <w:r w:rsidR="00FB51C0" w:rsidRPr="00387397" w:rsidDel="00EB4F8E">
          <w:rPr>
            <w:rFonts w:eastAsia="Times New Roman"/>
            <w:bCs/>
            <w:color w:val="000000" w:themeColor="text1"/>
          </w:rPr>
          <w:delText xml:space="preserve">in some cases, </w:delText>
        </w:r>
        <w:r w:rsidR="00D546C8" w:rsidRPr="00387397" w:rsidDel="00EB4F8E">
          <w:rPr>
            <w:rFonts w:eastAsia="Times New Roman"/>
            <w:bCs/>
            <w:color w:val="000000" w:themeColor="text1"/>
          </w:rPr>
          <w:delText xml:space="preserve">particular </w:delText>
        </w:r>
        <w:r w:rsidR="00FB51C0" w:rsidRPr="00387397" w:rsidDel="00EB4F8E">
          <w:rPr>
            <w:rFonts w:eastAsia="Times New Roman"/>
            <w:bCs/>
            <w:color w:val="000000" w:themeColor="text1"/>
          </w:rPr>
          <w:delText>in others—</w:delText>
        </w:r>
        <w:r w:rsidR="00ED725B" w:rsidRPr="00387397" w:rsidDel="00EB4F8E">
          <w:rPr>
            <w:rFonts w:eastAsia="Times New Roman"/>
            <w:bCs/>
            <w:color w:val="000000" w:themeColor="text1"/>
          </w:rPr>
          <w:delText>explains the seemingly contradictory results reviewed above.</w:delText>
        </w:r>
      </w:del>
    </w:p>
    <w:p w14:paraId="24C56AC5" w14:textId="77777777" w:rsidR="001B1297" w:rsidRPr="00387397" w:rsidRDefault="001B1297" w:rsidP="00387397">
      <w:pPr>
        <w:spacing w:line="480" w:lineRule="auto"/>
        <w:rPr>
          <w:rFonts w:eastAsia="Times New Roman"/>
          <w:color w:val="000000" w:themeColor="text1"/>
        </w:rPr>
      </w:pPr>
    </w:p>
    <w:p w14:paraId="7771B277" w14:textId="64112940" w:rsidR="00F00BF7" w:rsidRPr="00387397" w:rsidRDefault="00EB4F8E" w:rsidP="00387397">
      <w:pPr>
        <w:spacing w:line="480" w:lineRule="auto"/>
        <w:rPr>
          <w:rFonts w:eastAsia="Times New Roman"/>
          <w:color w:val="000000" w:themeColor="text1"/>
        </w:rPr>
      </w:pPr>
      <w:ins w:id="141" w:author="Cashore, Benjamin" w:date="2019-03-11T19:01:00Z">
        <w:r>
          <w:rPr>
            <w:rFonts w:eastAsia="Times New Roman"/>
            <w:color w:val="000000" w:themeColor="text1"/>
          </w:rPr>
          <w:t>One of the challenges facing broader comparisons with fin</w:t>
        </w:r>
      </w:ins>
      <w:ins w:id="142" w:author="Cashore, Benjamin" w:date="2019-03-11T19:02:00Z">
        <w:r>
          <w:rPr>
            <w:rFonts w:eastAsia="Times New Roman"/>
            <w:color w:val="000000" w:themeColor="text1"/>
          </w:rPr>
          <w:t xml:space="preserve">er grained empirical attention is that the research process is </w:t>
        </w:r>
      </w:ins>
      <w:del w:id="143" w:author="Cashore, Benjamin" w:date="2019-03-11T19:02:00Z">
        <w:r w:rsidR="00637F86" w:rsidDel="00EB4F8E">
          <w:rPr>
            <w:rFonts w:eastAsia="Times New Roman"/>
            <w:color w:val="000000" w:themeColor="text1"/>
          </w:rPr>
          <w:delText>At the same time</w:delText>
        </w:r>
        <w:r w:rsidR="0081786F" w:rsidDel="00EB4F8E">
          <w:rPr>
            <w:rFonts w:eastAsia="Times New Roman"/>
            <w:color w:val="000000" w:themeColor="text1"/>
          </w:rPr>
          <w:delText>,</w:delText>
        </w:r>
        <w:r w:rsidR="00637F86" w:rsidDel="00EB4F8E">
          <w:rPr>
            <w:rFonts w:eastAsia="Times New Roman"/>
            <w:color w:val="000000" w:themeColor="text1"/>
          </w:rPr>
          <w:delText xml:space="preserve"> </w:delText>
        </w:r>
        <w:r w:rsidR="0081786F" w:rsidDel="00EB4F8E">
          <w:rPr>
            <w:rFonts w:eastAsia="Times New Roman"/>
            <w:color w:val="000000" w:themeColor="text1"/>
          </w:rPr>
          <w:delText>studies</w:delText>
        </w:r>
        <w:r w:rsidR="00637F86" w:rsidDel="00EB4F8E">
          <w:rPr>
            <w:rFonts w:eastAsia="Times New Roman"/>
            <w:color w:val="000000" w:themeColor="text1"/>
          </w:rPr>
          <w:delText xml:space="preserve"> that employ</w:delText>
        </w:r>
        <w:r w:rsidR="00284AF6" w:rsidDel="00EB4F8E">
          <w:rPr>
            <w:rFonts w:eastAsia="Times New Roman"/>
            <w:color w:val="000000" w:themeColor="text1"/>
          </w:rPr>
          <w:delText xml:space="preserve"> broader measurement concepts </w:delText>
        </w:r>
        <w:r w:rsidR="0081786F" w:rsidDel="00EB4F8E">
          <w:rPr>
            <w:rFonts w:eastAsia="Times New Roman"/>
            <w:color w:val="000000" w:themeColor="text1"/>
          </w:rPr>
          <w:delText xml:space="preserve">(at the bottom of Table 1) </w:delText>
        </w:r>
        <w:r w:rsidR="00284AF6" w:rsidDel="00EB4F8E">
          <w:rPr>
            <w:rFonts w:eastAsia="Times New Roman"/>
            <w:color w:val="000000" w:themeColor="text1"/>
          </w:rPr>
          <w:delText xml:space="preserve">tend to have less empirical detail. </w:delText>
        </w:r>
        <w:r w:rsidR="0038489B" w:rsidRPr="00387397" w:rsidDel="00EB4F8E">
          <w:rPr>
            <w:rFonts w:eastAsia="Times New Roman"/>
            <w:color w:val="000000" w:themeColor="text1"/>
          </w:rPr>
          <w:delText xml:space="preserve">Two challenges </w:delText>
        </w:r>
        <w:r w:rsidR="005F0486" w:rsidRPr="00387397" w:rsidDel="00EB4F8E">
          <w:rPr>
            <w:rFonts w:eastAsia="Times New Roman"/>
            <w:color w:val="000000" w:themeColor="text1"/>
          </w:rPr>
          <w:delText xml:space="preserve">appear to have </w:delText>
        </w:r>
        <w:r w:rsidR="0038489B" w:rsidRPr="00387397" w:rsidDel="00EB4F8E">
          <w:rPr>
            <w:rFonts w:eastAsia="Times New Roman"/>
            <w:color w:val="000000" w:themeColor="text1"/>
          </w:rPr>
          <w:delText>create</w:delText>
        </w:r>
        <w:r w:rsidR="005F0486" w:rsidRPr="00387397" w:rsidDel="00EB4F8E">
          <w:rPr>
            <w:rFonts w:eastAsia="Times New Roman"/>
            <w:color w:val="000000" w:themeColor="text1"/>
          </w:rPr>
          <w:delText>d</w:delText>
        </w:r>
        <w:r w:rsidR="0038489B" w:rsidRPr="00387397" w:rsidDel="00EB4F8E">
          <w:rPr>
            <w:rFonts w:eastAsia="Times New Roman"/>
            <w:color w:val="000000" w:themeColor="text1"/>
          </w:rPr>
          <w:delText xml:space="preserve"> </w:delText>
        </w:r>
        <w:r w:rsidR="00572BE5" w:rsidDel="00EB4F8E">
          <w:rPr>
            <w:rFonts w:eastAsia="Times New Roman"/>
            <w:color w:val="000000" w:themeColor="text1"/>
          </w:rPr>
          <w:delText>th</w:delText>
        </w:r>
        <w:r w:rsidR="00284AF6" w:rsidDel="00EB4F8E">
          <w:rPr>
            <w:rFonts w:eastAsia="Times New Roman"/>
            <w:color w:val="000000" w:themeColor="text1"/>
          </w:rPr>
          <w:delText>is</w:delText>
        </w:r>
        <w:r w:rsidR="0038489B" w:rsidRPr="00387397" w:rsidDel="00EB4F8E">
          <w:rPr>
            <w:rFonts w:eastAsia="Times New Roman"/>
            <w:color w:val="000000" w:themeColor="text1"/>
          </w:rPr>
          <w:delText xml:space="preserve"> breadth-depth tradeoff</w:delText>
        </w:r>
        <w:r w:rsidR="005F0486" w:rsidRPr="00387397" w:rsidDel="00EB4F8E">
          <w:rPr>
            <w:rFonts w:eastAsia="Times New Roman"/>
            <w:color w:val="000000" w:themeColor="text1"/>
          </w:rPr>
          <w:delText xml:space="preserve">. First, </w:delText>
        </w:r>
        <w:r w:rsidR="0085433F" w:rsidDel="00EB4F8E">
          <w:rPr>
            <w:rFonts w:eastAsia="Times New Roman"/>
            <w:color w:val="000000" w:themeColor="text1"/>
          </w:rPr>
          <w:delText xml:space="preserve">research that is </w:delText>
        </w:r>
        <w:r w:rsidR="005F0486" w:rsidRPr="00387397" w:rsidDel="00EB4F8E">
          <w:rPr>
            <w:rFonts w:eastAsia="Times New Roman"/>
            <w:color w:val="000000" w:themeColor="text1"/>
          </w:rPr>
          <w:delText>both comprehensive and precise</w:delText>
        </w:r>
        <w:r w:rsidR="0038489B" w:rsidRPr="00387397" w:rsidDel="00EB4F8E">
          <w:rPr>
            <w:rFonts w:eastAsia="Times New Roman"/>
            <w:color w:val="000000" w:themeColor="text1"/>
          </w:rPr>
          <w:delText xml:space="preserve"> is </w:delText>
        </w:r>
      </w:del>
      <w:r w:rsidR="0038489B" w:rsidRPr="00387397">
        <w:rPr>
          <w:rFonts w:eastAsia="Times New Roman"/>
          <w:color w:val="000000" w:themeColor="text1"/>
        </w:rPr>
        <w:t>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w:t>
      </w:r>
      <w:ins w:id="144" w:author="Cashore, Benjamin" w:date="2019-03-11T19:02:00Z">
        <w:r>
          <w:rPr>
            <w:rFonts w:eastAsia="Times New Roman"/>
            <w:color w:val="000000" w:themeColor="text1"/>
          </w:rPr>
          <w:t>Another is limited attention to developing robust descriptive fram</w:t>
        </w:r>
      </w:ins>
      <w:ins w:id="145" w:author="Cashore, Benjamin" w:date="2019-03-11T19:03:00Z">
        <w:r>
          <w:rPr>
            <w:rFonts w:eastAsia="Times New Roman"/>
            <w:color w:val="000000" w:themeColor="text1"/>
          </w:rPr>
          <w:t>eworks.</w:t>
        </w:r>
      </w:ins>
      <w:del w:id="146" w:author="Cashore, Benjamin" w:date="2019-03-11T19:02:00Z">
        <w:r w:rsidR="0038489B" w:rsidRPr="00387397" w:rsidDel="00EB4F8E">
          <w:rPr>
            <w:rFonts w:eastAsia="Times New Roman"/>
            <w:color w:val="000000" w:themeColor="text1"/>
          </w:rPr>
          <w:delText xml:space="preserve">Second, even if researchers conduct </w:delText>
        </w:r>
        <w:r w:rsidR="00C94C63" w:rsidRPr="00387397" w:rsidDel="00EB4F8E">
          <w:rPr>
            <w:rFonts w:eastAsia="Times New Roman"/>
            <w:color w:val="000000" w:themeColor="text1"/>
          </w:rPr>
          <w:delText xml:space="preserve">a </w:delText>
        </w:r>
        <w:r w:rsidR="0038489B" w:rsidRPr="00387397" w:rsidDel="00EB4F8E">
          <w:rPr>
            <w:rFonts w:eastAsia="Times New Roman"/>
            <w:color w:val="000000" w:themeColor="text1"/>
          </w:rPr>
          <w:delText>detailed analysis of a comprehensive set of policy issues,</w:delText>
        </w:r>
      </w:del>
      <w:del w:id="147" w:author="Cashore, Benjamin" w:date="2019-03-11T19:03:00Z">
        <w:r w:rsidR="0038489B" w:rsidRPr="00387397" w:rsidDel="00EB4F8E">
          <w:rPr>
            <w:rFonts w:eastAsia="Times New Roman"/>
            <w:color w:val="000000" w:themeColor="text1"/>
          </w:rPr>
          <w:delText xml:space="preserve"> </w:delText>
        </w:r>
        <w:r w:rsidR="005B1D92" w:rsidRPr="00387397" w:rsidDel="00EB4F8E">
          <w:rPr>
            <w:rFonts w:eastAsia="Times New Roman"/>
            <w:color w:val="000000" w:themeColor="text1"/>
          </w:rPr>
          <w:delText xml:space="preserve">we lack consistent methods for </w:delText>
        </w:r>
        <w:r w:rsidR="0038489B" w:rsidRPr="00387397" w:rsidDel="00EB4F8E">
          <w:rPr>
            <w:rFonts w:eastAsia="Times New Roman"/>
            <w:color w:val="000000" w:themeColor="text1"/>
          </w:rPr>
          <w:delText xml:space="preserve">aggregating comparisons </w:delText>
        </w:r>
        <w:r w:rsidR="005B1D92" w:rsidRPr="00387397" w:rsidDel="00EB4F8E">
          <w:rPr>
            <w:rFonts w:eastAsia="Times New Roman"/>
            <w:color w:val="000000" w:themeColor="text1"/>
          </w:rPr>
          <w:delText xml:space="preserve">across </w:delText>
        </w:r>
        <w:r w:rsidR="0038489B" w:rsidRPr="00387397" w:rsidDel="00EB4F8E">
          <w:rPr>
            <w:rFonts w:eastAsia="Times New Roman"/>
            <w:color w:val="000000" w:themeColor="text1"/>
          </w:rPr>
          <w:delText xml:space="preserve">different issues to </w:delText>
        </w:r>
        <w:r w:rsidR="005B1D92" w:rsidRPr="00387397" w:rsidDel="00EB4F8E">
          <w:rPr>
            <w:rFonts w:eastAsia="Times New Roman"/>
            <w:color w:val="000000" w:themeColor="text1"/>
          </w:rPr>
          <w:delText>describe general trends</w:delText>
        </w:r>
        <w:r w:rsidR="0038489B" w:rsidRPr="00387397" w:rsidDel="00EB4F8E">
          <w:rPr>
            <w:rFonts w:eastAsia="Times New Roman"/>
            <w:color w:val="000000" w:themeColor="text1"/>
          </w:rPr>
          <w:delText xml:space="preserve">. Indeed, specific requirements are often incommensurable between programs and can only be </w:delText>
        </w:r>
        <w:r w:rsidR="007B1BAF" w:rsidRPr="00387397" w:rsidDel="00EB4F8E">
          <w:rPr>
            <w:rFonts w:eastAsia="Times New Roman"/>
            <w:color w:val="000000" w:themeColor="text1"/>
          </w:rPr>
          <w:delText xml:space="preserve">appropriately </w:delText>
        </w:r>
        <w:r w:rsidR="0038489B" w:rsidRPr="00387397" w:rsidDel="00EB4F8E">
          <w:rPr>
            <w:rFonts w:eastAsia="Times New Roman"/>
            <w:color w:val="000000" w:themeColor="text1"/>
          </w:rPr>
          <w:delText>compared through descriptive narratives.</w:delText>
        </w:r>
      </w:del>
    </w:p>
    <w:p w14:paraId="16EC0CFA" w14:textId="77777777" w:rsidR="009E45C0" w:rsidRPr="00387397" w:rsidRDefault="009E45C0" w:rsidP="00387397">
      <w:pPr>
        <w:spacing w:line="480" w:lineRule="auto"/>
        <w:rPr>
          <w:rFonts w:eastAsia="Times New Roman"/>
          <w:color w:val="000000" w:themeColor="text1"/>
        </w:rPr>
      </w:pPr>
    </w:p>
    <w:p w14:paraId="7390448B" w14:textId="1302B851" w:rsidR="008B2888" w:rsidRPr="00387397" w:rsidRDefault="00EB4F8E" w:rsidP="00387397">
      <w:pPr>
        <w:pStyle w:val="NormalWeb"/>
        <w:spacing w:before="0" w:beforeAutospacing="0" w:after="0" w:afterAutospacing="0" w:line="480" w:lineRule="auto"/>
        <w:rPr>
          <w:color w:val="000000" w:themeColor="text1"/>
        </w:rPr>
      </w:pPr>
      <w:ins w:id="148" w:author="Cashore, Benjamin" w:date="2019-03-11T19:03:00Z">
        <w:r>
          <w:rPr>
            <w:rFonts w:eastAsia="Times New Roman"/>
            <w:color w:val="000000" w:themeColor="text1"/>
          </w:rPr>
          <w:t xml:space="preserve">Our framework helps fill these gaps by applying </w:t>
        </w:r>
      </w:ins>
      <w:del w:id="149" w:author="Cashore, Benjamin" w:date="2019-03-11T19:03:00Z">
        <w:r w:rsidR="0038489B" w:rsidRPr="00387397" w:rsidDel="00EB4F8E">
          <w:rPr>
            <w:rFonts w:eastAsia="Times New Roman"/>
            <w:color w:val="000000" w:themeColor="text1"/>
          </w:rPr>
          <w:delText xml:space="preserve">We </w:delText>
        </w:r>
        <w:r w:rsidR="00ED725B" w:rsidRPr="00387397" w:rsidDel="00EB4F8E">
          <w:rPr>
            <w:rFonts w:eastAsia="Times New Roman"/>
            <w:color w:val="000000" w:themeColor="text1"/>
          </w:rPr>
          <w:delText xml:space="preserve">partially </w:delText>
        </w:r>
        <w:r w:rsidR="005F0486" w:rsidRPr="00387397" w:rsidDel="00EB4F8E">
          <w:rPr>
            <w:rFonts w:eastAsia="Times New Roman"/>
            <w:color w:val="000000" w:themeColor="text1"/>
          </w:rPr>
          <w:delText xml:space="preserve">overcome </w:delText>
        </w:r>
        <w:r w:rsidR="00ED725B" w:rsidRPr="00387397" w:rsidDel="00EB4F8E">
          <w:rPr>
            <w:rFonts w:eastAsia="Times New Roman"/>
            <w:color w:val="000000" w:themeColor="text1"/>
          </w:rPr>
          <w:delText xml:space="preserve">the second </w:delText>
        </w:r>
        <w:r w:rsidR="005F0486" w:rsidRPr="00387397" w:rsidDel="00EB4F8E">
          <w:rPr>
            <w:rFonts w:eastAsia="Times New Roman"/>
            <w:color w:val="000000" w:themeColor="text1"/>
          </w:rPr>
          <w:delText xml:space="preserve">dilemma </w:delText>
        </w:r>
        <w:r w:rsidR="000230CA" w:rsidRPr="00387397" w:rsidDel="00EB4F8E">
          <w:rPr>
            <w:rFonts w:eastAsia="Times New Roman"/>
            <w:color w:val="000000" w:themeColor="text1"/>
          </w:rPr>
          <w:delText>by</w:delText>
        </w:r>
        <w:r w:rsidR="001C5A5A" w:rsidRPr="00387397" w:rsidDel="00EB4F8E">
          <w:rPr>
            <w:rFonts w:eastAsia="Times New Roman"/>
            <w:color w:val="000000" w:themeColor="text1"/>
          </w:rPr>
          <w:delText>, in addition to</w:delText>
        </w:r>
        <w:r w:rsidR="00ED725B" w:rsidRPr="00387397" w:rsidDel="00EB4F8E">
          <w:rPr>
            <w:rFonts w:eastAsia="Times New Roman"/>
            <w:color w:val="000000" w:themeColor="text1"/>
          </w:rPr>
          <w:delText xml:space="preserve"> </w:delText>
        </w:r>
      </w:del>
      <w:r w:rsidR="00ED725B" w:rsidRPr="00387397">
        <w:rPr>
          <w:rFonts w:eastAsia="Times New Roman"/>
          <w:color w:val="000000" w:themeColor="text1"/>
        </w:rPr>
        <w:t>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ins w:id="150" w:author="Cashore, Benjamin" w:date="2019-03-11T19:03:00Z">
        <w:r>
          <w:rPr>
            <w:rFonts w:eastAsia="Times New Roman"/>
            <w:color w:val="000000" w:themeColor="text1"/>
          </w:rPr>
          <w:t xml:space="preserve">as well as offering an approach to regulatory classification </w:t>
        </w:r>
      </w:ins>
      <w:del w:id="151" w:author="Cashore, Benjamin" w:date="2019-03-11T19:03:00Z">
        <w:r w:rsidR="000230CA" w:rsidRPr="00387397" w:rsidDel="00EB4F8E">
          <w:rPr>
            <w:rFonts w:eastAsia="Times New Roman"/>
            <w:color w:val="000000" w:themeColor="text1"/>
          </w:rPr>
          <w:delText xml:space="preserve">using </w:delText>
        </w:r>
        <w:r w:rsidR="0038489B" w:rsidRPr="00387397" w:rsidDel="00EB4F8E">
          <w:rPr>
            <w:rFonts w:eastAsia="Times New Roman"/>
            <w:color w:val="000000" w:themeColor="text1"/>
          </w:rPr>
          <w:delText xml:space="preserve">two measurement </w:delText>
        </w:r>
        <w:r w:rsidR="0039606B" w:rsidRPr="00387397" w:rsidDel="00EB4F8E">
          <w:rPr>
            <w:rFonts w:eastAsia="Times New Roman"/>
            <w:color w:val="000000" w:themeColor="text1"/>
          </w:rPr>
          <w:delText>concepts</w:delText>
        </w:r>
        <w:r w:rsidR="0038489B" w:rsidRPr="00387397" w:rsidDel="00EB4F8E">
          <w:rPr>
            <w:rFonts w:eastAsia="Times New Roman"/>
            <w:color w:val="000000" w:themeColor="text1"/>
          </w:rPr>
          <w:delText xml:space="preserve"> </w:delText>
        </w:r>
      </w:del>
      <w:r w:rsidR="0038489B" w:rsidRPr="00387397">
        <w:rPr>
          <w:rFonts w:eastAsia="Times New Roman"/>
          <w:color w:val="000000" w:themeColor="text1"/>
        </w:rPr>
        <w:t>t</w:t>
      </w:r>
      <w:r w:rsidR="00E97E36" w:rsidRPr="00387397">
        <w:rPr>
          <w:rFonts w:eastAsia="Times New Roman"/>
          <w:color w:val="000000" w:themeColor="text1"/>
        </w:rPr>
        <w:t xml:space="preserve">hat can be applied </w:t>
      </w:r>
      <w:ins w:id="152" w:author="Cashore, Benjamin" w:date="2019-03-11T19:04:00Z">
        <w:r>
          <w:rPr>
            <w:rFonts w:eastAsia="Times New Roman"/>
            <w:color w:val="000000" w:themeColor="text1"/>
          </w:rPr>
          <w:t xml:space="preserve">across a range of issue areas. </w:t>
        </w:r>
      </w:ins>
      <w:del w:id="153" w:author="Cashore, Benjamin" w:date="2019-03-11T19:04:00Z">
        <w:r w:rsidR="00E97E36" w:rsidRPr="00387397" w:rsidDel="00867336">
          <w:rPr>
            <w:rFonts w:eastAsia="Times New Roman"/>
            <w:color w:val="000000" w:themeColor="text1"/>
          </w:rPr>
          <w:delText>to all</w:delText>
        </w:r>
        <w:r w:rsidR="00102576" w:rsidRPr="00387397" w:rsidDel="00867336">
          <w:rPr>
            <w:rFonts w:eastAsia="Times New Roman"/>
            <w:color w:val="000000" w:themeColor="text1"/>
          </w:rPr>
          <w:delText xml:space="preserve"> types of requirement</w:delText>
        </w:r>
        <w:commentRangeStart w:id="154"/>
        <w:r w:rsidR="00102576" w:rsidRPr="00387397" w:rsidDel="002B4705">
          <w:rPr>
            <w:rFonts w:eastAsia="Times New Roman"/>
            <w:color w:val="000000" w:themeColor="text1"/>
          </w:rPr>
          <w:delText>s</w:delText>
        </w:r>
        <w:r w:rsidR="00FD5A64" w:rsidRPr="00387397" w:rsidDel="002B4705">
          <w:rPr>
            <w:rFonts w:eastAsia="Times New Roman"/>
            <w:color w:val="000000" w:themeColor="text1"/>
          </w:rPr>
          <w:delText>.</w:delText>
        </w:r>
      </w:del>
      <w:r w:rsidR="00FD5A64" w:rsidRPr="00387397">
        <w:rPr>
          <w:rFonts w:eastAsia="Times New Roman"/>
          <w:color w:val="000000" w:themeColor="text1"/>
        </w:rPr>
        <w:t xml:space="preserve">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0038489B" w:rsidRPr="00387397">
        <w:rPr>
          <w:rFonts w:eastAsia="Times New Roman"/>
          <w:color w:val="000000" w:themeColor="text1"/>
        </w:rPr>
        <w:t>general trends.</w:t>
      </w:r>
      <w:commentRangeEnd w:id="154"/>
      <w:r w:rsidR="002B4705">
        <w:rPr>
          <w:rStyle w:val="CommentReference"/>
          <w:rFonts w:asciiTheme="minorHAnsi" w:hAnsiTheme="minorHAnsi" w:cstheme="minorBidi"/>
        </w:rPr>
        <w:commentReference w:id="154"/>
      </w:r>
      <w:r w:rsidR="00F40BC6">
        <w:rPr>
          <w:rFonts w:eastAsia="Times New Roman"/>
          <w:color w:val="000000" w:themeColor="text1"/>
        </w:rPr>
        <w:t xml:space="preserve"> </w:t>
      </w:r>
      <w:ins w:id="155" w:author="Cashore, Benjamin" w:date="2019-03-11T19:05:00Z">
        <w:r w:rsidR="00BE1A0B">
          <w:rPr>
            <w:rFonts w:eastAsia="Times New Roman"/>
            <w:color w:val="000000" w:themeColor="text1"/>
          </w:rPr>
          <w:t>Following Brunel and Levinson (2016), t</w:t>
        </w:r>
      </w:ins>
      <w:del w:id="156" w:author="Cashore, Benjamin" w:date="2019-03-11T19:05:00Z">
        <w:r w:rsidR="00F40BC6" w:rsidDel="00BE1A0B">
          <w:rPr>
            <w:rFonts w:eastAsia="Times New Roman"/>
            <w:color w:val="000000" w:themeColor="text1"/>
          </w:rPr>
          <w:delText>T</w:delText>
        </w:r>
      </w:del>
      <w:r w:rsidR="00F40BC6">
        <w:rPr>
          <w:rFonts w:eastAsia="Times New Roman"/>
          <w:color w:val="000000" w:themeColor="text1"/>
        </w:rPr>
        <w:t xml:space="preserve">his framework </w:t>
      </w:r>
      <w:del w:id="157" w:author="Cashore, Benjamin" w:date="2019-03-11T19:05:00Z">
        <w:r w:rsidR="00F40BC6" w:rsidDel="00BE1A0B">
          <w:rPr>
            <w:rFonts w:eastAsia="Times New Roman"/>
            <w:color w:val="000000" w:themeColor="text1"/>
          </w:rPr>
          <w:delText xml:space="preserve">thus meets </w:delText>
        </w:r>
        <w:r w:rsidR="00DD5BBA" w:rsidDel="00BE1A0B">
          <w:rPr>
            <w:rFonts w:eastAsia="Times New Roman"/>
            <w:color w:val="000000" w:themeColor="text1"/>
          </w:rPr>
          <w:delText xml:space="preserve">the </w:delText>
        </w:r>
      </w:del>
      <w:ins w:id="158" w:author="Cashore, Benjamin" w:date="2019-03-11T19:05:00Z">
        <w:r w:rsidR="00BE1A0B">
          <w:rPr>
            <w:rFonts w:eastAsia="Times New Roman"/>
            <w:color w:val="000000" w:themeColor="text1"/>
          </w:rPr>
          <w:t xml:space="preserve">helps address key factors important for comparing </w:t>
        </w:r>
      </w:ins>
      <w:del w:id="159" w:author="Cashore, Benjamin" w:date="2019-03-11T19:05:00Z">
        <w:r w:rsidR="00F40BC6" w:rsidDel="00BE1A0B">
          <w:rPr>
            <w:rFonts w:eastAsia="Times New Roman"/>
            <w:color w:val="000000" w:themeColor="text1"/>
          </w:rPr>
          <w:delText xml:space="preserve">criteria that Brunel and Levinson (2016) set out </w:delText>
        </w:r>
        <w:r w:rsidR="00DD5BBA" w:rsidDel="00BE1A0B">
          <w:rPr>
            <w:rFonts w:eastAsia="Times New Roman"/>
            <w:color w:val="000000" w:themeColor="text1"/>
          </w:rPr>
          <w:delText xml:space="preserve">for the measurement of </w:delText>
        </w:r>
      </w:del>
      <w:r w:rsidR="00F40BC6">
        <w:rPr>
          <w:rFonts w:eastAsia="Times New Roman"/>
          <w:color w:val="000000" w:themeColor="text1"/>
        </w:rPr>
        <w:t>regulatory stringency</w:t>
      </w:r>
      <w:ins w:id="160" w:author="Cashore, Benjamin" w:date="2019-03-11T19:05:00Z">
        <w:r w:rsidR="00BE1A0B">
          <w:rPr>
            <w:rFonts w:eastAsia="Times New Roman"/>
            <w:color w:val="000000" w:themeColor="text1"/>
          </w:rPr>
          <w:t xml:space="preserve"> across certification program</w:t>
        </w:r>
      </w:ins>
      <w:ins w:id="161" w:author="Cashore, Benjamin" w:date="2019-03-11T19:06:00Z">
        <w:r w:rsidR="00BE1A0B">
          <w:rPr>
            <w:rFonts w:eastAsia="Times New Roman"/>
            <w:color w:val="000000" w:themeColor="text1"/>
          </w:rPr>
          <w:t>s</w:t>
        </w:r>
      </w:ins>
      <w:r w:rsidR="00F40BC6">
        <w:rPr>
          <w:rFonts w:eastAsia="Times New Roman"/>
          <w:color w:val="000000" w:themeColor="text1"/>
        </w:rPr>
        <w:t xml:space="preserve">: </w:t>
      </w:r>
      <w:r w:rsidR="00DD5BBA">
        <w:rPr>
          <w:rFonts w:eastAsia="Times New Roman"/>
          <w:color w:val="000000" w:themeColor="text1"/>
        </w:rPr>
        <w:t xml:space="preserve">(1) </w:t>
      </w:r>
      <w:del w:id="162" w:author="Cashore, Benjamin" w:date="2019-03-11T19:06:00Z">
        <w:r w:rsidR="00DD5BBA" w:rsidDel="00BE1A0B">
          <w:rPr>
            <w:rFonts w:eastAsia="Times New Roman"/>
            <w:color w:val="000000" w:themeColor="text1"/>
          </w:rPr>
          <w:lastRenderedPageBreak/>
          <w:delText xml:space="preserve">it allows </w:delText>
        </w:r>
      </w:del>
      <w:r w:rsidR="00DD5BBA">
        <w:rPr>
          <w:rFonts w:eastAsia="Times New Roman"/>
          <w:color w:val="000000" w:themeColor="text1"/>
        </w:rPr>
        <w:t xml:space="preserve">measurement over time, (2) </w:t>
      </w:r>
      <w:del w:id="163" w:author="Cashore, Benjamin" w:date="2019-03-11T19:06:00Z">
        <w:r w:rsidR="00DD5BBA" w:rsidDel="00BE1A0B">
          <w:rPr>
            <w:rFonts w:eastAsia="Times New Roman"/>
            <w:color w:val="000000" w:themeColor="text1"/>
          </w:rPr>
          <w:delText xml:space="preserve">it allows </w:delText>
        </w:r>
      </w:del>
      <w:r w:rsidR="00DD5BBA">
        <w:rPr>
          <w:rFonts w:eastAsia="Times New Roman"/>
          <w:color w:val="000000" w:themeColor="text1"/>
        </w:rPr>
        <w:t xml:space="preserve">assessment of relative and absolute magnitudes, (3) </w:t>
      </w:r>
      <w:del w:id="164" w:author="Cashore, Benjamin" w:date="2019-03-11T19:06:00Z">
        <w:r w:rsidR="00DD5BBA" w:rsidDel="00BE1A0B">
          <w:rPr>
            <w:rFonts w:eastAsia="Times New Roman"/>
            <w:color w:val="000000" w:themeColor="text1"/>
          </w:rPr>
          <w:delText>it offers overarching measures of</w:delText>
        </w:r>
      </w:del>
      <w:r w:rsidR="00DD5BBA">
        <w:rPr>
          <w:rFonts w:eastAsia="Times New Roman"/>
          <w:color w:val="000000" w:themeColor="text1"/>
        </w:rPr>
        <w:t xml:space="preserve"> multidimensional stringency, and (4) </w:t>
      </w:r>
      <w:commentRangeStart w:id="165"/>
      <w:r w:rsidR="00DD5BBA">
        <w:rPr>
          <w:rFonts w:eastAsia="Times New Roman"/>
          <w:color w:val="000000" w:themeColor="text1"/>
        </w:rPr>
        <w:t>it can be theoretically related to compliance costs</w:t>
      </w:r>
      <w:commentRangeEnd w:id="165"/>
      <w:r w:rsidR="00BE1A0B">
        <w:rPr>
          <w:rStyle w:val="CommentReference"/>
          <w:rFonts w:asciiTheme="minorHAnsi" w:hAnsiTheme="minorHAnsi" w:cstheme="minorBidi"/>
        </w:rPr>
        <w:commentReference w:id="165"/>
      </w:r>
      <w:r w:rsidR="00DD5BBA">
        <w:rPr>
          <w:rFonts w:eastAsia="Times New Roman"/>
          <w:color w:val="000000" w:themeColor="text1"/>
        </w:rPr>
        <w:t xml:space="preserve">. </w:t>
      </w:r>
      <w:commentRangeStart w:id="166"/>
      <w:del w:id="167" w:author="Cashore, Benjamin" w:date="2019-03-11T19:04:00Z">
        <w:r w:rsidR="00DD5BBA" w:rsidDel="002B4705">
          <w:rPr>
            <w:rFonts w:eastAsia="Times New Roman"/>
            <w:color w:val="000000" w:themeColor="text1"/>
          </w:rPr>
          <w:delText xml:space="preserve">To these criteria, we would add that a measurement approach should also capture qualitative differences in policy settings.  </w:delText>
        </w:r>
      </w:del>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commentRangeEnd w:id="166"/>
      <w:r w:rsidR="00BE1A0B">
        <w:rPr>
          <w:rStyle w:val="CommentReference"/>
          <w:rFonts w:asciiTheme="minorHAnsi" w:hAnsiTheme="minorHAnsi" w:cstheme="minorBidi"/>
        </w:rPr>
        <w:commentReference w:id="166"/>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62745D" w:rsidP="00044AED">
      <w:pPr>
        <w:widowControl w:val="0"/>
        <w:autoSpaceDE w:val="0"/>
        <w:autoSpaceDN w:val="0"/>
        <w:adjustRightInd w:val="0"/>
        <w:spacing w:after="240"/>
        <w:rPr>
          <w:b/>
          <w:color w:val="000000" w:themeColor="text1"/>
        </w:rPr>
      </w:pPr>
      <w:r>
        <w:rPr>
          <w:b/>
          <w:color w:val="000000" w:themeColor="text1"/>
        </w:rPr>
        <w:t xml:space="preserve">## </w:t>
      </w:r>
      <w:r w:rsidR="00D255B0"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5E534F04" w:rsidR="0099356D"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 xml:space="preserve">Our </w:t>
      </w:r>
      <w:r w:rsidR="00090555">
        <w:rPr>
          <w:color w:val="000000" w:themeColor="text1"/>
        </w:rPr>
        <w:t xml:space="preserve">core </w:t>
      </w:r>
      <w:r>
        <w:rPr>
          <w:color w:val="000000" w:themeColor="text1"/>
        </w:rPr>
        <w:t xml:space="preserve">methodological critique is that </w:t>
      </w:r>
      <w:r w:rsidRPr="00387397">
        <w:rPr>
          <w:color w:val="000000" w:themeColor="text1"/>
        </w:rPr>
        <w:t>different dimensions of stringency may exhibit different patterns</w:t>
      </w:r>
      <w:r>
        <w:rPr>
          <w:color w:val="000000" w:themeColor="text1"/>
        </w:rPr>
        <w:t xml:space="preserve"> of change. </w:t>
      </w:r>
      <w:r w:rsidR="00090555">
        <w:rPr>
          <w:color w:val="000000" w:themeColor="text1"/>
        </w:rPr>
        <w:t xml:space="preserve">Thus, </w:t>
      </w:r>
      <w:r w:rsidR="0012750D" w:rsidRPr="00387397">
        <w:rPr>
          <w:color w:val="000000" w:themeColor="text1"/>
        </w:rPr>
        <w:t xml:space="preserve">precise and testable hypotheses about </w:t>
      </w:r>
      <w:r w:rsidR="00D54401">
        <w:rPr>
          <w:color w:val="000000" w:themeColor="text1"/>
        </w:rPr>
        <w:t>the</w:t>
      </w:r>
      <w:r w:rsidR="00572BE5" w:rsidRPr="00387397">
        <w:rPr>
          <w:color w:val="000000" w:themeColor="text1"/>
        </w:rPr>
        <w:t xml:space="preserve"> </w:t>
      </w:r>
      <w:r w:rsidR="0012750D" w:rsidRPr="00387397">
        <w:rPr>
          <w:color w:val="000000" w:themeColor="text1"/>
        </w:rPr>
        <w:t>causes and effects</w:t>
      </w:r>
      <w:r w:rsidR="00D54401">
        <w:rPr>
          <w:color w:val="000000" w:themeColor="text1"/>
        </w:rPr>
        <w:t xml:space="preserve"> of change</w:t>
      </w:r>
      <w:r w:rsidR="00090555">
        <w:rPr>
          <w:color w:val="000000" w:themeColor="text1"/>
        </w:rPr>
        <w:t xml:space="preserve"> must distinguish among types of policy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independently,</w:t>
      </w:r>
      <w:r w:rsidR="00090555">
        <w:rPr>
          <w:color w:val="000000" w:themeColor="text1"/>
        </w:rPr>
        <w:t xml:space="preserve"> a</w:t>
      </w:r>
      <w:r w:rsidR="0039606B" w:rsidRPr="00387397">
        <w:rPr>
          <w:color w:val="000000" w:themeColor="text1"/>
        </w:rPr>
        <w:t xml:space="preserve">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t>
      </w:r>
      <w:r w:rsidR="0062745D" w:rsidRPr="0062745D">
        <w:rPr>
          <w:color w:val="000000" w:themeColor="text1"/>
        </w:rPr>
        <w:t>for</w:t>
      </w:r>
      <w:r w:rsidR="00EC15D6" w:rsidRPr="00387397">
        <w:rPr>
          <w:color w:val="000000" w:themeColor="text1"/>
        </w:rPr>
        <w:t xml:space="preserve">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044AED" w:rsidRDefault="0099356D" w:rsidP="00044AED">
      <w:pPr>
        <w:widowControl w:val="0"/>
        <w:autoSpaceDE w:val="0"/>
        <w:autoSpaceDN w:val="0"/>
        <w:adjustRightInd w:val="0"/>
        <w:spacing w:after="240" w:line="480" w:lineRule="auto"/>
        <w:rPr>
          <w:color w:val="000000" w:themeColor="text1"/>
        </w:rPr>
      </w:pPr>
    </w:p>
    <w:p w14:paraId="338A2938" w14:textId="64FF7CAF" w:rsidR="00D255B0"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Compliance costs</w:t>
      </w:r>
      <w:r w:rsidR="005F7DC8" w:rsidRPr="00044AED">
        <w:rPr>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BF2CF0" w:rsidRPr="00387397">
        <w:rPr>
          <w:color w:val="000000" w:themeColor="text1"/>
        </w:rPr>
        <w:t>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 xml:space="preserve">expand </w:t>
      </w:r>
      <w:r w:rsidR="00805F90" w:rsidRPr="00387397">
        <w:rPr>
          <w:color w:val="000000" w:themeColor="text1"/>
        </w:rPr>
        <w:lastRenderedPageBreak/>
        <w:t>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BA102F" w:rsidRPr="00387397">
        <w:rPr>
          <w:color w:val="000000" w:themeColor="text1"/>
        </w:rPr>
        <w:t xml:space="preserve">Yet, </w:t>
      </w:r>
      <w:r w:rsidR="00BA102F">
        <w:rPr>
          <w:color w:val="000000" w:themeColor="text1"/>
        </w:rPr>
        <w:t xml:space="preserve">these studies do not specify </w:t>
      </w:r>
      <w:r w:rsidR="00BA102F" w:rsidRPr="00387397">
        <w:rPr>
          <w:color w:val="000000" w:themeColor="text1"/>
        </w:rPr>
        <w:t>which dimensions of stringency ought to be affected by compliance costs</w:t>
      </w:r>
      <w:r w:rsidR="00BA102F">
        <w:rPr>
          <w:color w:val="000000" w:themeColor="text1"/>
        </w:rPr>
        <w:t>.</w:t>
      </w:r>
      <w:r w:rsidR="00BA102F" w:rsidRPr="00387397">
        <w:rPr>
          <w:color w:val="000000" w:themeColor="text1"/>
        </w:rPr>
        <w:t xml:space="preserve"> </w:t>
      </w:r>
      <w:r w:rsidR="00BA102F">
        <w:rPr>
          <w:color w:val="000000" w:themeColor="text1"/>
        </w:rPr>
        <w:t xml:space="preserve">Do </w:t>
      </w:r>
      <w:r w:rsidR="00BA102F" w:rsidRPr="00387397">
        <w:rPr>
          <w:color w:val="000000" w:themeColor="text1"/>
        </w:rPr>
        <w:t xml:space="preserve">incentives rooted in compliance cost affect each dimension in the same </w:t>
      </w:r>
      <w:r w:rsidR="00BA102F">
        <w:rPr>
          <w:color w:val="000000" w:themeColor="text1"/>
        </w:rPr>
        <w:t xml:space="preserve">way?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w:t>
      </w:r>
      <w:r w:rsidR="0062745D" w:rsidRPr="0062745D">
        <w:rPr>
          <w:color w:val="000000" w:themeColor="text1"/>
        </w:rPr>
        <w:t xml:space="preserve"> policy settings,</w:t>
      </w:r>
      <w:r w:rsidR="00AE3733" w:rsidRPr="00387397">
        <w:rPr>
          <w:color w:val="000000" w:themeColor="text1"/>
        </w:rPr>
        <w:t xml:space="preserve"> scope, </w:t>
      </w:r>
      <w:r w:rsidR="0062745D" w:rsidRPr="0062745D">
        <w:rPr>
          <w:color w:val="000000" w:themeColor="text1"/>
        </w:rPr>
        <w:t xml:space="preserve">and </w:t>
      </w:r>
      <w:r w:rsidR="00AE3733" w:rsidRPr="00387397">
        <w:rPr>
          <w:color w:val="000000" w:themeColor="text1"/>
        </w:rPr>
        <w:t>prescriptiveness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090555">
        <w:rPr>
          <w:color w:val="000000" w:themeColor="text1"/>
        </w:rPr>
        <w:t>.</w:t>
      </w:r>
    </w:p>
    <w:p w14:paraId="6DBAA31A" w14:textId="77777777" w:rsidR="00387397" w:rsidRPr="00044AED" w:rsidRDefault="00387397" w:rsidP="00044AED">
      <w:pPr>
        <w:widowControl w:val="0"/>
        <w:autoSpaceDE w:val="0"/>
        <w:autoSpaceDN w:val="0"/>
        <w:adjustRightInd w:val="0"/>
        <w:spacing w:after="240" w:line="480" w:lineRule="auto"/>
        <w:rPr>
          <w:color w:val="000000" w:themeColor="text1"/>
        </w:rPr>
      </w:pPr>
    </w:p>
    <w:p w14:paraId="3F8BF1E8" w14:textId="03FA085A" w:rsidR="00AE3733" w:rsidRPr="00044AED" w:rsidRDefault="00C37BC8" w:rsidP="00044AED">
      <w:pPr>
        <w:widowControl w:val="0"/>
        <w:autoSpaceDE w:val="0"/>
        <w:autoSpaceDN w:val="0"/>
        <w:adjustRightInd w:val="0"/>
        <w:spacing w:after="240" w:line="480" w:lineRule="auto"/>
        <w:rPr>
          <w:color w:val="000000" w:themeColor="text1"/>
        </w:rPr>
      </w:pPr>
      <w:r w:rsidRPr="00090555">
        <w:rPr>
          <w:b/>
          <w:color w:val="000000" w:themeColor="text1"/>
        </w:rPr>
        <w:t>Re</w:t>
      </w:r>
      <w:r w:rsidR="00BF2CF0" w:rsidRPr="00090555">
        <w:rPr>
          <w:b/>
          <w:color w:val="000000" w:themeColor="text1"/>
        </w:rPr>
        <w:t xml:space="preserve">vised </w:t>
      </w:r>
      <w:r w:rsidRPr="00090555">
        <w:rPr>
          <w:b/>
          <w:color w:val="000000" w:themeColor="text1"/>
        </w:rPr>
        <w:t>c</w:t>
      </w:r>
      <w:r w:rsidR="00AE3733" w:rsidRPr="00090555">
        <w:rPr>
          <w:b/>
          <w:color w:val="000000" w:themeColor="text1"/>
        </w:rPr>
        <w:t>ompliance cost h</w:t>
      </w:r>
      <w:r w:rsidR="0099356D" w:rsidRPr="00090555">
        <w:rPr>
          <w:b/>
          <w:color w:val="000000" w:themeColor="text1"/>
        </w:rPr>
        <w:t>ypothes</w:t>
      </w:r>
      <w:r w:rsidR="00AE3733" w:rsidRPr="00090555">
        <w:rPr>
          <w:b/>
          <w:color w:val="000000" w:themeColor="text1"/>
        </w:rPr>
        <w:t>es:</w:t>
      </w:r>
      <w:r w:rsidR="00AE3733" w:rsidRPr="00044AED">
        <w:rPr>
          <w:color w:val="000000" w:themeColor="text1"/>
        </w:rPr>
        <w:t xml:space="preserve">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.1</w:t>
      </w:r>
      <w:r w:rsidRPr="00044AED">
        <w:rPr>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0B1EC366" w:rsidR="00D969AD" w:rsidRPr="00387397" w:rsidRDefault="00AE3733" w:rsidP="00044AED">
      <w:pPr>
        <w:widowControl w:val="0"/>
        <w:autoSpaceDE w:val="0"/>
        <w:autoSpaceDN w:val="0"/>
        <w:adjustRightInd w:val="0"/>
        <w:spacing w:after="240" w:line="480" w:lineRule="auto"/>
        <w:rPr>
          <w:color w:val="000000" w:themeColor="text1"/>
        </w:rPr>
      </w:pPr>
      <w:r w:rsidRPr="00044AED">
        <w:rPr>
          <w:color w:val="000000" w:themeColor="text1"/>
        </w:rPr>
        <w:t>H1</w:t>
      </w:r>
      <w:r w:rsidR="00C37BC8" w:rsidRPr="00044AED">
        <w:rPr>
          <w:color w:val="000000" w:themeColor="text1"/>
        </w:rPr>
        <w:t>.2</w:t>
      </w:r>
      <w:r w:rsidRPr="00044AED">
        <w:rPr>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w:t>
      </w:r>
      <w:r w:rsidR="00470494">
        <w:rPr>
          <w:color w:val="000000" w:themeColor="text1"/>
        </w:rPr>
        <w:t>ing</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044AED">
      <w:pPr>
        <w:widowControl w:val="0"/>
        <w:autoSpaceDE w:val="0"/>
        <w:autoSpaceDN w:val="0"/>
        <w:adjustRightInd w:val="0"/>
        <w:spacing w:after="240" w:line="480" w:lineRule="auto"/>
        <w:rPr>
          <w:color w:val="000000" w:themeColor="text1"/>
        </w:rPr>
      </w:pPr>
    </w:p>
    <w:p w14:paraId="54C81C07" w14:textId="43A91E17" w:rsidR="00291F94" w:rsidRDefault="00C37BC8" w:rsidP="00044AED">
      <w:pPr>
        <w:widowControl w:val="0"/>
        <w:autoSpaceDE w:val="0"/>
        <w:autoSpaceDN w:val="0"/>
        <w:adjustRightInd w:val="0"/>
        <w:spacing w:after="240" w:line="480" w:lineRule="auto"/>
        <w:rPr>
          <w:ins w:id="168" w:author="Cashore, Benjamin" w:date="2019-03-11T19:22:00Z"/>
          <w:color w:val="000000" w:themeColor="text1"/>
        </w:rPr>
      </w:pPr>
      <w:r w:rsidRPr="00044AED">
        <w:rPr>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62745D" w:rsidRPr="0062745D">
        <w:rPr>
          <w:color w:val="000000" w:themeColor="text1"/>
        </w:rPr>
        <w:t>(</w:t>
      </w:r>
      <w:proofErr w:type="spellStart"/>
      <w:r w:rsidR="0062745D" w:rsidRPr="0062745D">
        <w:rPr>
          <w:color w:val="000000" w:themeColor="text1"/>
        </w:rPr>
        <w:t>Botzem</w:t>
      </w:r>
      <w:proofErr w:type="spellEnd"/>
      <w:r w:rsidR="0062745D" w:rsidRPr="0062745D">
        <w:rPr>
          <w:color w:val="000000" w:themeColor="text1"/>
        </w:rPr>
        <w:t xml:space="preserve"> &amp; </w:t>
      </w:r>
      <w:proofErr w:type="spellStart"/>
      <w:r w:rsidR="0062745D" w:rsidRPr="0062745D">
        <w:rPr>
          <w:color w:val="000000" w:themeColor="text1"/>
        </w:rPr>
        <w:t>Dobusch</w:t>
      </w:r>
      <w:proofErr w:type="spellEnd"/>
      <w:r w:rsidR="0062745D" w:rsidRPr="0062745D">
        <w:rPr>
          <w:color w:val="000000" w:themeColor="text1"/>
        </w:rPr>
        <w:t>, 2012; Hsueh and Prakash, 2012).</w:t>
      </w:r>
      <w:r w:rsidR="0099356D" w:rsidRPr="00387397">
        <w:rPr>
          <w:color w:val="000000" w:themeColor="text1"/>
        </w:rPr>
        <w:t xml:space="preserve"> </w:t>
      </w:r>
      <w:r w:rsidR="00090555">
        <w:rPr>
          <w:color w:val="000000" w:themeColor="text1"/>
        </w:rPr>
        <w:t>By distinguishing types of stringency we may identify qualitative differences how stringency varies across programs.</w:t>
      </w:r>
    </w:p>
    <w:p w14:paraId="0E8C365A" w14:textId="33FCA20F" w:rsidR="0099356D" w:rsidDel="00291F94" w:rsidRDefault="00810524" w:rsidP="00044AED">
      <w:pPr>
        <w:widowControl w:val="0"/>
        <w:autoSpaceDE w:val="0"/>
        <w:autoSpaceDN w:val="0"/>
        <w:adjustRightInd w:val="0"/>
        <w:spacing w:after="240" w:line="480" w:lineRule="auto"/>
        <w:rPr>
          <w:del w:id="169" w:author="Cashore, Benjamin" w:date="2019-03-11T19:22:00Z"/>
          <w:color w:val="000000" w:themeColor="text1"/>
        </w:rPr>
      </w:pPr>
      <w:del w:id="170" w:author="Cashore, Benjamin" w:date="2019-03-11T19:22:00Z">
        <w:r w:rsidRPr="00387397" w:rsidDel="00291F94">
          <w:rPr>
            <w:color w:val="000000" w:themeColor="text1"/>
          </w:rPr>
          <w:lastRenderedPageBreak/>
          <w:delText>Focusing on</w:delText>
        </w:r>
        <w:r w:rsidR="0099356D" w:rsidRPr="00387397" w:rsidDel="00291F94">
          <w:rPr>
            <w:color w:val="000000" w:themeColor="text1"/>
          </w:rPr>
          <w:delText xml:space="preserve"> a comprehensive rather than a l</w:delText>
        </w:r>
        <w:r w:rsidRPr="00387397" w:rsidDel="00291F94">
          <w:rPr>
            <w:color w:val="000000" w:themeColor="text1"/>
          </w:rPr>
          <w:delText xml:space="preserve">imited set of issues suggests </w:delText>
        </w:r>
        <w:r w:rsidR="0099356D" w:rsidRPr="00387397" w:rsidDel="00291F94">
          <w:rPr>
            <w:color w:val="000000" w:themeColor="text1"/>
          </w:rPr>
          <w:delText>new version</w:delText>
        </w:r>
        <w:r w:rsidRPr="00387397" w:rsidDel="00291F94">
          <w:rPr>
            <w:color w:val="000000" w:themeColor="text1"/>
          </w:rPr>
          <w:delText>s</w:delText>
        </w:r>
        <w:r w:rsidR="0099356D" w:rsidRPr="00387397" w:rsidDel="00291F94">
          <w:rPr>
            <w:color w:val="000000" w:themeColor="text1"/>
          </w:rPr>
          <w:delText xml:space="preserve"> of this question: On which issues will an activist-backed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industry-backed </w:delText>
        </w:r>
        <w:r w:rsidR="00D910B4" w:rsidRPr="00387397" w:rsidDel="00291F94">
          <w:rPr>
            <w:color w:val="000000" w:themeColor="text1"/>
          </w:rPr>
          <w:delText>regulation</w:delText>
        </w:r>
        <w:r w:rsidR="0099356D" w:rsidRPr="00387397" w:rsidDel="00291F94">
          <w:rPr>
            <w:color w:val="000000" w:themeColor="text1"/>
          </w:rPr>
          <w:delText xml:space="preserve">? On which issues will an industry-backed </w:delText>
        </w:r>
        <w:r w:rsidR="00D910B4" w:rsidRPr="00387397" w:rsidDel="00291F94">
          <w:rPr>
            <w:color w:val="000000" w:themeColor="text1"/>
          </w:rPr>
          <w:delText xml:space="preserve">regulation </w:delText>
        </w:r>
        <w:r w:rsidR="0099356D" w:rsidRPr="00387397" w:rsidDel="00291F94">
          <w:rPr>
            <w:color w:val="000000" w:themeColor="text1"/>
          </w:rPr>
          <w:delText xml:space="preserve">be more stringent than an activist-backed </w:delText>
        </w:r>
        <w:r w:rsidR="00D910B4" w:rsidRPr="00387397" w:rsidDel="00291F94">
          <w:rPr>
            <w:color w:val="000000" w:themeColor="text1"/>
          </w:rPr>
          <w:delText>regulation</w:delText>
        </w:r>
        <w:r w:rsidR="0099356D" w:rsidRPr="00387397" w:rsidDel="00291F94">
          <w:rPr>
            <w:color w:val="000000" w:themeColor="text1"/>
          </w:rPr>
          <w:delText>?</w:delText>
        </w:r>
      </w:del>
    </w:p>
    <w:p w14:paraId="4BB44E40" w14:textId="77777777" w:rsidR="0070156E" w:rsidRDefault="0070156E" w:rsidP="00044AED">
      <w:pPr>
        <w:widowControl w:val="0"/>
        <w:autoSpaceDE w:val="0"/>
        <w:autoSpaceDN w:val="0"/>
        <w:adjustRightInd w:val="0"/>
        <w:spacing w:after="240" w:line="480" w:lineRule="auto"/>
        <w:rPr>
          <w:color w:val="000000" w:themeColor="text1"/>
        </w:rPr>
      </w:pPr>
    </w:p>
    <w:p w14:paraId="16CD5310" w14:textId="00DBAF7F" w:rsidR="008B6C5D" w:rsidRDefault="0070156E" w:rsidP="00044AED">
      <w:pPr>
        <w:widowControl w:val="0"/>
        <w:autoSpaceDE w:val="0"/>
        <w:autoSpaceDN w:val="0"/>
        <w:adjustRightInd w:val="0"/>
        <w:spacing w:after="240" w:line="480" w:lineRule="auto"/>
        <w:rPr>
          <w:color w:val="000000" w:themeColor="text1"/>
        </w:rPr>
      </w:pPr>
      <w:commentRangeStart w:id="171"/>
      <w:commentRangeStart w:id="172"/>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a</w:t>
      </w:r>
      <w:r w:rsidR="00470494">
        <w:rPr>
          <w:color w:val="000000" w:themeColor="text1"/>
        </w:rPr>
        <w:t>n</w:t>
      </w:r>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commentRangeEnd w:id="171"/>
      <w:r w:rsidR="00465B50">
        <w:rPr>
          <w:rStyle w:val="CommentReference"/>
          <w:rFonts w:asciiTheme="minorHAnsi" w:hAnsiTheme="minorHAnsi" w:cstheme="minorBidi"/>
        </w:rPr>
        <w:commentReference w:id="171"/>
      </w:r>
      <w:commentRangeEnd w:id="172"/>
      <w:r w:rsidR="00090555">
        <w:rPr>
          <w:rStyle w:val="CommentReference"/>
          <w:rFonts w:asciiTheme="minorHAnsi" w:hAnsiTheme="minorHAnsi" w:cstheme="minorBidi"/>
        </w:rPr>
        <w:commentReference w:id="172"/>
      </w:r>
    </w:p>
    <w:p w14:paraId="3EF99A0D" w14:textId="77777777" w:rsidR="00407838" w:rsidRDefault="00407838" w:rsidP="00044AED">
      <w:pPr>
        <w:widowControl w:val="0"/>
        <w:autoSpaceDE w:val="0"/>
        <w:autoSpaceDN w:val="0"/>
        <w:adjustRightInd w:val="0"/>
        <w:spacing w:after="240" w:line="480" w:lineRule="auto"/>
        <w:rPr>
          <w:color w:val="000000" w:themeColor="text1"/>
        </w:rPr>
      </w:pPr>
    </w:p>
    <w:p w14:paraId="5F2AD7CC" w14:textId="1109DBCB" w:rsidR="0070156E" w:rsidRPr="00387397" w:rsidRDefault="005D7606" w:rsidP="00044AED">
      <w:pPr>
        <w:widowControl w:val="0"/>
        <w:autoSpaceDE w:val="0"/>
        <w:autoSpaceDN w:val="0"/>
        <w:adjustRightInd w:val="0"/>
        <w:spacing w:after="240"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sidR="0062745D" w:rsidRPr="0062745D">
        <w:rPr>
          <w:color w:val="000000" w:themeColor="text1"/>
        </w:rPr>
        <w:t>redundant</w:t>
      </w:r>
      <w:r w:rsidR="00D422C1">
        <w:rPr>
          <w:color w:val="000000" w:themeColor="text1"/>
        </w:rPr>
        <w:t xml:space="preserve">. </w:t>
      </w:r>
      <w:r w:rsidR="00B02D5C">
        <w:rPr>
          <w:color w:val="000000" w:themeColor="text1"/>
        </w:rPr>
        <w:t>T</w:t>
      </w:r>
      <w:r w:rsidR="00830A1B">
        <w:rPr>
          <w:color w:val="000000" w:themeColor="text1"/>
        </w:rPr>
        <w:t>hese “</w:t>
      </w:r>
      <w:r>
        <w:rPr>
          <w:color w:val="000000" w:themeColor="text1"/>
        </w:rPr>
        <w:t>business-friendly</w:t>
      </w:r>
      <w:r w:rsidR="00B02D5C">
        <w:rPr>
          <w:color w:val="000000" w:themeColor="text1"/>
        </w:rPr>
        <w:t>”</w:t>
      </w:r>
      <w:r w:rsidR="00830A1B">
        <w:rPr>
          <w:color w:val="000000" w:themeColor="text1"/>
        </w:rPr>
        <w:t xml:space="preserve"> issues</w:t>
      </w:r>
      <w:r w:rsidR="00D422C1">
        <w:rPr>
          <w:color w:val="000000" w:themeColor="text1"/>
        </w:rPr>
        <w:t xml:space="preserve"> serve a similar function to industry associations—coordinating resources and solving collective action problems related to industry reputation (e.g</w:t>
      </w:r>
      <w:r w:rsidR="0062745D" w:rsidRPr="0062745D">
        <w:rPr>
          <w:color w:val="000000" w:themeColor="text1"/>
        </w:rPr>
        <w:t>.,</w:t>
      </w:r>
      <w:r w:rsidR="00D422C1">
        <w:rPr>
          <w:color w:val="000000" w:themeColor="text1"/>
        </w:rPr>
        <w:t xml:space="preserve"> through public image campaigns) and capacity (e.g</w:t>
      </w:r>
      <w:r w:rsidR="0062745D" w:rsidRPr="0062745D">
        <w:rPr>
          <w:color w:val="000000" w:themeColor="text1"/>
        </w:rPr>
        <w:t>.,</w:t>
      </w:r>
      <w:r w:rsidR="00D422C1">
        <w:rPr>
          <w:color w:val="000000" w:themeColor="text1"/>
        </w:rPr>
        <w:t xml:space="preserve"> by developing collective goods like </w:t>
      </w:r>
      <w:r w:rsidR="009C015F">
        <w:rPr>
          <w:color w:val="000000" w:themeColor="text1"/>
        </w:rPr>
        <w:t xml:space="preserve">technical knowledge or </w:t>
      </w:r>
      <w:r w:rsidR="00D422C1">
        <w:rPr>
          <w:color w:val="000000" w:themeColor="text1"/>
        </w:rPr>
        <w:t xml:space="preserve">a skilled </w:t>
      </w:r>
      <w:commentRangeStart w:id="173"/>
      <w:commentRangeStart w:id="174"/>
      <w:r w:rsidR="00D422C1">
        <w:rPr>
          <w:color w:val="000000" w:themeColor="text1"/>
        </w:rPr>
        <w:t>workforce</w:t>
      </w:r>
      <w:commentRangeEnd w:id="173"/>
      <w:r w:rsidR="00B02D5C">
        <w:rPr>
          <w:rStyle w:val="CommentReference"/>
          <w:rFonts w:asciiTheme="minorHAnsi" w:hAnsiTheme="minorHAnsi" w:cstheme="minorBidi"/>
        </w:rPr>
        <w:commentReference w:id="173"/>
      </w:r>
      <w:commentRangeEnd w:id="174"/>
      <w:r w:rsidR="00F63F63">
        <w:rPr>
          <w:rStyle w:val="CommentReference"/>
          <w:rFonts w:asciiTheme="minorHAnsi" w:hAnsiTheme="minorHAnsi" w:cstheme="minorBidi"/>
        </w:rPr>
        <w:commentReference w:id="174"/>
      </w:r>
      <w:r w:rsidR="00D422C1">
        <w:rPr>
          <w:color w:val="000000" w:themeColor="text1"/>
        </w:rPr>
        <w:t>).</w:t>
      </w:r>
      <w:r>
        <w:rPr>
          <w:color w:val="000000" w:themeColor="text1"/>
        </w:rPr>
        <w:t xml:space="preserve"> </w:t>
      </w:r>
      <w:r w:rsidR="0062745D" w:rsidRPr="0062745D">
        <w:rPr>
          <w:color w:val="000000" w:themeColor="text1"/>
        </w:rPr>
        <w:t xml:space="preserve"> Similarly, to</w:t>
      </w:r>
      <w:r w:rsidR="004A1C15">
        <w:rPr>
          <w:color w:val="000000" w:themeColor="text1"/>
        </w:rPr>
        <w:t xml:space="preserve"> create perceptions of stringency, p</w:t>
      </w:r>
      <w:r>
        <w:rPr>
          <w:color w:val="000000" w:themeColor="text1"/>
        </w:rPr>
        <w:t xml:space="preserve">rograms may add requirements </w:t>
      </w:r>
      <w:r w:rsidR="004A1C15">
        <w:rPr>
          <w:color w:val="000000" w:themeColor="text1"/>
        </w:rPr>
        <w:t xml:space="preserve">to do things that firms would do anyway. If observers fail to distinguish among </w:t>
      </w:r>
      <w:r w:rsidR="00A4349C">
        <w:rPr>
          <w:color w:val="000000" w:themeColor="text1"/>
        </w:rPr>
        <w:t xml:space="preserve">different </w:t>
      </w:r>
      <w:r w:rsidR="004A1C15">
        <w:rPr>
          <w:color w:val="000000" w:themeColor="text1"/>
        </w:rPr>
        <w:t xml:space="preserve">types of stringency on different issues, such </w:t>
      </w:r>
      <w:r w:rsidR="0044241D">
        <w:rPr>
          <w:color w:val="000000" w:themeColor="text1"/>
        </w:rPr>
        <w:t>a strategy may be a low cost and</w:t>
      </w:r>
      <w:r w:rsidR="004A1C15">
        <w:rPr>
          <w:color w:val="000000" w:themeColor="text1"/>
        </w:rPr>
        <w:t xml:space="preserve"> effective </w:t>
      </w:r>
      <w:r w:rsidR="0044241D">
        <w:rPr>
          <w:color w:val="000000" w:themeColor="text1"/>
        </w:rPr>
        <w:t xml:space="preserve">way </w:t>
      </w:r>
      <w:r w:rsidR="0062745D" w:rsidRPr="0062745D">
        <w:rPr>
          <w:color w:val="000000" w:themeColor="text1"/>
        </w:rPr>
        <w:t xml:space="preserve">to shape </w:t>
      </w:r>
      <w:r w:rsidR="004A1C15">
        <w:rPr>
          <w:color w:val="000000" w:themeColor="text1"/>
        </w:rPr>
        <w:t>perceptions of overall stringency.</w:t>
      </w:r>
    </w:p>
    <w:p w14:paraId="4B0576CB" w14:textId="77777777" w:rsidR="00C37BC8" w:rsidRPr="00387397" w:rsidRDefault="00C37BC8" w:rsidP="00044AED">
      <w:pPr>
        <w:widowControl w:val="0"/>
        <w:autoSpaceDE w:val="0"/>
        <w:autoSpaceDN w:val="0"/>
        <w:adjustRightInd w:val="0"/>
        <w:spacing w:after="240" w:line="480" w:lineRule="auto"/>
        <w:rPr>
          <w:color w:val="000000" w:themeColor="text1"/>
        </w:rPr>
      </w:pPr>
      <w:commentRangeStart w:id="175"/>
    </w:p>
    <w:p w14:paraId="18F59712" w14:textId="6236BB2B" w:rsidR="00C37BC8" w:rsidRPr="00387397" w:rsidRDefault="00EB0B24" w:rsidP="00044AED">
      <w:pPr>
        <w:widowControl w:val="0"/>
        <w:autoSpaceDE w:val="0"/>
        <w:autoSpaceDN w:val="0"/>
        <w:adjustRightInd w:val="0"/>
        <w:spacing w:after="240" w:line="480" w:lineRule="auto"/>
        <w:rPr>
          <w:color w:val="000000" w:themeColor="text1"/>
        </w:rPr>
      </w:pPr>
      <w:r w:rsidRPr="00044AED">
        <w:rPr>
          <w:b/>
          <w:color w:val="000000" w:themeColor="text1"/>
        </w:rPr>
        <w:t>Revised</w:t>
      </w:r>
      <w:r w:rsidR="00C37BC8" w:rsidRPr="00044AED">
        <w:rPr>
          <w:b/>
          <w:color w:val="000000" w:themeColor="text1"/>
        </w:rPr>
        <w:t xml:space="preserve"> differentiation hypotheses: </w:t>
      </w:r>
      <w:r w:rsidR="00C37BC8" w:rsidRPr="00387397">
        <w:rPr>
          <w:color w:val="000000" w:themeColor="text1"/>
        </w:rPr>
        <w:t xml:space="preserve">Where activist-backed and industry-backed private </w:t>
      </w:r>
      <w:r w:rsidR="00C37BC8" w:rsidRPr="00387397">
        <w:rPr>
          <w:color w:val="000000" w:themeColor="text1"/>
        </w:rPr>
        <w:lastRenderedPageBreak/>
        <w:t>regulations compete</w:t>
      </w:r>
      <w:r w:rsidR="00D910B4" w:rsidRPr="00387397">
        <w:rPr>
          <w:color w:val="000000" w:themeColor="text1"/>
        </w:rPr>
        <w:t xml:space="preserve">, </w:t>
      </w:r>
      <w:commentRangeEnd w:id="175"/>
      <w:r w:rsidR="00956FFD">
        <w:rPr>
          <w:rStyle w:val="CommentReference"/>
          <w:rFonts w:asciiTheme="minorHAnsi" w:hAnsiTheme="minorHAnsi" w:cstheme="minorBidi"/>
        </w:rPr>
        <w:commentReference w:id="175"/>
      </w:r>
    </w:p>
    <w:p w14:paraId="113E989E" w14:textId="1CF85CDA"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0062745D" w:rsidRPr="0062745D">
        <w:rPr>
          <w:color w:val="000000" w:themeColor="text1"/>
        </w:rPr>
        <w:t>coverage</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4575EF8F" w:rsidR="00C37BC8" w:rsidRPr="00387397" w:rsidRDefault="00C37BC8" w:rsidP="00044AED">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0062745D" w:rsidRPr="0062745D">
        <w:rPr>
          <w:color w:val="000000" w:themeColor="text1"/>
        </w:rPr>
        <w:t xml:space="preserve">coverage, </w:t>
      </w:r>
      <w:r w:rsidRPr="00387397">
        <w:rPr>
          <w:color w:val="000000" w:themeColor="text1"/>
        </w:rPr>
        <w:t xml:space="preserve">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62745D" w:rsidRPr="0062745D">
        <w:rPr>
          <w:color w:val="000000" w:themeColor="text1"/>
        </w:rPr>
        <w:t xml:space="preserve">that firms do anyway or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044AED">
      <w:pPr>
        <w:widowControl w:val="0"/>
        <w:autoSpaceDE w:val="0"/>
        <w:autoSpaceDN w:val="0"/>
        <w:adjustRightInd w:val="0"/>
        <w:spacing w:after="240" w:line="480" w:lineRule="auto"/>
        <w:rPr>
          <w:color w:val="000000" w:themeColor="text1"/>
        </w:rPr>
      </w:pPr>
    </w:p>
    <w:p w14:paraId="27EA13A0" w14:textId="0F3CF96E" w:rsidR="00EC0360" w:rsidRPr="00387397" w:rsidRDefault="00791462" w:rsidP="00044AED">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00EC0360" w:rsidRPr="00387397">
        <w:rPr>
          <w:color w:val="000000" w:themeColor="text1"/>
        </w:rPr>
        <w:t>ur core methodological critique</w:t>
      </w:r>
      <w:r>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62745D" w:rsidRPr="0062745D">
        <w:rPr>
          <w:color w:val="000000" w:themeColor="text1"/>
        </w:rPr>
        <w:t xml:space="preserve">reveal </w:t>
      </w:r>
      <w:r w:rsidR="00202023" w:rsidRPr="00387397">
        <w:rPr>
          <w:color w:val="000000" w:themeColor="text1"/>
        </w:rPr>
        <w:t xml:space="preserve">patterns of change that other methods failed to </w:t>
      </w:r>
      <w:r w:rsidR="0062745D" w:rsidRPr="0062745D">
        <w:rPr>
          <w:color w:val="000000" w:themeColor="text1"/>
        </w:rPr>
        <w:t>discover</w:t>
      </w:r>
      <w:r w:rsidR="00202023" w:rsidRPr="00387397">
        <w:rPr>
          <w:color w:val="000000" w:themeColor="text1"/>
        </w:rPr>
        <w:t xml:space="preserve">?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w:t>
      </w:r>
      <w:r w:rsidR="0062745D" w:rsidRPr="0062745D">
        <w:rPr>
          <w:color w:val="000000" w:themeColor="text1"/>
        </w:rPr>
        <w:t>existing</w:t>
      </w:r>
      <w:r w:rsidR="00EC0360" w:rsidRPr="00387397">
        <w:rPr>
          <w:color w:val="000000" w:themeColor="text1"/>
        </w:rPr>
        <w:t xml:space="preserve">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commentRangeStart w:id="176"/>
      <w:commentRangeStart w:id="177"/>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62745D" w:rsidRPr="0062745D">
        <w:rPr>
          <w:color w:val="000000" w:themeColor="text1"/>
        </w:rPr>
        <w:t>.,</w:t>
      </w:r>
      <w:r w:rsidR="00F66C33">
        <w:rPr>
          <w:color w:val="000000" w:themeColor="text1"/>
        </w:rPr>
        <w:t xml:space="preserve"> and</w:t>
      </w:r>
      <w:r w:rsidR="0062745D" w:rsidRPr="0062745D">
        <w:rPr>
          <w:color w:val="000000" w:themeColor="text1"/>
        </w:rPr>
        <w:t xml:space="preserve"> then</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commentRangeEnd w:id="176"/>
      <w:r w:rsidR="00956FFD">
        <w:rPr>
          <w:rStyle w:val="CommentReference"/>
          <w:rFonts w:asciiTheme="minorHAnsi" w:hAnsiTheme="minorHAnsi" w:cstheme="minorBidi"/>
        </w:rPr>
        <w:commentReference w:id="176"/>
      </w:r>
      <w:commentRangeEnd w:id="177"/>
      <w:r>
        <w:rPr>
          <w:rStyle w:val="CommentReference"/>
          <w:rFonts w:asciiTheme="minorHAnsi" w:hAnsiTheme="minorHAnsi" w:cstheme="minorBidi"/>
        </w:rPr>
        <w:commentReference w:id="177"/>
      </w:r>
    </w:p>
    <w:p w14:paraId="318CC2E6" w14:textId="77777777" w:rsidR="00341AD2" w:rsidRPr="00387397" w:rsidRDefault="00341AD2" w:rsidP="00044AED">
      <w:pPr>
        <w:widowControl w:val="0"/>
        <w:autoSpaceDE w:val="0"/>
        <w:autoSpaceDN w:val="0"/>
        <w:adjustRightInd w:val="0"/>
        <w:spacing w:after="240" w:line="480" w:lineRule="auto"/>
        <w:rPr>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7777777" w:rsidR="0062745D" w:rsidRP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lastRenderedPageBreak/>
        <w:t>Students of public policy have long recognized the need to break policy into its component parts and have found different explanations for change regarding different end goals and means to achieve them (Cashore, 1997; Hall, 1993; Weimer &amp; Vining, 2005). While private governance scholars have shown that private regulations resemble public laws (</w:t>
      </w:r>
      <w:proofErr w:type="spellStart"/>
      <w:r w:rsidRPr="0062745D">
        <w:rPr>
          <w:color w:val="000000" w:themeColor="text1"/>
        </w:rPr>
        <w:t>Meidinger</w:t>
      </w:r>
      <w:proofErr w:type="spellEnd"/>
      <w:r w:rsidRPr="0062745D">
        <w:rPr>
          <w:color w:val="000000" w:themeColor="text1"/>
        </w:rP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178"/>
      <w:commentRangeStart w:id="179"/>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78"/>
      <w:r w:rsidR="00956FFD">
        <w:rPr>
          <w:rStyle w:val="CommentReference"/>
          <w:rFonts w:asciiTheme="minorHAnsi" w:hAnsiTheme="minorHAnsi" w:cstheme="minorBidi"/>
        </w:rPr>
        <w:commentReference w:id="178"/>
      </w:r>
      <w:commentRangeEnd w:id="179"/>
      <w:r w:rsidR="00791462">
        <w:rPr>
          <w:rStyle w:val="CommentReference"/>
          <w:rFonts w:asciiTheme="minorHAnsi" w:hAnsiTheme="minorHAnsi" w:cstheme="minorBidi"/>
        </w:rPr>
        <w:commentReference w:id="179"/>
      </w:r>
    </w:p>
    <w:p w14:paraId="6D8B8CDB" w14:textId="5ACC9D63" w:rsidR="005D4584" w:rsidRPr="00387397" w:rsidRDefault="0062745D" w:rsidP="00044AED">
      <w:pPr>
        <w:widowControl w:val="0"/>
        <w:autoSpaceDE w:val="0"/>
        <w:autoSpaceDN w:val="0"/>
        <w:adjustRightInd w:val="0"/>
        <w:spacing w:after="240" w:line="480" w:lineRule="auto"/>
        <w:rPr>
          <w:color w:val="000000" w:themeColor="text1"/>
        </w:rPr>
      </w:pPr>
      <w:r w:rsidRPr="0062745D">
        <w:rPr>
          <w:color w:val="000000" w:themeColor="text1"/>
        </w:rPr>
        <w:t>To disaggregate regulatory stringency, we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Pr="0062745D">
        <w:rPr>
          <w:color w:val="000000" w:themeColor="text1"/>
        </w:rPr>
        <w:t xml:space="preserve">. Comparing across programs requires </w:t>
      </w:r>
      <w:r w:rsidR="00254EA4" w:rsidRPr="00387397">
        <w:rPr>
          <w:color w:val="000000" w:themeColor="text1"/>
        </w:rPr>
        <w:t xml:space="preserve">a second step: measuring relative </w:t>
      </w:r>
      <w:r w:rsidRPr="0062745D">
        <w:rPr>
          <w:color w:val="000000" w:themeColor="text1"/>
        </w:rPr>
        <w:t>stringency</w:t>
      </w:r>
      <w:r w:rsidR="00254EA4" w:rsidRPr="00387397">
        <w:rPr>
          <w:color w:val="000000" w:themeColor="text1"/>
        </w:rPr>
        <w:t xml:space="preserve">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0EFB747E" w:rsidR="00592EE2"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lastRenderedPageBreak/>
        <w:t xml:space="preserve">To </w:t>
      </w:r>
      <w:r w:rsidR="0062745D" w:rsidRPr="0062745D">
        <w:rPr>
          <w:color w:val="000000" w:themeColor="text1"/>
        </w:rPr>
        <w:t>assess</w:t>
      </w:r>
      <w:r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Pr>
          <w:color w:val="000000" w:themeColor="text1"/>
        </w:rPr>
        <w:t xml:space="preserve">, </w:t>
      </w:r>
      <w:r w:rsidR="0062745D" w:rsidRPr="0062745D">
        <w:rPr>
          <w:color w:val="000000" w:themeColor="text1"/>
        </w:rPr>
        <w:t>we</w:t>
      </w:r>
      <w:r>
        <w:rPr>
          <w:color w:val="000000" w:themeColor="text1"/>
        </w:rPr>
        <w:t xml:space="preserv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0523E3BD" w:rsidR="00494530" w:rsidRPr="00387397" w:rsidRDefault="00761175" w:rsidP="00044AED">
      <w:pPr>
        <w:widowControl w:val="0"/>
        <w:autoSpaceDE w:val="0"/>
        <w:autoSpaceDN w:val="0"/>
        <w:adjustRightInd w:val="0"/>
        <w:spacing w:after="240"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Pr="00387397">
        <w:rPr>
          <w:rFonts w:eastAsia="Times New Roman"/>
          <w:color w:val="000000" w:themeColor="text1"/>
        </w:rPr>
        <w:t xml:space="preserve">each issue is addressed, not the ends of the policy, </w:t>
      </w:r>
      <w:r w:rsidR="0062745D" w:rsidRPr="0062745D">
        <w:rPr>
          <w:color w:val="000000" w:themeColor="text1"/>
        </w:rPr>
        <w:t>we</w:t>
      </w:r>
      <w:r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xml:space="preserve">, in a </w:t>
      </w:r>
      <w:r w:rsidR="001F3BA1" w:rsidRPr="00387397">
        <w:rPr>
          <w:color w:val="000000" w:themeColor="text1"/>
        </w:rPr>
        <w:lastRenderedPageBreak/>
        <w:t>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44AFB851" w:rsidR="00332C55" w:rsidRPr="00387397" w:rsidRDefault="004A4831"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w:t>
      </w:r>
      <w:r w:rsidR="007F35D8" w:rsidRPr="00044AED">
        <w:rPr>
          <w:color w:val="000000" w:themeColor="text1"/>
        </w:rPr>
        <w:lastRenderedPageBreak/>
        <w:t xml:space="preserve">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180"/>
      <w:commentRangeStart w:id="181"/>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80"/>
      <w:r w:rsidR="00956FFD">
        <w:rPr>
          <w:rStyle w:val="CommentReference"/>
          <w:rFonts w:asciiTheme="minorHAnsi" w:hAnsiTheme="minorHAnsi" w:cstheme="minorBidi"/>
        </w:rPr>
        <w:commentReference w:id="180"/>
      </w:r>
      <w:commentRangeEnd w:id="181"/>
      <w:r w:rsidR="00F63F63">
        <w:rPr>
          <w:rStyle w:val="CommentReference"/>
          <w:rFonts w:asciiTheme="minorHAnsi" w:hAnsiTheme="minorHAnsi" w:cstheme="minorBidi"/>
        </w:rPr>
        <w:commentReference w:id="181"/>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182"/>
      <w:commentRangeStart w:id="183"/>
      <w:r w:rsidR="00CD1E1C" w:rsidRPr="00387397">
        <w:rPr>
          <w:rFonts w:eastAsia="Times New Roman"/>
          <w:color w:val="000000" w:themeColor="text1"/>
        </w:rPr>
        <w:t xml:space="preserve"> possibly </w:t>
      </w:r>
      <w:commentRangeEnd w:id="182"/>
      <w:r w:rsidR="00C001AE">
        <w:rPr>
          <w:rStyle w:val="CommentReference"/>
          <w:rFonts w:asciiTheme="minorHAnsi" w:hAnsiTheme="minorHAnsi" w:cstheme="minorBidi"/>
        </w:rPr>
        <w:commentReference w:id="182"/>
      </w:r>
      <w:commentRangeEnd w:id="183"/>
      <w:r w:rsidR="000E0724">
        <w:rPr>
          <w:rStyle w:val="CommentReference"/>
          <w:rFonts w:asciiTheme="minorHAnsi" w:hAnsiTheme="minorHAnsi" w:cstheme="minorBidi"/>
        </w:rPr>
        <w:commentReference w:id="183"/>
      </w:r>
      <w:del w:id="184"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23B26691" w14:textId="640FC824" w:rsidR="00FA76FB" w:rsidRPr="00044AED"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 xml:space="preserve">Sustainable Forestry Initiative </w:t>
      </w:r>
      <w:r w:rsidR="00FE4AD8" w:rsidRPr="00387397">
        <w:rPr>
          <w:color w:val="000000" w:themeColor="text1"/>
        </w:rPr>
        <w:lastRenderedPageBreak/>
        <w:t>(</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w:t>
      </w:r>
      <w:proofErr w:type="spellStart"/>
      <w:r w:rsidR="0062745D" w:rsidRPr="0062745D">
        <w:rPr>
          <w:color w:val="000000" w:themeColor="text1"/>
        </w:rPr>
        <w:t>Meidinger</w:t>
      </w:r>
      <w:proofErr w:type="spellEnd"/>
      <w:r w:rsidR="0062745D" w:rsidRPr="0062745D">
        <w:rPr>
          <w:color w:val="000000" w:themeColor="text1"/>
        </w:rPr>
        <w:t>,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lastRenderedPageBreak/>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185" w:author="Constance McDermott" w:date="2019-03-11T16:35:00Z">
        <w:r w:rsidR="00C001AE">
          <w:rPr>
            <w:color w:val="000000" w:themeColor="text1"/>
          </w:rPr>
          <w:t xml:space="preserve">the </w:t>
        </w:r>
      </w:ins>
      <w:r w:rsidR="001A68C5" w:rsidRPr="00387397">
        <w:rPr>
          <w:color w:val="000000" w:themeColor="text1"/>
        </w:rPr>
        <w:t>long-term efficiency</w:t>
      </w:r>
      <w:ins w:id="186"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lastRenderedPageBreak/>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lastRenderedPageBreak/>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 xml:space="preserve">reference the United Nations </w:t>
      </w:r>
      <w:r w:rsidR="009672C2" w:rsidRPr="00387397">
        <w:rPr>
          <w:bCs/>
          <w:color w:val="000000" w:themeColor="text1"/>
        </w:rPr>
        <w:lastRenderedPageBreak/>
        <w:t>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187"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lastRenderedPageBreak/>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w:t>
      </w:r>
      <w:r w:rsidR="003478ED" w:rsidRPr="00387397">
        <w:rPr>
          <w:bCs/>
          <w:color w:val="000000" w:themeColor="text1"/>
        </w:rPr>
        <w:lastRenderedPageBreak/>
        <w:t>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0026549F" w:rsidRPr="00387397">
        <w:rPr>
          <w:color w:val="000000" w:themeColor="text1"/>
        </w:rPr>
        <w:lastRenderedPageBreak/>
        <w:t>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 xml:space="preserve">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w:t>
      </w:r>
      <w:r w:rsidRPr="00387397">
        <w:rPr>
          <w:color w:val="000000" w:themeColor="text1"/>
        </w:rPr>
        <w:lastRenderedPageBreak/>
        <w:t>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w:t>
      </w:r>
      <w:r w:rsidRPr="00387397">
        <w:rPr>
          <w:color w:val="000000" w:themeColor="text1"/>
        </w:rPr>
        <w:lastRenderedPageBreak/>
        <w:t>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t>
      </w:r>
      <w:r w:rsidR="00A619E4" w:rsidRPr="00387397">
        <w:rPr>
          <w:color w:val="000000" w:themeColor="text1"/>
        </w:rPr>
        <w:lastRenderedPageBreak/>
        <w:t xml:space="preserve">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w:t>
      </w:r>
      <w:r w:rsidR="007618BB" w:rsidRPr="00387397">
        <w:rPr>
          <w:color w:val="000000" w:themeColor="text1"/>
        </w:rPr>
        <w:lastRenderedPageBreak/>
        <w:t>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w:t>
      </w:r>
      <w:r w:rsidRPr="00044AED">
        <w:rPr>
          <w:color w:val="000000" w:themeColor="text1"/>
        </w:rPr>
        <w:lastRenderedPageBreak/>
        <w:t xml:space="preserve">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w:t>
      </w:r>
      <w:r w:rsidR="008E652F" w:rsidRPr="00044AED">
        <w:rPr>
          <w:color w:val="000000" w:themeColor="text1"/>
        </w:rPr>
        <w:lastRenderedPageBreak/>
        <w:t xml:space="preserve">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w:t>
      </w:r>
      <w:proofErr w:type="spellStart"/>
      <w:r w:rsidR="001A65DD" w:rsidRPr="00044AED">
        <w:rPr>
          <w:color w:val="000000" w:themeColor="text1"/>
        </w:rPr>
        <w:t>Overdevest</w:t>
      </w:r>
      <w:proofErr w:type="spellEnd"/>
      <w:r w:rsidR="001A65DD" w:rsidRPr="00044AED">
        <w:rPr>
          <w:color w:val="000000" w:themeColor="text1"/>
        </w:rPr>
        <w:t xml:space="preserve">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w:t>
      </w:r>
      <w:r w:rsidR="004E68D5" w:rsidRPr="00044AED">
        <w:rPr>
          <w:color w:val="000000" w:themeColor="text1"/>
        </w:rPr>
        <w:lastRenderedPageBreak/>
        <w:t xml:space="preserve">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w:t>
      </w:r>
      <w:r w:rsidR="005051EA" w:rsidRPr="00387397">
        <w:rPr>
          <w:color w:val="000000" w:themeColor="text1"/>
        </w:rPr>
        <w:lastRenderedPageBreak/>
        <w:t xml:space="preserve">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lastRenderedPageBreak/>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w:t>
      </w:r>
      <w:proofErr w:type="gramStart"/>
      <w:r w:rsidR="00C018A1" w:rsidRPr="00044AED">
        <w:rPr>
          <w:color w:val="000000" w:themeColor="text1"/>
        </w:rPr>
        <w:t>out,</w:t>
      </w:r>
      <w:proofErr w:type="gramEnd"/>
      <w:r w:rsidR="00C018A1" w:rsidRPr="00044AED">
        <w:rPr>
          <w:color w:val="000000" w:themeColor="text1"/>
        </w:rPr>
        <w:t xml:space="preserve">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w:t>
      </w:r>
      <w:r>
        <w:rPr>
          <w:color w:val="000000" w:themeColor="text1"/>
        </w:rPr>
        <w:lastRenderedPageBreak/>
        <w:t xml:space="preserve">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188"/>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188"/>
      <w:r w:rsidR="00A41D23">
        <w:rPr>
          <w:rStyle w:val="CommentReference"/>
          <w:rFonts w:asciiTheme="minorHAnsi" w:hAnsiTheme="minorHAnsi" w:cstheme="minorBidi"/>
        </w:rPr>
        <w:commentReference w:id="188"/>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w:t>
      </w:r>
      <w:r w:rsidR="008D748C" w:rsidRPr="00A4349C">
        <w:rPr>
          <w:color w:val="000000" w:themeColor="text1"/>
        </w:rPr>
        <w:lastRenderedPageBreak/>
        <w:t xml:space="preserve">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 xml:space="preserve">gn choices. Some </w:t>
      </w:r>
      <w:r w:rsidR="00924CCC" w:rsidRPr="00387397">
        <w:rPr>
          <w:color w:val="000000" w:themeColor="text1"/>
        </w:rPr>
        <w:lastRenderedPageBreak/>
        <w:t>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w:t>
      </w:r>
      <w:proofErr w:type="spellStart"/>
      <w:r w:rsidR="0062745D" w:rsidRPr="0062745D">
        <w:rPr>
          <w:color w:val="000000" w:themeColor="text1"/>
        </w:rPr>
        <w:t>Overdevest</w:t>
      </w:r>
      <w:proofErr w:type="spellEnd"/>
      <w:r w:rsidR="0062745D" w:rsidRPr="0062745D">
        <w:rPr>
          <w:color w:val="000000" w:themeColor="text1"/>
        </w:rPr>
        <w: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w:t>
      </w:r>
      <w:r w:rsidR="00387397" w:rsidRPr="00387397">
        <w:rPr>
          <w:color w:val="000000" w:themeColor="text1"/>
        </w:rPr>
        <w:lastRenderedPageBreak/>
        <w:t>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w:t>
      </w:r>
      <w:r w:rsidRPr="00387397">
        <w:rPr>
          <w:noProof/>
        </w:rPr>
        <w:lastRenderedPageBreak/>
        <w:t xml:space="preserve">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w:t>
      </w:r>
      <w:r w:rsidRPr="00387397">
        <w:rPr>
          <w:noProof/>
        </w:rPr>
        <w:lastRenderedPageBreak/>
        <w:t xml:space="preserve">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w:t>
      </w:r>
      <w:r w:rsidRPr="00387397">
        <w:rPr>
          <w:noProof/>
        </w:rPr>
        <w:lastRenderedPageBreak/>
        <w:t xml:space="preserve">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JL" w:date="2019-03-12T00:34:00Z" w:initials="D">
    <w:p w14:paraId="45462093" w14:textId="78C50516" w:rsidR="000D458C" w:rsidRDefault="000D458C">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DJL" w:date="2019-03-12T00:11:00Z" w:initials="D">
    <w:p w14:paraId="3491D02A" w14:textId="4803F500" w:rsidR="000D458C" w:rsidRDefault="000D458C">
      <w:pPr>
        <w:pStyle w:val="CommentText"/>
      </w:pPr>
      <w:r>
        <w:rPr>
          <w:rStyle w:val="CommentReference"/>
        </w:rPr>
        <w:annotationRef/>
      </w:r>
      <w:r>
        <w:t>I replaced “</w:t>
      </w:r>
      <w:r w:rsidRPr="00387397">
        <w:t>theorize</w:t>
      </w:r>
      <w:ins w:id="15" w:author="Cashore, Benjamin" w:date="2019-03-10T22:36:00Z">
        <w:r>
          <w:t xml:space="preserve"> about </w:t>
        </w:r>
      </w:ins>
      <w:ins w:id="16" w:author="Cashore, Benjamin" w:date="2019-03-10T22:37:00Z">
        <w:r>
          <w:t>empirical observation</w:t>
        </w:r>
      </w:ins>
      <w:r>
        <w:t xml:space="preserve">” with this because I think it is more clear. </w:t>
      </w:r>
    </w:p>
  </w:comment>
  <w:comment w:id="34" w:author="DJL" w:date="2019-03-12T08:01:00Z" w:initials="D">
    <w:p w14:paraId="546A80EA" w14:textId="523986BD" w:rsidR="000D458C" w:rsidRDefault="000D458C">
      <w:pPr>
        <w:pStyle w:val="CommentText"/>
      </w:pPr>
      <w:r>
        <w:rPr>
          <w:rStyle w:val="CommentReference"/>
        </w:rPr>
        <w:annotationRef/>
      </w:r>
      <w:r>
        <w:t xml:space="preserve">Tom complained about “giving policy setting relatively short shift”—so we should mention </w:t>
      </w:r>
      <w:proofErr w:type="spellStart"/>
      <w:r>
        <w:t>qualitiative</w:t>
      </w:r>
      <w:proofErr w:type="spellEnd"/>
      <w:r>
        <w:t xml:space="preserve"> comparison, not just prescriptiveness here</w:t>
      </w:r>
    </w:p>
  </w:comment>
  <w:comment w:id="39" w:author="DJL" w:date="2019-03-12T08:07:00Z" w:initials="D">
    <w:p w14:paraId="2A8AEE35" w14:textId="18820865" w:rsidR="000D458C" w:rsidRDefault="000D458C">
      <w:pPr>
        <w:pStyle w:val="CommentText"/>
      </w:pPr>
      <w:r>
        <w:rPr>
          <w:rStyle w:val="CommentReference"/>
        </w:rPr>
        <w:annotationRef/>
      </w:r>
      <w:r>
        <w:t>I don’t think this is as accurate as “more business friendly issues” – since economic issues could include things like wages that are dominated by FSC</w:t>
      </w:r>
    </w:p>
  </w:comment>
  <w:comment w:id="47" w:author="DJL" w:date="2019-03-12T08:10:00Z" w:initials="D">
    <w:p w14:paraId="1D545AA8" w14:textId="65FE1B13" w:rsidR="000D458C" w:rsidRDefault="000D458C">
      <w:pPr>
        <w:pStyle w:val="CommentText"/>
      </w:pPr>
      <w:r>
        <w:rPr>
          <w:rStyle w:val="CommentReference"/>
        </w:rPr>
        <w:annotationRef/>
      </w:r>
      <w:r>
        <w:t>Tribal land, chemicals, and plantations</w:t>
      </w:r>
    </w:p>
  </w:comment>
  <w:comment w:id="48" w:author="DJL" w:date="2019-03-12T08:11:00Z" w:initials="D">
    <w:p w14:paraId="45910411" w14:textId="77BF3BB9" w:rsidR="000D458C" w:rsidRDefault="000D458C">
      <w:pPr>
        <w:pStyle w:val="CommentText"/>
      </w:pPr>
      <w:r>
        <w:rPr>
          <w:rStyle w:val="CommentReference"/>
        </w:rPr>
        <w:annotationRef/>
      </w:r>
      <w:r>
        <w:t>I think readers will already be lost in the acronyms and that we need conceptual short hand here and save the acronyms for the empirical section.</w:t>
      </w:r>
    </w:p>
  </w:comment>
  <w:comment w:id="50" w:author="Cashore, Benjamin" w:date="2019-03-10T23:03:00Z" w:initials="CB">
    <w:p w14:paraId="7F655D3A" w14:textId="399ED589" w:rsidR="000D458C" w:rsidRDefault="000D458C">
      <w:pPr>
        <w:pStyle w:val="CommentText"/>
      </w:pPr>
      <w:r>
        <w:rPr>
          <w:rStyle w:val="CommentReference"/>
        </w:rPr>
        <w:annotationRef/>
      </w:r>
      <w:r>
        <w:t>Again, it feels awkward to say “see for a review” as that is not relevant to our analysis.</w:t>
      </w:r>
    </w:p>
  </w:comment>
  <w:comment w:id="51" w:author="DJL" w:date="2019-03-12T07:59:00Z" w:initials="D">
    <w:p w14:paraId="1A86CD67" w14:textId="71C5C173" w:rsidR="000D458C" w:rsidRDefault="000D458C">
      <w:pPr>
        <w:pStyle w:val="CommentText"/>
      </w:pPr>
      <w:r>
        <w:rPr>
          <w:rStyle w:val="CommentReference"/>
        </w:rPr>
        <w:annotationRef/>
      </w:r>
      <w:r>
        <w:t>We are not reviewing all of the public policy scholarship on stringency, so we refer to a review peice, no?</w:t>
      </w:r>
    </w:p>
  </w:comment>
  <w:comment w:id="53" w:author="Cashore, Benjamin" w:date="2019-03-10T23:04:00Z" w:initials="CB">
    <w:p w14:paraId="48DDC670" w14:textId="24D4620B" w:rsidR="000D458C" w:rsidRDefault="000D458C">
      <w:pPr>
        <w:pStyle w:val="CommentText"/>
      </w:pPr>
      <w:r>
        <w:rPr>
          <w:rStyle w:val="CommentReference"/>
        </w:rPr>
        <w:annotationRef/>
      </w:r>
      <w:r>
        <w:t>This is good but up until now the article is only mentioning the dependent variable</w:t>
      </w:r>
      <w:proofErr w:type="gramStart"/>
      <w:r>
        <w:t>..</w:t>
      </w:r>
      <w:proofErr w:type="gramEnd"/>
    </w:p>
  </w:comment>
  <w:comment w:id="54" w:author="DJL" w:date="2019-03-12T08:17:00Z" w:initials="D">
    <w:p w14:paraId="349F9D14" w14:textId="7F0283C4" w:rsidR="000D458C" w:rsidRDefault="000D458C">
      <w:pPr>
        <w:pStyle w:val="CommentText"/>
      </w:pPr>
      <w:r>
        <w:rPr>
          <w:rStyle w:val="CommentReference"/>
        </w:rPr>
        <w:annotationRef/>
      </w:r>
      <w:r>
        <w:t>Yes, our stated only have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7" w:author="Cashore, Benjamin" w:date="2019-03-11T18:45:00Z" w:initials="CB">
    <w:p w14:paraId="64C0A180" w14:textId="488BC491" w:rsidR="000D458C" w:rsidRDefault="000D458C">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58" w:author="DJL" w:date="2019-03-12T08:32:00Z" w:initials="D">
    <w:p w14:paraId="77C6036C" w14:textId="29807405" w:rsidR="000D458C" w:rsidRDefault="000D458C">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59" w:author="DJL" w:date="2019-03-12T08:26:00Z" w:initials="D">
    <w:p w14:paraId="0941CF0F" w14:textId="16A4CD40" w:rsidR="000D458C" w:rsidRDefault="000D458C">
      <w:pPr>
        <w:pStyle w:val="CommentText"/>
      </w:pPr>
      <w:r>
        <w:rPr>
          <w:rStyle w:val="CommentReference"/>
        </w:rPr>
        <w:annotationRef/>
      </w:r>
      <w:r>
        <w:t>This is the sentence that sets up our hypothesis 2. It connects existing scholarship on differentiation explicitly to stringency</w:t>
      </w:r>
    </w:p>
  </w:comment>
  <w:comment w:id="62" w:author="DJL" w:date="2019-03-12T08:37:00Z" w:initials="D">
    <w:p w14:paraId="6BC1FE1A" w14:textId="391D7ABC" w:rsidR="000D458C" w:rsidRDefault="000D458C">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71" w:author="Cashore, Benjamin" w:date="2019-03-11T18:52:00Z" w:initials="CB">
    <w:p w14:paraId="378081D8" w14:textId="2773DFA6" w:rsidR="000D458C" w:rsidRDefault="000D458C">
      <w:pPr>
        <w:pStyle w:val="CommentText"/>
      </w:pPr>
      <w:r>
        <w:rPr>
          <w:rStyle w:val="CommentReference"/>
        </w:rPr>
        <w:annotationRef/>
      </w:r>
      <w:r>
        <w:t xml:space="preserve">We already refer to van der </w:t>
      </w:r>
      <w:proofErr w:type="spellStart"/>
      <w:r>
        <w:t>Ven</w:t>
      </w:r>
      <w:proofErr w:type="spellEnd"/>
      <w:r>
        <w:t xml:space="preserve"> above so need to decide which section to bring it in</w:t>
      </w:r>
    </w:p>
  </w:comment>
  <w:comment w:id="81" w:author="Cashore, Benjamin" w:date="2019-03-11T18:53:00Z" w:initials="CB">
    <w:p w14:paraId="78455569" w14:textId="5F477FD0" w:rsidR="000D458C" w:rsidRDefault="000D458C">
      <w:pPr>
        <w:pStyle w:val="CommentText"/>
      </w:pPr>
      <w:r>
        <w:rPr>
          <w:rStyle w:val="CommentReference"/>
        </w:rPr>
        <w:annotationRef/>
      </w:r>
      <w:r>
        <w:t>This is a little confusing to me</w:t>
      </w:r>
    </w:p>
  </w:comment>
  <w:comment w:id="119" w:author="Cashore, Benjamin" w:date="2019-03-11T18:59:00Z" w:initials="CB">
    <w:p w14:paraId="71A9ECA1" w14:textId="75204440" w:rsidR="000D458C" w:rsidRDefault="000D458C">
      <w:pPr>
        <w:pStyle w:val="CommentText"/>
      </w:pPr>
      <w:r>
        <w:rPr>
          <w:rStyle w:val="CommentReference"/>
        </w:rPr>
        <w:annotationRef/>
      </w:r>
      <w:r>
        <w:t xml:space="preserve">The use of the word “again” implies duplication </w:t>
      </w:r>
    </w:p>
  </w:comment>
  <w:comment w:id="154" w:author="Cashore, Benjamin" w:date="2019-03-11T19:04:00Z" w:initials="CB">
    <w:p w14:paraId="1C6AE1EA" w14:textId="47937C08" w:rsidR="000D458C" w:rsidRDefault="000D458C">
      <w:pPr>
        <w:pStyle w:val="CommentText"/>
      </w:pPr>
      <w:r>
        <w:rPr>
          <w:rStyle w:val="CommentReference"/>
        </w:rPr>
        <w:annotationRef/>
      </w:r>
      <w:r>
        <w:t>I don’t understand this</w:t>
      </w:r>
    </w:p>
  </w:comment>
  <w:comment w:id="165" w:author="Cashore, Benjamin" w:date="2019-03-11T19:06:00Z" w:initials="CB">
    <w:p w14:paraId="419E22DE" w14:textId="531D48E1" w:rsidR="000D458C" w:rsidRDefault="000D458C">
      <w:pPr>
        <w:pStyle w:val="CommentText"/>
      </w:pPr>
      <w:r>
        <w:rPr>
          <w:rStyle w:val="CommentReference"/>
        </w:rPr>
        <w:annotationRef/>
      </w:r>
      <w:r>
        <w:t>I see your point but presenting it here is a little awkward</w:t>
      </w:r>
    </w:p>
  </w:comment>
  <w:comment w:id="166" w:author="Cashore, Benjamin" w:date="2019-03-11T19:06:00Z" w:initials="CB">
    <w:p w14:paraId="5BCF64AE" w14:textId="58CACE5E" w:rsidR="000D458C" w:rsidRDefault="000D458C">
      <w:pPr>
        <w:pStyle w:val="CommentText"/>
      </w:pPr>
      <w:r>
        <w:rPr>
          <w:rStyle w:val="CommentReference"/>
        </w:rPr>
        <w:annotationRef/>
      </w:r>
      <w:r>
        <w:t>Yes this is the key point</w:t>
      </w:r>
    </w:p>
  </w:comment>
  <w:comment w:id="171" w:author="Cashore, Benjamin" w:date="2019-03-11T19:23:00Z" w:initials="CB">
    <w:p w14:paraId="588194A7" w14:textId="3F046322" w:rsidR="000D458C" w:rsidRDefault="000D458C">
      <w:pPr>
        <w:pStyle w:val="CommentText"/>
      </w:pPr>
      <w:r>
        <w:rPr>
          <w:rStyle w:val="CommentReference"/>
        </w:rPr>
        <w:annotationRef/>
      </w:r>
      <w:r>
        <w:t>Ok this is a key point and needs to be brought up to the beginning of the article…</w:t>
      </w:r>
    </w:p>
  </w:comment>
  <w:comment w:id="172" w:author="DJL" w:date="2019-03-12T00:04:00Z" w:initials="D">
    <w:p w14:paraId="49F42528" w14:textId="333AD075" w:rsidR="000D458C" w:rsidRDefault="000D458C">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173" w:author="Cashore, Benjamin" w:date="2019-03-11T19:23:00Z" w:initials="CB">
    <w:p w14:paraId="087854B1" w14:textId="03824F84" w:rsidR="000D458C" w:rsidRDefault="000D458C">
      <w:pPr>
        <w:pStyle w:val="CommentText"/>
      </w:pPr>
      <w:r>
        <w:rPr>
          <w:rStyle w:val="CommentReference"/>
        </w:rPr>
        <w:annotationRef/>
      </w:r>
      <w:r>
        <w:t>But what about the regulations such as reforestation that create immediate benefits but which aren’t really collective action issues?</w:t>
      </w:r>
    </w:p>
  </w:comment>
  <w:comment w:id="174" w:author="DJL" w:date="2019-03-12T00:06:00Z" w:initials="D">
    <w:p w14:paraId="0D6CD41A" w14:textId="22CAC8F1" w:rsidR="000D458C" w:rsidRDefault="000D458C">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175" w:author="Cashore, Benjamin" w:date="2019-03-11T19:24:00Z" w:initials="CB">
    <w:p w14:paraId="6C67CC02" w14:textId="12BA3502" w:rsidR="000D458C" w:rsidRDefault="000D458C">
      <w:pPr>
        <w:pStyle w:val="CommentText"/>
      </w:pPr>
      <w:r>
        <w:rPr>
          <w:rStyle w:val="CommentReference"/>
        </w:rPr>
        <w:annotationRef/>
      </w:r>
      <w:r>
        <w:t>This is kind of p</w:t>
      </w:r>
    </w:p>
  </w:comment>
  <w:comment w:id="176" w:author="Cashore, Benjamin" w:date="2019-03-11T19:25:00Z" w:initials="CB">
    <w:p w14:paraId="23E8AB49" w14:textId="0CF99323" w:rsidR="000D458C" w:rsidRDefault="000D458C">
      <w:pPr>
        <w:pStyle w:val="CommentText"/>
      </w:pPr>
      <w:r>
        <w:rPr>
          <w:rStyle w:val="CommentReference"/>
        </w:rPr>
        <w:annotationRef/>
      </w:r>
      <w:r>
        <w:t>Rule of thumb: if you feel the need to present something in the middle of an article, it implies you need to go back to the beginning and organize a bit better.</w:t>
      </w:r>
    </w:p>
  </w:comment>
  <w:comment w:id="177" w:author="DJL" w:date="2019-03-11T23:49:00Z" w:initials="D">
    <w:p w14:paraId="108BBD51" w14:textId="3DF4DFE6" w:rsidR="000D458C" w:rsidRDefault="000D458C">
      <w:pPr>
        <w:pStyle w:val="CommentText"/>
      </w:pPr>
      <w:r>
        <w:rPr>
          <w:rStyle w:val="CommentReference"/>
        </w:rPr>
        <w:annotationRef/>
      </w:r>
      <w:r>
        <w:t xml:space="preserve">I think we do give a pretty good overview in the last paragraph of the introduction. This was just intended to signpost where we are. We have identified a gap and now we are going to offer a framework and apply it to a case. I’m happy to delete this if you think it unnecessary. </w:t>
      </w:r>
    </w:p>
  </w:comment>
  <w:comment w:id="178" w:author="Cashore, Benjamin" w:date="2019-03-11T19:26:00Z" w:initials="CB">
    <w:p w14:paraId="5AF904BE" w14:textId="46FF3DDF" w:rsidR="000D458C" w:rsidRDefault="000D458C">
      <w:pPr>
        <w:pStyle w:val="CommentText"/>
      </w:pPr>
      <w:r>
        <w:rPr>
          <w:rStyle w:val="CommentReference"/>
        </w:rPr>
        <w:annotationRef/>
      </w:r>
      <w:r>
        <w:t>Shouldn’t this framework section come before the discussion of the literature that is too sweeping or conflated?</w:t>
      </w:r>
    </w:p>
  </w:comment>
  <w:comment w:id="179" w:author="DJL" w:date="2019-03-11T23:46:00Z" w:initials="D">
    <w:p w14:paraId="27FDACDA" w14:textId="44FE536F" w:rsidR="000D458C" w:rsidRDefault="000D458C">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80" w:author="Cashore, Benjamin" w:date="2019-03-11T19:27:00Z" w:initials="CB">
    <w:p w14:paraId="4A9B5FAD" w14:textId="25E0B1C9" w:rsidR="000D458C" w:rsidRDefault="000D458C">
      <w:pPr>
        <w:pStyle w:val="CommentText"/>
      </w:pPr>
      <w:r>
        <w:rPr>
          <w:rStyle w:val="CommentReference"/>
        </w:rPr>
        <w:annotationRef/>
      </w:r>
      <w:r>
        <w:t>Why not just focus on the FSC and SFI and make it more concrete?</w:t>
      </w:r>
    </w:p>
  </w:comment>
  <w:comment w:id="181" w:author="DJL" w:date="2019-03-12T00:08:00Z" w:initials="D">
    <w:p w14:paraId="13A59890" w14:textId="00ABD558" w:rsidR="000D458C" w:rsidRDefault="000D458C">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82" w:author="Constance McDermott" w:date="2019-03-11T16:29:00Z" w:initials="CM">
    <w:p w14:paraId="340A172A" w14:textId="1036253B" w:rsidR="000D458C" w:rsidRDefault="000D458C">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83" w:author="DJL" w:date="2019-03-11T16:32:00Z" w:initials="D">
    <w:p w14:paraId="2A6BAEA7" w14:textId="700D2C2E" w:rsidR="000D458C" w:rsidRDefault="000D458C">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88" w:author="Cashore, Benjamin" w:date="2019-03-11T19:34:00Z" w:initials="CB">
    <w:p w14:paraId="719BAE34" w14:textId="09F7753B" w:rsidR="000D458C" w:rsidRDefault="000D458C">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CBDF2" w15:done="0"/>
  <w15:commentEx w15:paraId="620A3163" w15:done="0"/>
  <w15:commentEx w15:paraId="517A9AE5" w15:paraIdParent="620A3163" w15:done="0"/>
  <w15:commentEx w15:paraId="73ABDC4A" w15:done="0"/>
  <w15:commentEx w15:paraId="58A1CB84" w15:done="0"/>
  <w15:commentEx w15:paraId="26E0AF6A" w15:done="0"/>
  <w15:commentEx w15:paraId="4F0AA526" w15:done="0"/>
  <w15:commentEx w15:paraId="7F655D3A" w15:done="0"/>
  <w15:commentEx w15:paraId="48DDC670" w15:done="0"/>
  <w15:commentEx w15:paraId="5B3D742E" w15:done="0"/>
  <w15:commentEx w15:paraId="64C0A180" w15:done="0"/>
  <w15:commentEx w15:paraId="378081D8" w15:done="0"/>
  <w15:commentEx w15:paraId="78455569" w15:done="0"/>
  <w15:commentEx w15:paraId="71A9ECA1" w15:done="0"/>
  <w15:commentEx w15:paraId="1C6AE1EA" w15:done="0"/>
  <w15:commentEx w15:paraId="419E22DE" w15:done="0"/>
  <w15:commentEx w15:paraId="5BCF64AE" w15:done="0"/>
  <w15:commentEx w15:paraId="41C3EAF7" w15:done="0"/>
  <w15:commentEx w15:paraId="78B44A82" w15:done="0"/>
  <w15:commentEx w15:paraId="588194A7" w15:done="0"/>
  <w15:commentEx w15:paraId="087854B1" w15:done="0"/>
  <w15:commentEx w15:paraId="6C67CC02" w15:done="0"/>
  <w15:commentEx w15:paraId="396947B2" w15:done="0"/>
  <w15:commentEx w15:paraId="23E8AB49" w15:done="0"/>
  <w15:commentEx w15:paraId="5AF904BE" w15:done="0"/>
  <w15:commentEx w15:paraId="4A9B5FAD" w15:done="0"/>
  <w15:commentEx w15:paraId="340A172A" w15:done="0"/>
  <w15:commentEx w15:paraId="2A6BAEA7" w15:done="0"/>
  <w15:commentEx w15:paraId="7D46F0F0" w15:done="0"/>
  <w15:commentEx w15:paraId="13615891" w15:done="0"/>
  <w15:commentEx w15:paraId="10A80919" w15:done="0"/>
  <w15:commentEx w15:paraId="1829D3EA" w15:done="0"/>
  <w15:commentEx w15:paraId="6EC1DA46" w15:done="0"/>
  <w15:commentEx w15:paraId="00D347D9" w15:done="0"/>
  <w15:commentEx w15:paraId="7CD2E0BF" w15:done="0"/>
  <w15:commentEx w15:paraId="719BAE34" w15:done="0"/>
  <w15:commentEx w15:paraId="6B6FC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CBDF2" w16cid:durableId="20311272"/>
  <w16cid:commentId w16cid:paraId="620A3163" w16cid:durableId="20312751"/>
  <w16cid:commentId w16cid:paraId="517A9AE5" w16cid:durableId="2031275C"/>
  <w16cid:commentId w16cid:paraId="73ABDC4A" w16cid:durableId="20301057"/>
  <w16cid:commentId w16cid:paraId="58A1CB84" w16cid:durableId="20312976"/>
  <w16cid:commentId w16cid:paraId="4F0AA526" w16cid:durableId="203014B6"/>
  <w16cid:commentId w16cid:paraId="7F655D3A" w16cid:durableId="20301638"/>
  <w16cid:commentId w16cid:paraId="48DDC670" w16cid:durableId="2030167F"/>
  <w16cid:commentId w16cid:paraId="5B3D742E" w16cid:durableId="20312AF9"/>
  <w16cid:commentId w16cid:paraId="64C0A180" w16cid:durableId="20312B2C"/>
  <w16cid:commentId w16cid:paraId="378081D8" w16cid:durableId="20312CD7"/>
  <w16cid:commentId w16cid:paraId="78455569" w16cid:durableId="20312D0E"/>
  <w16cid:commentId w16cid:paraId="71A9ECA1" w16cid:durableId="20312E7C"/>
  <w16cid:commentId w16cid:paraId="1C6AE1EA" w16cid:durableId="20312FB1"/>
  <w16cid:commentId w16cid:paraId="419E22DE" w16cid:durableId="2031302E"/>
  <w16cid:commentId w16cid:paraId="5BCF64AE" w16cid:durableId="20313046"/>
  <w16cid:commentId w16cid:paraId="78B44A82" w16cid:durableId="203133B8"/>
  <w16cid:commentId w16cid:paraId="588194A7" w16cid:durableId="2031341F"/>
  <w16cid:commentId w16cid:paraId="087854B1" w16cid:durableId="20313449"/>
  <w16cid:commentId w16cid:paraId="6C67CC02" w16cid:durableId="20313467"/>
  <w16cid:commentId w16cid:paraId="396947B2" w16cid:durableId="2031349C"/>
  <w16cid:commentId w16cid:paraId="23E8AB49" w16cid:durableId="203134A9"/>
  <w16cid:commentId w16cid:paraId="5AF904BE" w16cid:durableId="203134D1"/>
  <w16cid:commentId w16cid:paraId="4A9B5FAD" w16cid:durableId="2031350A"/>
  <w16cid:commentId w16cid:paraId="340A172A" w16cid:durableId="20310B77"/>
  <w16cid:commentId w16cid:paraId="2A6BAEA7" w16cid:durableId="20311C61"/>
  <w16cid:commentId w16cid:paraId="7D46F0F0" w16cid:durableId="20310D60"/>
  <w16cid:commentId w16cid:paraId="13615891" w16cid:durableId="20310D7F"/>
  <w16cid:commentId w16cid:paraId="10A80919" w16cid:durableId="2031355F"/>
  <w16cid:commentId w16cid:paraId="1829D3EA" w16cid:durableId="2031359D"/>
  <w16cid:commentId w16cid:paraId="6EC1DA46" w16cid:durableId="20313604"/>
  <w16cid:commentId w16cid:paraId="00D347D9" w16cid:durableId="20311075"/>
  <w16cid:commentId w16cid:paraId="7CD2E0BF" w16cid:durableId="2031362F"/>
  <w16cid:commentId w16cid:paraId="719BAE34" w16cid:durableId="203136B7"/>
  <w16cid:commentId w16cid:paraId="6B6FCB63" w16cid:durableId="203110B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5670F" w14:textId="77777777" w:rsidR="000D458C" w:rsidRDefault="000D458C" w:rsidP="002E5C5B">
      <w:r>
        <w:separator/>
      </w:r>
    </w:p>
  </w:endnote>
  <w:endnote w:type="continuationSeparator" w:id="0">
    <w:p w14:paraId="36D67B05" w14:textId="77777777" w:rsidR="000D458C" w:rsidRDefault="000D458C" w:rsidP="002E5C5B">
      <w:r>
        <w:continuationSeparator/>
      </w:r>
    </w:p>
  </w:endnote>
  <w:endnote w:type="continuationNotice" w:id="1">
    <w:p w14:paraId="1F474F1D" w14:textId="77777777" w:rsidR="000D458C" w:rsidRDefault="000D458C"/>
  </w:endnote>
  <w:endnote w:id="2">
    <w:p w14:paraId="3C880C61" w14:textId="0D40DE26" w:rsidR="000D458C" w:rsidRPr="00372401" w:rsidRDefault="000D458C"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0D458C" w:rsidRPr="00C40547" w:rsidRDefault="000D458C"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0D458C" w:rsidRPr="00372401" w:rsidRDefault="000D458C"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0D458C" w:rsidRPr="00CA4AE5" w:rsidRDefault="000D458C"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merican Typewriter Light">
    <w:panose1 w:val="02090304020004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0D458C" w:rsidRDefault="000D458C"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0D458C" w:rsidRDefault="000D458C"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0D458C" w:rsidRDefault="000D458C"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2C3C">
      <w:rPr>
        <w:rStyle w:val="PageNumber"/>
        <w:noProof/>
      </w:rPr>
      <w:t>12</w:t>
    </w:r>
    <w:r>
      <w:rPr>
        <w:rStyle w:val="PageNumber"/>
      </w:rPr>
      <w:fldChar w:fldCharType="end"/>
    </w:r>
  </w:p>
  <w:p w14:paraId="63C7F481" w14:textId="77777777" w:rsidR="000D458C" w:rsidRDefault="000D458C"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80686" w14:textId="77777777" w:rsidR="000D458C" w:rsidRDefault="000D458C" w:rsidP="002E5C5B">
      <w:r>
        <w:separator/>
      </w:r>
    </w:p>
  </w:footnote>
  <w:footnote w:type="continuationSeparator" w:id="0">
    <w:p w14:paraId="6147D75A" w14:textId="77777777" w:rsidR="000D458C" w:rsidRDefault="000D458C" w:rsidP="002E5C5B">
      <w:r>
        <w:continuationSeparator/>
      </w:r>
    </w:p>
  </w:footnote>
  <w:footnote w:type="continuationNotice" w:id="1">
    <w:p w14:paraId="322334BA" w14:textId="77777777" w:rsidR="000D458C" w:rsidRDefault="000D45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0D458C" w:rsidRDefault="000D45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0" Type="http://schemas.microsoft.com/office/2011/relationships/people" Target="people.xml"/><Relationship Id="rId91" Type="http://schemas.microsoft.com/office/2011/relationships/commentsExtended" Target="commentsExtended.xml"/><Relationship Id="rId92"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10.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11.xml><?xml version="1.0" encoding="utf-8"?>
<ds:datastoreItem xmlns:ds="http://schemas.openxmlformats.org/officeDocument/2006/customXml" ds:itemID="{F6A5BED8-CD17-A946-BBFA-27EF79CD1EBB}">
  <ds:schemaRefs>
    <ds:schemaRef ds:uri="http://schemas.openxmlformats.org/officeDocument/2006/bibliography"/>
  </ds:schemaRefs>
</ds:datastoreItem>
</file>

<file path=customXml/itemProps12.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13.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14.xml><?xml version="1.0" encoding="utf-8"?>
<ds:datastoreItem xmlns:ds="http://schemas.openxmlformats.org/officeDocument/2006/customXml" ds:itemID="{63AA36FF-FE7E-014C-B2C3-15BE59086E4F}">
  <ds:schemaRefs>
    <ds:schemaRef ds:uri="http://schemas.openxmlformats.org/officeDocument/2006/bibliography"/>
  </ds:schemaRefs>
</ds:datastoreItem>
</file>

<file path=customXml/itemProps15.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16.xml><?xml version="1.0" encoding="utf-8"?>
<ds:datastoreItem xmlns:ds="http://schemas.openxmlformats.org/officeDocument/2006/customXml" ds:itemID="{12D9E1E1-B9B8-D148-BC19-91F86C7D5A6C}">
  <ds:schemaRefs>
    <ds:schemaRef ds:uri="http://schemas.openxmlformats.org/officeDocument/2006/bibliography"/>
  </ds:schemaRefs>
</ds:datastoreItem>
</file>

<file path=customXml/itemProps17.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18.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19.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2.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20.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1.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22.xml><?xml version="1.0" encoding="utf-8"?>
<ds:datastoreItem xmlns:ds="http://schemas.openxmlformats.org/officeDocument/2006/customXml" ds:itemID="{F9FB5E5D-E5A5-CB4A-8E7D-7557C5DA4292}">
  <ds:schemaRefs>
    <ds:schemaRef ds:uri="http://schemas.openxmlformats.org/officeDocument/2006/bibliography"/>
  </ds:schemaRefs>
</ds:datastoreItem>
</file>

<file path=customXml/itemProps23.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24.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25.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26.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27.xml><?xml version="1.0" encoding="utf-8"?>
<ds:datastoreItem xmlns:ds="http://schemas.openxmlformats.org/officeDocument/2006/customXml" ds:itemID="{3DB6989B-3E4E-6E4E-8D5B-628125084D43}">
  <ds:schemaRefs>
    <ds:schemaRef ds:uri="http://schemas.openxmlformats.org/officeDocument/2006/bibliography"/>
  </ds:schemaRefs>
</ds:datastoreItem>
</file>

<file path=customXml/itemProps28.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29.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3.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30.xml><?xml version="1.0" encoding="utf-8"?>
<ds:datastoreItem xmlns:ds="http://schemas.openxmlformats.org/officeDocument/2006/customXml" ds:itemID="{A5D845DD-FA66-DF46-A11B-413E408750C9}">
  <ds:schemaRefs>
    <ds:schemaRef ds:uri="http://schemas.openxmlformats.org/officeDocument/2006/bibliography"/>
  </ds:schemaRefs>
</ds:datastoreItem>
</file>

<file path=customXml/itemProps31.xml><?xml version="1.0" encoding="utf-8"?>
<ds:datastoreItem xmlns:ds="http://schemas.openxmlformats.org/officeDocument/2006/customXml" ds:itemID="{ECBE8523-A571-6140-A2DB-373FD5784AFB}">
  <ds:schemaRefs>
    <ds:schemaRef ds:uri="http://schemas.openxmlformats.org/officeDocument/2006/bibliography"/>
  </ds:schemaRefs>
</ds:datastoreItem>
</file>

<file path=customXml/itemProps32.xml><?xml version="1.0" encoding="utf-8"?>
<ds:datastoreItem xmlns:ds="http://schemas.openxmlformats.org/officeDocument/2006/customXml" ds:itemID="{E96E8CBB-42D2-9245-9E9F-69144FE6A237}">
  <ds:schemaRefs>
    <ds:schemaRef ds:uri="http://schemas.openxmlformats.org/officeDocument/2006/bibliography"/>
  </ds:schemaRefs>
</ds:datastoreItem>
</file>

<file path=customXml/itemProps33.xml><?xml version="1.0" encoding="utf-8"?>
<ds:datastoreItem xmlns:ds="http://schemas.openxmlformats.org/officeDocument/2006/customXml" ds:itemID="{9D29D1E9-E2E9-BD45-8E01-6D2245368CF8}">
  <ds:schemaRefs>
    <ds:schemaRef ds:uri="http://schemas.openxmlformats.org/officeDocument/2006/bibliography"/>
  </ds:schemaRefs>
</ds:datastoreItem>
</file>

<file path=customXml/itemProps34.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35.xml><?xml version="1.0" encoding="utf-8"?>
<ds:datastoreItem xmlns:ds="http://schemas.openxmlformats.org/officeDocument/2006/customXml" ds:itemID="{C075DD66-6ADF-CC48-8AAD-9879E1734629}">
  <ds:schemaRefs>
    <ds:schemaRef ds:uri="http://schemas.openxmlformats.org/officeDocument/2006/bibliography"/>
  </ds:schemaRefs>
</ds:datastoreItem>
</file>

<file path=customXml/itemProps36.xml><?xml version="1.0" encoding="utf-8"?>
<ds:datastoreItem xmlns:ds="http://schemas.openxmlformats.org/officeDocument/2006/customXml" ds:itemID="{EECE37DA-516A-3F4C-83A7-B2921170E518}">
  <ds:schemaRefs>
    <ds:schemaRef ds:uri="http://schemas.openxmlformats.org/officeDocument/2006/bibliography"/>
  </ds:schemaRefs>
</ds:datastoreItem>
</file>

<file path=customXml/itemProps37.xml><?xml version="1.0" encoding="utf-8"?>
<ds:datastoreItem xmlns:ds="http://schemas.openxmlformats.org/officeDocument/2006/customXml" ds:itemID="{378EEA97-6751-3D4F-A53C-379840EE4CDC}">
  <ds:schemaRefs>
    <ds:schemaRef ds:uri="http://schemas.openxmlformats.org/officeDocument/2006/bibliography"/>
  </ds:schemaRefs>
</ds:datastoreItem>
</file>

<file path=customXml/itemProps38.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39.xml><?xml version="1.0" encoding="utf-8"?>
<ds:datastoreItem xmlns:ds="http://schemas.openxmlformats.org/officeDocument/2006/customXml" ds:itemID="{CAEA1E81-84C8-A64B-B6AE-A9C4ABB43086}">
  <ds:schemaRefs>
    <ds:schemaRef ds:uri="http://schemas.openxmlformats.org/officeDocument/2006/bibliography"/>
  </ds:schemaRefs>
</ds:datastoreItem>
</file>

<file path=customXml/itemProps4.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40.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41.xml><?xml version="1.0" encoding="utf-8"?>
<ds:datastoreItem xmlns:ds="http://schemas.openxmlformats.org/officeDocument/2006/customXml" ds:itemID="{2BD4B2FE-0412-8141-BDB5-B99D1400EE33}">
  <ds:schemaRefs>
    <ds:schemaRef ds:uri="http://schemas.openxmlformats.org/officeDocument/2006/bibliography"/>
  </ds:schemaRefs>
</ds:datastoreItem>
</file>

<file path=customXml/itemProps42.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43.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44.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45.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46.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47.xml><?xml version="1.0" encoding="utf-8"?>
<ds:datastoreItem xmlns:ds="http://schemas.openxmlformats.org/officeDocument/2006/customXml" ds:itemID="{DDED9F63-9D28-9A46-83F7-B7A206079E56}">
  <ds:schemaRefs>
    <ds:schemaRef ds:uri="http://schemas.openxmlformats.org/officeDocument/2006/bibliography"/>
  </ds:schemaRefs>
</ds:datastoreItem>
</file>

<file path=customXml/itemProps48.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49.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5.xml><?xml version="1.0" encoding="utf-8"?>
<ds:datastoreItem xmlns:ds="http://schemas.openxmlformats.org/officeDocument/2006/customXml" ds:itemID="{D4F9CC77-3181-4948-9E38-3E5436C1C89A}">
  <ds:schemaRefs>
    <ds:schemaRef ds:uri="http://schemas.openxmlformats.org/officeDocument/2006/bibliography"/>
  </ds:schemaRefs>
</ds:datastoreItem>
</file>

<file path=customXml/itemProps50.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51.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52.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53.xml><?xml version="1.0" encoding="utf-8"?>
<ds:datastoreItem xmlns:ds="http://schemas.openxmlformats.org/officeDocument/2006/customXml" ds:itemID="{68CE5E4C-A610-6347-84BA-040398D94B16}">
  <ds:schemaRefs>
    <ds:schemaRef ds:uri="http://schemas.openxmlformats.org/officeDocument/2006/bibliography"/>
  </ds:schemaRefs>
</ds:datastoreItem>
</file>

<file path=customXml/itemProps54.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55.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56.xml><?xml version="1.0" encoding="utf-8"?>
<ds:datastoreItem xmlns:ds="http://schemas.openxmlformats.org/officeDocument/2006/customXml" ds:itemID="{544C4676-BF2A-824F-8013-8AFAE5D245E6}">
  <ds:schemaRefs>
    <ds:schemaRef ds:uri="http://schemas.openxmlformats.org/officeDocument/2006/bibliography"/>
  </ds:schemaRefs>
</ds:datastoreItem>
</file>

<file path=customXml/itemProps57.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58.xml><?xml version="1.0" encoding="utf-8"?>
<ds:datastoreItem xmlns:ds="http://schemas.openxmlformats.org/officeDocument/2006/customXml" ds:itemID="{927440CD-6E85-8547-A5A4-282D7034CC81}">
  <ds:schemaRefs>
    <ds:schemaRef ds:uri="http://schemas.openxmlformats.org/officeDocument/2006/bibliography"/>
  </ds:schemaRefs>
</ds:datastoreItem>
</file>

<file path=customXml/itemProps59.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6.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60.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61.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62.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63.xml><?xml version="1.0" encoding="utf-8"?>
<ds:datastoreItem xmlns:ds="http://schemas.openxmlformats.org/officeDocument/2006/customXml" ds:itemID="{416575C2-1ED6-4F44-9858-BD764D678639}">
  <ds:schemaRefs>
    <ds:schemaRef ds:uri="http://schemas.openxmlformats.org/officeDocument/2006/bibliography"/>
  </ds:schemaRefs>
</ds:datastoreItem>
</file>

<file path=customXml/itemProps64.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65.xml><?xml version="1.0" encoding="utf-8"?>
<ds:datastoreItem xmlns:ds="http://schemas.openxmlformats.org/officeDocument/2006/customXml" ds:itemID="{4223FFE1-C61D-D840-A2B9-09B3DEDB9C68}">
  <ds:schemaRefs>
    <ds:schemaRef ds:uri="http://schemas.openxmlformats.org/officeDocument/2006/bibliography"/>
  </ds:schemaRefs>
</ds:datastoreItem>
</file>

<file path=customXml/itemProps66.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67.xml><?xml version="1.0" encoding="utf-8"?>
<ds:datastoreItem xmlns:ds="http://schemas.openxmlformats.org/officeDocument/2006/customXml" ds:itemID="{5A48D123-D87F-1140-AB2F-FCD6A1496094}">
  <ds:schemaRefs>
    <ds:schemaRef ds:uri="http://schemas.openxmlformats.org/officeDocument/2006/bibliography"/>
  </ds:schemaRefs>
</ds:datastoreItem>
</file>

<file path=customXml/itemProps68.xml><?xml version="1.0" encoding="utf-8"?>
<ds:datastoreItem xmlns:ds="http://schemas.openxmlformats.org/officeDocument/2006/customXml" ds:itemID="{CE289467-9A5D-4D4F-A61C-662573CB46AB}">
  <ds:schemaRefs>
    <ds:schemaRef ds:uri="http://schemas.openxmlformats.org/officeDocument/2006/bibliography"/>
  </ds:schemaRefs>
</ds:datastoreItem>
</file>

<file path=customXml/itemProps69.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7.xml><?xml version="1.0" encoding="utf-8"?>
<ds:datastoreItem xmlns:ds="http://schemas.openxmlformats.org/officeDocument/2006/customXml" ds:itemID="{E3173E81-BD95-DA41-9AB2-BD891E7A0F7D}">
  <ds:schemaRefs>
    <ds:schemaRef ds:uri="http://schemas.openxmlformats.org/officeDocument/2006/bibliography"/>
  </ds:schemaRefs>
</ds:datastoreItem>
</file>

<file path=customXml/itemProps70.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71.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customXml/itemProps72.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73.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74.xml><?xml version="1.0" encoding="utf-8"?>
<ds:datastoreItem xmlns:ds="http://schemas.openxmlformats.org/officeDocument/2006/customXml" ds:itemID="{F1544E49-DF74-D747-9A3B-3889D7126E09}">
  <ds:schemaRefs>
    <ds:schemaRef ds:uri="http://schemas.openxmlformats.org/officeDocument/2006/bibliography"/>
  </ds:schemaRefs>
</ds:datastoreItem>
</file>

<file path=customXml/itemProps75.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76.xml><?xml version="1.0" encoding="utf-8"?>
<ds:datastoreItem xmlns:ds="http://schemas.openxmlformats.org/officeDocument/2006/customXml" ds:itemID="{D528A6BC-4B5B-284F-ABCC-38E475E37CAC}">
  <ds:schemaRefs>
    <ds:schemaRef ds:uri="http://schemas.openxmlformats.org/officeDocument/2006/bibliography"/>
  </ds:schemaRefs>
</ds:datastoreItem>
</file>

<file path=customXml/itemProps8.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9.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51</Pages>
  <Words>35859</Words>
  <Characters>204400</Characters>
  <Application>Microsoft Macintosh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14</cp:revision>
  <cp:lastPrinted>2018-09-07T15:16:00Z</cp:lastPrinted>
  <dcterms:created xsi:type="dcterms:W3CDTF">2019-03-12T02:22:00Z</dcterms:created>
  <dcterms:modified xsi:type="dcterms:W3CDTF">2019-03-12T15:40:00Z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