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2214D511"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72C2AD8A" w14:textId="3FC15963" w:rsidR="00074887" w:rsidRDefault="007A035C" w:rsidP="005677C3">
      <w:pPr>
        <w:spacing w:line="480" w:lineRule="auto"/>
        <w:outlineLvl w:val="0"/>
        <w:rPr>
          <w:bCs/>
          <w:color w:val="000000" w:themeColor="text1"/>
        </w:rPr>
      </w:pPr>
      <w:r>
        <w:rPr>
          <w:bCs/>
          <w:color w:val="000000" w:themeColor="text1"/>
        </w:rPr>
        <w:t>Scholar</w:t>
      </w:r>
      <w:r w:rsidR="00DF61A1">
        <w:rPr>
          <w:bCs/>
          <w:color w:val="000000" w:themeColor="text1"/>
        </w:rPr>
        <w:t xml:space="preserve">s have </w:t>
      </w:r>
      <w:r w:rsidR="008A0BAE">
        <w:rPr>
          <w:bCs/>
          <w:color w:val="000000" w:themeColor="text1"/>
        </w:rPr>
        <w:t>offer</w:t>
      </w:r>
      <w:r w:rsidR="00DF61A1">
        <w:rPr>
          <w:bCs/>
          <w:color w:val="000000" w:themeColor="text1"/>
        </w:rPr>
        <w:t>ed</w:t>
      </w:r>
      <w:r w:rsidR="008A0BAE">
        <w:rPr>
          <w:bCs/>
          <w:color w:val="000000" w:themeColor="text1"/>
        </w:rPr>
        <w:t xml:space="preserve"> </w:t>
      </w:r>
      <w:r w:rsidR="00DF61A1">
        <w:rPr>
          <w:bCs/>
          <w:color w:val="000000" w:themeColor="text1"/>
        </w:rPr>
        <w:t>conflicting</w:t>
      </w:r>
      <w:r w:rsidR="00143AB6" w:rsidRPr="001A65DD">
        <w:rPr>
          <w:bCs/>
          <w:color w:val="000000" w:themeColor="text1"/>
        </w:rPr>
        <w:t xml:space="preserve"> </w:t>
      </w:r>
      <w:r w:rsidR="00761FF8">
        <w:rPr>
          <w:bCs/>
          <w:color w:val="000000" w:themeColor="text1"/>
        </w:rPr>
        <w:t>account</w:t>
      </w:r>
      <w:r w:rsidR="004C4C66">
        <w:rPr>
          <w:bCs/>
          <w:color w:val="000000" w:themeColor="text1"/>
        </w:rPr>
        <w:t xml:space="preserve">s </w:t>
      </w:r>
      <w:r w:rsidR="007D070E">
        <w:rPr>
          <w:bCs/>
          <w:color w:val="000000" w:themeColor="text1"/>
        </w:rPr>
        <w:t>of</w:t>
      </w:r>
      <w:r w:rsidR="004C4C66">
        <w:rPr>
          <w:bCs/>
          <w:color w:val="000000" w:themeColor="text1"/>
        </w:rPr>
        <w:t xml:space="preserve"> </w:t>
      </w:r>
      <w:r w:rsidR="00DF61A1">
        <w:rPr>
          <w:bCs/>
          <w:color w:val="000000" w:themeColor="text1"/>
        </w:rPr>
        <w:t>change in private regulations.</w:t>
      </w:r>
      <w:r w:rsidR="00DF61A1" w:rsidDel="008A0BAE">
        <w:rPr>
          <w:bCs/>
          <w:color w:val="000000" w:themeColor="text1"/>
        </w:rPr>
        <w:t xml:space="preserve"> </w:t>
      </w:r>
      <w:r w:rsidR="00143AB6" w:rsidRPr="001A65DD">
        <w:rPr>
          <w:bCs/>
          <w:color w:val="000000" w:themeColor="text1"/>
        </w:rPr>
        <w:t>We find this to be</w:t>
      </w:r>
      <w:r w:rsidR="005A1807">
        <w:rPr>
          <w:bCs/>
          <w:color w:val="000000" w:themeColor="text1"/>
        </w:rPr>
        <w:t xml:space="preserve"> </w:t>
      </w:r>
      <w:r w:rsidR="00143AB6" w:rsidRPr="001A65DD">
        <w:rPr>
          <w:bCs/>
          <w:color w:val="000000" w:themeColor="text1"/>
        </w:rPr>
        <w:t>a symptom of inconsistent measures of</w:t>
      </w:r>
      <w:r w:rsidR="00DF61A1">
        <w:rPr>
          <w:bCs/>
          <w:color w:val="000000" w:themeColor="text1"/>
        </w:rPr>
        <w:t xml:space="preserve"> regulatory</w:t>
      </w:r>
      <w:r w:rsidR="00143AB6" w:rsidRPr="001A65DD">
        <w:rPr>
          <w:bCs/>
          <w:color w:val="000000" w:themeColor="text1"/>
        </w:rPr>
        <w:t xml:space="preserve"> stringenc</w:t>
      </w:r>
      <w:r w:rsidR="00C17170">
        <w:rPr>
          <w:bCs/>
          <w:color w:val="000000" w:themeColor="text1"/>
        </w:rPr>
        <w:t>y</w:t>
      </w:r>
      <w:r w:rsidR="00143AB6" w:rsidRPr="001A65DD">
        <w:rPr>
          <w:bCs/>
          <w:color w:val="000000" w:themeColor="text1"/>
        </w:rPr>
        <w:t xml:space="preserve">.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 xml:space="preserve">often-conflated </w:t>
      </w:r>
      <w:r w:rsidR="00E44F84">
        <w:rPr>
          <w:bCs/>
          <w:color w:val="000000" w:themeColor="text1"/>
        </w:rPr>
        <w:t>measures</w:t>
      </w:r>
      <w:r w:rsidR="001B4240">
        <w:rPr>
          <w:bCs/>
          <w:color w:val="000000" w:themeColor="text1"/>
        </w:rPr>
        <w:t xml:space="preserve">: </w:t>
      </w:r>
      <w:r w:rsidR="00143AB6">
        <w:rPr>
          <w:bCs/>
          <w:color w:val="000000" w:themeColor="text1"/>
        </w:rPr>
        <w:t>scope, prescriptiveness, and performance</w:t>
      </w:r>
      <w:r w:rsidR="00044AE2">
        <w:rPr>
          <w:bCs/>
          <w:color w:val="000000" w:themeColor="text1"/>
        </w:rPr>
        <w:t>.</w:t>
      </w:r>
      <w:r w:rsidR="00D30B29">
        <w:rPr>
          <w:bCs/>
          <w:color w:val="000000" w:themeColor="text1"/>
        </w:rPr>
        <w:t xml:space="preserve"> </w:t>
      </w:r>
      <w:commentRangeStart w:id="0"/>
      <w:r w:rsidR="00D30B29">
        <w:rPr>
          <w:bCs/>
          <w:color w:val="000000" w:themeColor="text1"/>
        </w:rPr>
        <w:t>[</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patterns </w:t>
      </w:r>
      <w:r w:rsidR="00143AB6">
        <w:rPr>
          <w:bCs/>
          <w:color w:val="000000" w:themeColor="text1"/>
        </w:rPr>
        <w:t>policy change, including “racing to the bottom”, “ratcheting up”, “converging”, or “diverging.”</w:t>
      </w:r>
      <w:r w:rsidR="00D30B29">
        <w:rPr>
          <w:bCs/>
          <w:color w:val="000000" w:themeColor="text1"/>
        </w:rPr>
        <w:t>]</w:t>
      </w:r>
      <w:r w:rsidR="00F232DC">
        <w:rPr>
          <w:bCs/>
          <w:color w:val="000000" w:themeColor="text1"/>
        </w:rPr>
        <w:t xml:space="preserve"> </w:t>
      </w:r>
      <w:commentRangeEnd w:id="0"/>
      <w:r w:rsidR="00307B8E">
        <w:rPr>
          <w:rStyle w:val="CommentReference"/>
          <w:rFonts w:asciiTheme="minorHAnsi" w:hAnsiTheme="minorHAnsi" w:cstheme="minorBidi"/>
        </w:rPr>
        <w:commentReference w:id="0"/>
      </w:r>
      <w:r w:rsidR="00D30B29">
        <w:rPr>
          <w:bCs/>
          <w:color w:val="000000" w:themeColor="text1"/>
        </w:rPr>
        <w:t>Using our framework, we</w:t>
      </w:r>
      <w:r w:rsidR="00FA7E04">
        <w:rPr>
          <w:bCs/>
          <w:color w:val="000000" w:themeColor="text1"/>
        </w:rPr>
        <w:t xml:space="preserve"> </w:t>
      </w:r>
      <w:r w:rsidR="00044AE2">
        <w:rPr>
          <w:bCs/>
          <w:color w:val="000000" w:themeColor="text1"/>
        </w:rPr>
        <w:t xml:space="preserve">comparing </w:t>
      </w:r>
      <w:r w:rsidR="00FA7E04">
        <w:rPr>
          <w:bCs/>
          <w:color w:val="000000" w:themeColor="text1"/>
        </w:rPr>
        <w:t xml:space="preserve">the </w:t>
      </w:r>
      <w:r w:rsidR="00044AE2">
        <w:rPr>
          <w:bCs/>
          <w:color w:val="000000" w:themeColor="text1"/>
        </w:rPr>
        <w:t>two leading US forestry certification program</w:t>
      </w:r>
      <w:r w:rsidR="00FA7E04">
        <w:rPr>
          <w:bCs/>
          <w:color w:val="000000" w:themeColor="text1"/>
        </w:rPr>
        <w:t>s</w:t>
      </w:r>
      <w:r w:rsidR="00D30B29">
        <w:rPr>
          <w:bCs/>
          <w:color w:val="000000" w:themeColor="text1"/>
        </w:rPr>
        <w:t xml:space="preserve">, revealing </w:t>
      </w:r>
      <w:r w:rsidR="00F9482D">
        <w:rPr>
          <w:bCs/>
          <w:color w:val="000000" w:themeColor="text1"/>
        </w:rPr>
        <w:t>an</w:t>
      </w:r>
      <w:r w:rsidR="00143AB6">
        <w:rPr>
          <w:bCs/>
          <w:color w:val="000000" w:themeColor="text1"/>
        </w:rPr>
        <w:t xml:space="preserve"> </w:t>
      </w:r>
      <w:r w:rsidR="00143AB6" w:rsidRPr="00D30B29">
        <w:rPr>
          <w:bCs/>
          <w:i/>
          <w:iCs/>
          <w:color w:val="000000" w:themeColor="text1"/>
        </w:rPr>
        <w:t>upward</w:t>
      </w:r>
      <w:r w:rsidR="0098520C">
        <w:rPr>
          <w:bCs/>
          <w:color w:val="000000" w:themeColor="text1"/>
        </w:rPr>
        <w:t xml:space="preserve"> but </w:t>
      </w:r>
      <w:r w:rsidR="00143AB6" w:rsidRPr="00044AED">
        <w:rPr>
          <w:i/>
          <w:color w:val="000000" w:themeColor="text1"/>
        </w:rPr>
        <w:t>diverg</w:t>
      </w:r>
      <w:r w:rsidR="0098520C" w:rsidRPr="00044AED">
        <w:rPr>
          <w:i/>
          <w:color w:val="000000" w:themeColor="text1"/>
        </w:rPr>
        <w:t>ent</w:t>
      </w:r>
      <w:r w:rsidR="0098520C">
        <w:rPr>
          <w:bCs/>
          <w:color w:val="000000" w:themeColor="text1"/>
        </w:rPr>
        <w:t xml:space="preserve"> </w:t>
      </w:r>
      <w:r w:rsidR="00143AB6" w:rsidRPr="001A65DD">
        <w:rPr>
          <w:bCs/>
          <w:color w:val="000000" w:themeColor="text1"/>
        </w:rPr>
        <w:t xml:space="preserve">pattern </w:t>
      </w:r>
      <w:r w:rsidR="0098520C">
        <w:rPr>
          <w:bCs/>
          <w:color w:val="000000" w:themeColor="text1"/>
        </w:rPr>
        <w:t>of</w:t>
      </w:r>
      <w:r w:rsidR="00143AB6" w:rsidRPr="001A65DD">
        <w:rPr>
          <w:bCs/>
          <w:color w:val="000000" w:themeColor="text1"/>
        </w:rPr>
        <w:t xml:space="preserve"> </w:t>
      </w:r>
      <w:r w:rsidR="005E5AAC">
        <w:rPr>
          <w:bCs/>
          <w:color w:val="000000" w:themeColor="text1"/>
        </w:rPr>
        <w:t xml:space="preserve">policy </w:t>
      </w:r>
      <w:r w:rsidR="00143AB6" w:rsidRPr="001A65DD">
        <w:rPr>
          <w:bCs/>
          <w:color w:val="000000" w:themeColor="text1"/>
        </w:rPr>
        <w:t>prescriptiveness</w:t>
      </w:r>
      <w:r w:rsidR="00A11385">
        <w:rPr>
          <w:bCs/>
          <w:color w:val="000000" w:themeColor="text1"/>
        </w:rPr>
        <w:t xml:space="preserve"> over time</w:t>
      </w:r>
      <w:r w:rsidR="00FA7E04">
        <w:rPr>
          <w:bCs/>
          <w:color w:val="000000" w:themeColor="text1"/>
        </w:rPr>
        <w:t>.</w:t>
      </w:r>
      <w:r w:rsidR="0098520C">
        <w:rPr>
          <w:bCs/>
          <w:color w:val="000000" w:themeColor="text1"/>
        </w:rPr>
        <w:t xml:space="preserve"> </w:t>
      </w:r>
      <w:r w:rsidR="00FA7E04">
        <w:rPr>
          <w:bCs/>
          <w:color w:val="000000" w:themeColor="text1"/>
        </w:rPr>
        <w:t>T</w:t>
      </w:r>
      <w:r w:rsidR="00143AB6" w:rsidRPr="001A65DD">
        <w:rPr>
          <w:bCs/>
          <w:color w:val="000000" w:themeColor="text1"/>
        </w:rPr>
        <w:t xml:space="preserve">he </w:t>
      </w:r>
      <w:r w:rsidR="00D30B29">
        <w:rPr>
          <w:bCs/>
          <w:color w:val="000000" w:themeColor="text1"/>
        </w:rPr>
        <w:t>program supported by</w:t>
      </w:r>
      <w:r w:rsidR="001C40B2">
        <w:rPr>
          <w:bCs/>
          <w:color w:val="000000" w:themeColor="text1"/>
        </w:rPr>
        <w:t xml:space="preserve"> most environmental </w:t>
      </w:r>
      <w:r w:rsidR="00143AB6" w:rsidRPr="001A65DD">
        <w:rPr>
          <w:bCs/>
          <w:color w:val="000000" w:themeColor="text1"/>
        </w:rPr>
        <w:t>activis</w:t>
      </w:r>
      <w:r w:rsidR="001C40B2">
        <w:rPr>
          <w:bCs/>
          <w:color w:val="000000" w:themeColor="text1"/>
        </w:rPr>
        <w:t xml:space="preserve">ts </w:t>
      </w:r>
      <w:r w:rsidR="00D30B29">
        <w:rPr>
          <w:bCs/>
          <w:color w:val="000000" w:themeColor="text1"/>
        </w:rPr>
        <w:t xml:space="preserve">mostly added </w:t>
      </w:r>
      <w:r w:rsidR="009978F0">
        <w:rPr>
          <w:bCs/>
          <w:color w:val="000000" w:themeColor="text1"/>
        </w:rPr>
        <w:t>re</w:t>
      </w:r>
      <w:r w:rsidR="00A11385">
        <w:rPr>
          <w:bCs/>
          <w:color w:val="000000" w:themeColor="text1"/>
        </w:rPr>
        <w:t xml:space="preserve">quirements </w:t>
      </w:r>
      <w:r w:rsidR="005E5AAC">
        <w:rPr>
          <w:bCs/>
          <w:color w:val="000000" w:themeColor="text1"/>
        </w:rPr>
        <w:t xml:space="preserve">that impose </w:t>
      </w:r>
      <w:r w:rsidR="00A11385">
        <w:rPr>
          <w:bCs/>
          <w:color w:val="000000" w:themeColor="text1"/>
        </w:rPr>
        <w:t xml:space="preserve">economic </w:t>
      </w:r>
      <w:r w:rsidR="005E5AAC">
        <w:rPr>
          <w:bCs/>
          <w:color w:val="000000" w:themeColor="text1"/>
        </w:rPr>
        <w:t>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D30B29">
        <w:rPr>
          <w:bCs/>
          <w:color w:val="000000" w:themeColor="text1"/>
        </w:rPr>
        <w:t>program founded</w:t>
      </w:r>
      <w:r w:rsidR="0086574D">
        <w:rPr>
          <w:bCs/>
          <w:color w:val="000000" w:themeColor="text1"/>
        </w:rPr>
        <w:t xml:space="preserve"> by the American Forest &amp; Paper Association </w:t>
      </w:r>
      <w:r w:rsidR="00D30B29">
        <w:rPr>
          <w:bCs/>
          <w:color w:val="000000" w:themeColor="text1"/>
        </w:rPr>
        <w:t xml:space="preserve">mostly added </w:t>
      </w:r>
      <w:r w:rsidR="00A11385">
        <w:rPr>
          <w:bCs/>
          <w:color w:val="000000" w:themeColor="text1"/>
        </w:rPr>
        <w:t xml:space="preserve">requirements </w:t>
      </w:r>
      <w:r w:rsidR="008E5713">
        <w:rPr>
          <w:bCs/>
          <w:color w:val="000000" w:themeColor="text1"/>
        </w:rPr>
        <w:t xml:space="preserve">that created economic </w:t>
      </w:r>
      <w:r w:rsidR="00413B64">
        <w:rPr>
          <w:bCs/>
          <w:color w:val="000000" w:themeColor="text1"/>
        </w:rPr>
        <w:t>benefits</w:t>
      </w:r>
      <w:r w:rsidR="00044AED">
        <w:rPr>
          <w:bCs/>
          <w:color w:val="000000" w:themeColor="text1"/>
        </w:rPr>
        <w:t xml:space="preserve"> </w:t>
      </w:r>
      <w:del w:id="1" w:author="Cashore, Benjamin" w:date="2019-03-11T17:47:00Z">
        <w:r w:rsidR="00C709E6" w:rsidDel="00756050">
          <w:rPr>
            <w:bCs/>
            <w:color w:val="000000" w:themeColor="text1"/>
          </w:rPr>
          <w:delText xml:space="preserve">that </w:delText>
        </w:r>
      </w:del>
      <w:del w:id="2" w:author="Cashore, Benjamin" w:date="2019-03-11T17:46:00Z">
        <w:r w:rsidR="00C709E6" w:rsidDel="008C793B">
          <w:rPr>
            <w:bCs/>
            <w:color w:val="000000" w:themeColor="text1"/>
          </w:rPr>
          <w:delText xml:space="preserve">solved </w:delText>
        </w:r>
      </w:del>
      <w:del w:id="3" w:author="Cashore, Benjamin" w:date="2019-03-11T17:47:00Z">
        <w:r w:rsidR="00C709E6" w:rsidDel="00756050">
          <w:rPr>
            <w:bCs/>
            <w:color w:val="000000" w:themeColor="text1"/>
          </w:rPr>
          <w:delText>industry collective action problems related to reputation and risk</w:delText>
        </w:r>
      </w:del>
      <w:del w:id="4" w:author="Cashore, Benjamin" w:date="2019-03-10T21:30:00Z">
        <w:r w:rsidR="00B34392" w:rsidDel="009978F0">
          <w:rPr>
            <w:bCs/>
            <w:color w:val="000000" w:themeColor="text1"/>
          </w:rPr>
          <w:delText xml:space="preserve">mostly </w:delText>
        </w:r>
        <w:r w:rsidR="005A1807" w:rsidDel="009978F0">
          <w:rPr>
            <w:bCs/>
            <w:color w:val="000000" w:themeColor="text1"/>
          </w:rPr>
          <w:delText>targeted</w:delText>
        </w:r>
        <w:r w:rsidR="00143AB6" w:rsidDel="009978F0">
          <w:rPr>
            <w:bCs/>
            <w:color w:val="000000" w:themeColor="text1"/>
          </w:rPr>
          <w:delText xml:space="preserve"> </w:delText>
        </w:r>
        <w:r w:rsidR="00F65793" w:rsidDel="009978F0">
          <w:rPr>
            <w:bCs/>
            <w:color w:val="000000" w:themeColor="text1"/>
          </w:rPr>
          <w:delText>issues</w:delText>
        </w:r>
        <w:r w:rsidR="005E5AAC" w:rsidDel="009978F0">
          <w:rPr>
            <w:bCs/>
            <w:color w:val="000000" w:themeColor="text1"/>
          </w:rPr>
          <w:delText xml:space="preserve"> that </w:delText>
        </w:r>
      </w:del>
      <w:del w:id="5" w:author="Cashore, Benjamin" w:date="2019-03-10T21:54:00Z">
        <w:r w:rsidR="005E5AAC" w:rsidDel="00413B64">
          <w:rPr>
            <w:bCs/>
            <w:color w:val="000000" w:themeColor="text1"/>
          </w:rPr>
          <w:delText xml:space="preserve">benefit </w:delText>
        </w:r>
      </w:del>
      <w:del w:id="6" w:author="Cashore, Benjamin" w:date="2019-03-10T21:31:00Z">
        <w:r w:rsidR="005E5AAC" w:rsidDel="009978F0">
          <w:rPr>
            <w:bCs/>
            <w:color w:val="000000" w:themeColor="text1"/>
          </w:rPr>
          <w:delText>firms regardless of activist pressure</w:delText>
        </w:r>
      </w:del>
      <w:r w:rsidR="00143AB6" w:rsidRPr="001A65DD">
        <w:rPr>
          <w:bCs/>
          <w:color w:val="000000" w:themeColor="text1"/>
        </w:rPr>
        <w:t>.</w:t>
      </w:r>
      <w:r w:rsidR="00A967CE">
        <w:rPr>
          <w:bCs/>
          <w:color w:val="000000" w:themeColor="text1"/>
        </w:rPr>
        <w:t xml:space="preserve"> </w:t>
      </w:r>
      <w:r w:rsidR="00074887">
        <w:rPr>
          <w:bCs/>
          <w:color w:val="000000" w:themeColor="text1"/>
        </w:rPr>
        <w:t xml:space="preserve">While </w:t>
      </w:r>
      <w:r w:rsidR="00D30B29">
        <w:rPr>
          <w:bCs/>
          <w:color w:val="000000" w:themeColor="text1"/>
        </w:rPr>
        <w:t>these</w:t>
      </w:r>
      <w:r w:rsidR="00074887">
        <w:rPr>
          <w:bCs/>
          <w:color w:val="000000" w:themeColor="text1"/>
        </w:rPr>
        <w:t xml:space="preserve"> results are consistent with the hypothesis that industry-backed programs tend to offer less costly types of regulatory stringency than activist-backed programs, we also find several unique patterns that previous scholarship had failed to uncover, let alone explain.</w:t>
      </w:r>
      <w:r w:rsidR="00995692" w:rsidRPr="00995692" w:rsidDel="00074887">
        <w:rPr>
          <w:bCs/>
          <w:color w:val="000000" w:themeColor="text1"/>
        </w:rPr>
        <w:t xml:space="preserve"> </w:t>
      </w:r>
      <w:del w:id="7" w:author="Cashore, Benjamin" w:date="2019-03-10T21:32:00Z">
        <w:r w:rsidR="00995692" w:rsidDel="00074887">
          <w:rPr>
            <w:bCs/>
            <w:color w:val="000000" w:themeColor="text1"/>
          </w:rPr>
          <w:delText>These results demonstrate how disaggregating policy components can improve theory building and testing.</w:delText>
        </w:r>
      </w:del>
    </w:p>
    <w:p w14:paraId="75EDE0E5" w14:textId="58BE0A66" w:rsidR="001A65DD" w:rsidRDefault="00074887" w:rsidP="00387397">
      <w:pPr>
        <w:spacing w:line="480" w:lineRule="auto"/>
        <w:outlineLvl w:val="0"/>
        <w:rPr>
          <w:bCs/>
          <w:color w:val="000000" w:themeColor="text1"/>
        </w:rPr>
      </w:pPr>
      <w:r w:rsidDel="00074887">
        <w:rPr>
          <w:bCs/>
          <w:color w:val="000000" w:themeColor="text1"/>
        </w:rPr>
        <w:t xml:space="preserve"> </w:t>
      </w:r>
      <w:r w:rsidR="007D7A1D">
        <w:rPr>
          <w:bCs/>
          <w:color w:val="000000" w:themeColor="text1"/>
        </w:rPr>
        <w:t>[155 words]</w:t>
      </w:r>
    </w:p>
    <w:p w14:paraId="7C5C6785" w14:textId="77777777" w:rsidR="007D7A1D" w:rsidRPr="001A65DD" w:rsidRDefault="007D7A1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5E5C1A8F" w14:textId="67277649" w:rsidR="001E7CDF" w:rsidRPr="00DA16B5" w:rsidRDefault="00550DB2" w:rsidP="006344BF">
      <w:pPr>
        <w:spacing w:line="480" w:lineRule="auto"/>
        <w:rPr>
          <w:rFonts w:eastAsia="Times New Roman"/>
        </w:rPr>
      </w:pPr>
      <w:r>
        <w:rPr>
          <w:rFonts w:eastAsia="Times New Roman"/>
          <w:color w:val="000000" w:themeColor="text1"/>
        </w:rPr>
        <w:t>P</w:t>
      </w:r>
      <w:r w:rsidR="00D7391C" w:rsidRPr="00387397">
        <w:rPr>
          <w:rFonts w:eastAsia="Times New Roman"/>
          <w:color w:val="000000" w:themeColor="text1"/>
        </w:rPr>
        <w:t xml:space="preserve">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w:t>
      </w:r>
      <w:r>
        <w:rPr>
          <w:rFonts w:eastAsia="Times New Roman"/>
          <w:color w:val="000000" w:themeColor="text1"/>
        </w:rPr>
        <w:t>such as product</w:t>
      </w:r>
      <w:r w:rsidR="00844193" w:rsidRPr="00387397">
        <w:rPr>
          <w:rFonts w:eastAsia="Times New Roman"/>
          <w:color w:val="000000" w:themeColor="text1"/>
        </w:rPr>
        <w:t xml:space="preserve"> </w:t>
      </w:r>
      <w:r w:rsidR="00CC5245" w:rsidRPr="00387397">
        <w:rPr>
          <w:rFonts w:eastAsia="Times New Roman"/>
          <w:color w:val="000000" w:themeColor="text1"/>
        </w:rPr>
        <w:t xml:space="preserve">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Pr>
          <w:rFonts w:eastAsia="Times New Roman"/>
          <w:color w:val="000000" w:themeColor="text1"/>
        </w:rPr>
        <w:t xml:space="preserve">have emerged </w:t>
      </w:r>
      <w:r w:rsidR="00D7391C" w:rsidRPr="00387397">
        <w:rPr>
          <w:rFonts w:eastAsia="Times New Roman"/>
          <w:color w:val="000000" w:themeColor="text1"/>
        </w:rPr>
        <w:t xml:space="preserve">to </w:t>
      </w:r>
      <w:r>
        <w:rPr>
          <w:rFonts w:eastAsia="Times New Roman"/>
          <w:color w:val="000000" w:themeColor="text1"/>
        </w:rPr>
        <w:t>improve</w:t>
      </w:r>
      <w:r w:rsidR="00512A9F"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 greenhouse gas emissions, </w:t>
      </w:r>
      <w:r w:rsidR="007657C0" w:rsidRPr="00387397">
        <w:rPr>
          <w:color w:val="000000" w:themeColor="text1"/>
        </w:rPr>
        <w:t>and</w:t>
      </w:r>
      <w:r>
        <w:rPr>
          <w:color w:val="000000" w:themeColor="text1"/>
        </w:rPr>
        <w:t xml:space="preserve"> regulate</w:t>
      </w:r>
      <w:r w:rsidR="00FF3418" w:rsidRPr="00387397">
        <w:rPr>
          <w:color w:val="000000" w:themeColor="text1"/>
        </w:rPr>
        <w:t xml:space="preserve"> fisher</w:t>
      </w:r>
      <w:r w:rsidR="009A5362">
        <w:rPr>
          <w:color w:val="000000" w:themeColor="text1"/>
        </w:rPr>
        <w:t>ies, min</w:t>
      </w:r>
      <w:r w:rsidR="00D7477B">
        <w:rPr>
          <w:color w:val="000000" w:themeColor="text1"/>
        </w:rPr>
        <w:t>ing</w:t>
      </w:r>
      <w:r w:rsidR="009A5362">
        <w:rPr>
          <w:color w:val="000000" w:themeColor="text1"/>
        </w:rPr>
        <w:t xml:space="preserve">, </w:t>
      </w:r>
      <w:r w:rsidR="00FF3418" w:rsidRPr="00387397">
        <w:rPr>
          <w:color w:val="000000" w:themeColor="text1"/>
        </w:rPr>
        <w:t>and forest</w:t>
      </w:r>
      <w:r w:rsidR="00D7477B">
        <w:rPr>
          <w:color w:val="000000" w:themeColor="text1"/>
        </w:rPr>
        <w:t>ry</w:t>
      </w:r>
      <w:r w:rsidR="00102F5F">
        <w:rPr>
          <w:color w:val="000000" w:themeColor="text1"/>
        </w:rPr>
        <w:t xml:space="preserve"> </w:t>
      </w:r>
      <w:r>
        <w:rPr>
          <w:color w:val="000000" w:themeColor="text1"/>
        </w:rPr>
        <w:t>operations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Pr>
          <w:color w:val="000000" w:themeColor="text1"/>
        </w:rPr>
        <w:t xml:space="preserve"> Many of these initiatives were founded by</w:t>
      </w:r>
      <w:r w:rsidR="001A160D" w:rsidRPr="00387397">
        <w:rPr>
          <w:color w:val="000000" w:themeColor="text1"/>
        </w:rPr>
        <w:t xml:space="preserve"> </w:t>
      </w:r>
      <w:r>
        <w:rPr>
          <w:color w:val="000000" w:themeColor="text1"/>
        </w:rPr>
        <w:t>advocacy</w:t>
      </w:r>
      <w:r w:rsidR="0098186A">
        <w:rPr>
          <w:color w:val="000000" w:themeColor="text1"/>
        </w:rPr>
        <w:t xml:space="preserve"> organizations</w:t>
      </w:r>
      <w:r w:rsidR="00661A8C">
        <w:rPr>
          <w:color w:val="000000" w:themeColor="text1"/>
        </w:rPr>
        <w:t xml:space="preserve"> </w:t>
      </w:r>
      <w:r>
        <w:rPr>
          <w:color w:val="000000" w:themeColor="text1"/>
        </w:rPr>
        <w:t>in an effort</w:t>
      </w:r>
      <w:r w:rsidR="00661A8C">
        <w:t xml:space="preserve"> </w:t>
      </w:r>
      <w:r w:rsidR="008D71DE">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r w:rsidR="00476008">
        <w:t xml:space="preserve">Activists created </w:t>
      </w:r>
      <w:r w:rsidR="00476008">
        <w:lastRenderedPageBreak/>
        <w:t>i</w:t>
      </w:r>
      <w:r w:rsidR="00206025">
        <w:t xml:space="preserve">ncentives </w:t>
      </w:r>
      <w:r w:rsidR="00476008">
        <w:t xml:space="preserve">for companies </w:t>
      </w:r>
      <w:r w:rsidR="00206025">
        <w:t>to comply with private regulat</w:t>
      </w:r>
      <w:r w:rsidR="00476008">
        <w:t>ions</w:t>
      </w:r>
      <w:r w:rsidR="0061415E">
        <w:t xml:space="preserve"> </w:t>
      </w:r>
      <w:r w:rsidR="00476008">
        <w:t>with</w:t>
      </w:r>
      <w:r w:rsidR="00F35C92">
        <w:t xml:space="preserve"> tactics like</w:t>
      </w:r>
      <w:r w:rsidR="00206025">
        <w:t xml:space="preserve"> </w:t>
      </w:r>
      <w:r w:rsidR="00083EFC" w:rsidRPr="00387397">
        <w:t>boycotts</w:t>
      </w:r>
      <w:r w:rsidR="00083EFC">
        <w:t xml:space="preserve"> </w:t>
      </w:r>
      <w:r w:rsidR="00206025">
        <w:t xml:space="preserve">as “sticks” </w:t>
      </w:r>
      <w:r w:rsidR="00083EFC">
        <w:t xml:space="preserve">and </w:t>
      </w:r>
      <w:r w:rsidR="00476008">
        <w:t xml:space="preserve">brand-boosting praise </w:t>
      </w:r>
      <w:r w:rsidR="00206025">
        <w:t>as “carrots</w:t>
      </w:r>
      <w:r w:rsidR="00476008">
        <w:t>,</w:t>
      </w:r>
      <w:r w:rsidR="00206025">
        <w:t>”</w:t>
      </w:r>
      <w:r w:rsidR="00476008">
        <w:t xml:space="preserve"> thereby giving the</w:t>
      </w:r>
      <w:r w:rsidR="00F35C92">
        <w:t>ir preferred</w:t>
      </w:r>
      <w:r w:rsidR="00476008">
        <w:t xml:space="preserve"> </w:t>
      </w:r>
      <w:r w:rsidR="00083EFC">
        <w:t>ce</w:t>
      </w:r>
      <w:r w:rsidR="00372CDA">
        <w:t xml:space="preserve">rtification programs </w:t>
      </w:r>
      <w:r w:rsidR="00E05CF0" w:rsidRPr="00387397">
        <w:t>rulemaking</w:t>
      </w:r>
      <w:r w:rsidR="00C24866" w:rsidRPr="00387397">
        <w:t xml:space="preserve"> </w:t>
      </w:r>
      <w:r w:rsidR="00B96C15" w:rsidRPr="00387397">
        <w:t xml:space="preserve">authority </w:t>
      </w:r>
      <w:r w:rsidR="00476008">
        <w:t>rooted in market power rather than</w:t>
      </w:r>
      <w:r w:rsidR="00046886">
        <w:t xml:space="preserve"> state</w:t>
      </w:r>
      <w:r w:rsidR="00476008">
        <w:t>-</w:t>
      </w:r>
      <w:r w:rsidR="00046886">
        <w:t xml:space="preserve">based authority </w:t>
      </w:r>
      <w:r w:rsidR="009C0F03" w:rsidRPr="00387397">
        <w:t>(</w:t>
      </w:r>
      <w:proofErr w:type="spellStart"/>
      <w:r w:rsidR="009C0F03" w:rsidRPr="00387397">
        <w:t>Cashore</w:t>
      </w:r>
      <w:proofErr w:type="spellEnd"/>
      <w:r w:rsidR="002F1DC9">
        <w:t>,</w:t>
      </w:r>
      <w:r w:rsidR="009C0F03" w:rsidRPr="00387397">
        <w:t xml:space="preserve"> 200</w:t>
      </w:r>
      <w:r w:rsidR="00B00C7E">
        <w:t>2</w:t>
      </w:r>
      <w:r w:rsidR="009C0F03" w:rsidRPr="00387397">
        <w:t>)</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6145F2">
        <w:t>resistance f</w:t>
      </w:r>
      <w:r w:rsidR="00300626">
        <w:t xml:space="preserve">rom </w:t>
      </w:r>
      <w:r w:rsidR="006064F4">
        <w:t>industry groups</w:t>
      </w:r>
      <w:r w:rsidR="00954B77">
        <w:t>, who</w:t>
      </w:r>
      <w:r w:rsidR="006064F4">
        <w:t xml:space="preserve"> launched their own</w:t>
      </w:r>
      <w:r w:rsidR="004004BE" w:rsidRPr="00387397">
        <w:t xml:space="preserve"> </w:t>
      </w:r>
      <w:r w:rsidR="006064F4">
        <w:t xml:space="preserve">certification </w:t>
      </w:r>
      <w:r w:rsidR="004004BE" w:rsidRPr="00387397">
        <w:t>programs</w:t>
      </w:r>
      <w:r w:rsidR="0059459C">
        <w:t xml:space="preserve"> </w:t>
      </w:r>
      <w:r w:rsidR="00954B77">
        <w:t xml:space="preserve">designed </w:t>
      </w:r>
      <w:r w:rsidR="006064F4">
        <w:t>to offer</w:t>
      </w:r>
      <w:r w:rsidR="00492D97">
        <w:t xml:space="preserve"> more “business</w:t>
      </w:r>
      <w:r w:rsidR="006064F4">
        <w:t>-</w:t>
      </w:r>
      <w:r w:rsidR="00492D97">
        <w:t>friendly” alternatives</w:t>
      </w:r>
      <w:r w:rsidR="00954B77">
        <w:t>.</w:t>
      </w:r>
      <w:r w:rsidR="00492D97">
        <w:t xml:space="preserve"> </w:t>
      </w:r>
      <w:del w:id="8" w:author="Cashore, Benjamin" w:date="2019-03-10T21:59:00Z">
        <w:r w:rsidR="0059459C" w:rsidDel="00954B77">
          <w:delText>to meet consumer demands for “socially responsible”</w:delText>
        </w:r>
        <w:r w:rsidR="006064F4" w:rsidDel="00954B77">
          <w:delText xml:space="preserve"> products. </w:delText>
        </w:r>
      </w:del>
      <w:r w:rsidR="0030314F">
        <w:rPr>
          <w:rFonts w:eastAsia="Times New Roman"/>
          <w:color w:val="222222"/>
          <w:shd w:val="clear" w:color="auto" w:fill="FFFFFF"/>
        </w:rPr>
        <w:t>The result</w:t>
      </w:r>
      <w:r w:rsidR="00F35C92">
        <w:rPr>
          <w:rFonts w:eastAsia="Times New Roman"/>
          <w:color w:val="222222"/>
          <w:shd w:val="clear" w:color="auto" w:fill="FFFFFF"/>
        </w:rPr>
        <w:t xml:space="preserve"> </w:t>
      </w:r>
      <w:r w:rsidR="00EB7451">
        <w:rPr>
          <w:rFonts w:eastAsia="Times New Roman"/>
          <w:color w:val="222222"/>
          <w:shd w:val="clear" w:color="auto" w:fill="FFFFFF"/>
        </w:rPr>
        <w:t>has been</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954B77">
        <w:rPr>
          <w:rFonts w:eastAsia="Times New Roman"/>
          <w:color w:val="222222"/>
          <w:shd w:val="clear" w:color="auto" w:fill="FFFFFF"/>
        </w:rPr>
        <w:t>between</w:t>
      </w:r>
      <w:r w:rsidR="00954B77" w:rsidRPr="00387397">
        <w:rPr>
          <w:rFonts w:eastAsia="Times New Roman"/>
          <w:color w:val="222222"/>
          <w:shd w:val="clear" w:color="auto" w:fill="FFFFFF"/>
        </w:rPr>
        <w:t xml:space="preserve"> </w:t>
      </w:r>
      <w:r w:rsidR="00C82D01" w:rsidRPr="00387397">
        <w:rPr>
          <w:rFonts w:eastAsia="Times New Roman"/>
          <w:color w:val="222222"/>
          <w:shd w:val="clear" w:color="auto" w:fill="FFFFFF"/>
        </w:rPr>
        <w:t xml:space="preserve">supporters of </w:t>
      </w:r>
      <w:r w:rsidR="00954B77">
        <w:rPr>
          <w:rFonts w:eastAsia="Times New Roman"/>
          <w:color w:val="222222"/>
          <w:shd w:val="clear" w:color="auto" w:fill="FFFFFF"/>
        </w:rPr>
        <w:t xml:space="preserve">programs initiated by </w:t>
      </w:r>
      <w:r w:rsidR="00C82D01" w:rsidRPr="00387397">
        <w:rPr>
          <w:rFonts w:eastAsia="Times New Roman"/>
          <w:color w:val="222222"/>
          <w:shd w:val="clear" w:color="auto" w:fill="FFFFFF"/>
        </w:rPr>
        <w:t>activist</w:t>
      </w:r>
      <w:r w:rsidR="00954B77">
        <w:rPr>
          <w:rFonts w:eastAsia="Times New Roman"/>
          <w:color w:val="222222"/>
          <w:shd w:val="clear" w:color="auto" w:fill="FFFFFF"/>
        </w:rPr>
        <w:t xml:space="preserve">s and their allies </w:t>
      </w:r>
      <w:r w:rsidR="00C82D01" w:rsidRPr="00387397">
        <w:rPr>
          <w:rFonts w:eastAsia="Times New Roman"/>
          <w:color w:val="222222"/>
          <w:shd w:val="clear" w:color="auto" w:fill="FFFFFF"/>
        </w:rPr>
        <w:t xml:space="preserve">and </w:t>
      </w:r>
      <w:r w:rsidR="00BD5DF0">
        <w:rPr>
          <w:rFonts w:eastAsia="Times New Roman"/>
          <w:color w:val="222222"/>
          <w:shd w:val="clear" w:color="auto" w:fill="FFFFFF"/>
        </w:rPr>
        <w:t xml:space="preserve">supporters of </w:t>
      </w:r>
      <w:r w:rsidR="00C82D01" w:rsidRPr="00387397">
        <w:rPr>
          <w:rFonts w:eastAsia="Times New Roman"/>
          <w:color w:val="222222"/>
          <w:shd w:val="clear" w:color="auto" w:fill="FFFFFF"/>
        </w:rPr>
        <w:t xml:space="preserve">industry-backed </w:t>
      </w:r>
      <w:r w:rsidR="008D71DE">
        <w:rPr>
          <w:rFonts w:eastAsia="Times New Roman"/>
          <w:color w:val="222222"/>
          <w:shd w:val="clear" w:color="auto" w:fill="FFFFFF"/>
        </w:rPr>
        <w:t>alternatives</w:t>
      </w:r>
      <w:r w:rsidR="00954B77">
        <w:rPr>
          <w:rFonts w:eastAsia="Times New Roman"/>
          <w:color w:val="222222"/>
          <w:shd w:val="clear" w:color="auto" w:fill="FFFFFF"/>
        </w:rPr>
        <w:t xml:space="preserve">. </w:t>
      </w:r>
      <w:r w:rsidR="00F35C92">
        <w:rPr>
          <w:rFonts w:eastAsia="Times New Roman"/>
          <w:color w:val="222222"/>
          <w:shd w:val="clear" w:color="auto" w:fill="FFFFFF"/>
        </w:rPr>
        <w:t>T</w:t>
      </w:r>
      <w:r w:rsidR="00954B77">
        <w:rPr>
          <w:rFonts w:eastAsia="Times New Roman"/>
          <w:color w:val="222222"/>
          <w:shd w:val="clear" w:color="auto" w:fill="FFFFFF"/>
        </w:rPr>
        <w:t xml:space="preserve">hese debates </w:t>
      </w:r>
      <w:r w:rsidR="00F35C92">
        <w:rPr>
          <w:rFonts w:eastAsia="Times New Roman"/>
          <w:color w:val="222222"/>
          <w:shd w:val="clear" w:color="auto" w:fill="FFFFFF"/>
        </w:rPr>
        <w:t>center</w:t>
      </w:r>
      <w:r w:rsidR="00954B77">
        <w:rPr>
          <w:rFonts w:eastAsia="Times New Roman"/>
          <w:color w:val="222222"/>
          <w:shd w:val="clear" w:color="auto" w:fill="FFFFFF"/>
        </w:rPr>
        <w:t xml:space="preserve"> on </w:t>
      </w:r>
      <w:r w:rsidR="006064F4">
        <w:rPr>
          <w:rFonts w:eastAsia="Times New Roman"/>
        </w:rPr>
        <w:t>t</w:t>
      </w:r>
      <w:r w:rsidR="006064F4" w:rsidRPr="00387397">
        <w:rPr>
          <w:rFonts w:eastAsia="Times New Roman"/>
        </w:rPr>
        <w:t>he </w:t>
      </w:r>
      <w:r w:rsidR="00F35C92">
        <w:rPr>
          <w:rFonts w:eastAsia="Times New Roman"/>
          <w:color w:val="222222"/>
          <w:shd w:val="clear" w:color="auto" w:fill="FFFFFF"/>
        </w:rPr>
        <w:t xml:space="preserve">relative stringency of </w:t>
      </w:r>
      <w:r w:rsidR="006064F4" w:rsidRPr="00387397">
        <w:rPr>
          <w:rFonts w:eastAsia="Times New Roman"/>
          <w:color w:val="222222"/>
          <w:shd w:val="clear" w:color="auto" w:fill="FFFFFF"/>
        </w:rPr>
        <w:t>each program</w:t>
      </w:r>
      <w:r w:rsidR="00F35C92">
        <w:rPr>
          <w:rFonts w:eastAsia="Times New Roman"/>
          <w:color w:val="222222"/>
          <w:shd w:val="clear" w:color="auto" w:fill="FFFFFF"/>
        </w:rPr>
        <w:t>’s</w:t>
      </w:r>
      <w:r w:rsidR="001E7CDF">
        <w:rPr>
          <w:rFonts w:eastAsia="Times New Roman"/>
          <w:color w:val="222222"/>
          <w:shd w:val="clear" w:color="auto" w:fill="FFFFFF"/>
        </w:rPr>
        <w:t xml:space="preserve"> </w:t>
      </w:r>
      <w:r w:rsidR="006064F4">
        <w:rPr>
          <w:rFonts w:eastAsia="Times New Roman"/>
          <w:color w:val="222222"/>
          <w:shd w:val="clear" w:color="auto" w:fill="FFFFFF"/>
        </w:rPr>
        <w:t>require</w:t>
      </w:r>
      <w:r w:rsidR="00F35C92">
        <w:rPr>
          <w:rFonts w:eastAsia="Times New Roman"/>
          <w:color w:val="222222"/>
          <w:shd w:val="clear" w:color="auto" w:fill="FFFFFF"/>
        </w:rPr>
        <w:t>ments</w:t>
      </w:r>
      <w:r w:rsidR="001E7CDF">
        <w:rPr>
          <w:rFonts w:eastAsia="Times New Roman"/>
          <w:color w:val="222222"/>
          <w:shd w:val="clear" w:color="auto" w:fill="FFFFFF"/>
        </w:rPr>
        <w:t xml:space="preserve">. </w:t>
      </w:r>
    </w:p>
    <w:p w14:paraId="1F1DB63C" w14:textId="77777777" w:rsidR="003E1A07" w:rsidRPr="00387397" w:rsidRDefault="003E1A07" w:rsidP="00387397">
      <w:pPr>
        <w:spacing w:line="480" w:lineRule="auto"/>
        <w:rPr>
          <w:lang w:eastAsia="zh-CN"/>
        </w:rPr>
      </w:pPr>
    </w:p>
    <w:p w14:paraId="1B860614" w14:textId="1C94CC57"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B51C5D">
        <w:rPr>
          <w:rFonts w:eastAsia="Times New Roman"/>
          <w:color w:val="000000" w:themeColor="text1"/>
          <w:lang w:eastAsia="zh-CN"/>
        </w:rPr>
        <w:t>)</w:t>
      </w:r>
      <w:r w:rsidR="00D20285" w:rsidRPr="00387397">
        <w:rPr>
          <w:rFonts w:eastAsia="Times New Roman"/>
          <w:color w:val="000000" w:themeColor="text1"/>
          <w:lang w:eastAsia="zh-CN"/>
        </w:rPr>
        <w:t>.</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EB7451">
        <w:rPr>
          <w:rFonts w:eastAsia="Times New Roman"/>
          <w:color w:val="000000" w:themeColor="text1"/>
          <w:lang w:eastAsia="zh-CN"/>
        </w:rPr>
        <w:t>places</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w:t>
      </w:r>
      <w:r w:rsidR="00EB7451">
        <w:rPr>
          <w:rFonts w:eastAsia="Times New Roman"/>
          <w:color w:val="000000" w:themeColor="text1"/>
          <w:lang w:eastAsia="zh-CN"/>
        </w:rPr>
        <w:t xml:space="preserve">by to equalize requirements </w:t>
      </w:r>
      <w:r w:rsidR="00772D87" w:rsidRPr="00387397">
        <w:rPr>
          <w:rFonts w:eastAsia="Times New Roman"/>
          <w:color w:val="000000" w:themeColor="text1"/>
          <w:lang w:eastAsia="zh-CN"/>
        </w:rPr>
        <w:t>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155FE721"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great strides </w:t>
      </w:r>
      <w:r w:rsidR="0006684D">
        <w:rPr>
          <w:rFonts w:eastAsia="Times New Roman"/>
          <w:color w:val="000000" w:themeColor="text1"/>
          <w:lang w:eastAsia="zh-CN"/>
        </w:rPr>
        <w:t>have been made</w:t>
      </w:r>
      <w:r w:rsidR="006F456E">
        <w:rPr>
          <w:rFonts w:eastAsia="Times New Roman"/>
          <w:color w:val="000000" w:themeColor="text1"/>
          <w:lang w:eastAsia="zh-CN"/>
        </w:rPr>
        <w:t>, the field lacks consistent concepts of</w:t>
      </w:r>
      <w:r w:rsidR="0006684D">
        <w:rPr>
          <w:rFonts w:eastAsia="Times New Roman"/>
          <w:color w:val="000000" w:themeColor="text1"/>
          <w:lang w:eastAsia="zh-CN"/>
        </w:rPr>
        <w:t xml:space="preserve"> </w:t>
      </w:r>
      <w:del w:id="9" w:author="Cashore, Benjamin" w:date="2019-03-11T18:35:00Z">
        <w:r w:rsidR="00283575" w:rsidDel="0006684D">
          <w:rPr>
            <w:rFonts w:eastAsia="Times New Roman"/>
            <w:color w:val="000000" w:themeColor="text1"/>
            <w:lang w:eastAsia="zh-CN"/>
          </w:rPr>
          <w:delText xml:space="preserve">because </w:delText>
        </w:r>
        <w:r w:rsidR="005903A0" w:rsidDel="0006684D">
          <w:rPr>
            <w:rFonts w:eastAsia="Times New Roman"/>
            <w:color w:val="000000" w:themeColor="text1"/>
            <w:lang w:eastAsia="zh-CN"/>
          </w:rPr>
          <w:delText>the field has paid</w:delText>
        </w:r>
        <w:r w:rsidR="00353957" w:rsidDel="0006684D">
          <w:rPr>
            <w:rFonts w:eastAsia="Times New Roman"/>
            <w:color w:val="000000" w:themeColor="text1"/>
            <w:lang w:eastAsia="zh-CN"/>
          </w:rPr>
          <w:delText xml:space="preserve"> </w:delText>
        </w:r>
        <w:r w:rsidR="009E2B31" w:rsidRPr="00387397" w:rsidDel="0006684D">
          <w:rPr>
            <w:rFonts w:eastAsia="Times New Roman"/>
            <w:color w:val="000000" w:themeColor="text1"/>
            <w:lang w:eastAsia="zh-CN"/>
          </w:rPr>
          <w:delText xml:space="preserve">relatively limited attention to </w:delText>
        </w:r>
      </w:del>
      <w:del w:id="10" w:author="Cashore, Benjamin" w:date="2019-03-10T22:24:00Z">
        <w:r w:rsidR="00844F6E" w:rsidRPr="00387397" w:rsidDel="005D462F">
          <w:rPr>
            <w:rFonts w:eastAsia="Times New Roman"/>
            <w:color w:val="000000" w:themeColor="text1"/>
            <w:lang w:eastAsia="zh-CN"/>
          </w:rPr>
          <w:delText>how</w:delText>
        </w:r>
        <w:r w:rsidR="00ED7C6E" w:rsidRPr="00387397" w:rsidDel="005D462F">
          <w:rPr>
            <w:rFonts w:eastAsia="Times New Roman"/>
            <w:color w:val="000000" w:themeColor="text1"/>
            <w:lang w:eastAsia="zh-CN"/>
          </w:rPr>
          <w:delText xml:space="preserve"> </w:delText>
        </w:r>
        <w:r w:rsidR="0047000A" w:rsidRPr="00387397" w:rsidDel="005D462F">
          <w:rPr>
            <w:rFonts w:eastAsia="Times New Roman"/>
            <w:color w:val="000000" w:themeColor="text1"/>
            <w:lang w:eastAsia="zh-CN"/>
          </w:rPr>
          <w:delText xml:space="preserve">stringency </w:delText>
        </w:r>
        <w:r w:rsidR="00AD6F53" w:rsidRPr="00387397" w:rsidDel="005D462F">
          <w:rPr>
            <w:rFonts w:eastAsia="Times New Roman"/>
            <w:color w:val="000000" w:themeColor="text1"/>
            <w:lang w:eastAsia="zh-CN"/>
          </w:rPr>
          <w:delText>is</w:delText>
        </w:r>
        <w:r w:rsidR="009E2B31" w:rsidRPr="00387397" w:rsidDel="005D462F">
          <w:rPr>
            <w:rFonts w:eastAsia="Times New Roman"/>
            <w:color w:val="000000" w:themeColor="text1"/>
            <w:lang w:eastAsia="zh-CN"/>
          </w:rPr>
          <w:delText xml:space="preserve"> </w:delText>
        </w:r>
      </w:del>
      <w:del w:id="11" w:author="Cashore, Benjamin" w:date="2019-03-11T18:35:00Z">
        <w:r w:rsidR="009E2B31" w:rsidRPr="00387397" w:rsidDel="0006684D">
          <w:rPr>
            <w:rFonts w:eastAsia="Times New Roman"/>
            <w:color w:val="000000" w:themeColor="text1"/>
            <w:lang w:eastAsia="zh-CN"/>
          </w:rPr>
          <w:delText>measur</w:delText>
        </w:r>
      </w:del>
      <w:del w:id="12" w:author="Cashore, Benjamin" w:date="2019-03-10T22:24:00Z">
        <w:r w:rsidR="009E2B31" w:rsidRPr="00387397" w:rsidDel="005D462F">
          <w:rPr>
            <w:rFonts w:eastAsia="Times New Roman"/>
            <w:color w:val="000000" w:themeColor="text1"/>
            <w:lang w:eastAsia="zh-CN"/>
          </w:rPr>
          <w:delText>e</w:delText>
        </w:r>
      </w:del>
      <w:r w:rsidR="005D462F">
        <w:rPr>
          <w:rFonts w:eastAsia="Times New Roman"/>
          <w:color w:val="000000" w:themeColor="text1"/>
          <w:lang w:eastAsia="zh-CN"/>
        </w:rPr>
        <w:t xml:space="preserve">regulatory </w:t>
      </w:r>
      <w:r w:rsidR="006F456E">
        <w:rPr>
          <w:rFonts w:eastAsia="Times New Roman"/>
          <w:color w:val="000000" w:themeColor="text1"/>
          <w:lang w:eastAsia="zh-CN"/>
        </w:rPr>
        <w:t>stringency and methods to compare requirements over time</w:t>
      </w:r>
      <w:r w:rsidR="009E2B31" w:rsidRPr="00387397">
        <w:rPr>
          <w:rFonts w:eastAsia="Times New Roman"/>
          <w:color w:val="000000" w:themeColor="text1"/>
          <w:lang w:eastAsia="zh-CN"/>
        </w:rPr>
        <w:t>.</w:t>
      </w:r>
      <w:r w:rsidRPr="00387397">
        <w:rPr>
          <w:rFonts w:eastAsia="Times New Roman"/>
          <w:color w:val="000000" w:themeColor="text1"/>
          <w:lang w:eastAsia="zh-CN"/>
        </w:rPr>
        <w:t xml:space="preserve"> </w:t>
      </w:r>
      <w:r w:rsidR="005903A0">
        <w:rPr>
          <w:color w:val="000000" w:themeColor="text1"/>
        </w:rPr>
        <w:t>S</w:t>
      </w:r>
      <w:r w:rsidR="00DF2794">
        <w:rPr>
          <w:color w:val="000000" w:themeColor="text1"/>
        </w:rPr>
        <w:t xml:space="preserve">ome </w:t>
      </w:r>
      <w:r w:rsidR="006F456E">
        <w:rPr>
          <w:color w:val="000000" w:themeColor="text1"/>
        </w:rPr>
        <w:t>scholars</w:t>
      </w:r>
      <w:r w:rsidR="00DF2794">
        <w:rPr>
          <w:color w:val="000000" w:themeColor="text1"/>
        </w:rPr>
        <w:t xml:space="preserve"> </w:t>
      </w:r>
      <w:r w:rsidR="005903A0">
        <w:rPr>
          <w:color w:val="000000" w:themeColor="text1"/>
        </w:rPr>
        <w:t>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w:t>
      </w:r>
      <w:r w:rsidR="00DF2794">
        <w:rPr>
          <w:color w:val="000000" w:themeColor="text1"/>
        </w:rPr>
        <w:t>offer</w:t>
      </w:r>
      <w:r w:rsidR="006F456E">
        <w:rPr>
          <w:color w:val="000000" w:themeColor="text1"/>
        </w:rPr>
        <w:t>ing</w:t>
      </w:r>
      <w:r w:rsidR="00DF2794">
        <w:rPr>
          <w:color w:val="000000" w:themeColor="text1"/>
        </w:rPr>
        <w:t xml:space="preserve"> </w:t>
      </w:r>
      <w:r w:rsidR="006F456E">
        <w:rPr>
          <w:color w:val="000000" w:themeColor="text1"/>
        </w:rPr>
        <w:t>a precise definition. Others</w:t>
      </w:r>
      <w:r w:rsidR="00714538">
        <w:rPr>
          <w:color w:val="000000" w:themeColor="text1"/>
        </w:rPr>
        <w:t xml:space="preserve"> </w:t>
      </w:r>
      <w:r w:rsidR="00283575">
        <w:rPr>
          <w:color w:val="000000" w:themeColor="text1"/>
        </w:rPr>
        <w:t>base</w:t>
      </w:r>
      <w:r w:rsidR="00DF2794">
        <w:rPr>
          <w:color w:val="000000" w:themeColor="text1"/>
        </w:rPr>
        <w:t xml:space="preserve"> their characterization</w:t>
      </w:r>
      <w:r w:rsidR="006F456E">
        <w:rPr>
          <w:color w:val="000000" w:themeColor="text1"/>
        </w:rPr>
        <w:t>s</w:t>
      </w:r>
      <w:r w:rsidR="00283575">
        <w:rPr>
          <w:color w:val="000000" w:themeColor="text1"/>
        </w:rPr>
        <w:t xml:space="preserve">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a small subset of the issues.</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lastRenderedPageBreak/>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t>
      </w:r>
      <w:r w:rsidR="002644FD">
        <w:rPr>
          <w:rFonts w:eastAsia="Times New Roman"/>
          <w:color w:val="000000" w:themeColor="text1"/>
          <w:lang w:eastAsia="zh-CN"/>
        </w:rPr>
        <w:t xml:space="preserve">to develop theories about </w:t>
      </w:r>
      <w:r w:rsidR="006958FE" w:rsidRPr="00387397">
        <w:rPr>
          <w:rFonts w:eastAsia="Times New Roman"/>
          <w:color w:val="000000" w:themeColor="text1"/>
          <w:lang w:eastAsia="zh-CN"/>
        </w:rPr>
        <w:t xml:space="preserve">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B30E66">
        <w:rPr>
          <w:rFonts w:eastAsia="Times New Roman"/>
          <w:color w:val="000000" w:themeColor="text1"/>
          <w:lang w:eastAsia="zh-CN"/>
        </w:rPr>
        <w:t xml:space="preserve">To be sure, these questions </w:t>
      </w:r>
      <w:r w:rsidR="006F456E">
        <w:rPr>
          <w:rFonts w:eastAsia="Times New Roman"/>
          <w:color w:val="000000" w:themeColor="text1"/>
          <w:lang w:eastAsia="zh-CN"/>
        </w:rPr>
        <w:t>interest</w:t>
      </w:r>
      <w:r w:rsidR="00024BE9">
        <w:rPr>
          <w:rFonts w:eastAsia="Times New Roman"/>
          <w:color w:val="000000" w:themeColor="text1"/>
          <w:lang w:eastAsia="zh-CN"/>
        </w:rPr>
        <w:t xml:space="preserve"> students of both public and private policy. </w:t>
      </w:r>
      <w:r w:rsidR="005903A0">
        <w:rPr>
          <w:color w:val="000000" w:themeColor="text1"/>
        </w:rPr>
        <w:t>M</w:t>
      </w:r>
      <w:r w:rsidR="00735013" w:rsidRPr="00387397">
        <w:rPr>
          <w:color w:val="000000" w:themeColor="text1"/>
        </w:rPr>
        <w:t>easuring</w:t>
      </w:r>
      <w:r w:rsidR="006C27BB">
        <w:rPr>
          <w:color w:val="000000" w:themeColor="text1"/>
        </w:rPr>
        <w:t xml:space="preserve"> and explaining</w:t>
      </w:r>
      <w:r w:rsidR="00735013" w:rsidRPr="00387397">
        <w:rPr>
          <w:color w:val="000000" w:themeColor="text1"/>
        </w:rPr>
        <w:t xml:space="preserve"> </w:t>
      </w:r>
      <w:r w:rsidR="006C27BB">
        <w:rPr>
          <w:color w:val="000000" w:themeColor="text1"/>
        </w:rPr>
        <w:t xml:space="preserve">public </w:t>
      </w:r>
      <w:r w:rsidR="00735013" w:rsidRPr="00387397">
        <w:rPr>
          <w:color w:val="000000" w:themeColor="text1"/>
        </w:rPr>
        <w:t xml:space="preserve">policy change </w:t>
      </w:r>
      <w:r w:rsidR="006C27BB">
        <w:rPr>
          <w:color w:val="000000" w:themeColor="text1"/>
        </w:rPr>
        <w:t xml:space="preserve">has long been the focus of policy oriented political scientists, which requires systematic attention to describing public policy as a “dependent variable” before being able to develop, and assess, hypotheses about asserted types of policy change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2764B8">
        <w:rPr>
          <w:color w:val="000000" w:themeColor="text1"/>
        </w:rPr>
        <w:t>Wh</w:t>
      </w:r>
      <w:r w:rsidR="00896199">
        <w:rPr>
          <w:color w:val="000000" w:themeColor="text1"/>
        </w:rPr>
        <w:t>i</w:t>
      </w:r>
      <w:r w:rsidR="002764B8">
        <w:rPr>
          <w:color w:val="000000" w:themeColor="text1"/>
        </w:rPr>
        <w:t>le r</w:t>
      </w:r>
      <w:r w:rsidR="006C27BB">
        <w:rPr>
          <w:color w:val="000000" w:themeColor="text1"/>
        </w:rPr>
        <w:t xml:space="preserve">ecognition of this has led to </w:t>
      </w:r>
      <w:r w:rsidR="005903A0">
        <w:rPr>
          <w:color w:val="000000" w:themeColor="text1"/>
        </w:rPr>
        <w:t>a</w:t>
      </w:r>
      <w:r w:rsidR="00D255B0" w:rsidRPr="00387397">
        <w:rPr>
          <w:color w:val="000000" w:themeColor="text1"/>
        </w:rPr>
        <w:t xml:space="preserve"> rich public policy scholarship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w:t>
      </w:r>
      <w:r w:rsidR="002764B8">
        <w:rPr>
          <w:noProof/>
          <w:color w:val="000000" w:themeColor="text1"/>
        </w:rPr>
        <w:t>Hall, 1992;</w:t>
      </w:r>
      <w:r w:rsidR="00D255B0" w:rsidRPr="00387397">
        <w:rPr>
          <w:noProof/>
          <w:color w:val="000000" w:themeColor="text1"/>
        </w:rPr>
        <w:t xml:space="preserve"> Howlett &amp; Cashore, 2014)</w:t>
      </w:r>
      <w:r w:rsidR="00D255B0" w:rsidRPr="00387397">
        <w:rPr>
          <w:color w:val="000000" w:themeColor="text1"/>
        </w:rPr>
        <w:fldChar w:fldCharType="end"/>
      </w:r>
      <w:r w:rsidR="005903A0">
        <w:rPr>
          <w:color w:val="000000" w:themeColor="text1"/>
        </w:rPr>
        <w:t xml:space="preserve">, </w:t>
      </w:r>
      <w:r w:rsidR="006B7E2C">
        <w:rPr>
          <w:color w:val="000000" w:themeColor="text1"/>
        </w:rPr>
        <w:t xml:space="preserve">students of private governance have given </w:t>
      </w:r>
      <w:r w:rsidR="002764B8">
        <w:rPr>
          <w:color w:val="000000" w:themeColor="text1"/>
        </w:rPr>
        <w:t>much less a</w:t>
      </w:r>
      <w:r w:rsidR="006B7E2C">
        <w:rPr>
          <w:color w:val="000000" w:themeColor="text1"/>
        </w:rPr>
        <w:t>ttention to these questions</w:t>
      </w:r>
      <w:r w:rsidR="005903A0">
        <w:rPr>
          <w:color w:val="000000" w:themeColor="text1"/>
        </w:rPr>
        <w:t>.</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789AD12F" w:rsidR="00A95CF9" w:rsidRPr="00387397" w:rsidRDefault="006E2BF5" w:rsidP="00387397">
      <w:pPr>
        <w:spacing w:line="480" w:lineRule="auto"/>
        <w:rPr>
          <w:color w:val="000000" w:themeColor="text1"/>
        </w:rPr>
      </w:pPr>
      <w:r w:rsidRPr="00387397">
        <w:rPr>
          <w:color w:val="000000" w:themeColor="text1"/>
        </w:rPr>
        <w:t xml:space="preserve">To address this gap, </w:t>
      </w:r>
      <w:r w:rsidR="006B7E2C">
        <w:rPr>
          <w:color w:val="000000" w:themeColor="text1"/>
        </w:rPr>
        <w:t xml:space="preserve">we build on public policy concepts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w:t>
      </w:r>
      <w:r w:rsidR="00C8067E">
        <w:rPr>
          <w:color w:val="000000" w:themeColor="text1"/>
        </w:rPr>
        <w:t>-</w:t>
      </w:r>
      <w:r w:rsidR="00C93BB6">
        <w:rPr>
          <w:color w:val="000000" w:themeColor="text1"/>
        </w:rPr>
        <w:t>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45186D">
        <w:rPr>
          <w:color w:val="000000" w:themeColor="text1"/>
        </w:rPr>
        <w:t xml:space="preserve">required </w:t>
      </w:r>
      <w:r w:rsidR="00E90242" w:rsidRPr="00387397">
        <w:rPr>
          <w:color w:val="000000" w:themeColor="text1"/>
        </w:rPr>
        <w:t xml:space="preserve">specific </w:t>
      </w:r>
      <w:r w:rsidR="00E90242" w:rsidRPr="00387397">
        <w:rPr>
          <w:bCs/>
          <w:iCs/>
          <w:color w:val="000000" w:themeColor="text1"/>
        </w:rPr>
        <w:t>policy settings</w:t>
      </w:r>
      <w:r w:rsidR="00916DAB">
        <w:rPr>
          <w:bCs/>
          <w:iCs/>
          <w:color w:val="000000" w:themeColor="text1"/>
        </w:rPr>
        <w:t>, or</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 xml:space="preserve">possible patterns </w:t>
      </w:r>
      <w:r w:rsidR="00C82BAC">
        <w:rPr>
          <w:color w:val="000000" w:themeColor="text1"/>
        </w:rPr>
        <w:t xml:space="preserve">that capture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56DB27FE" w:rsidR="00DD7F8E" w:rsidRPr="00387397" w:rsidRDefault="001C0DB9" w:rsidP="00387397">
      <w:pPr>
        <w:spacing w:line="480" w:lineRule="auto"/>
        <w:rPr>
          <w:color w:val="000000" w:themeColor="text1"/>
        </w:rPr>
      </w:pPr>
      <w:r>
        <w:t>Distinguishing types of stringency</w:t>
      </w:r>
      <w:r w:rsidR="00A4707F" w:rsidRPr="00387397">
        <w:t xml:space="preserve"> </w:t>
      </w:r>
      <w:r w:rsidR="00807943">
        <w:t xml:space="preserve">also </w:t>
      </w:r>
      <w:r w:rsidR="0005679D">
        <w:t xml:space="preserve">helps </w:t>
      </w:r>
      <w:r w:rsidR="00A4707F" w:rsidRPr="00387397">
        <w:t xml:space="preserve">resolve </w:t>
      </w:r>
      <w:r>
        <w:t>apparent conflicts among</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ins w:id="13" w:author="Cashore, Benjamin" w:date="2019-03-10T22:36:00Z">
        <w:r w:rsidR="004E04DD">
          <w:t>S</w:t>
        </w:r>
      </w:ins>
      <w:r w:rsidR="00DD7F8E" w:rsidRPr="00387397">
        <w:t xml:space="preserve">ome scholars </w:t>
      </w:r>
      <w:r w:rsidR="00BD3B6B">
        <w:t>posit</w:t>
      </w:r>
      <w:r w:rsidR="00A4707F" w:rsidRPr="00387397">
        <w:t>—</w:t>
      </w:r>
      <w:commentRangeStart w:id="14"/>
      <w:r w:rsidR="00DD7F8E" w:rsidRPr="00387397">
        <w:t>and</w:t>
      </w:r>
      <w:r w:rsidR="00D11324" w:rsidRPr="00387397">
        <w:t xml:space="preserve"> find </w:t>
      </w:r>
      <w:r w:rsidR="001C46D2">
        <w:t>evidence</w:t>
      </w:r>
      <w:r w:rsidR="00D11324" w:rsidRPr="00387397">
        <w:t xml:space="preserve"> for</w:t>
      </w:r>
      <w:commentRangeEnd w:id="14"/>
      <w:r w:rsidR="001C46D2">
        <w:rPr>
          <w:rStyle w:val="CommentReference"/>
          <w:rFonts w:asciiTheme="minorHAnsi" w:hAnsiTheme="minorHAnsi" w:cstheme="minorBidi"/>
        </w:rPr>
        <w:commentReference w:id="14"/>
      </w:r>
      <w:r w:rsidR="00A4707F" w:rsidRPr="00387397">
        <w:t>—</w:t>
      </w:r>
      <w:r w:rsidR="001C46D2">
        <w:t xml:space="preserve">a </w:t>
      </w:r>
      <w:r w:rsidR="00D11324" w:rsidRPr="00387397">
        <w:t xml:space="preserve">dynamics where </w:t>
      </w:r>
      <w:r w:rsidR="0000243F" w:rsidRPr="00387397">
        <w:t xml:space="preserve">competing </w:t>
      </w:r>
      <w:r w:rsidR="0000243F" w:rsidRPr="00387397">
        <w:lastRenderedPageBreak/>
        <w:t>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 xml:space="preserve">ther scholars </w:t>
      </w:r>
      <w:r w:rsidR="00BD3B6B">
        <w:t>posit</w:t>
      </w:r>
      <w:r w:rsidR="001C46D2">
        <w:t xml:space="preserve">—and find evidence for—the </w:t>
      </w:r>
      <w:r w:rsidR="004B1D30">
        <w:t>exact opposite</w:t>
      </w:r>
      <w:r w:rsidR="001C46D2">
        <w:t xml:space="preserve"> dynamic</w:t>
      </w:r>
      <w:r w:rsidR="00BD3B6B">
        <w:t>,</w:t>
      </w:r>
      <w:r w:rsidR="001C46D2">
        <w:t xml:space="preserve"> </w:t>
      </w:r>
      <w:r w:rsidR="004B1D30">
        <w:t xml:space="preserve">in which </w:t>
      </w:r>
      <w:r w:rsidR="00DD7F8E" w:rsidRPr="00387397">
        <w:t>competit</w:t>
      </w:r>
      <w:r w:rsidR="004B1D30">
        <w:t>ive</w:t>
      </w:r>
      <w:r w:rsidR="00DD7F8E" w:rsidRPr="00387397">
        <w:t xml:space="preserve"> pressures </w:t>
      </w:r>
      <w:r w:rsidR="004B1D30">
        <w:t xml:space="preserve">lead </w:t>
      </w:r>
      <w:r w:rsidR="00FB3C0C">
        <w:t xml:space="preserve">a </w:t>
      </w:r>
      <w:r w:rsidR="00FB3C0C">
        <w:t>“race to the bottom</w:t>
      </w:r>
      <w:proofErr w:type="gramStart"/>
      <w:r w:rsidR="00FB3C0C">
        <w:t>”</w:t>
      </w:r>
      <w:r w:rsidR="00FB3C0C" w:rsidRPr="00387397">
        <w:rPr>
          <w:color w:val="000000" w:themeColor="text1"/>
        </w:rPr>
        <w:t xml:space="preserve"> </w:t>
      </w:r>
      <w:r w:rsidR="00FB3C0C">
        <w:rPr>
          <w:color w:val="000000" w:themeColor="text1"/>
        </w:rPr>
        <w:t xml:space="preserve"> with</w:t>
      </w:r>
      <w:proofErr w:type="gramEnd"/>
      <w:r w:rsidR="00FB3C0C">
        <w:rPr>
          <w:color w:val="000000" w:themeColor="text1"/>
        </w:rPr>
        <w:t xml:space="preserve"> </w:t>
      </w:r>
      <w:r w:rsidR="00D11324" w:rsidRPr="00387397">
        <w:t>more stringent</w:t>
      </w:r>
      <w:r w:rsidR="00FB3C0C">
        <w:t xml:space="preserve"> programs decreasing </w:t>
      </w:r>
      <w:r w:rsidR="00DD7F8E" w:rsidRPr="00387397">
        <w:t>stringency</w:t>
      </w:r>
      <w:r w:rsidR="00FB3C0C">
        <w:t xml:space="preserve"> and</w:t>
      </w:r>
      <w:r w:rsidR="00013F0A" w:rsidRPr="00387397">
        <w:t xml:space="preserve"> converging toward less stringent ones</w:t>
      </w:r>
      <w:r w:rsidR="00BD3B6B">
        <w:t xml:space="preserve"> in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w:t>
      </w:r>
      <w:r w:rsidR="00BD3B6B">
        <w:t xml:space="preserve">posit—and find evidence for—dynamics where </w:t>
      </w:r>
      <w:r w:rsidR="007A3743" w:rsidRPr="00387397">
        <w:t xml:space="preserve">programs </w:t>
      </w:r>
      <w:r w:rsidR="00D11324" w:rsidRPr="00387397">
        <w:t>maintain different levels of stringency</w:t>
      </w:r>
      <w:r w:rsidR="007A3743" w:rsidRPr="00387397">
        <w:t>,</w:t>
      </w:r>
      <w:r w:rsidR="004D0D13" w:rsidRPr="00387397">
        <w:t xml:space="preserve"> i.e.</w:t>
      </w:r>
      <w:r w:rsidR="00A4349C">
        <w:t xml:space="preserve"> </w:t>
      </w:r>
      <w:r w:rsidR="001738D2">
        <w:t>they</w:t>
      </w:r>
      <w:r w:rsidR="00A4349C">
        <w:t xml:space="preserve"> remain distinct,</w:t>
      </w:r>
      <w:r w:rsidR="001738D2">
        <w:t xml:space="preserve"> neither </w:t>
      </w:r>
      <w:r w:rsidR="007A3743" w:rsidRPr="00387397">
        <w:t>conver</w:t>
      </w:r>
      <w:r w:rsidR="001738D2">
        <w:t>g</w:t>
      </w:r>
      <w:r w:rsidR="00A4349C">
        <w:t>ing</w:t>
      </w:r>
      <w:r w:rsidR="007A3743" w:rsidRPr="00387397">
        <w:t xml:space="preserve"> to the “top” </w:t>
      </w:r>
      <w:r w:rsidR="001738D2">
        <w:t>n</w:t>
      </w:r>
      <w:r w:rsidR="007A3743" w:rsidRPr="00387397">
        <w:t>or</w:t>
      </w:r>
      <w:r w:rsidR="001738D2">
        <w:t xml:space="preserve"> the</w:t>
      </w:r>
      <w:r w:rsidR="007A3743" w:rsidRPr="00387397">
        <w:t xml:space="preserve">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t>
      </w:r>
      <w:r w:rsidR="00BD3B6B">
        <w:t>While these three sets of findings seem incompatible</w:t>
      </w:r>
      <w:r w:rsidR="00E82696">
        <w:t>, we argue</w:t>
      </w:r>
      <w:r w:rsidR="00BD3B6B">
        <w:t xml:space="preserve"> that they are the result of different measurements strategies</w:t>
      </w:r>
      <w:r>
        <w:t xml:space="preserve">. </w:t>
      </w:r>
      <w:bookmarkStart w:id="17" w:name="_GoBack"/>
      <w:bookmarkEnd w:id="17"/>
      <w:r w:rsidR="00BD3B6B">
        <w:t xml:space="preserve">Adjudicating or reconciling them thus requires a set of common concepts and measures of regulatory stringency.  </w:t>
      </w:r>
    </w:p>
    <w:p w14:paraId="33E4E4EF" w14:textId="77777777" w:rsidR="001F6B43" w:rsidRPr="00387397" w:rsidRDefault="001F6B43" w:rsidP="00387397">
      <w:pPr>
        <w:spacing w:line="480" w:lineRule="auto"/>
        <w:rPr>
          <w:color w:val="000000" w:themeColor="text1"/>
        </w:rPr>
      </w:pPr>
    </w:p>
    <w:p w14:paraId="1B8FA856" w14:textId="41D6698B" w:rsidR="001A065A" w:rsidRPr="00387397" w:rsidRDefault="001F6B43">
      <w:pPr>
        <w:spacing w:line="480" w:lineRule="auto"/>
      </w:pPr>
      <w:r w:rsidRPr="00387397">
        <w:rPr>
          <w:color w:val="000000" w:themeColor="text1"/>
        </w:rPr>
        <w:t xml:space="preserve">We proceed in the following steps. </w:t>
      </w:r>
      <w:r w:rsidR="00BD3B6B">
        <w:rPr>
          <w:color w:val="000000" w:themeColor="text1"/>
        </w:rPr>
        <w:t>S</w:t>
      </w:r>
      <w:r w:rsidRPr="00387397">
        <w:rPr>
          <w:color w:val="000000" w:themeColor="text1"/>
        </w:rPr>
        <w:t>ection</w:t>
      </w:r>
      <w:r w:rsidR="00BD3B6B">
        <w:rPr>
          <w:color w:val="000000" w:themeColor="text1"/>
        </w:rPr>
        <w:t xml:space="preserve"> two</w:t>
      </w:r>
      <w:r w:rsidRPr="00387397">
        <w:rPr>
          <w:color w:val="000000" w:themeColor="text1"/>
        </w:rPr>
        <w:t xml:space="preserve"> </w:t>
      </w:r>
      <w:r w:rsidR="00BD3B6B">
        <w:rPr>
          <w:color w:val="000000" w:themeColor="text1"/>
        </w:rPr>
        <w:t>maps</w:t>
      </w:r>
      <w:r w:rsidR="000D72D5">
        <w:rPr>
          <w:color w:val="000000" w:themeColor="text1"/>
        </w:rPr>
        <w:t xml:space="preserve"> the</w:t>
      </w:r>
      <w:r w:rsidR="00BD3B6B">
        <w:rPr>
          <w:color w:val="000000" w:themeColor="text1"/>
        </w:rPr>
        <w:t xml:space="preserve"> conflicting concepts and measures of regulatory stringency in </w:t>
      </w:r>
      <w:r w:rsidR="000D72D5">
        <w:rPr>
          <w:color w:val="000000" w:themeColor="text1"/>
        </w:rPr>
        <w:t xml:space="preserve">existing </w:t>
      </w:r>
      <w:r w:rsidRPr="00387397">
        <w:rPr>
          <w:color w:val="000000" w:themeColor="text1"/>
        </w:rPr>
        <w:t xml:space="preserve">private governance </w:t>
      </w:r>
      <w:r w:rsidR="00634740">
        <w:rPr>
          <w:color w:val="000000" w:themeColor="text1"/>
        </w:rPr>
        <w:t>scholarship</w:t>
      </w:r>
      <w:r w:rsidRPr="00387397">
        <w:rPr>
          <w:color w:val="000000" w:themeColor="text1"/>
        </w:rPr>
        <w:t xml:space="preserve">. </w:t>
      </w:r>
      <w:r w:rsidR="00737907">
        <w:rPr>
          <w:color w:val="000000" w:themeColor="text1"/>
        </w:rPr>
        <w:t>S</w:t>
      </w:r>
      <w:r w:rsidRPr="00387397">
        <w:rPr>
          <w:color w:val="000000" w:themeColor="text1"/>
        </w:rPr>
        <w:t xml:space="preserve">ection three </w:t>
      </w:r>
      <w:r w:rsidR="00737907">
        <w:rPr>
          <w:color w:val="000000" w:themeColor="text1"/>
        </w:rPr>
        <w:t xml:space="preserve">details our </w:t>
      </w:r>
      <w:r w:rsidRPr="00387397">
        <w:rPr>
          <w:color w:val="000000" w:themeColor="text1"/>
        </w:rPr>
        <w:t>two-part framework</w:t>
      </w:r>
      <w:r w:rsidR="00737907">
        <w:rPr>
          <w:color w:val="000000" w:themeColor="text1"/>
        </w:rPr>
        <w:t xml:space="preserve"> designed to overcome these challenges</w:t>
      </w:r>
      <w:r w:rsidR="00F4039A" w:rsidRPr="00387397">
        <w:rPr>
          <w:color w:val="000000" w:themeColor="text1"/>
        </w:rPr>
        <w:t>.</w:t>
      </w:r>
      <w:r w:rsidR="003C5AC4" w:rsidRPr="00387397">
        <w:rPr>
          <w:color w:val="000000" w:themeColor="text1"/>
        </w:rPr>
        <w:t xml:space="preserve"> </w:t>
      </w:r>
      <w:r w:rsidR="00737907">
        <w:t>Sect</w:t>
      </w:r>
      <w:r w:rsidR="005D0B79">
        <w:t xml:space="preserve">ion </w:t>
      </w:r>
      <w:r w:rsidR="00737907">
        <w:t xml:space="preserve">four </w:t>
      </w:r>
      <w:r w:rsidR="000D72D5">
        <w:t xml:space="preserve">uses the </w:t>
      </w:r>
      <w:r w:rsidR="000E778E" w:rsidRPr="00387397">
        <w:t xml:space="preserve">framework </w:t>
      </w:r>
      <w:r w:rsidR="00DC578C" w:rsidRPr="00387397">
        <w:t xml:space="preserve">to </w:t>
      </w:r>
      <w:r w:rsidR="0023447D">
        <w:t>compare competing</w:t>
      </w:r>
      <w:r w:rsidR="000E778E" w:rsidRPr="00387397">
        <w:t xml:space="preserve"> forest certification</w:t>
      </w:r>
      <w:r w:rsidR="00167131" w:rsidRPr="00387397">
        <w:t xml:space="preserve"> </w:t>
      </w:r>
      <w:r w:rsidR="0023447D">
        <w:t>program</w:t>
      </w:r>
      <w:r w:rsidR="000D72D5">
        <w:t>s</w:t>
      </w:r>
      <w:r w:rsidR="00DB545A">
        <w:t xml:space="preserve"> i</w:t>
      </w:r>
      <w:r w:rsidR="00DA13B9">
        <w:t>n</w:t>
      </w:r>
      <w:r w:rsidR="00DB545A">
        <w:t xml:space="preserve"> the United States:</w:t>
      </w:r>
      <w:r w:rsidR="00DA13B9">
        <w:t xml:space="preserve"> </w:t>
      </w:r>
      <w:r w:rsidR="00DA13B9">
        <w:rPr>
          <w:color w:val="000000" w:themeColor="text1"/>
        </w:rPr>
        <w:t>the US Forest Stewardship Council (FSC)</w:t>
      </w:r>
      <w:r w:rsidR="00372505">
        <w:rPr>
          <w:color w:val="000000" w:themeColor="text1"/>
        </w:rPr>
        <w:t>, which was created by the World Wide Fund for Nature and</w:t>
      </w:r>
      <w:r w:rsidR="00DA13B9">
        <w:rPr>
          <w:color w:val="000000" w:themeColor="text1"/>
        </w:rPr>
        <w:t xml:space="preserve"> </w:t>
      </w:r>
      <w:r w:rsidR="00372505">
        <w:rPr>
          <w:color w:val="000000" w:themeColor="text1"/>
        </w:rPr>
        <w:t xml:space="preserve">its allies, </w:t>
      </w:r>
      <w:r w:rsidR="00DA13B9">
        <w:rPr>
          <w:color w:val="000000" w:themeColor="text1"/>
        </w:rPr>
        <w:t>and the US Sustainable Forestry Initiative (SFI)</w:t>
      </w:r>
      <w:r w:rsidR="00372505">
        <w:rPr>
          <w:color w:val="000000" w:themeColor="text1"/>
        </w:rPr>
        <w:t>, which was created by the American Forest and Paper Association.</w:t>
      </w:r>
      <w:r w:rsidR="00DB545A">
        <w:t xml:space="preserve"> </w:t>
      </w:r>
      <w:r w:rsidR="0023447D">
        <w:t xml:space="preserve"> We chose forestry </w:t>
      </w:r>
      <w:r w:rsidR="00167131" w:rsidRPr="00387397">
        <w:t xml:space="preserve">because </w:t>
      </w:r>
      <w:r w:rsidR="000D72D5">
        <w:t>as one of the most institutionalized forms of private regulation</w:t>
      </w:r>
      <w:r w:rsidR="00167131" w:rsidRPr="00387397">
        <w:t>.</w:t>
      </w:r>
      <w:r w:rsidR="002253F7" w:rsidRPr="00387397">
        <w:t xml:space="preserve"> </w:t>
      </w:r>
      <w:r w:rsidR="005D0B79">
        <w:t xml:space="preserve">We find </w:t>
      </w:r>
      <w:r w:rsidR="00BF70D3" w:rsidRPr="00387397">
        <w:rPr>
          <w:color w:val="000000" w:themeColor="text1"/>
        </w:rPr>
        <w:t>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w:t>
      </w:r>
      <w:r w:rsidR="00C24919">
        <w:rPr>
          <w:color w:val="000000" w:themeColor="text1"/>
        </w:rPr>
        <w:t xml:space="preserve">of the dependent variable </w:t>
      </w:r>
      <w:r w:rsidR="00BF70D3" w:rsidRPr="00387397">
        <w:rPr>
          <w:color w:val="000000" w:themeColor="text1"/>
        </w:rPr>
        <w:t xml:space="preserve">that </w:t>
      </w:r>
      <w:ins w:id="18" w:author="Cashore, Benjamin" w:date="2019-03-10T22:53:00Z">
        <w:r w:rsidR="00C24919">
          <w:rPr>
            <w:color w:val="000000" w:themeColor="text1"/>
          </w:rPr>
          <w:t>extant research had not uncovered:</w:t>
        </w:r>
      </w:ins>
      <w:del w:id="19" w:author="Cashore, Benjamin" w:date="2019-03-10T22:53:00Z">
        <w:r w:rsidR="00C75CF3" w:rsidRPr="00387397" w:rsidDel="00C24919">
          <w:rPr>
            <w:color w:val="000000" w:themeColor="text1"/>
          </w:rPr>
          <w:delText>no study of which we are aware</w:delText>
        </w:r>
        <w:r w:rsidR="00BF70D3" w:rsidRPr="00387397" w:rsidDel="00C24919">
          <w:rPr>
            <w:color w:val="000000" w:themeColor="text1"/>
          </w:rPr>
          <w:delText xml:space="preserve"> had predicted:</w:delText>
        </w:r>
      </w:del>
      <w:r w:rsidR="00BF70D3" w:rsidRPr="00387397">
        <w:rPr>
          <w:color w:val="000000" w:themeColor="text1"/>
        </w:rPr>
        <w:t xml:space="preserve">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t>
      </w:r>
      <w:r w:rsidR="00900414">
        <w:rPr>
          <w:color w:val="000000" w:themeColor="text1"/>
        </w:rPr>
        <w:t xml:space="preserve">between </w:t>
      </w:r>
      <w:r w:rsidR="00DA13B9">
        <w:rPr>
          <w:color w:val="000000" w:themeColor="text1"/>
        </w:rPr>
        <w:t>the FSC and SFI</w:t>
      </w:r>
      <w:r w:rsidR="000D72D5">
        <w:rPr>
          <w:color w:val="000000" w:themeColor="text1"/>
        </w:rPr>
        <w:t>,</w:t>
      </w:r>
      <w:r w:rsidR="00DA13B9">
        <w:rPr>
          <w:color w:val="000000" w:themeColor="text1"/>
        </w:rPr>
        <w:t xml:space="preserve"> </w:t>
      </w:r>
      <w:del w:id="20" w:author="Cashore, Benjamin" w:date="2019-03-10T22:54:00Z">
        <w:r w:rsidR="00D40112" w:rsidRPr="00387397" w:rsidDel="00900414">
          <w:rPr>
            <w:color w:val="000000" w:themeColor="text1"/>
          </w:rPr>
          <w:delText xml:space="preserve">when comparing </w:delText>
        </w:r>
      </w:del>
      <w:del w:id="21" w:author="Cashore, Benjamin" w:date="2019-03-11T18:39:00Z">
        <w:r w:rsidR="0085768A" w:rsidRPr="00387397" w:rsidDel="00DA13B9">
          <w:rPr>
            <w:color w:val="000000" w:themeColor="text1"/>
          </w:rPr>
          <w:delText xml:space="preserve">the two major </w:delText>
        </w:r>
        <w:r w:rsidR="00A542B9" w:rsidRPr="00387397" w:rsidDel="00DA13B9">
          <w:rPr>
            <w:color w:val="000000" w:themeColor="text1"/>
          </w:rPr>
          <w:delText xml:space="preserve">U.S. </w:delText>
        </w:r>
        <w:r w:rsidR="0085768A" w:rsidRPr="00387397" w:rsidDel="00DA13B9">
          <w:rPr>
            <w:color w:val="000000" w:themeColor="text1"/>
          </w:rPr>
          <w:delText>national-level</w:delText>
        </w:r>
        <w:r w:rsidR="00C75CF3" w:rsidRPr="00387397" w:rsidDel="00DA13B9">
          <w:rPr>
            <w:color w:val="000000" w:themeColor="text1"/>
          </w:rPr>
          <w:delText xml:space="preserve"> forestry certification</w:delText>
        </w:r>
        <w:r w:rsidR="0085768A" w:rsidRPr="00387397" w:rsidDel="00DA13B9">
          <w:rPr>
            <w:color w:val="000000" w:themeColor="text1"/>
          </w:rPr>
          <w:delText xml:space="preserve"> programs</w:delText>
        </w:r>
      </w:del>
      <w:del w:id="22" w:author="Cashore, Benjamin" w:date="2019-03-11T18:38:00Z">
        <w:r w:rsidR="00D40112" w:rsidRPr="00387397" w:rsidDel="00DA13B9">
          <w:rPr>
            <w:color w:val="000000" w:themeColor="text1"/>
          </w:rPr>
          <w:delText xml:space="preserve"> </w:delText>
        </w:r>
      </w:del>
      <w:del w:id="23" w:author="Cashore, Benjamin" w:date="2019-03-11T18:39:00Z">
        <w:r w:rsidR="00D40112" w:rsidRPr="00387397" w:rsidDel="00DA13B9">
          <w:rPr>
            <w:color w:val="000000" w:themeColor="text1"/>
          </w:rPr>
          <w:delText>on prescriptiveness</w:delText>
        </w:r>
        <w:r w:rsidR="00BF70D3" w:rsidRPr="00387397" w:rsidDel="00DA13B9">
          <w:rPr>
            <w:color w:val="000000" w:themeColor="text1"/>
          </w:rPr>
          <w:delText xml:space="preserve">. </w:delText>
        </w:r>
      </w:del>
      <w:r w:rsidR="00BF70D3" w:rsidRPr="00387397">
        <w:rPr>
          <w:color w:val="000000" w:themeColor="text1"/>
        </w:rPr>
        <w:t>T</w:t>
      </w:r>
      <w:r w:rsidR="00267F40" w:rsidRPr="00387397">
        <w:rPr>
          <w:color w:val="000000" w:themeColor="text1"/>
        </w:rPr>
        <w:t xml:space="preserve">he </w:t>
      </w:r>
      <w:ins w:id="24" w:author="Cashore, Benjamin" w:date="2019-03-10T22:54:00Z">
        <w:r w:rsidR="00227591">
          <w:rPr>
            <w:color w:val="000000" w:themeColor="text1"/>
          </w:rPr>
          <w:t>FSC</w:t>
        </w:r>
      </w:ins>
      <w:r w:rsidR="00850B27">
        <w:rPr>
          <w:color w:val="000000" w:themeColor="text1"/>
        </w:rPr>
        <w:t>,</w:t>
      </w:r>
      <w:del w:id="25" w:author="Cashore, Benjamin" w:date="2019-03-09T14:08:00Z">
        <w:r w:rsidR="00D465EE" w:rsidRPr="00387397" w:rsidDel="00DD7268">
          <w:rPr>
            <w:color w:val="000000" w:themeColor="text1"/>
          </w:rPr>
          <w:delText xml:space="preserve">activist-backed </w:delText>
        </w:r>
      </w:del>
      <w:del w:id="26" w:author="Cashore, Benjamin" w:date="2019-03-10T22:55:00Z">
        <w:r w:rsidR="00C76E44" w:rsidRPr="00387397" w:rsidDel="00227591">
          <w:rPr>
            <w:color w:val="000000" w:themeColor="text1"/>
          </w:rPr>
          <w:delText>program</w:delText>
        </w:r>
      </w:del>
      <w:r w:rsidR="00D465EE" w:rsidRPr="00387397">
        <w:rPr>
          <w:color w:val="000000" w:themeColor="text1"/>
        </w:rPr>
        <w:t xml:space="preserve"> </w:t>
      </w:r>
      <w:ins w:id="27" w:author="Cashore, Benjamin" w:date="2019-03-09T14:09:00Z">
        <w:r w:rsidR="00273F10">
          <w:rPr>
            <w:color w:val="000000" w:themeColor="text1"/>
          </w:rPr>
          <w:t>wi</w:t>
        </w:r>
      </w:ins>
      <w:r w:rsidR="000D72D5">
        <w:rPr>
          <w:color w:val="000000" w:themeColor="text1"/>
        </w:rPr>
        <w:t xml:space="preserve">th </w:t>
      </w:r>
      <w:ins w:id="28" w:author="Cashore, Benjamin" w:date="2019-03-09T14:09:00Z">
        <w:r w:rsidR="00273F10">
          <w:rPr>
            <w:color w:val="000000" w:themeColor="text1"/>
          </w:rPr>
          <w:t xml:space="preserve">initial support by </w:t>
        </w:r>
      </w:ins>
      <w:ins w:id="29" w:author="Cashore, Benjamin" w:date="2019-03-09T14:08:00Z">
        <w:r w:rsidR="00DD7268">
          <w:rPr>
            <w:color w:val="000000" w:themeColor="text1"/>
          </w:rPr>
          <w:t>activists</w:t>
        </w:r>
      </w:ins>
      <w:r w:rsidR="00850B27">
        <w:rPr>
          <w:color w:val="000000" w:themeColor="text1"/>
        </w:rPr>
        <w:t>,</w:t>
      </w:r>
      <w:ins w:id="30" w:author="Cashore, Benjamin" w:date="2019-03-09T14:08:00Z">
        <w:r w:rsidR="00DD7268">
          <w:rPr>
            <w:color w:val="000000" w:themeColor="text1"/>
          </w:rPr>
          <w:t xml:space="preserve"> </w:t>
        </w:r>
      </w:ins>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w:t>
      </w:r>
      <w:ins w:id="31" w:author="Cashore, Benjamin" w:date="2019-03-09T14:09:00Z">
        <w:r w:rsidR="00782F26">
          <w:rPr>
            <w:color w:val="000000" w:themeColor="text1"/>
          </w:rPr>
          <w:t xml:space="preserve">those standards from </w:t>
        </w:r>
      </w:ins>
      <w:ins w:id="32" w:author="Cashore, Benjamin" w:date="2019-03-09T14:10:00Z">
        <w:r w:rsidR="00782F26">
          <w:rPr>
            <w:color w:val="000000" w:themeColor="text1"/>
          </w:rPr>
          <w:t xml:space="preserve">the </w:t>
        </w:r>
      </w:ins>
      <w:ins w:id="33" w:author="Cashore, Benjamin" w:date="2019-03-10T22:55:00Z">
        <w:r w:rsidR="00227591">
          <w:rPr>
            <w:color w:val="000000" w:themeColor="text1"/>
          </w:rPr>
          <w:t xml:space="preserve">SFI </w:t>
        </w:r>
      </w:ins>
      <w:del w:id="34" w:author="Cashore, Benjamin" w:date="2019-03-09T14:09:00Z">
        <w:r w:rsidR="00D465EE" w:rsidRPr="00387397" w:rsidDel="001B1134">
          <w:rPr>
            <w:color w:val="000000" w:themeColor="text1"/>
          </w:rPr>
          <w:delText xml:space="preserve">the industry-backed </w:delText>
        </w:r>
      </w:del>
      <w:r w:rsidR="00D465EE" w:rsidRPr="00387397">
        <w:rPr>
          <w:color w:val="000000" w:themeColor="text1"/>
        </w:rPr>
        <w:t>program</w:t>
      </w:r>
      <w:r w:rsidR="00782F26">
        <w:rPr>
          <w:color w:val="000000" w:themeColor="text1"/>
        </w:rPr>
        <w:t xml:space="preserve"> </w:t>
      </w:r>
      <w:commentRangeStart w:id="35"/>
      <w:r w:rsidR="00782F26">
        <w:rPr>
          <w:color w:val="000000" w:themeColor="text1"/>
        </w:rPr>
        <w:t>This</w:t>
      </w:r>
      <w:r w:rsidR="00267F40" w:rsidRPr="00387397">
        <w:rPr>
          <w:color w:val="000000" w:themeColor="text1"/>
        </w:rPr>
        <w:t xml:space="preserve"> </w:t>
      </w:r>
      <w:r w:rsidR="001F18A6" w:rsidRPr="00387397">
        <w:rPr>
          <w:color w:val="000000" w:themeColor="text1"/>
        </w:rPr>
        <w:t>produc</w:t>
      </w:r>
      <w:r w:rsidR="00782F26">
        <w:rPr>
          <w:color w:val="000000" w:themeColor="text1"/>
        </w:rPr>
        <w:t>ed</w:t>
      </w:r>
      <w:r w:rsidR="001F18A6" w:rsidRPr="00387397">
        <w:rPr>
          <w:color w:val="000000" w:themeColor="text1"/>
        </w:rPr>
        <w:t xml:space="preserve"> a pattern </w:t>
      </w:r>
      <w:r w:rsidR="0081786F">
        <w:rPr>
          <w:color w:val="000000" w:themeColor="text1"/>
        </w:rPr>
        <w:t>of</w:t>
      </w:r>
      <w:r w:rsidR="004F4EFF" w:rsidRPr="00387397">
        <w:rPr>
          <w:color w:val="000000" w:themeColor="text1"/>
        </w:rPr>
        <w:t xml:space="preserve"> both </w:t>
      </w:r>
      <w:r w:rsidR="004F4EFF" w:rsidRPr="00387397">
        <w:rPr>
          <w:color w:val="000000" w:themeColor="text1"/>
        </w:rPr>
        <w:lastRenderedPageBreak/>
        <w:t xml:space="preserve">programs </w:t>
      </w:r>
      <w:r w:rsidR="00A542B9" w:rsidRPr="00387397">
        <w:rPr>
          <w:color w:val="000000" w:themeColor="text1"/>
        </w:rPr>
        <w:t>“</w:t>
      </w:r>
      <w:r w:rsidR="001F18A6" w:rsidRPr="00387397">
        <w:rPr>
          <w:color w:val="000000" w:themeColor="text1"/>
        </w:rPr>
        <w:t>ratchet</w:t>
      </w:r>
      <w:r w:rsidR="0081786F">
        <w:rPr>
          <w:color w:val="000000" w:themeColor="text1"/>
        </w:rPr>
        <w:t>ing</w:t>
      </w:r>
      <w:r w:rsidR="00A542B9" w:rsidRPr="00387397">
        <w:rPr>
          <w:color w:val="000000" w:themeColor="text1"/>
        </w:rPr>
        <w:t xml:space="preserve"> up”</w:t>
      </w:r>
      <w:r w:rsidR="0081786F">
        <w:rPr>
          <w:color w:val="000000" w:themeColor="text1"/>
        </w:rPr>
        <w:t xml:space="preserve"> but also diverging</w:t>
      </w:r>
      <w:r w:rsidR="00774B3B" w:rsidRPr="00387397">
        <w:rPr>
          <w:color w:val="000000" w:themeColor="text1"/>
        </w:rPr>
        <w:t xml:space="preserve"> in prescriptiveness</w:t>
      </w:r>
      <w:commentRangeEnd w:id="35"/>
      <w:r w:rsidR="00383FC9">
        <w:rPr>
          <w:rStyle w:val="CommentReference"/>
          <w:rFonts w:asciiTheme="minorHAnsi" w:hAnsiTheme="minorHAnsi" w:cstheme="minorBidi"/>
        </w:rPr>
        <w:commentReference w:id="35"/>
      </w:r>
      <w:r w:rsidR="00323C02" w:rsidRPr="00387397">
        <w:rPr>
          <w:color w:val="000000" w:themeColor="text1"/>
        </w:rPr>
        <w:t xml:space="preserve">. </w:t>
      </w:r>
      <w:del w:id="36" w:author="Cashore, Benjamin" w:date="2019-03-10T22:57:00Z">
        <w:r w:rsidR="00782F26" w:rsidDel="00CC7595">
          <w:rPr>
            <w:color w:val="000000" w:themeColor="text1"/>
          </w:rPr>
          <w:delText>Our framew</w:delText>
        </w:r>
        <w:r w:rsidR="0081786F" w:rsidDel="00CC7595">
          <w:rPr>
            <w:color w:val="000000" w:themeColor="text1"/>
          </w:rPr>
          <w:delText>ork also allows us to conduct</w:delText>
        </w:r>
        <w:r w:rsidR="00782F26" w:rsidDel="00CC7595">
          <w:rPr>
            <w:color w:val="000000" w:themeColor="text1"/>
          </w:rPr>
          <w:delText xml:space="preserve"> </w:delText>
        </w:r>
        <w:r w:rsidR="008E51A4" w:rsidRPr="00387397" w:rsidDel="00CC7595">
          <w:rPr>
            <w:color w:val="000000" w:themeColor="text1"/>
          </w:rPr>
          <w:delText>issue-by-issue comparison</w:delText>
        </w:r>
        <w:r w:rsidR="000E778E" w:rsidRPr="00387397" w:rsidDel="00CC7595">
          <w:rPr>
            <w:color w:val="000000" w:themeColor="text1"/>
          </w:rPr>
          <w:delText xml:space="preserve"> of </w:delText>
        </w:r>
        <w:r w:rsidR="00D025B1" w:rsidRPr="00387397" w:rsidDel="00CC7595">
          <w:rPr>
            <w:color w:val="000000" w:themeColor="text1"/>
          </w:rPr>
          <w:delText>specific requirements</w:delText>
        </w:r>
        <w:r w:rsidR="00782F26" w:rsidDel="00CC7595">
          <w:rPr>
            <w:color w:val="000000" w:themeColor="text1"/>
          </w:rPr>
          <w:delText xml:space="preserve"> to assess </w:delText>
        </w:r>
        <w:r w:rsidR="00B067B9" w:rsidDel="00CC7595">
          <w:rPr>
            <w:color w:val="000000" w:themeColor="text1"/>
          </w:rPr>
          <w:delText xml:space="preserve">the qualitative nature of </w:delText>
        </w:r>
        <w:r w:rsidR="000230CA" w:rsidRPr="00387397" w:rsidDel="00CC7595">
          <w:rPr>
            <w:color w:val="000000" w:themeColor="text1"/>
          </w:rPr>
          <w:delText>change</w:delText>
        </w:r>
        <w:r w:rsidR="00782F26" w:rsidDel="00CC7595">
          <w:rPr>
            <w:color w:val="000000" w:themeColor="text1"/>
          </w:rPr>
          <w:delText>d</w:delText>
        </w:r>
        <w:r w:rsidR="000230CA" w:rsidRPr="00387397" w:rsidDel="00CC7595">
          <w:rPr>
            <w:color w:val="000000" w:themeColor="text1"/>
          </w:rPr>
          <w:delText xml:space="preserve"> over time.</w:delText>
        </w:r>
        <w:r w:rsidR="00267F40" w:rsidRPr="00387397" w:rsidDel="00CC7595">
          <w:rPr>
            <w:color w:val="000000" w:themeColor="text1"/>
          </w:rPr>
          <w:delText xml:space="preserve"> </w:delText>
        </w:r>
      </w:del>
      <w:r w:rsidR="00D73C39">
        <w:rPr>
          <w:color w:val="000000" w:themeColor="text1"/>
        </w:rPr>
        <w:t xml:space="preserve">We </w:t>
      </w:r>
      <w:ins w:id="37" w:author="Cashore, Benjamin" w:date="2019-03-10T22:57:00Z">
        <w:r w:rsidR="00CC7595">
          <w:rPr>
            <w:color w:val="000000" w:themeColor="text1"/>
          </w:rPr>
          <w:t xml:space="preserve">also </w:t>
        </w:r>
      </w:ins>
      <w:r w:rsidR="00D73C39">
        <w:rPr>
          <w:color w:val="000000" w:themeColor="text1"/>
        </w:rPr>
        <w:t>f</w:t>
      </w:r>
      <w:ins w:id="38" w:author="Cashore, Benjamin" w:date="2019-03-10T22:57:00Z">
        <w:r w:rsidR="00CC7595">
          <w:rPr>
            <w:color w:val="000000" w:themeColor="text1"/>
          </w:rPr>
          <w:t>ou</w:t>
        </w:r>
      </w:ins>
      <w:del w:id="39" w:author="Cashore, Benjamin" w:date="2019-03-10T22:57:00Z">
        <w:r w:rsidR="00D73C39" w:rsidDel="00CC7595">
          <w:rPr>
            <w:color w:val="000000" w:themeColor="text1"/>
          </w:rPr>
          <w:delText>i</w:delText>
        </w:r>
      </w:del>
      <w:r w:rsidR="00D73C39">
        <w:rPr>
          <w:color w:val="000000" w:themeColor="text1"/>
        </w:rPr>
        <w:t>nd that</w:t>
      </w:r>
      <w:del w:id="40" w:author="Cashore, Benjamin" w:date="2019-03-10T22:57:00Z">
        <w:r w:rsidR="00D73C39" w:rsidDel="00CC7595">
          <w:rPr>
            <w:color w:val="000000" w:themeColor="text1"/>
          </w:rPr>
          <w:delText xml:space="preserve"> </w:delText>
        </w:r>
        <w:r w:rsidR="00735013" w:rsidRPr="00387397" w:rsidDel="00CC7595">
          <w:rPr>
            <w:color w:val="000000" w:themeColor="text1"/>
          </w:rPr>
          <w:delText>in 2010,</w:delText>
        </w:r>
      </w:del>
      <w:r w:rsidR="00735013" w:rsidRPr="00387397">
        <w:rPr>
          <w:color w:val="000000" w:themeColor="text1"/>
        </w:rPr>
        <w:t xml:space="preserve"> each program change</w:t>
      </w:r>
      <w:r w:rsidR="0012515D" w:rsidRPr="00387397">
        <w:rPr>
          <w:color w:val="000000" w:themeColor="text1"/>
        </w:rPr>
        <w:t>d</w:t>
      </w:r>
      <w:r w:rsidR="00735013" w:rsidRPr="00387397">
        <w:rPr>
          <w:color w:val="000000" w:themeColor="text1"/>
        </w:rPr>
        <w:t xml:space="preserve"> </w:t>
      </w:r>
      <w:ins w:id="41" w:author="Cashore, Benjamin" w:date="2019-03-10T22:57:00Z">
        <w:r w:rsidR="00CC7595">
          <w:rPr>
            <w:color w:val="000000" w:themeColor="text1"/>
          </w:rPr>
          <w:t>from 2010-</w:t>
        </w:r>
      </w:ins>
      <w:ins w:id="42" w:author="Cashore, Benjamin" w:date="2019-03-10T22:58:00Z">
        <w:r w:rsidR="00CC7595">
          <w:rPr>
            <w:color w:val="000000" w:themeColor="text1"/>
          </w:rPr>
          <w:t xml:space="preserve">2016 </w:t>
        </w:r>
      </w:ins>
      <w:del w:id="43" w:author="Cashore, Benjamin" w:date="2019-03-10T22:58:00Z">
        <w:r w:rsidR="00735013" w:rsidRPr="00387397" w:rsidDel="00CC7595">
          <w:rPr>
            <w:color w:val="000000" w:themeColor="text1"/>
          </w:rPr>
          <w:delText xml:space="preserve">most </w:delText>
        </w:r>
      </w:del>
      <w:r w:rsidR="00735013" w:rsidRPr="00387397">
        <w:rPr>
          <w:color w:val="000000" w:themeColor="text1"/>
        </w:rPr>
        <w:t xml:space="preserve">on issues </w:t>
      </w:r>
      <w:ins w:id="44" w:author="Cashore, Benjamin" w:date="2019-03-10T22:58:00Z">
        <w:r w:rsidR="00333B6B">
          <w:rPr>
            <w:color w:val="000000" w:themeColor="text1"/>
          </w:rPr>
          <w:t xml:space="preserve">in which it already had the most </w:t>
        </w:r>
      </w:ins>
      <w:del w:id="45" w:author="Cashore, Benjamin" w:date="2019-03-10T22:58:00Z">
        <w:r w:rsidR="0028639A" w:rsidRPr="00387397" w:rsidDel="00333B6B">
          <w:rPr>
            <w:color w:val="000000" w:themeColor="text1"/>
          </w:rPr>
          <w:delText>where</w:delText>
        </w:r>
        <w:r w:rsidR="00735013" w:rsidRPr="00387397" w:rsidDel="00333B6B">
          <w:rPr>
            <w:color w:val="000000" w:themeColor="text1"/>
          </w:rPr>
          <w:delText xml:space="preserve"> </w:delText>
        </w:r>
        <w:r w:rsidR="0028639A" w:rsidRPr="00387397" w:rsidDel="00333B6B">
          <w:rPr>
            <w:color w:val="000000" w:themeColor="text1"/>
          </w:rPr>
          <w:delText>it</w:delText>
        </w:r>
        <w:r w:rsidR="00735013" w:rsidRPr="00387397" w:rsidDel="00333B6B">
          <w:rPr>
            <w:color w:val="000000" w:themeColor="text1"/>
          </w:rPr>
          <w:delText xml:space="preserve"> already had the more </w:delText>
        </w:r>
      </w:del>
      <w:r w:rsidR="00735013" w:rsidRPr="00387397">
        <w:rPr>
          <w:color w:val="000000" w:themeColor="text1"/>
        </w:rPr>
        <w:t>prescriptive requirements</w:t>
      </w:r>
      <w:ins w:id="46" w:author="Cashore, Benjamin" w:date="2019-03-10T22:58:00Z">
        <w:r w:rsidR="00C5607D">
          <w:rPr>
            <w:color w:val="000000" w:themeColor="text1"/>
          </w:rPr>
          <w:t xml:space="preserve">. In particular, the FSC increased </w:t>
        </w:r>
      </w:ins>
      <w:ins w:id="47" w:author="Cashore, Benjamin" w:date="2019-03-10T22:59:00Z">
        <w:r w:rsidR="00C5607D">
          <w:rPr>
            <w:color w:val="000000" w:themeColor="text1"/>
          </w:rPr>
          <w:t xml:space="preserve">regulations on </w:t>
        </w:r>
      </w:ins>
      <w:del w:id="48" w:author="Cashore, Benjamin" w:date="2019-03-10T22:59:00Z">
        <w:r w:rsidR="00CE3111" w:rsidRPr="00387397" w:rsidDel="00C5607D">
          <w:rPr>
            <w:color w:val="000000" w:themeColor="text1"/>
          </w:rPr>
          <w:delText xml:space="preserve"> (</w:delText>
        </w:r>
      </w:del>
      <w:r w:rsidR="00CE3111" w:rsidRPr="00387397">
        <w:rPr>
          <w:color w:val="000000" w:themeColor="text1"/>
        </w:rPr>
        <w:t>ecological issues</w:t>
      </w:r>
      <w:ins w:id="49" w:author="Cashore, Benjamin" w:date="2019-03-10T22:59:00Z">
        <w:r w:rsidR="00C5607D">
          <w:rPr>
            <w:color w:val="000000" w:themeColor="text1"/>
          </w:rPr>
          <w:t xml:space="preserve">, while the SFI increased regulation on economic issues. At the same time, </w:t>
        </w:r>
      </w:ins>
      <w:del w:id="50" w:author="Cashore, Benjamin" w:date="2019-03-10T22:59:00Z">
        <w:r w:rsidR="00CE3111" w:rsidRPr="00387397" w:rsidDel="00C5607D">
          <w:rPr>
            <w:color w:val="000000" w:themeColor="text1"/>
          </w:rPr>
          <w:delText xml:space="preserve"> for the </w:delText>
        </w:r>
      </w:del>
      <w:del w:id="51" w:author="Cashore, Benjamin" w:date="2019-03-09T14:11:00Z">
        <w:r w:rsidR="00CE3111" w:rsidRPr="00387397" w:rsidDel="00D73C39">
          <w:rPr>
            <w:color w:val="000000" w:themeColor="text1"/>
          </w:rPr>
          <w:delText xml:space="preserve">activist-backed </w:delText>
        </w:r>
      </w:del>
      <w:del w:id="52" w:author="Cashore, Benjamin" w:date="2019-03-10T22:59:00Z">
        <w:r w:rsidR="00CE3111" w:rsidRPr="00387397" w:rsidDel="00C5607D">
          <w:rPr>
            <w:color w:val="000000" w:themeColor="text1"/>
          </w:rPr>
          <w:delText xml:space="preserve">program and </w:delText>
        </w:r>
        <w:r w:rsidR="00B877C6" w:rsidDel="00C5607D">
          <w:rPr>
            <w:color w:val="000000" w:themeColor="text1"/>
          </w:rPr>
          <w:delText>forestry-sector</w:delText>
        </w:r>
        <w:r w:rsidR="00B877C6" w:rsidRPr="00387397" w:rsidDel="00C5607D">
          <w:rPr>
            <w:color w:val="000000" w:themeColor="text1"/>
          </w:rPr>
          <w:delText xml:space="preserve"> </w:delText>
        </w:r>
        <w:r w:rsidR="00CE3111" w:rsidRPr="00387397" w:rsidDel="00C5607D">
          <w:rPr>
            <w:color w:val="000000" w:themeColor="text1"/>
          </w:rPr>
          <w:delText xml:space="preserve">capacity issues </w:delText>
        </w:r>
      </w:del>
      <w:del w:id="53" w:author="Cashore, Benjamin" w:date="2019-03-09T14:11:00Z">
        <w:r w:rsidR="00CE3111" w:rsidRPr="00387397" w:rsidDel="00D73C39">
          <w:rPr>
            <w:color w:val="000000" w:themeColor="text1"/>
          </w:rPr>
          <w:delText xml:space="preserve">for the </w:delText>
        </w:r>
      </w:del>
      <w:del w:id="54" w:author="Cashore, Benjamin" w:date="2019-03-10T22:59:00Z">
        <w:r w:rsidR="00CE3111" w:rsidRPr="00387397" w:rsidDel="00C5607D">
          <w:rPr>
            <w:color w:val="000000" w:themeColor="text1"/>
          </w:rPr>
          <w:delText>industry</w:delText>
        </w:r>
      </w:del>
      <w:del w:id="55" w:author="Cashore, Benjamin" w:date="2019-03-09T14:13:00Z">
        <w:r w:rsidR="00CE3111" w:rsidRPr="00387397" w:rsidDel="004F47DE">
          <w:rPr>
            <w:color w:val="000000" w:themeColor="text1"/>
          </w:rPr>
          <w:delText>-backed program</w:delText>
        </w:r>
      </w:del>
      <w:del w:id="56" w:author="Cashore, Benjamin" w:date="2019-03-10T22:59:00Z">
        <w:r w:rsidR="00CE3111" w:rsidRPr="00387397" w:rsidDel="00C5607D">
          <w:rPr>
            <w:color w:val="000000" w:themeColor="text1"/>
          </w:rPr>
          <w:delText>)</w:delText>
        </w:r>
        <w:r w:rsidR="00B877C6" w:rsidDel="00C5607D">
          <w:rPr>
            <w:color w:val="000000" w:themeColor="text1"/>
          </w:rPr>
          <w:delText xml:space="preserve">. </w:delText>
        </w:r>
        <w:r w:rsidR="006528C4" w:rsidDel="00C5607D">
          <w:rPr>
            <w:color w:val="000000" w:themeColor="text1"/>
          </w:rPr>
          <w:delText>However</w:delText>
        </w:r>
        <w:r w:rsidR="00B067B9" w:rsidDel="00C5607D">
          <w:rPr>
            <w:color w:val="000000" w:themeColor="text1"/>
          </w:rPr>
          <w:delText>,</w:delText>
        </w:r>
        <w:r w:rsidR="006528C4" w:rsidDel="00C5607D">
          <w:rPr>
            <w:color w:val="000000" w:themeColor="text1"/>
          </w:rPr>
          <w:delText xml:space="preserve"> </w:delText>
        </w:r>
      </w:del>
      <w:r w:rsidR="003A4075" w:rsidRPr="00387397">
        <w:rPr>
          <w:color w:val="000000" w:themeColor="text1"/>
        </w:rPr>
        <w:t>in 2015</w:t>
      </w:r>
      <w:del w:id="57" w:author="Cashore, Benjamin" w:date="2019-03-10T22:59:00Z">
        <w:r w:rsidR="003A4075" w:rsidRPr="00387397" w:rsidDel="00C5607D">
          <w:rPr>
            <w:color w:val="000000" w:themeColor="text1"/>
          </w:rPr>
          <w:delText>,</w:delText>
        </w:r>
      </w:del>
      <w:r w:rsidR="00267F40" w:rsidRPr="00387397">
        <w:rPr>
          <w:color w:val="000000" w:themeColor="text1"/>
        </w:rPr>
        <w:t xml:space="preserve"> the </w:t>
      </w:r>
      <w:ins w:id="58" w:author="Cashore, Benjamin" w:date="2019-03-11T18:39:00Z">
        <w:r w:rsidR="004D42C6">
          <w:rPr>
            <w:color w:val="000000" w:themeColor="text1"/>
          </w:rPr>
          <w:t>S</w:t>
        </w:r>
      </w:ins>
      <w:ins w:id="59" w:author="Cashore, Benjamin" w:date="2019-03-11T18:40:00Z">
        <w:r w:rsidR="004D42C6">
          <w:rPr>
            <w:color w:val="000000" w:themeColor="text1"/>
          </w:rPr>
          <w:t xml:space="preserve">FI </w:t>
        </w:r>
      </w:ins>
      <w:del w:id="60" w:author="Cashore, Benjamin" w:date="2019-03-11T18:40:00Z">
        <w:r w:rsidR="00267F40" w:rsidRPr="00387397" w:rsidDel="004D42C6">
          <w:rPr>
            <w:color w:val="000000" w:themeColor="text1"/>
          </w:rPr>
          <w:delText>industry-</w:delText>
        </w:r>
        <w:r w:rsidR="000030A9" w:rsidRPr="00387397" w:rsidDel="004D42C6">
          <w:rPr>
            <w:color w:val="000000" w:themeColor="text1"/>
          </w:rPr>
          <w:delText xml:space="preserve">backed </w:delText>
        </w:r>
        <w:r w:rsidR="00267F40" w:rsidRPr="00387397" w:rsidDel="004D42C6">
          <w:rPr>
            <w:color w:val="000000" w:themeColor="text1"/>
          </w:rPr>
          <w:delText xml:space="preserve">program </w:delText>
        </w:r>
      </w:del>
      <w:ins w:id="61" w:author="Cashore, Benjamin" w:date="2019-03-10T23:00:00Z">
        <w:r w:rsidR="008F5C7C">
          <w:rPr>
            <w:color w:val="000000" w:themeColor="text1"/>
          </w:rPr>
          <w:t xml:space="preserve">introduced regulatory </w:t>
        </w:r>
      </w:ins>
      <w:del w:id="62" w:author="Cashore, Benjamin" w:date="2019-03-10T23:00:00Z">
        <w:r w:rsidR="00267F40" w:rsidRPr="00387397" w:rsidDel="008F5C7C">
          <w:rPr>
            <w:color w:val="000000" w:themeColor="text1"/>
          </w:rPr>
          <w:delText>adopted</w:delText>
        </w:r>
        <w:r w:rsidR="003A4075" w:rsidRPr="00387397" w:rsidDel="008F5C7C">
          <w:rPr>
            <w:color w:val="000000" w:themeColor="text1"/>
          </w:rPr>
          <w:delText xml:space="preserve"> </w:delText>
        </w:r>
      </w:del>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002253F7" w:rsidRPr="00387397">
        <w:rPr>
          <w:color w:val="000000" w:themeColor="text1"/>
        </w:rPr>
        <w:t>emphasized by</w:t>
      </w:r>
      <w:ins w:id="63" w:author="Cashore, Benjamin" w:date="2019-03-11T18:40:00Z">
        <w:r w:rsidR="004D42C6">
          <w:rPr>
            <w:color w:val="000000" w:themeColor="text1"/>
          </w:rPr>
          <w:t xml:space="preserve"> the FSC</w:t>
        </w:r>
      </w:ins>
      <w:del w:id="64" w:author="Cashore, Benjamin" w:date="2019-03-11T18:40:00Z">
        <w:r w:rsidR="002253F7" w:rsidRPr="00387397" w:rsidDel="004D42C6">
          <w:rPr>
            <w:color w:val="000000" w:themeColor="text1"/>
          </w:rPr>
          <w:delText xml:space="preserve"> </w:delText>
        </w:r>
        <w:r w:rsidR="004F119A" w:rsidDel="004D42C6">
          <w:rPr>
            <w:color w:val="000000" w:themeColor="text1"/>
          </w:rPr>
          <w:delText>its competitor</w:delText>
        </w:r>
      </w:del>
      <w:r w:rsidR="00267F40" w:rsidRPr="00387397">
        <w:rPr>
          <w:color w:val="000000" w:themeColor="text1"/>
        </w:rPr>
        <w:t>.</w:t>
      </w:r>
      <w:r w:rsidR="005C5C8F" w:rsidRPr="00387397">
        <w:rPr>
          <w:color w:val="000000" w:themeColor="text1"/>
        </w:rPr>
        <w:t xml:space="preserve"> </w:t>
      </w:r>
      <w:del w:id="65" w:author="Cashore, Benjamin" w:date="2019-03-10T23:00:00Z">
        <w:r w:rsidR="00994710" w:rsidRPr="00387397" w:rsidDel="00C77AB0">
          <w:rPr>
            <w:color w:val="000000" w:themeColor="text1"/>
          </w:rPr>
          <w:delText>T</w:delText>
        </w:r>
        <w:r w:rsidR="009D314D" w:rsidRPr="00387397" w:rsidDel="00C77AB0">
          <w:rPr>
            <w:color w:val="000000" w:themeColor="text1"/>
          </w:rPr>
          <w:delText xml:space="preserve">hese findings </w:delText>
        </w:r>
        <w:r w:rsidR="00B067B9" w:rsidRPr="00387397" w:rsidDel="00C77AB0">
          <w:rPr>
            <w:color w:val="000000" w:themeColor="text1"/>
          </w:rPr>
          <w:delText xml:space="preserve">highlight the </w:delText>
        </w:r>
        <w:r w:rsidR="00B067B9" w:rsidDel="00C77AB0">
          <w:rPr>
            <w:color w:val="000000" w:themeColor="text1"/>
          </w:rPr>
          <w:delText>value</w:delText>
        </w:r>
        <w:r w:rsidR="00B067B9" w:rsidRPr="00387397" w:rsidDel="00C77AB0">
          <w:rPr>
            <w:color w:val="000000" w:themeColor="text1"/>
          </w:rPr>
          <w:delText xml:space="preserve"> of careful measurement</w:delText>
        </w:r>
        <w:r w:rsidR="00B067B9" w:rsidDel="00C77AB0">
          <w:rPr>
            <w:color w:val="000000" w:themeColor="text1"/>
          </w:rPr>
          <w:delText xml:space="preserve">, </w:delText>
        </w:r>
        <w:r w:rsidR="0081669B" w:rsidDel="00C77AB0">
          <w:rPr>
            <w:color w:val="000000" w:themeColor="text1"/>
          </w:rPr>
          <w:delText>confront exist</w:delText>
        </w:r>
        <w:r w:rsidR="00B067B9" w:rsidDel="00C77AB0">
          <w:rPr>
            <w:color w:val="000000" w:themeColor="text1"/>
          </w:rPr>
          <w:delText xml:space="preserve">ing theories, </w:delText>
        </w:r>
        <w:r w:rsidR="00056BDC" w:rsidRPr="00387397" w:rsidDel="00C77AB0">
          <w:rPr>
            <w:color w:val="000000" w:themeColor="text1"/>
          </w:rPr>
          <w:delText>and</w:delText>
        </w:r>
        <w:r w:rsidR="009D314D" w:rsidRPr="00387397" w:rsidDel="00C77AB0">
          <w:rPr>
            <w:color w:val="000000" w:themeColor="text1"/>
          </w:rPr>
          <w:delText xml:space="preserve"> </w:delText>
        </w:r>
        <w:r w:rsidR="00B067B9" w:rsidDel="00C77AB0">
          <w:rPr>
            <w:color w:val="000000" w:themeColor="text1"/>
          </w:rPr>
          <w:delText>suggest</w:delText>
        </w:r>
        <w:r w:rsidR="009D314D" w:rsidRPr="00387397" w:rsidDel="00C77AB0">
          <w:rPr>
            <w:color w:val="000000" w:themeColor="text1"/>
          </w:rPr>
          <w:delText xml:space="preserve"> </w:delText>
        </w:r>
        <w:r w:rsidR="00B067B9" w:rsidDel="00C77AB0">
          <w:rPr>
            <w:color w:val="000000" w:themeColor="text1"/>
          </w:rPr>
          <w:delText>directions for</w:delText>
        </w:r>
        <w:r w:rsidR="001A065A" w:rsidRPr="00387397" w:rsidDel="00C77AB0">
          <w:rPr>
            <w:color w:val="000000" w:themeColor="text1"/>
          </w:rPr>
          <w:delText xml:space="preserve"> future research</w:delText>
        </w:r>
        <w:r w:rsidR="00B067B9" w:rsidDel="00C77AB0">
          <w:rPr>
            <w:color w:val="000000" w:themeColor="text1"/>
          </w:rPr>
          <w:delText>.</w:delText>
        </w:r>
      </w:del>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4817CD9D" w:rsidR="00A72CEF" w:rsidRPr="00387397" w:rsidRDefault="00E2063F" w:rsidP="00387397">
      <w:pPr>
        <w:pStyle w:val="NormalWeb"/>
        <w:spacing w:before="0" w:beforeAutospacing="0" w:after="0" w:afterAutospacing="0" w:line="480" w:lineRule="auto"/>
        <w:rPr>
          <w:color w:val="000000" w:themeColor="text1"/>
        </w:rPr>
      </w:pPr>
      <w:del w:id="66" w:author="Cashore, Benjamin" w:date="2019-03-10T23:03:00Z">
        <w:r w:rsidRPr="00387397" w:rsidDel="00EA2A19">
          <w:rPr>
            <w:color w:val="000000" w:themeColor="text1"/>
          </w:rPr>
          <w:delText>While traditional p</w:delText>
        </w:r>
      </w:del>
      <w:ins w:id="67" w:author="Cashore, Benjamin" w:date="2019-03-10T23:03:00Z">
        <w:r w:rsidR="00EA2A19">
          <w:rPr>
            <w:color w:val="000000" w:themeColor="text1"/>
          </w:rPr>
          <w:t>P</w:t>
        </w:r>
      </w:ins>
      <w:r w:rsidRPr="00387397">
        <w:rPr>
          <w:color w:val="000000" w:themeColor="text1"/>
        </w:rPr>
        <w:t xml:space="preserve">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68"/>
      <w:r w:rsidR="008F251F">
        <w:rPr>
          <w:color w:val="000000" w:themeColor="text1"/>
        </w:rPr>
        <w:t xml:space="preserve">(see Brunel and Levinson (2016) for a review), </w:t>
      </w:r>
      <w:commentRangeEnd w:id="68"/>
      <w:r w:rsidR="00527EFD">
        <w:rPr>
          <w:rStyle w:val="CommentReference"/>
          <w:rFonts w:asciiTheme="minorHAnsi" w:hAnsiTheme="minorHAnsi" w:cstheme="minorBidi"/>
        </w:rPr>
        <w:commentReference w:id="68"/>
      </w:r>
      <w:ins w:id="69" w:author="Cashore, Benjamin" w:date="2019-03-10T23:03:00Z">
        <w:r w:rsidR="00E63AB8">
          <w:rPr>
            <w:color w:val="000000" w:themeColor="text1"/>
          </w:rPr>
          <w:t>P</w:t>
        </w:r>
      </w:ins>
      <w:del w:id="70" w:author="Cashore, Benjamin" w:date="2019-03-10T23:03:00Z">
        <w:r w:rsidR="008F251F" w:rsidDel="00E63AB8">
          <w:rPr>
            <w:color w:val="000000" w:themeColor="text1"/>
          </w:rPr>
          <w:delText>p</w:delText>
        </w:r>
      </w:del>
      <w:r w:rsidR="008F251F">
        <w:rPr>
          <w:color w:val="000000" w:themeColor="text1"/>
        </w:rPr>
        <w:t>rivate</w:t>
      </w:r>
      <w:r w:rsidRPr="00387397">
        <w:rPr>
          <w:color w:val="000000" w:themeColor="text1"/>
        </w:rPr>
        <w:t xml:space="preserve"> governance </w:t>
      </w:r>
      <w:del w:id="71" w:author="Cashore, Benjamin" w:date="2019-03-10T23:04:00Z">
        <w:r w:rsidR="00AA2203" w:rsidRPr="00387397" w:rsidDel="00E63AB8">
          <w:rPr>
            <w:color w:val="000000" w:themeColor="text1"/>
          </w:rPr>
          <w:delText>scholars</w:delText>
        </w:r>
        <w:r w:rsidRPr="00387397" w:rsidDel="00E63AB8">
          <w:rPr>
            <w:color w:val="000000" w:themeColor="text1"/>
          </w:rPr>
          <w:delText xml:space="preserve"> ha</w:delText>
        </w:r>
        <w:r w:rsidR="00AA2203" w:rsidRPr="00387397" w:rsidDel="00E63AB8">
          <w:rPr>
            <w:color w:val="000000" w:themeColor="text1"/>
          </w:rPr>
          <w:delText>ve</w:delText>
        </w:r>
        <w:r w:rsidRPr="00387397" w:rsidDel="00E63AB8">
          <w:rPr>
            <w:color w:val="000000" w:themeColor="text1"/>
          </w:rPr>
          <w:delText xml:space="preserve"> paid l</w:delText>
        </w:r>
      </w:del>
      <w:ins w:id="72" w:author="Cashore, Benjamin" w:date="2019-03-10T23:04:00Z">
        <w:r w:rsidR="00E63AB8">
          <w:rPr>
            <w:color w:val="000000" w:themeColor="text1"/>
          </w:rPr>
          <w:t xml:space="preserve">limited </w:t>
        </w:r>
      </w:ins>
      <w:del w:id="73" w:author="Cashore, Benjamin" w:date="2019-03-10T23:04:00Z">
        <w:r w:rsidRPr="00387397" w:rsidDel="00E63AB8">
          <w:rPr>
            <w:color w:val="000000" w:themeColor="text1"/>
          </w:rPr>
          <w:delText xml:space="preserve">ess </w:delText>
        </w:r>
      </w:del>
      <w:r w:rsidRPr="00387397">
        <w:rPr>
          <w:color w:val="000000" w:themeColor="text1"/>
        </w:rPr>
        <w:t>attention to these question</w:t>
      </w:r>
      <w:ins w:id="74" w:author="Cashore, Benjamin" w:date="2019-03-10T23:04:00Z">
        <w:r w:rsidR="00E63AB8">
          <w:rPr>
            <w:color w:val="000000" w:themeColor="text1"/>
          </w:rPr>
          <w:t>s is problematic</w:t>
        </w:r>
      </w:ins>
      <w:del w:id="75" w:author="Cashore, Benjamin" w:date="2019-03-10T23:04:00Z">
        <w:r w:rsidRPr="00387397" w:rsidDel="00E63AB8">
          <w:rPr>
            <w:color w:val="000000" w:themeColor="text1"/>
          </w:rPr>
          <w:delText xml:space="preserve">s. This </w:delText>
        </w:r>
        <w:r w:rsidR="00AA2203" w:rsidRPr="00387397" w:rsidDel="00E63AB8">
          <w:rPr>
            <w:color w:val="000000" w:themeColor="text1"/>
          </w:rPr>
          <w:delText>is a problem</w:delText>
        </w:r>
      </w:del>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policy content as both </w:t>
      </w:r>
      <w:commentRangeStart w:id="76"/>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76"/>
      <w:r w:rsidR="006F3194">
        <w:rPr>
          <w:rStyle w:val="CommentReference"/>
          <w:rFonts w:asciiTheme="minorHAnsi" w:hAnsiTheme="minorHAnsi" w:cstheme="minorBidi"/>
        </w:rPr>
        <w:commentReference w:id="76"/>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0BFEDAF2" w:rsidR="0035127E" w:rsidRPr="00387397" w:rsidRDefault="008E51A4" w:rsidP="00387397">
      <w:pPr>
        <w:spacing w:line="480" w:lineRule="auto"/>
        <w:rPr>
          <w:color w:val="000000" w:themeColor="text1"/>
        </w:rPr>
      </w:pPr>
      <w:r w:rsidRPr="00387397">
        <w:rPr>
          <w:color w:val="000000" w:themeColor="text1"/>
        </w:rPr>
        <w:t xml:space="preserve">Regulatory stringency </w:t>
      </w:r>
      <w:ins w:id="77" w:author="Cashore, Benjamin" w:date="2019-03-10T23:04:00Z">
        <w:r w:rsidR="00DB7E3D">
          <w:rPr>
            <w:color w:val="000000" w:themeColor="text1"/>
          </w:rPr>
          <w:t>has been offered</w:t>
        </w:r>
      </w:ins>
      <w:ins w:id="78" w:author="Cashore, Benjamin" w:date="2019-03-10T23:05:00Z">
        <w:r w:rsidR="00DB7E3D">
          <w:rPr>
            <w:color w:val="000000" w:themeColor="text1"/>
          </w:rPr>
          <w:t xml:space="preserve"> </w:t>
        </w:r>
      </w:ins>
      <w:r w:rsidR="00E727D3">
        <w:rPr>
          <w:color w:val="000000" w:themeColor="text1"/>
        </w:rPr>
        <w:t xml:space="preserve">as </w:t>
      </w:r>
      <w:del w:id="79" w:author="Cashore, Benjamin" w:date="2019-03-10T23:05:00Z">
        <w:r w:rsidRPr="00387397" w:rsidDel="00DB7E3D">
          <w:rPr>
            <w:color w:val="000000" w:themeColor="text1"/>
          </w:rPr>
          <w:delText xml:space="preserve">is </w:delText>
        </w:r>
      </w:del>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w:t>
      </w:r>
      <w:r w:rsidR="00BA2C1B" w:rsidRPr="00387397">
        <w:rPr>
          <w:color w:val="000000" w:themeColor="text1"/>
        </w:rPr>
        <w:lastRenderedPageBreak/>
        <w:t xml:space="preserve">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Cashore,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64F56C2C"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80" w:name="bbib65"/>
      <w:r w:rsidR="00901C58" w:rsidRPr="00387397">
        <w:rPr>
          <w:color w:val="000000" w:themeColor="text1"/>
        </w:rPr>
        <w:t xml:space="preserve"> </w:t>
      </w:r>
      <w:r w:rsidR="00623B55" w:rsidRPr="00387397">
        <w:rPr>
          <w:color w:val="000000" w:themeColor="text1"/>
        </w:rPr>
        <w:t>Prakash, 2000</w:t>
      </w:r>
      <w:bookmarkEnd w:id="80"/>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xml:space="preserve">. </w:t>
      </w:r>
      <w:ins w:id="81" w:author="Cashore, Benjamin" w:date="2019-03-11T18:42:00Z">
        <w:r w:rsidR="00BC2C1B">
          <w:rPr>
            <w:color w:val="000000" w:themeColor="text1"/>
          </w:rPr>
          <w:t xml:space="preserve">Yet </w:t>
        </w:r>
      </w:ins>
      <w:ins w:id="82" w:author="Cashore, Benjamin" w:date="2019-03-11T18:43:00Z">
        <w:r w:rsidR="009A274A">
          <w:rPr>
            <w:color w:val="000000" w:themeColor="text1"/>
          </w:rPr>
          <w:t xml:space="preserve">to </w:t>
        </w:r>
      </w:ins>
      <w:ins w:id="83" w:author="Cashore, Benjamin" w:date="2019-03-11T18:42:00Z">
        <w:r w:rsidR="00BC2C1B">
          <w:rPr>
            <w:color w:val="000000" w:themeColor="text1"/>
          </w:rPr>
          <w:t>fully t</w:t>
        </w:r>
      </w:ins>
      <w:del w:id="84" w:author="Cashore, Benjamin" w:date="2019-03-11T18:42:00Z">
        <w:r w:rsidR="00E536E3" w:rsidDel="00BC2C1B">
          <w:rPr>
            <w:color w:val="000000" w:themeColor="text1"/>
          </w:rPr>
          <w:delText>T</w:delText>
        </w:r>
      </w:del>
      <w:r w:rsidR="00E536E3">
        <w:rPr>
          <w:color w:val="000000" w:themeColor="text1"/>
        </w:rPr>
        <w:t>est</w:t>
      </w:r>
      <w:del w:id="85" w:author="Cashore, Benjamin" w:date="2019-03-11T18:43:00Z">
        <w:r w:rsidR="00E536E3" w:rsidDel="009A274A">
          <w:rPr>
            <w:color w:val="000000" w:themeColor="text1"/>
          </w:rPr>
          <w:delText>ing</w:delText>
        </w:r>
      </w:del>
      <w:r w:rsidR="00E536E3">
        <w:rPr>
          <w:color w:val="000000" w:themeColor="text1"/>
        </w:rPr>
        <w:t xml:space="preserve"> or </w:t>
      </w:r>
      <w:proofErr w:type="spellStart"/>
      <w:r w:rsidR="00E536E3">
        <w:rPr>
          <w:color w:val="000000" w:themeColor="text1"/>
        </w:rPr>
        <w:t>adjudic</w:t>
      </w:r>
      <w:ins w:id="86" w:author="Cashore, Benjamin" w:date="2019-03-11T18:43:00Z">
        <w:r w:rsidR="009A274A">
          <w:rPr>
            <w:color w:val="000000" w:themeColor="text1"/>
          </w:rPr>
          <w:t>e</w:t>
        </w:r>
      </w:ins>
      <w:proofErr w:type="spellEnd"/>
      <w:del w:id="87" w:author="Cashore, Benjamin" w:date="2019-03-11T18:43:00Z">
        <w:r w:rsidR="00E536E3" w:rsidDel="009A274A">
          <w:rPr>
            <w:color w:val="000000" w:themeColor="text1"/>
          </w:rPr>
          <w:delText>ating</w:delText>
        </w:r>
      </w:del>
      <w:r w:rsidR="00E536E3">
        <w:rPr>
          <w:color w:val="000000" w:themeColor="text1"/>
        </w:rPr>
        <w:t xml:space="preserve"> among these theories </w:t>
      </w:r>
      <w:del w:id="88" w:author="Cashore, Benjamin" w:date="2019-03-11T18:43:00Z">
        <w:r w:rsidR="00E536E3" w:rsidDel="009A274A">
          <w:rPr>
            <w:color w:val="000000" w:themeColor="text1"/>
          </w:rPr>
          <w:delText xml:space="preserve">thus </w:delText>
        </w:r>
      </w:del>
      <w:r w:rsidR="00E536E3">
        <w:rPr>
          <w:color w:val="000000" w:themeColor="text1"/>
        </w:rPr>
        <w:t>requires consistent m</w:t>
      </w:r>
      <w:r w:rsidR="003E4DC1">
        <w:rPr>
          <w:color w:val="000000" w:themeColor="text1"/>
        </w:rPr>
        <w:t>easure</w:t>
      </w:r>
      <w:r w:rsidR="00E536E3">
        <w:rPr>
          <w:color w:val="000000" w:themeColor="text1"/>
        </w:rPr>
        <w:t xml:space="preserve">s of policy change. </w:t>
      </w:r>
    </w:p>
    <w:p w14:paraId="23C0BD2C" w14:textId="77777777" w:rsidR="005549D1" w:rsidRPr="00387397" w:rsidRDefault="005549D1" w:rsidP="00387397">
      <w:pPr>
        <w:spacing w:line="480" w:lineRule="auto"/>
        <w:rPr>
          <w:color w:val="000000" w:themeColor="text1"/>
        </w:rPr>
      </w:pPr>
    </w:p>
    <w:p w14:paraId="728066EE" w14:textId="509DFF9D"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ins w:id="89" w:author="Cashore, Benjamin" w:date="2019-03-11T18:43:00Z">
        <w:r w:rsidR="00ED391D">
          <w:rPr>
            <w:color w:val="000000" w:themeColor="text1"/>
          </w:rPr>
          <w:t xml:space="preserve"> degree of</w:t>
        </w:r>
      </w:ins>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8F251F">
        <w:rPr>
          <w:color w:val="000000" w:themeColor="text1"/>
        </w:rPr>
        <w:t xml:space="preserve"> </w:t>
      </w:r>
      <w:proofErr w:type="spellStart"/>
      <w:ins w:id="90" w:author="Cashore, Benjamin" w:date="2019-03-11T18:43:00Z">
        <w:r w:rsidR="00ED391D">
          <w:rPr>
            <w:color w:val="000000" w:themeColor="text1"/>
          </w:rPr>
          <w:t>Foro</w:t>
        </w:r>
        <w:proofErr w:type="spellEnd"/>
        <w:r w:rsidR="00ED391D">
          <w:rPr>
            <w:color w:val="000000" w:themeColor="text1"/>
          </w:rPr>
          <w:t xml:space="preserve"> example, </w:t>
        </w:r>
      </w:ins>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w:t>
      </w:r>
      <w:del w:id="91" w:author="Cashore, Benjamin" w:date="2019-03-11T18:43:00Z">
        <w:r w:rsidR="0085768A" w:rsidRPr="00387397" w:rsidDel="00ED391D">
          <w:rPr>
            <w:color w:val="000000" w:themeColor="text1"/>
          </w:rPr>
          <w:delText>conclud</w:delText>
        </w:r>
      </w:del>
      <w:ins w:id="92" w:author="Cashore, Benjamin" w:date="2019-03-11T18:43:00Z">
        <w:r w:rsidR="00ED391D">
          <w:rPr>
            <w:color w:val="000000" w:themeColor="text1"/>
          </w:rPr>
          <w:t xml:space="preserve">theorize that </w:t>
        </w:r>
      </w:ins>
      <w:del w:id="93" w:author="Cashore, Benjamin" w:date="2019-03-11T18:43:00Z">
        <w:r w:rsidR="0085768A" w:rsidRPr="00387397" w:rsidDel="00ED391D">
          <w:rPr>
            <w:color w:val="000000" w:themeColor="text1"/>
          </w:rPr>
          <w:delText>e:</w:delText>
        </w:r>
      </w:del>
      <w:r w:rsidR="0085768A" w:rsidRPr="00387397">
        <w:rPr>
          <w:color w:val="000000" w:themeColor="text1"/>
        </w:rPr>
        <w:t xml:space="preserve"> </w:t>
      </w:r>
      <w:commentRangeStart w:id="94"/>
      <w:r w:rsidR="0085768A" w:rsidRPr="00387397">
        <w:rPr>
          <w:color w:val="000000" w:themeColor="text1"/>
        </w:rPr>
        <w:t>“</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commentRangeEnd w:id="94"/>
      <w:r w:rsidR="00660DAD">
        <w:rPr>
          <w:rStyle w:val="CommentReference"/>
          <w:rFonts w:asciiTheme="minorHAnsi" w:hAnsiTheme="minorHAnsi" w:cstheme="minorBidi"/>
        </w:rPr>
        <w:commentReference w:id="94"/>
      </w:r>
      <w:r w:rsidR="0085768A" w:rsidRPr="00387397">
        <w:rPr>
          <w:color w:val="000000" w:themeColor="text1"/>
        </w:rPr>
        <w:t xml:space="preserve"> </w:t>
      </w:r>
      <w:commentRangeStart w:id="95"/>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lastRenderedPageBreak/>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commentRangeEnd w:id="95"/>
      <w:r w:rsidR="001F354C">
        <w:rPr>
          <w:rStyle w:val="CommentReference"/>
          <w:rFonts w:asciiTheme="minorHAnsi" w:hAnsiTheme="minorHAnsi" w:cstheme="minorBidi"/>
        </w:rPr>
        <w:commentReference w:id="95"/>
      </w:r>
      <w:del w:id="96"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more stringent, </w:delText>
        </w:r>
        <w:r w:rsidR="00C707ED" w:rsidRPr="00387397" w:rsidDel="00C95F61">
          <w:rPr>
            <w:color w:val="000000" w:themeColor="text1"/>
            <w:shd w:val="clear" w:color="auto" w:fill="FFFFFF"/>
          </w:rPr>
          <w:delText>or more stringent on different issues, than others in the same policy space</w:delText>
        </w:r>
        <w:r w:rsidR="009F69EA" w:rsidRPr="00387397" w:rsidDel="00C95F61">
          <w:rPr>
            <w:color w:val="000000" w:themeColor="text1"/>
            <w:shd w:val="clear" w:color="auto" w:fill="FFFFFF"/>
          </w:rPr>
          <w:delText xml:space="preserve">, </w:delText>
        </w:r>
        <w:r w:rsidR="00916679" w:rsidDel="00C95F61">
          <w:rPr>
            <w:color w:val="000000" w:themeColor="text1"/>
            <w:shd w:val="clear" w:color="auto" w:fill="FFFFFF"/>
          </w:rPr>
          <w:delText>and</w:delText>
        </w:r>
        <w:r w:rsidR="00916679" w:rsidRPr="00387397" w:rsidDel="00C95F61">
          <w:rPr>
            <w:color w:val="000000" w:themeColor="text1"/>
            <w:shd w:val="clear" w:color="auto" w:fill="FFFFFF"/>
          </w:rPr>
          <w:delText xml:space="preserve"> </w:delText>
        </w:r>
        <w:r w:rsidR="009F69EA" w:rsidRPr="00387397" w:rsidDel="00C95F61">
          <w:rPr>
            <w:color w:val="000000" w:themeColor="text1"/>
            <w:shd w:val="clear" w:color="auto" w:fill="FFFFFF"/>
          </w:rPr>
          <w:delText>that requirements may vary over time</w:delText>
        </w:r>
        <w:r w:rsidR="00C707ED" w:rsidRPr="00387397" w:rsidDel="00C95F61">
          <w:rPr>
            <w:color w:val="000000" w:themeColor="text1"/>
            <w:shd w:val="clear" w:color="auto" w:fill="FFFFFF"/>
          </w:rPr>
          <w:delText>.</w:delText>
        </w:r>
        <w:r w:rsidR="00DB5239" w:rsidRPr="00387397" w:rsidDel="00C95F61">
          <w:rPr>
            <w:color w:val="000000" w:themeColor="text1"/>
            <w:shd w:val="clear" w:color="auto" w:fill="FFFFFF"/>
          </w:rPr>
          <w:delText xml:space="preserve"> </w:delText>
        </w:r>
        <w:r w:rsidR="00DB5239" w:rsidRPr="00387397" w:rsidDel="00C95F61">
          <w:rPr>
            <w:color w:val="000000" w:themeColor="text1"/>
          </w:rPr>
          <w:delText xml:space="preserve">Systematically testing </w:delText>
        </w:r>
        <w:r w:rsidR="00916679" w:rsidDel="00C95F61">
          <w:rPr>
            <w:color w:val="000000" w:themeColor="text1"/>
          </w:rPr>
          <w:delText>these propositions</w:delText>
        </w:r>
        <w:r w:rsidR="00DB5239" w:rsidRPr="00387397" w:rsidDel="00C95F61">
          <w:rPr>
            <w:color w:val="000000" w:themeColor="text1"/>
          </w:rPr>
          <w:delText xml:space="preserve"> </w:delText>
        </w:r>
        <w:r w:rsidR="00916679" w:rsidDel="00C95F61">
          <w:rPr>
            <w:color w:val="000000" w:themeColor="text1"/>
          </w:rPr>
          <w:delText xml:space="preserve">will </w:delText>
        </w:r>
        <w:r w:rsidR="00DB5239" w:rsidRPr="00387397" w:rsidDel="00C95F61">
          <w:rPr>
            <w:color w:val="000000" w:themeColor="text1"/>
          </w:rPr>
          <w:delText>require measures of regulatory stringency</w:delText>
        </w:r>
        <w:r w:rsidR="009F69EA" w:rsidRPr="00387397" w:rsidDel="00C95F61">
          <w:rPr>
            <w:color w:val="000000" w:themeColor="text1"/>
          </w:rPr>
          <w:delText xml:space="preserve"> that can be applied across programs and over time</w:delText>
        </w:r>
        <w:r w:rsidR="00DB5239" w:rsidRPr="00387397" w:rsidDel="00C95F61">
          <w:rPr>
            <w:color w:val="000000" w:themeColor="text1"/>
          </w:rPr>
          <w:delText>.</w:delText>
        </w:r>
      </w:del>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384564F8"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ins w:id="97" w:author="Cashore, Benjamin" w:date="2019-03-11T18:46:00Z">
        <w:r w:rsidR="001246C0">
          <w:rPr>
            <w:color w:val="000000" w:themeColor="text1"/>
          </w:rPr>
          <w:t>However, we show below that w</w:t>
        </w:r>
      </w:ins>
      <w:del w:id="98" w:author="Cashore, Benjamin" w:date="2019-03-11T18:46:00Z">
        <w:r w:rsidR="003D711B" w:rsidRPr="00387397" w:rsidDel="001246C0">
          <w:rPr>
            <w:color w:val="000000" w:themeColor="text1"/>
          </w:rPr>
          <w:delText>W</w:delText>
        </w:r>
      </w:del>
      <w:r w:rsidR="003D711B" w:rsidRPr="00387397">
        <w:rPr>
          <w:color w:val="000000" w:themeColor="text1"/>
        </w:rPr>
        <w:t>h</w:t>
      </w:r>
      <w:ins w:id="99" w:author="Cashore, Benjamin" w:date="2019-03-11T18:46:00Z">
        <w:r w:rsidR="00C95F61">
          <w:rPr>
            <w:color w:val="000000" w:themeColor="text1"/>
          </w:rPr>
          <w:t xml:space="preserve">at </w:t>
        </w:r>
      </w:ins>
      <w:del w:id="100" w:author="Cashore, Benjamin" w:date="2019-03-11T18:46:00Z">
        <w:r w:rsidR="003D711B" w:rsidRPr="00387397" w:rsidDel="00C95F61">
          <w:rPr>
            <w:color w:val="000000" w:themeColor="text1"/>
          </w:rPr>
          <w:delText xml:space="preserve">ile this </w:delText>
        </w:r>
      </w:del>
      <w:r w:rsidR="001676BE" w:rsidRPr="00387397">
        <w:rPr>
          <w:color w:val="000000" w:themeColor="text1"/>
        </w:rPr>
        <w:t xml:space="preserve">appears to </w:t>
      </w:r>
      <w:del w:id="101" w:author="Cashore, Benjamin" w:date="2019-03-11T18:46:00Z">
        <w:r w:rsidR="001676BE" w:rsidRPr="00387397" w:rsidDel="00C95F61">
          <w:rPr>
            <w:color w:val="000000" w:themeColor="text1"/>
          </w:rPr>
          <w:delText>be</w:delText>
        </w:r>
        <w:r w:rsidR="003D711B" w:rsidRPr="00387397" w:rsidDel="00C95F61">
          <w:rPr>
            <w:color w:val="000000" w:themeColor="text1"/>
          </w:rPr>
          <w:delText xml:space="preserve"> an</w:delText>
        </w:r>
      </w:del>
      <w:ins w:id="102" w:author="Cashore, Benjamin" w:date="2019-03-11T18:46:00Z">
        <w:r w:rsidR="00C95F61">
          <w:rPr>
            <w:color w:val="000000" w:themeColor="text1"/>
          </w:rPr>
          <w:t>inconsistent</w:t>
        </w:r>
      </w:ins>
      <w:r w:rsidR="003D711B" w:rsidRPr="00387397">
        <w:rPr>
          <w:color w:val="000000" w:themeColor="text1"/>
        </w:rPr>
        <w:t xml:space="preserve"> empirical </w:t>
      </w:r>
      <w:ins w:id="103" w:author="Cashore, Benjamin" w:date="2019-03-11T18:46:00Z">
        <w:r w:rsidR="00C95F61">
          <w:rPr>
            <w:color w:val="000000" w:themeColor="text1"/>
          </w:rPr>
          <w:t xml:space="preserve">results actually reflect </w:t>
        </w:r>
      </w:ins>
      <w:del w:id="104" w:author="Cashore, Benjamin" w:date="2019-03-11T18:46:00Z">
        <w:r w:rsidR="003D711B" w:rsidRPr="00387397" w:rsidDel="00C95F61">
          <w:rPr>
            <w:color w:val="000000" w:themeColor="text1"/>
          </w:rPr>
          <w:delText xml:space="preserve">debate, </w:delText>
        </w:r>
        <w:r w:rsidR="001676BE" w:rsidRPr="00387397" w:rsidDel="00C95F61">
          <w:rPr>
            <w:color w:val="000000" w:themeColor="text1"/>
          </w:rPr>
          <w:delText xml:space="preserve">we show below that </w:delText>
        </w:r>
        <w:r w:rsidR="003D711B" w:rsidRPr="00387397" w:rsidDel="00C95F61">
          <w:rPr>
            <w:color w:val="000000" w:themeColor="text1"/>
          </w:rPr>
          <w:delText xml:space="preserve">it is </w:delText>
        </w:r>
        <w:r w:rsidR="0096451E" w:rsidDel="00C95F61">
          <w:rPr>
            <w:color w:val="000000" w:themeColor="text1"/>
          </w:rPr>
          <w:delText>largely</w:delText>
        </w:r>
        <w:r w:rsidR="0096451E" w:rsidRPr="00387397" w:rsidDel="00C95F61">
          <w:rPr>
            <w:color w:val="000000" w:themeColor="text1"/>
          </w:rPr>
          <w:delText xml:space="preserve"> </w:delText>
        </w:r>
        <w:r w:rsidR="003D711B" w:rsidRPr="00387397" w:rsidDel="00C95F61">
          <w:rPr>
            <w:color w:val="000000" w:themeColor="text1"/>
          </w:rPr>
          <w:delText xml:space="preserve">the result of </w:delText>
        </w:r>
      </w:del>
      <w:r w:rsidR="003D711B" w:rsidRPr="00387397">
        <w:rPr>
          <w:color w:val="000000" w:themeColor="text1"/>
        </w:rPr>
        <w:t>different measurement strategies.</w:t>
      </w:r>
      <w:ins w:id="105" w:author="Cashore, Benjamin" w:date="2019-03-11T18:47:00Z">
        <w:r w:rsidR="00880F93">
          <w:rPr>
            <w:color w:val="000000" w:themeColor="text1"/>
          </w:rPr>
          <w:t xml:space="preserve"> </w:t>
        </w:r>
        <w:r w:rsidR="00880F93" w:rsidRPr="00387397">
          <w:rPr>
            <w:color w:val="000000" w:themeColor="text1"/>
          </w:rPr>
          <w:t xml:space="preserve">For example, in the broadest study to date, van der </w:t>
        </w:r>
        <w:proofErr w:type="spellStart"/>
        <w:r w:rsidR="00880F93" w:rsidRPr="00387397">
          <w:rPr>
            <w:color w:val="000000" w:themeColor="text1"/>
          </w:rPr>
          <w:t>Ven</w:t>
        </w:r>
        <w:proofErr w:type="spellEnd"/>
        <w:r w:rsidR="00880F93" w:rsidRPr="00387397">
          <w:rPr>
            <w:color w:val="000000" w:themeColor="text1"/>
          </w:rPr>
          <w:t xml:space="preserve"> </w:t>
        </w:r>
        <w:r w:rsidR="00880F93" w:rsidRPr="00387397">
          <w:rPr>
            <w:color w:val="000000" w:themeColor="text1"/>
          </w:rPr>
          <w:fldChar w:fldCharType="begin" w:fldLock="1"/>
        </w:r>
        <w:r w:rsidR="00880F93"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880F93" w:rsidRPr="00387397">
          <w:rPr>
            <w:color w:val="000000" w:themeColor="text1"/>
          </w:rPr>
          <w:fldChar w:fldCharType="separate"/>
        </w:r>
        <w:r w:rsidR="00880F93" w:rsidRPr="00387397">
          <w:rPr>
            <w:noProof/>
            <w:color w:val="000000" w:themeColor="text1"/>
          </w:rPr>
          <w:t>(2015)</w:t>
        </w:r>
        <w:r w:rsidR="00880F93" w:rsidRPr="00387397">
          <w:rPr>
            <w:color w:val="000000" w:themeColor="text1"/>
          </w:rPr>
          <w:fldChar w:fldCharType="end"/>
        </w:r>
        <w:r w:rsidR="00880F93" w:rsidRPr="00387397">
          <w:rPr>
            <w:color w:val="000000" w:themeColor="text1"/>
          </w:rPr>
          <w:t xml:space="preserve"> does find support for the prediction that activist-backed private regulations are more likely to align with “best practices” but does not find support for the prediction that industry-backed regulations are less likely to do so. While the latter finding seems to contradict findings by Cashore et al. (2004) that industry-backed programs set less stringent requirements, </w:t>
        </w:r>
        <w:r w:rsidR="00880F93">
          <w:rPr>
            <w:color w:val="000000" w:themeColor="text1"/>
          </w:rPr>
          <w:t>this is</w:t>
        </w:r>
        <w:r w:rsidR="00880F93" w:rsidRPr="00387397">
          <w:rPr>
            <w:color w:val="000000" w:themeColor="text1"/>
          </w:rPr>
          <w:t xml:space="preserve"> due to differences in measurement</w:t>
        </w:r>
        <w:r w:rsidR="00880F93">
          <w:rPr>
            <w:color w:val="000000" w:themeColor="text1"/>
          </w:rPr>
          <w:t>;</w:t>
        </w:r>
        <w:r w:rsidR="00880F93" w:rsidRPr="00387397">
          <w:rPr>
            <w:color w:val="000000" w:themeColor="text1"/>
          </w:rPr>
          <w:t xml:space="preserve"> Cashore et al. focus on </w:t>
        </w:r>
        <w:r w:rsidR="00880F93">
          <w:rPr>
            <w:color w:val="000000" w:themeColor="text1"/>
          </w:rPr>
          <w:t xml:space="preserve">“on the ground” </w:t>
        </w:r>
        <w:r w:rsidR="00880F93" w:rsidRPr="00387397">
          <w:rPr>
            <w:color w:val="000000" w:themeColor="text1"/>
          </w:rPr>
          <w:t xml:space="preserve">prescriptiveness rather than </w:t>
        </w:r>
        <w:r w:rsidR="00880F93">
          <w:rPr>
            <w:color w:val="000000" w:themeColor="text1"/>
          </w:rPr>
          <w:t xml:space="preserve">procedural </w:t>
        </w:r>
        <w:r w:rsidR="00880F93" w:rsidRPr="00387397">
          <w:rPr>
            <w:color w:val="000000" w:themeColor="text1"/>
          </w:rPr>
          <w:t>“best practices.”</w:t>
        </w:r>
      </w:ins>
    </w:p>
    <w:p w14:paraId="35DBAEAE" w14:textId="77777777" w:rsidR="003D711B" w:rsidRPr="00387397" w:rsidRDefault="003D711B" w:rsidP="00387397">
      <w:pPr>
        <w:spacing w:line="480" w:lineRule="auto"/>
        <w:rPr>
          <w:color w:val="000000" w:themeColor="text1"/>
        </w:rPr>
      </w:pPr>
    </w:p>
    <w:p w14:paraId="7F2D4A3A" w14:textId="57AA02F1"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w:t>
      </w:r>
      <w:r w:rsidRPr="00387397">
        <w:rPr>
          <w:color w:val="000000" w:themeColor="text1"/>
        </w:rPr>
        <w:lastRenderedPageBreak/>
        <w:t xml:space="preserve">may increase or decrease </w:t>
      </w:r>
      <w:r w:rsidR="00F10DAC" w:rsidRPr="00387397">
        <w:rPr>
          <w:color w:val="000000" w:themeColor="text1"/>
        </w:rPr>
        <w:t xml:space="preserve">stringency </w:t>
      </w:r>
      <w:r w:rsidR="00D00707" w:rsidRPr="00387397">
        <w:rPr>
          <w:color w:val="000000" w:themeColor="text1"/>
        </w:rPr>
        <w:t>under different conditions</w:t>
      </w:r>
      <w:ins w:id="106" w:author="Cashore, Benjamin" w:date="2019-03-11T18:46:00Z">
        <w:r w:rsidR="001246C0">
          <w:rPr>
            <w:color w:val="000000" w:themeColor="text1"/>
          </w:rPr>
          <w:t>, such as XX</w:t>
        </w:r>
      </w:ins>
      <w:ins w:id="107" w:author="Cashore, Benjamin" w:date="2019-03-11T18:47:00Z">
        <w:r w:rsidR="001246C0">
          <w:rPr>
            <w:color w:val="000000" w:themeColor="text1"/>
          </w:rPr>
          <w:t>XXX</w:t>
        </w:r>
      </w:ins>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del w:id="108"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r w:rsidR="000F3031" w:rsidRPr="00387397" w:rsidDel="00880F93">
          <w:rPr>
            <w:color w:val="000000" w:themeColor="text1"/>
          </w:rPr>
          <w:delText>.</w:delText>
        </w:r>
      </w:del>
      <w:r w:rsidR="000F3031" w:rsidRPr="00387397">
        <w:rPr>
          <w:color w:val="000000" w:themeColor="text1"/>
        </w:rPr>
        <w:t xml:space="preserve"> </w:t>
      </w:r>
    </w:p>
    <w:p w14:paraId="2ACBB20A" w14:textId="39083789" w:rsidR="0077660E" w:rsidRDefault="00880F93" w:rsidP="00387397">
      <w:pPr>
        <w:spacing w:line="480" w:lineRule="auto"/>
        <w:rPr>
          <w:ins w:id="109" w:author="Cashore, Benjamin" w:date="2019-03-11T18:49:00Z"/>
          <w:color w:val="000000" w:themeColor="text1"/>
        </w:rPr>
      </w:pPr>
      <w:ins w:id="110" w:author="Cashore, Benjamin" w:date="2019-03-11T18:48:00Z">
        <w:r>
          <w:rPr>
            <w:color w:val="000000" w:themeColor="text1"/>
          </w:rPr>
          <w:t>Taken together, a number of distinct, but related literatures offer a range of explanations about regulatory stringency and changes over time, but their empirical assessments are hampered by often weak attention to the dependent variable they se</w:t>
        </w:r>
      </w:ins>
      <w:ins w:id="111" w:author="Cashore, Benjamin" w:date="2019-03-11T18:49:00Z">
        <w:r>
          <w:rPr>
            <w:color w:val="000000" w:themeColor="text1"/>
          </w:rPr>
          <w:t>ek to explain.</w:t>
        </w:r>
      </w:ins>
    </w:p>
    <w:p w14:paraId="0B474AA1" w14:textId="256E23C7" w:rsidR="00880F93" w:rsidRPr="00387397" w:rsidDel="00880F93" w:rsidRDefault="00880F93" w:rsidP="00387397">
      <w:pPr>
        <w:spacing w:line="480" w:lineRule="auto"/>
        <w:rPr>
          <w:del w:id="112" w:author="Cashore, Benjamin" w:date="2019-03-11T18:49:00Z"/>
          <w:color w:val="000000" w:themeColor="text1"/>
        </w:rPr>
      </w:pPr>
    </w:p>
    <w:p w14:paraId="5B26E90E" w14:textId="23ECEB02" w:rsidR="00F12FF2" w:rsidRPr="00387397" w:rsidDel="00880F93" w:rsidRDefault="0043781A" w:rsidP="00387397">
      <w:pPr>
        <w:spacing w:line="480" w:lineRule="auto"/>
        <w:rPr>
          <w:del w:id="113" w:author="Cashore, Benjamin" w:date="2019-03-11T18:49:00Z"/>
          <w:color w:val="000000" w:themeColor="text1"/>
        </w:rPr>
      </w:pPr>
      <w:del w:id="114" w:author="Cashore, Benjamin" w:date="2019-03-10T23:06:00Z">
        <w:r w:rsidRPr="00387397" w:rsidDel="00DB7E3D">
          <w:rPr>
            <w:color w:val="000000" w:themeColor="text1"/>
          </w:rPr>
          <w:delText>D</w:delText>
        </w:r>
      </w:del>
      <w:del w:id="115" w:author="Cashore, Benjamin" w:date="2019-03-11T18:49:00Z">
        <w:r w:rsidRPr="00387397" w:rsidDel="00880F93">
          <w:rPr>
            <w:color w:val="000000" w:themeColor="text1"/>
          </w:rPr>
          <w:delText xml:space="preserve">ifferent measures </w:delText>
        </w:r>
      </w:del>
      <w:del w:id="116" w:author="Cashore, Benjamin" w:date="2019-03-10T23:06:00Z">
        <w:r w:rsidRPr="00387397" w:rsidDel="00DB7E3D">
          <w:rPr>
            <w:color w:val="000000" w:themeColor="text1"/>
          </w:rPr>
          <w:delText xml:space="preserve">may </w:delText>
        </w:r>
      </w:del>
      <w:del w:id="117" w:author="Cashore, Benjamin" w:date="2019-03-11T18:49:00Z">
        <w:r w:rsidRPr="00387397" w:rsidDel="00880F93">
          <w:rPr>
            <w:color w:val="000000" w:themeColor="text1"/>
          </w:rPr>
          <w:delText xml:space="preserve">yield different results. </w:delText>
        </w:r>
      </w:del>
      <w:del w:id="118" w:author="Cashore, Benjamin" w:date="2019-03-11T18:47:00Z">
        <w:r w:rsidR="000F3031" w:rsidRPr="00387397" w:rsidDel="00880F93">
          <w:rPr>
            <w:color w:val="000000" w:themeColor="text1"/>
          </w:rPr>
          <w:delText>For example, i</w:delText>
        </w:r>
        <w:r w:rsidR="00D00707" w:rsidRPr="00387397" w:rsidDel="00880F93">
          <w:rPr>
            <w:color w:val="000000" w:themeColor="text1"/>
          </w:rPr>
          <w:delText xml:space="preserve">n the broadest study to date, van der Ven </w:delText>
        </w:r>
        <w:r w:rsidR="00BC6091" w:rsidRPr="00387397" w:rsidDel="00880F93">
          <w:rPr>
            <w:color w:val="000000" w:themeColor="text1"/>
          </w:rPr>
          <w:fldChar w:fldCharType="begin" w:fldLock="1"/>
        </w:r>
        <w:r w:rsidR="00B163DF" w:rsidRPr="00387397" w:rsidDel="00880F93">
          <w:rPr>
            <w:color w:val="000000" w:themeColor="text1"/>
          </w:rPr>
          <w:del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delInstrText>
        </w:r>
        <w:r w:rsidR="00BC6091" w:rsidRPr="00387397" w:rsidDel="00880F93">
          <w:rPr>
            <w:color w:val="000000" w:themeColor="text1"/>
          </w:rPr>
          <w:fldChar w:fldCharType="separate"/>
        </w:r>
        <w:r w:rsidR="00BC6091" w:rsidRPr="00387397" w:rsidDel="00880F93">
          <w:rPr>
            <w:noProof/>
            <w:color w:val="000000" w:themeColor="text1"/>
          </w:rPr>
          <w:delText>(2015)</w:delText>
        </w:r>
        <w:r w:rsidR="00BC6091" w:rsidRPr="00387397" w:rsidDel="00880F93">
          <w:rPr>
            <w:color w:val="000000" w:themeColor="text1"/>
          </w:rPr>
          <w:fldChar w:fldCharType="end"/>
        </w:r>
        <w:r w:rsidR="00D00707" w:rsidRPr="00387397" w:rsidDel="00880F93">
          <w:rPr>
            <w:color w:val="000000" w:themeColor="text1"/>
          </w:rPr>
          <w:delText xml:space="preserve"> </w:delText>
        </w:r>
        <w:r w:rsidR="003B7C42" w:rsidRPr="00387397" w:rsidDel="00880F93">
          <w:rPr>
            <w:color w:val="000000" w:themeColor="text1"/>
          </w:rPr>
          <w:delText xml:space="preserve">does </w:delText>
        </w:r>
        <w:r w:rsidR="00DF2B45" w:rsidRPr="00387397" w:rsidDel="00880F93">
          <w:rPr>
            <w:color w:val="000000" w:themeColor="text1"/>
          </w:rPr>
          <w:delText>find</w:delText>
        </w:r>
        <w:r w:rsidR="00D00707" w:rsidRPr="00387397" w:rsidDel="00880F93">
          <w:rPr>
            <w:color w:val="000000" w:themeColor="text1"/>
          </w:rPr>
          <w:delText xml:space="preserve"> support for the prediction</w:delText>
        </w:r>
        <w:r w:rsidR="00A5406B" w:rsidRPr="00387397" w:rsidDel="00880F93">
          <w:rPr>
            <w:color w:val="000000" w:themeColor="text1"/>
          </w:rPr>
          <w:delText xml:space="preserve"> that </w:delText>
        </w:r>
        <w:r w:rsidR="00D00707" w:rsidRPr="00387397" w:rsidDel="00880F93">
          <w:rPr>
            <w:color w:val="000000" w:themeColor="text1"/>
          </w:rPr>
          <w:delText xml:space="preserve">activist-backed </w:delText>
        </w:r>
        <w:r w:rsidR="00DF2B45" w:rsidRPr="00387397" w:rsidDel="00880F93">
          <w:rPr>
            <w:color w:val="000000" w:themeColor="text1"/>
          </w:rPr>
          <w:delText xml:space="preserve">private </w:delText>
        </w:r>
        <w:r w:rsidR="00C90959" w:rsidRPr="00387397" w:rsidDel="00880F93">
          <w:rPr>
            <w:color w:val="000000" w:themeColor="text1"/>
          </w:rPr>
          <w:delText>regulations</w:delText>
        </w:r>
        <w:r w:rsidR="00D00707" w:rsidRPr="00387397" w:rsidDel="00880F93">
          <w:rPr>
            <w:color w:val="000000" w:themeColor="text1"/>
          </w:rPr>
          <w:delText xml:space="preserve"> are more </w:delText>
        </w:r>
        <w:r w:rsidR="00DF2B45" w:rsidRPr="00387397" w:rsidDel="00880F93">
          <w:rPr>
            <w:color w:val="000000" w:themeColor="text1"/>
          </w:rPr>
          <w:delText xml:space="preserve">likely to </w:delText>
        </w:r>
        <w:r w:rsidR="00A5406B" w:rsidRPr="00387397" w:rsidDel="00880F93">
          <w:rPr>
            <w:color w:val="000000" w:themeColor="text1"/>
          </w:rPr>
          <w:delText xml:space="preserve">align with “best practices” but does not find support for the prediction that industry-backed regulations are less likely to </w:delText>
        </w:r>
        <w:r w:rsidR="00B26F1A" w:rsidRPr="00387397" w:rsidDel="00880F93">
          <w:rPr>
            <w:color w:val="000000" w:themeColor="text1"/>
          </w:rPr>
          <w:delText>do so.</w:delText>
        </w:r>
        <w:r w:rsidR="003B7C42" w:rsidRPr="00387397" w:rsidDel="00880F93">
          <w:rPr>
            <w:color w:val="000000" w:themeColor="text1"/>
          </w:rPr>
          <w:delText xml:space="preserve"> </w:delText>
        </w:r>
        <w:r w:rsidR="000F3031" w:rsidRPr="00387397" w:rsidDel="00880F93">
          <w:rPr>
            <w:color w:val="000000" w:themeColor="text1"/>
          </w:rPr>
          <w:delText>While the lat</w:delText>
        </w:r>
        <w:r w:rsidR="007B7E54" w:rsidRPr="00387397" w:rsidDel="00880F93">
          <w:rPr>
            <w:color w:val="000000" w:themeColor="text1"/>
          </w:rPr>
          <w:delText>t</w:delText>
        </w:r>
        <w:r w:rsidR="000F3031" w:rsidRPr="00387397" w:rsidDel="00880F93">
          <w:rPr>
            <w:color w:val="000000" w:themeColor="text1"/>
          </w:rPr>
          <w:delText xml:space="preserve">er </w:delText>
        </w:r>
        <w:r w:rsidR="00B26F1A" w:rsidRPr="00387397" w:rsidDel="00880F93">
          <w:rPr>
            <w:color w:val="000000" w:themeColor="text1"/>
          </w:rPr>
          <w:delText xml:space="preserve">finding </w:delText>
        </w:r>
        <w:r w:rsidR="000F3031" w:rsidRPr="00387397" w:rsidDel="00880F93">
          <w:rPr>
            <w:color w:val="000000" w:themeColor="text1"/>
          </w:rPr>
          <w:delText>seems to contradict</w:delText>
        </w:r>
        <w:r w:rsidR="00A5406B" w:rsidRPr="00387397" w:rsidDel="00880F93">
          <w:rPr>
            <w:color w:val="000000" w:themeColor="text1"/>
          </w:rPr>
          <w:delText xml:space="preserve"> </w:delText>
        </w:r>
        <w:r w:rsidR="000F3031" w:rsidRPr="00387397" w:rsidDel="00880F93">
          <w:rPr>
            <w:color w:val="000000" w:themeColor="text1"/>
          </w:rPr>
          <w:delText>findings by Cashore et al. (2004)</w:delText>
        </w:r>
        <w:r w:rsidR="00A5406B" w:rsidRPr="00387397" w:rsidDel="00880F93">
          <w:rPr>
            <w:color w:val="000000" w:themeColor="text1"/>
          </w:rPr>
          <w:delText xml:space="preserve"> that industry-backed programs set less stringent requirements</w:delText>
        </w:r>
        <w:r w:rsidR="00874A21" w:rsidRPr="00387397" w:rsidDel="00880F93">
          <w:rPr>
            <w:color w:val="000000" w:themeColor="text1"/>
          </w:rPr>
          <w:delText xml:space="preserve">, </w:delText>
        </w:r>
        <w:r w:rsidR="0096451E" w:rsidDel="00880F93">
          <w:rPr>
            <w:color w:val="000000" w:themeColor="text1"/>
          </w:rPr>
          <w:delText>this is</w:delText>
        </w:r>
        <w:r w:rsidR="00485338" w:rsidRPr="00387397" w:rsidDel="00880F93">
          <w:rPr>
            <w:color w:val="000000" w:themeColor="text1"/>
          </w:rPr>
          <w:delText xml:space="preserve"> due to differences in measurement</w:delText>
        </w:r>
        <w:r w:rsidR="00673F15" w:rsidDel="00880F93">
          <w:rPr>
            <w:color w:val="000000" w:themeColor="text1"/>
          </w:rPr>
          <w:delText>;</w:delText>
        </w:r>
        <w:r w:rsidR="00485338" w:rsidRPr="00387397" w:rsidDel="00880F93">
          <w:rPr>
            <w:color w:val="000000" w:themeColor="text1"/>
          </w:rPr>
          <w:delText xml:space="preserve"> </w:delText>
        </w:r>
        <w:r w:rsidR="00A5406B" w:rsidRPr="00387397" w:rsidDel="00880F93">
          <w:rPr>
            <w:color w:val="000000" w:themeColor="text1"/>
          </w:rPr>
          <w:delText xml:space="preserve">Cashore </w:delText>
        </w:r>
        <w:r w:rsidR="000F3031" w:rsidRPr="00387397" w:rsidDel="00880F93">
          <w:rPr>
            <w:color w:val="000000" w:themeColor="text1"/>
          </w:rPr>
          <w:delText>et al. focus on</w:delText>
        </w:r>
        <w:r w:rsidR="00874A21" w:rsidRPr="00387397" w:rsidDel="00880F93">
          <w:rPr>
            <w:color w:val="000000" w:themeColor="text1"/>
          </w:rPr>
          <w:delText xml:space="preserve"> prescriptiveness</w:delText>
        </w:r>
        <w:r w:rsidR="00A5406B" w:rsidRPr="00387397" w:rsidDel="00880F93">
          <w:rPr>
            <w:color w:val="000000" w:themeColor="text1"/>
          </w:rPr>
          <w:delText xml:space="preserve"> rather than “best practices.”</w:delText>
        </w:r>
        <w:r w:rsidR="000F3031" w:rsidRPr="00387397" w:rsidDel="00880F93">
          <w:rPr>
            <w:color w:val="000000" w:themeColor="text1"/>
          </w:rPr>
          <w:delText xml:space="preserve"> </w:delText>
        </w:r>
      </w:del>
      <w:del w:id="119" w:author="Cashore, Benjamin" w:date="2019-03-11T18:49:00Z">
        <w:r w:rsidR="000F3031" w:rsidRPr="00387397" w:rsidDel="00880F93">
          <w:rPr>
            <w:color w:val="000000" w:themeColor="text1"/>
          </w:rPr>
          <w:delText xml:space="preserve">We elaborate on </w:delText>
        </w:r>
        <w:r w:rsidR="00E536E3" w:rsidDel="00880F93">
          <w:rPr>
            <w:color w:val="000000" w:themeColor="text1"/>
          </w:rPr>
          <w:delText xml:space="preserve">such </w:delText>
        </w:r>
        <w:r w:rsidR="000F3031" w:rsidRPr="00387397" w:rsidDel="00880F93">
          <w:rPr>
            <w:color w:val="000000" w:themeColor="text1"/>
          </w:rPr>
          <w:delText xml:space="preserve">differences in measurement strategies in the next section. </w:delText>
        </w:r>
      </w:del>
    </w:p>
    <w:p w14:paraId="7440E2FA" w14:textId="530076F4" w:rsidR="0038489B" w:rsidRPr="00387397" w:rsidDel="00880F93" w:rsidRDefault="0038489B" w:rsidP="00387397">
      <w:pPr>
        <w:spacing w:line="480" w:lineRule="auto"/>
        <w:rPr>
          <w:del w:id="120" w:author="Cashore, Benjamin" w:date="2019-03-11T18:49:00Z"/>
          <w:color w:val="000000" w:themeColor="text1"/>
        </w:rPr>
      </w:pPr>
    </w:p>
    <w:p w14:paraId="6A2456DF" w14:textId="70EB17E3" w:rsidR="000760C3" w:rsidRPr="00387397" w:rsidDel="00880F93" w:rsidRDefault="00894FFA" w:rsidP="00387397">
      <w:pPr>
        <w:spacing w:line="480" w:lineRule="auto"/>
        <w:rPr>
          <w:del w:id="121" w:author="Cashore, Benjamin" w:date="2019-03-11T18:49:00Z"/>
          <w:color w:val="000000" w:themeColor="text1"/>
        </w:rPr>
      </w:pPr>
      <w:del w:id="122" w:author="Cashore, Benjamin" w:date="2019-03-11T18:49:00Z">
        <w:r w:rsidRPr="00387397" w:rsidDel="00880F93">
          <w:rPr>
            <w:color w:val="000000" w:themeColor="text1"/>
          </w:rPr>
          <w:delText xml:space="preserve">Having reviewed why </w:delText>
        </w:r>
        <w:r w:rsidR="00834A97" w:rsidRPr="00387397" w:rsidDel="00880F93">
          <w:rPr>
            <w:color w:val="000000" w:themeColor="text1"/>
          </w:rPr>
          <w:delText>regulatory</w:delText>
        </w:r>
        <w:r w:rsidR="00F10DAC" w:rsidRPr="00387397" w:rsidDel="00880F93">
          <w:rPr>
            <w:color w:val="000000" w:themeColor="text1"/>
          </w:rPr>
          <w:delText xml:space="preserve"> stringency</w:delText>
        </w:r>
        <w:r w:rsidRPr="00387397" w:rsidDel="00880F93">
          <w:rPr>
            <w:color w:val="000000" w:themeColor="text1"/>
          </w:rPr>
          <w:delText xml:space="preserve"> is a key variable in </w:delText>
        </w:r>
        <w:r w:rsidR="00B26F1A" w:rsidRPr="00387397" w:rsidDel="00880F93">
          <w:rPr>
            <w:color w:val="000000" w:themeColor="text1"/>
          </w:rPr>
          <w:delText>theories</w:delText>
        </w:r>
        <w:r w:rsidRPr="00387397" w:rsidDel="00880F93">
          <w:rPr>
            <w:color w:val="000000" w:themeColor="text1"/>
          </w:rPr>
          <w:delText xml:space="preserve"> of private regulation,</w:delText>
        </w:r>
        <w:r w:rsidR="00E74C06" w:rsidRPr="00387397" w:rsidDel="00880F93">
          <w:rPr>
            <w:color w:val="000000" w:themeColor="text1"/>
          </w:rPr>
          <w:delText xml:space="preserve"> we </w:delText>
        </w:r>
        <w:r w:rsidRPr="00387397" w:rsidDel="00880F93">
          <w:rPr>
            <w:color w:val="000000" w:themeColor="text1"/>
          </w:rPr>
          <w:delText>now interrogate</w:delText>
        </w:r>
        <w:r w:rsidR="00E74C06" w:rsidRPr="00387397" w:rsidDel="00880F93">
          <w:rPr>
            <w:color w:val="000000" w:themeColor="text1"/>
          </w:rPr>
          <w:delText xml:space="preserve"> the </w:delText>
        </w:r>
        <w:r w:rsidRPr="00387397" w:rsidDel="00880F93">
          <w:rPr>
            <w:color w:val="000000" w:themeColor="text1"/>
          </w:rPr>
          <w:delText xml:space="preserve">various </w:delText>
        </w:r>
        <w:r w:rsidR="00E74C06" w:rsidRPr="00387397" w:rsidDel="00880F93">
          <w:rPr>
            <w:color w:val="000000" w:themeColor="text1"/>
          </w:rPr>
          <w:delText>concept</w:delText>
        </w:r>
        <w:r w:rsidRPr="00387397" w:rsidDel="00880F93">
          <w:rPr>
            <w:color w:val="000000" w:themeColor="text1"/>
          </w:rPr>
          <w:delText>s</w:delText>
        </w:r>
        <w:r w:rsidR="00E74C06" w:rsidRPr="00387397" w:rsidDel="00880F93">
          <w:rPr>
            <w:color w:val="000000" w:themeColor="text1"/>
          </w:rPr>
          <w:delText xml:space="preserve"> </w:delText>
        </w:r>
        <w:r w:rsidRPr="00387397" w:rsidDel="00880F93">
          <w:rPr>
            <w:color w:val="000000" w:themeColor="text1"/>
          </w:rPr>
          <w:delText xml:space="preserve">of </w:delText>
        </w:r>
        <w:r w:rsidR="00326B17" w:rsidRPr="00387397" w:rsidDel="00880F93">
          <w:rPr>
            <w:color w:val="000000" w:themeColor="text1"/>
          </w:rPr>
          <w:delText>stringency</w:delText>
        </w:r>
        <w:r w:rsidRPr="00387397" w:rsidDel="00880F93">
          <w:rPr>
            <w:color w:val="000000" w:themeColor="text1"/>
          </w:rPr>
          <w:delText xml:space="preserve"> that run through this literature</w:delText>
        </w:r>
        <w:r w:rsidR="00E74C06" w:rsidRPr="00387397" w:rsidDel="00880F93">
          <w:rPr>
            <w:color w:val="000000" w:themeColor="text1"/>
          </w:rPr>
          <w:delText xml:space="preserve">. We then offer a framework to clarify </w:delText>
        </w:r>
        <w:r w:rsidR="00821839" w:rsidRPr="00387397" w:rsidDel="00880F93">
          <w:rPr>
            <w:color w:val="000000" w:themeColor="text1"/>
          </w:rPr>
          <w:delText>these</w:delText>
        </w:r>
        <w:r w:rsidR="00E74C06" w:rsidRPr="00387397" w:rsidDel="00880F93">
          <w:rPr>
            <w:color w:val="000000" w:themeColor="text1"/>
          </w:rPr>
          <w:delText xml:space="preserve"> yet muddled concept</w:delText>
        </w:r>
        <w:r w:rsidR="00821839" w:rsidRPr="00387397" w:rsidDel="00880F93">
          <w:rPr>
            <w:color w:val="000000" w:themeColor="text1"/>
          </w:rPr>
          <w:delText>s</w:delText>
        </w:r>
        <w:r w:rsidR="0096451E" w:rsidDel="00880F93">
          <w:rPr>
            <w:color w:val="000000" w:themeColor="text1"/>
          </w:rPr>
          <w:delText xml:space="preserve"> </w:delText>
        </w:r>
        <w:r w:rsidR="00E74C06" w:rsidRPr="00387397" w:rsidDel="00880F93">
          <w:rPr>
            <w:color w:val="000000" w:themeColor="text1"/>
          </w:rPr>
          <w:delText>and</w:delText>
        </w:r>
        <w:r w:rsidR="00821839" w:rsidRPr="00387397" w:rsidDel="00880F93">
          <w:rPr>
            <w:color w:val="000000" w:themeColor="text1"/>
          </w:rPr>
          <w:delText xml:space="preserve"> </w:delText>
        </w:r>
        <w:r w:rsidR="00F10DAC" w:rsidRPr="00387397" w:rsidDel="00880F93">
          <w:rPr>
            <w:color w:val="000000" w:themeColor="text1"/>
          </w:rPr>
          <w:delText>guide more</w:delText>
        </w:r>
        <w:r w:rsidR="00E74C06" w:rsidRPr="00387397" w:rsidDel="00880F93">
          <w:rPr>
            <w:color w:val="000000" w:themeColor="text1"/>
          </w:rPr>
          <w:delText xml:space="preserve"> systematic measurement</w:delText>
        </w:r>
        <w:r w:rsidR="00E536E3" w:rsidDel="00880F93">
          <w:rPr>
            <w:color w:val="000000" w:themeColor="text1"/>
          </w:rPr>
          <w:delText>.</w:delText>
        </w:r>
      </w:del>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2E341301" w14:textId="2BC8EEF2" w:rsidR="00A44743" w:rsidRPr="00387397" w:rsidDel="00A44743" w:rsidRDefault="00104A05" w:rsidP="00A44743">
      <w:pPr>
        <w:spacing w:line="480" w:lineRule="auto"/>
        <w:rPr>
          <w:del w:id="123" w:author="Cashore, Benjamin" w:date="2019-03-11T18:51:00Z"/>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8F251F">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w:t>
      </w:r>
      <w:del w:id="124" w:author="Cashore, Benjamin" w:date="2019-03-11T18:49:00Z">
        <w:r w:rsidR="0038489B" w:rsidRPr="00387397" w:rsidDel="00457C67">
          <w:rPr>
            <w:color w:val="000000" w:themeColor="text1"/>
          </w:rPr>
          <w:delText xml:space="preserve">also </w:delText>
        </w:r>
      </w:del>
      <w:r w:rsidR="0038489B" w:rsidRPr="00387397">
        <w:rPr>
          <w:color w:val="000000" w:themeColor="text1"/>
        </w:rPr>
        <w:t>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del w:id="125" w:author="Cashore, Benjamin" w:date="2019-03-11T18:49:00Z">
        <w:r w:rsidR="00D7178E" w:rsidRPr="00387397" w:rsidDel="00457C67">
          <w:rPr>
            <w:color w:val="000000" w:themeColor="text1"/>
          </w:rPr>
          <w:delText>Furthermore, s</w:delText>
        </w:r>
      </w:del>
      <w:ins w:id="126" w:author="Cashore, Benjamin" w:date="2019-03-11T18:49:00Z">
        <w:r w:rsidR="00457C67">
          <w:rPr>
            <w:color w:val="000000" w:themeColor="text1"/>
          </w:rPr>
          <w:t>S</w:t>
        </w:r>
      </w:ins>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ins w:id="127" w:author="Cashore, Benjamin" w:date="2019-03-11T18:50:00Z">
        <w:r w:rsidR="00A44743">
          <w:rPr>
            <w:color w:val="000000" w:themeColor="text1"/>
          </w:rPr>
          <w:t xml:space="preserve">In some cases </w:t>
        </w:r>
      </w:ins>
      <w:moveToRangeStart w:id="128" w:author="Cashore, Benjamin" w:date="2019-03-11T18:50:00Z" w:name="move3222666"/>
      <w:moveTo w:id="129" w:author="Cashore, Benjamin" w:date="2019-03-11T18:50:00Z">
        <w:del w:id="130" w:author="Cashore, Benjamin" w:date="2019-03-11T18:50:00Z">
          <w:r w:rsidR="00A44743" w:rsidRPr="00387397" w:rsidDel="00A44743">
            <w:rPr>
              <w:color w:val="000000" w:themeColor="text1"/>
            </w:rPr>
            <w:delText xml:space="preserve">For example, </w:delText>
          </w:r>
        </w:del>
        <w:r w:rsidR="00A44743" w:rsidRPr="00387397">
          <w:rPr>
            <w:color w:val="000000" w:themeColor="text1"/>
          </w:rPr>
          <w:t xml:space="preserve">formal models </w:t>
        </w:r>
        <w:del w:id="131" w:author="Cashore, Benjamin" w:date="2019-03-11T18:50:00Z">
          <w:r w:rsidR="00A44743" w:rsidRPr="00387397" w:rsidDel="00A44743">
            <w:rPr>
              <w:color w:val="000000" w:themeColor="text1"/>
            </w:rPr>
            <w:delText xml:space="preserve">often </w:delText>
          </w:r>
        </w:del>
        <w:r w:rsidR="00A44743" w:rsidRPr="00387397">
          <w:rPr>
            <w:color w:val="000000" w:themeColor="text1"/>
          </w:rPr>
          <w:t xml:space="preserve">assign each program a single overall quality or stringency parameter that could be measured multiple ways yielding different empirical results. </w:t>
        </w:r>
      </w:moveTo>
    </w:p>
    <w:moveToRangeEnd w:id="128"/>
    <w:p w14:paraId="5E85828B" w14:textId="2B03F68E" w:rsidR="00326B17" w:rsidRPr="00387397" w:rsidRDefault="00B37010" w:rsidP="00A44743">
      <w:pPr>
        <w:spacing w:line="480" w:lineRule="auto"/>
        <w:rPr>
          <w:color w:val="000000" w:themeColor="text1"/>
        </w:rPr>
      </w:pPr>
      <w:del w:id="132" w:author="Cashore, Benjamin" w:date="2019-03-11T18:50:00Z">
        <w:r w:rsidRPr="00387397" w:rsidDel="00457C67">
          <w:rPr>
            <w:color w:val="000000" w:themeColor="text1"/>
          </w:rPr>
          <w:delText>T</w:delText>
        </w:r>
        <w:r w:rsidR="00104A05" w:rsidRPr="00387397" w:rsidDel="00457C67">
          <w:rPr>
            <w:color w:val="000000" w:themeColor="text1"/>
          </w:rPr>
          <w:delText xml:space="preserve">hese notions </w:delText>
        </w:r>
        <w:r w:rsidRPr="00387397" w:rsidDel="00457C67">
          <w:rPr>
            <w:color w:val="000000" w:themeColor="text1"/>
          </w:rPr>
          <w:delText xml:space="preserve">capture </w:delText>
        </w:r>
        <w:r w:rsidR="00B26F1A" w:rsidRPr="00387397" w:rsidDel="00457C67">
          <w:rPr>
            <w:color w:val="000000" w:themeColor="text1"/>
          </w:rPr>
          <w:delText>important</w:delText>
        </w:r>
        <w:r w:rsidR="00D546C8" w:rsidRPr="00387397" w:rsidDel="00457C67">
          <w:rPr>
            <w:color w:val="000000" w:themeColor="text1"/>
          </w:rPr>
          <w:delText>,</w:delText>
        </w:r>
        <w:r w:rsidRPr="00387397" w:rsidDel="00457C67">
          <w:rPr>
            <w:color w:val="000000" w:themeColor="text1"/>
          </w:rPr>
          <w:delText xml:space="preserve"> but potentially orthogonal</w:delText>
        </w:r>
        <w:r w:rsidR="00D546C8" w:rsidRPr="00387397" w:rsidDel="00457C67">
          <w:rPr>
            <w:color w:val="000000" w:themeColor="text1"/>
          </w:rPr>
          <w:delText>,</w:delText>
        </w:r>
        <w:r w:rsidRPr="00387397" w:rsidDel="00457C67">
          <w:rPr>
            <w:color w:val="000000" w:themeColor="text1"/>
          </w:rPr>
          <w:delText xml:space="preserve"> dimension</w:delText>
        </w:r>
        <w:r w:rsidR="007B7E54" w:rsidRPr="00387397" w:rsidDel="00457C67">
          <w:rPr>
            <w:color w:val="000000" w:themeColor="text1"/>
          </w:rPr>
          <w:delText>s</w:delText>
        </w:r>
        <w:r w:rsidRPr="00387397" w:rsidDel="00457C67">
          <w:rPr>
            <w:color w:val="000000" w:themeColor="text1"/>
          </w:rPr>
          <w:delText xml:space="preserve"> of variation</w:delText>
        </w:r>
        <w:r w:rsidR="00104A05" w:rsidRPr="00387397" w:rsidDel="00457C67">
          <w:rPr>
            <w:color w:val="000000" w:themeColor="text1"/>
          </w:rPr>
          <w:delText>.</w:delText>
        </w:r>
      </w:del>
    </w:p>
    <w:p w14:paraId="40C54590" w14:textId="77777777" w:rsidR="00326B17" w:rsidRPr="00387397" w:rsidRDefault="00326B17" w:rsidP="00387397">
      <w:pPr>
        <w:spacing w:line="480" w:lineRule="auto"/>
        <w:rPr>
          <w:color w:val="000000" w:themeColor="text1"/>
        </w:rPr>
      </w:pPr>
    </w:p>
    <w:p w14:paraId="7EB8C3A7" w14:textId="60C2154E" w:rsidR="001F51BC" w:rsidRPr="00387397" w:rsidRDefault="00457C67" w:rsidP="00A44743">
      <w:pPr>
        <w:spacing w:line="480" w:lineRule="auto"/>
        <w:rPr>
          <w:color w:val="000000" w:themeColor="text1"/>
        </w:rPr>
      </w:pPr>
      <w:ins w:id="133" w:author="Cashore, Benjamin" w:date="2019-03-11T18:50:00Z">
        <w:r>
          <w:rPr>
            <w:color w:val="000000" w:themeColor="text1"/>
          </w:rPr>
          <w:t xml:space="preserve">In sum, </w:t>
        </w:r>
      </w:ins>
      <w:del w:id="134" w:author="Cashore, Benjamin" w:date="2019-03-11T18:50:00Z">
        <w:r w:rsidR="00B37010" w:rsidRPr="00387397" w:rsidDel="00457C67">
          <w:rPr>
            <w:color w:val="000000" w:themeColor="text1"/>
          </w:rPr>
          <w:delText xml:space="preserve">Furthermore, </w:delText>
        </w:r>
      </w:del>
      <w:r w:rsidR="00B37010" w:rsidRPr="00387397">
        <w:rPr>
          <w:color w:val="000000" w:themeColor="text1"/>
        </w:rPr>
        <w:t>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del w:id="135" w:author="Cashore, Benjamin" w:date="2019-03-11T18:50:00Z">
        <w:r w:rsidR="0096451E" w:rsidDel="0058720A">
          <w:rPr>
            <w:color w:val="000000" w:themeColor="text1"/>
          </w:rPr>
          <w:delText>.</w:delText>
        </w:r>
      </w:del>
      <w:r w:rsidR="000C28CD" w:rsidRPr="00387397">
        <w:rPr>
          <w:color w:val="000000" w:themeColor="text1"/>
        </w:rPr>
        <w:t xml:space="preserve"> (</w:t>
      </w:r>
      <w:del w:id="136" w:author="Cashore, Benjamin" w:date="2019-03-11T18:50:00Z">
        <w:r w:rsidR="0096451E" w:rsidDel="0058720A">
          <w:rPr>
            <w:color w:val="000000" w:themeColor="text1"/>
          </w:rPr>
          <w:delText>Note the variety of approaches in</w:delText>
        </w:r>
        <w:r w:rsidR="0096451E" w:rsidRPr="00387397" w:rsidDel="0058720A">
          <w:rPr>
            <w:color w:val="000000" w:themeColor="text1"/>
          </w:rPr>
          <w:delText xml:space="preserve"> </w:delText>
        </w:r>
      </w:del>
      <w:r w:rsidR="000C28CD" w:rsidRPr="00387397">
        <w:rPr>
          <w:color w:val="000000" w:themeColor="text1"/>
        </w:rPr>
        <w:t>Table 1</w:t>
      </w:r>
      <w:r w:rsidR="001527C2">
        <w:rPr>
          <w:color w:val="000000" w:themeColor="text1"/>
        </w:rPr>
        <w:t>.</w:t>
      </w:r>
      <w:r w:rsidR="000C28CD" w:rsidRPr="00387397">
        <w:rPr>
          <w:color w:val="000000" w:themeColor="text1"/>
        </w:rPr>
        <w:t>)</w:t>
      </w:r>
      <w:r w:rsidR="00B37010" w:rsidRPr="00387397">
        <w:rPr>
          <w:color w:val="000000" w:themeColor="text1"/>
        </w:rPr>
        <w:t xml:space="preserve"> </w:t>
      </w:r>
      <w:moveFromRangeStart w:id="137" w:author="Cashore, Benjamin" w:date="2019-03-11T18:50:00Z" w:name="move3222666"/>
      <w:moveFrom w:id="138" w:author="Cashore, Benjamin" w:date="2019-03-11T18:50:00Z">
        <w:r w:rsidR="00B37010" w:rsidRPr="00387397" w:rsidDel="00A44743">
          <w:rPr>
            <w:color w:val="000000" w:themeColor="text1"/>
          </w:rPr>
          <w:t>For example, f</w:t>
        </w:r>
        <w:r w:rsidR="006158A2" w:rsidRPr="00387397" w:rsidDel="00A44743">
          <w:rPr>
            <w:color w:val="000000" w:themeColor="text1"/>
          </w:rPr>
          <w:t xml:space="preserve">ormal models </w:t>
        </w:r>
        <w:r w:rsidR="00503C39" w:rsidRPr="00387397" w:rsidDel="00A44743">
          <w:rPr>
            <w:color w:val="000000" w:themeColor="text1"/>
          </w:rPr>
          <w:t>often</w:t>
        </w:r>
        <w:r w:rsidR="006158A2" w:rsidRPr="00387397" w:rsidDel="00A44743">
          <w:rPr>
            <w:color w:val="000000" w:themeColor="text1"/>
          </w:rPr>
          <w:t xml:space="preserve"> assign each program a single</w:t>
        </w:r>
        <w:r w:rsidR="00B37010" w:rsidRPr="00387397" w:rsidDel="00A44743">
          <w:rPr>
            <w:color w:val="000000" w:themeColor="text1"/>
          </w:rPr>
          <w:t xml:space="preserve"> overall</w:t>
        </w:r>
        <w:r w:rsidR="006158A2" w:rsidRPr="00387397" w:rsidDel="00A44743">
          <w:rPr>
            <w:color w:val="000000" w:themeColor="text1"/>
          </w:rPr>
          <w:t xml:space="preserve"> </w:t>
        </w:r>
        <w:r w:rsidR="00503C39" w:rsidRPr="00387397" w:rsidDel="00A44743">
          <w:rPr>
            <w:color w:val="000000" w:themeColor="text1"/>
          </w:rPr>
          <w:t xml:space="preserve">quality or stringency </w:t>
        </w:r>
        <w:r w:rsidR="006158A2" w:rsidRPr="00387397" w:rsidDel="00A44743">
          <w:rPr>
            <w:color w:val="000000" w:themeColor="text1"/>
          </w:rPr>
          <w:t xml:space="preserve">parameter </w:t>
        </w:r>
        <w:r w:rsidR="00326B17" w:rsidRPr="00387397" w:rsidDel="00A44743">
          <w:rPr>
            <w:color w:val="000000" w:themeColor="text1"/>
          </w:rPr>
          <w:t xml:space="preserve">that could be measured multiple ways yielding different </w:t>
        </w:r>
        <w:r w:rsidR="00B37010" w:rsidRPr="00387397" w:rsidDel="00A44743">
          <w:rPr>
            <w:color w:val="000000" w:themeColor="text1"/>
          </w:rPr>
          <w:t xml:space="preserve">empirical </w:t>
        </w:r>
        <w:r w:rsidR="00326B17" w:rsidRPr="00387397" w:rsidDel="00A44743">
          <w:rPr>
            <w:color w:val="000000" w:themeColor="text1"/>
          </w:rPr>
          <w:t>results</w:t>
        </w:r>
        <w:r w:rsidR="006158A2" w:rsidRPr="00387397" w:rsidDel="00A44743">
          <w:rPr>
            <w:color w:val="000000" w:themeColor="text1"/>
          </w:rPr>
          <w:t>.</w:t>
        </w:r>
        <w:r w:rsidR="00C94C63" w:rsidRPr="00387397" w:rsidDel="00A44743">
          <w:rPr>
            <w:color w:val="000000" w:themeColor="text1"/>
          </w:rPr>
          <w:t xml:space="preserve"> </w:t>
        </w:r>
      </w:moveFrom>
      <w:moveFromRangeEnd w:id="137"/>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6B68B02E"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ins w:id="139" w:author="Cashore, Benjamin" w:date="2019-03-11T18:51:00Z">
        <w:r w:rsidR="00F4452C">
          <w:rPr>
            <w:color w:val="000000" w:themeColor="text1"/>
          </w:rPr>
          <w:t xml:space="preserve">turned to a number of proxy measures to </w:t>
        </w:r>
      </w:ins>
      <w:del w:id="140" w:author="Cashore, Benjamin" w:date="2019-03-11T18:51:00Z">
        <w:r w:rsidRPr="00387397" w:rsidDel="00F4452C">
          <w:rPr>
            <w:color w:val="000000" w:themeColor="text1"/>
          </w:rPr>
          <w:delText>used</w:delText>
        </w:r>
        <w:r w:rsidR="004A59BB" w:rsidRPr="00387397" w:rsidDel="00F4452C">
          <w:rPr>
            <w:color w:val="000000" w:themeColor="text1"/>
          </w:rPr>
          <w:delText xml:space="preserve"> proximate</w:delText>
        </w:r>
        <w:r w:rsidR="00B40191" w:rsidRPr="00387397" w:rsidDel="00F4452C">
          <w:rPr>
            <w:color w:val="000000" w:themeColor="text1"/>
          </w:rPr>
          <w:delText xml:space="preserve"> features</w:delText>
        </w:r>
        <w:r w:rsidR="009D1090" w:rsidRPr="00387397" w:rsidDel="00F4452C">
          <w:rPr>
            <w:color w:val="000000" w:themeColor="text1"/>
          </w:rPr>
          <w:delText xml:space="preserve"> that are </w:delText>
        </w:r>
      </w:del>
      <w:r w:rsidR="009D1090" w:rsidRPr="00387397">
        <w:rPr>
          <w:color w:val="000000" w:themeColor="text1"/>
        </w:rPr>
        <w:t>compar</w:t>
      </w:r>
      <w:ins w:id="141" w:author="Cashore, Benjamin" w:date="2019-03-11T18:51:00Z">
        <w:r w:rsidR="00F4452C">
          <w:rPr>
            <w:color w:val="000000" w:themeColor="text1"/>
          </w:rPr>
          <w:t>e</w:t>
        </w:r>
      </w:ins>
      <w:del w:id="142" w:author="Cashore, Benjamin" w:date="2019-03-11T18:51:00Z">
        <w:r w:rsidR="009D1090" w:rsidRPr="00387397" w:rsidDel="00F4452C">
          <w:rPr>
            <w:color w:val="000000" w:themeColor="text1"/>
          </w:rPr>
          <w:delText>able</w:delText>
        </w:r>
      </w:del>
      <w:r w:rsidR="009D1090" w:rsidRPr="00387397">
        <w:rPr>
          <w:color w:val="000000" w:themeColor="text1"/>
        </w:rPr>
        <w:t xml:space="preserv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 xml:space="preserve">compliance with </w:t>
      </w:r>
      <w:commentRangeStart w:id="143"/>
      <w:r w:rsidR="00503C39" w:rsidRPr="00387397">
        <w:rPr>
          <w:color w:val="000000" w:themeColor="text1"/>
        </w:rPr>
        <w:t>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w:t>
      </w:r>
      <w:commentRangeEnd w:id="143"/>
      <w:r w:rsidR="00F4452C">
        <w:rPr>
          <w:rStyle w:val="CommentReference"/>
          <w:rFonts w:asciiTheme="minorHAnsi" w:hAnsiTheme="minorHAnsi" w:cstheme="minorBidi"/>
        </w:rPr>
        <w:commentReference w:id="143"/>
      </w:r>
      <w:del w:id="144" w:author="Cashore, Benjamin" w:date="2019-03-11T18:52:00Z">
        <w:r w:rsidR="009F69EA" w:rsidRPr="00387397" w:rsidDel="006B74EB">
          <w:rPr>
            <w:color w:val="000000" w:themeColor="text1"/>
          </w:rPr>
          <w:delText xml:space="preserve">As noted, many studies also use compliance costs or perceived </w:delText>
        </w:r>
        <w:r w:rsidR="0072282C" w:rsidRPr="00387397" w:rsidDel="006B74EB">
          <w:rPr>
            <w:color w:val="000000" w:themeColor="text1"/>
          </w:rPr>
          <w:delText>stringency as proxies.</w:delText>
        </w:r>
      </w:del>
      <w:r w:rsidR="0072282C" w:rsidRPr="00387397">
        <w:rPr>
          <w:color w:val="000000" w:themeColor="text1"/>
        </w:rPr>
        <w:t xml:space="preserve"> </w:t>
      </w:r>
      <w:ins w:id="145" w:author="Cashore, Benjamin" w:date="2019-03-11T18:52:00Z">
        <w:r w:rsidR="006B74EB">
          <w:rPr>
            <w:color w:val="000000" w:themeColor="text1"/>
          </w:rPr>
          <w:t xml:space="preserve">However, </w:t>
        </w:r>
      </w:ins>
      <w:del w:id="146" w:author="Cashore, Benjamin" w:date="2019-03-11T18:52:00Z">
        <w:r w:rsidR="0072282C" w:rsidRPr="00387397" w:rsidDel="006B74EB">
          <w:rPr>
            <w:color w:val="000000" w:themeColor="text1"/>
          </w:rPr>
          <w:delText xml:space="preserve">Unfortunately, such </w:delText>
        </w:r>
      </w:del>
      <w:ins w:id="147" w:author="Cashore, Benjamin" w:date="2019-03-11T18:52:00Z">
        <w:r w:rsidR="006B74EB">
          <w:rPr>
            <w:color w:val="000000" w:themeColor="text1"/>
          </w:rPr>
          <w:t xml:space="preserve">these approaches </w:t>
        </w:r>
      </w:ins>
      <w:del w:id="148" w:author="Cashore, Benjamin" w:date="2019-03-11T18:52:00Z">
        <w:r w:rsidR="0072282C" w:rsidRPr="00387397" w:rsidDel="006B74EB">
          <w:rPr>
            <w:color w:val="000000" w:themeColor="text1"/>
          </w:rPr>
          <w:delText xml:space="preserve">measures </w:delText>
        </w:r>
      </w:del>
      <w:r w:rsidR="0072282C" w:rsidRPr="00387397">
        <w:rPr>
          <w:color w:val="000000" w:themeColor="text1"/>
        </w:rPr>
        <w:t xml:space="preserve">do not allow </w:t>
      </w:r>
      <w:del w:id="149" w:author="Cashore, Benjamin" w:date="2019-03-11T18:52:00Z">
        <w:r w:rsidR="0072282C" w:rsidRPr="00387397" w:rsidDel="006B74EB">
          <w:rPr>
            <w:color w:val="000000" w:themeColor="text1"/>
          </w:rPr>
          <w:delText>one to</w:delText>
        </w:r>
      </w:del>
      <w:ins w:id="150" w:author="Cashore, Benjamin" w:date="2019-03-11T18:52:00Z">
        <w:r w:rsidR="006B74EB">
          <w:rPr>
            <w:color w:val="000000" w:themeColor="text1"/>
          </w:rPr>
          <w:t>the</w:t>
        </w:r>
      </w:ins>
      <w:r w:rsidR="0072282C" w:rsidRPr="00387397">
        <w:rPr>
          <w:color w:val="000000" w:themeColor="text1"/>
        </w:rPr>
        <w:t xml:space="preserve"> examin</w:t>
      </w:r>
      <w:ins w:id="151" w:author="Cashore, Benjamin" w:date="2019-03-11T18:52:00Z">
        <w:r w:rsidR="006B74EB">
          <w:rPr>
            <w:color w:val="000000" w:themeColor="text1"/>
          </w:rPr>
          <w:t>ation of</w:t>
        </w:r>
      </w:ins>
      <w:del w:id="152" w:author="Cashore, Benjamin" w:date="2019-03-11T18:52:00Z">
        <w:r w:rsidR="0072282C" w:rsidRPr="00387397" w:rsidDel="006B74EB">
          <w:rPr>
            <w:color w:val="000000" w:themeColor="text1"/>
          </w:rPr>
          <w:delText>e</w:delText>
        </w:r>
      </w:del>
      <w:r w:rsidR="0072282C" w:rsidRPr="00387397">
        <w:rPr>
          <w:color w:val="000000" w:themeColor="text1"/>
        </w:rPr>
        <w:t xml:space="preserve"> relationships between </w:t>
      </w:r>
      <w:commentRangeStart w:id="153"/>
      <w:r w:rsidR="0072282C" w:rsidRPr="00387397">
        <w:rPr>
          <w:color w:val="000000" w:themeColor="text1"/>
        </w:rPr>
        <w:t xml:space="preserve">stringency and </w:t>
      </w:r>
      <w:del w:id="154" w:author="Cashore, Benjamin" w:date="2019-03-11T18:52:00Z">
        <w:r w:rsidR="0072282C" w:rsidRPr="00387397" w:rsidDel="006B74EB">
          <w:rPr>
            <w:color w:val="000000" w:themeColor="text1"/>
          </w:rPr>
          <w:delText>these</w:delText>
        </w:r>
      </w:del>
      <w:r w:rsidR="0072282C" w:rsidRPr="00387397">
        <w:rPr>
          <w:color w:val="000000" w:themeColor="text1"/>
        </w:rPr>
        <w:t xml:space="preserve"> other </w:t>
      </w:r>
      <w:del w:id="155" w:author="Cashore, Benjamin" w:date="2019-03-11T18:52:00Z">
        <w:r w:rsidR="0072282C" w:rsidRPr="00387397" w:rsidDel="006B74EB">
          <w:rPr>
            <w:color w:val="000000" w:themeColor="text1"/>
          </w:rPr>
          <w:delText xml:space="preserve">important </w:delText>
        </w:r>
      </w:del>
      <w:r w:rsidR="0072282C" w:rsidRPr="00387397">
        <w:rPr>
          <w:color w:val="000000" w:themeColor="text1"/>
        </w:rPr>
        <w:t xml:space="preserve">features of </w:t>
      </w:r>
      <w:r w:rsidR="001527C2">
        <w:rPr>
          <w:color w:val="000000" w:themeColor="text1"/>
        </w:rPr>
        <w:t>a regulation</w:t>
      </w:r>
      <w:r w:rsidR="0072282C" w:rsidRPr="00387397">
        <w:rPr>
          <w:color w:val="000000" w:themeColor="text1"/>
        </w:rPr>
        <w:t>.</w:t>
      </w:r>
      <w:commentRangeEnd w:id="153"/>
      <w:r w:rsidR="006B74EB">
        <w:rPr>
          <w:rStyle w:val="CommentReference"/>
          <w:rFonts w:asciiTheme="minorHAnsi" w:hAnsiTheme="minorHAnsi" w:cstheme="minorBidi"/>
        </w:rPr>
        <w:commentReference w:id="153"/>
      </w:r>
    </w:p>
    <w:p w14:paraId="700425A0" w14:textId="77777777" w:rsidR="000760C3" w:rsidRPr="00387397" w:rsidRDefault="000760C3" w:rsidP="00387397">
      <w:pPr>
        <w:spacing w:line="480" w:lineRule="auto"/>
        <w:rPr>
          <w:color w:val="000000" w:themeColor="text1"/>
        </w:rPr>
      </w:pPr>
    </w:p>
    <w:p w14:paraId="0C17DAA4" w14:textId="77777777" w:rsidR="006C77F6" w:rsidRDefault="009A1AFE" w:rsidP="00387397">
      <w:pPr>
        <w:spacing w:line="480" w:lineRule="auto"/>
        <w:rPr>
          <w:color w:val="000000" w:themeColor="text1"/>
        </w:rPr>
      </w:pPr>
      <w:ins w:id="156" w:author="Cashore, Benjamin" w:date="2019-03-11T18:53:00Z">
        <w:r>
          <w:rPr>
            <w:color w:val="000000" w:themeColor="text1"/>
          </w:rPr>
          <w:t>Even t</w:t>
        </w:r>
      </w:ins>
      <w:del w:id="157" w:author="Cashore, Benjamin" w:date="2019-03-11T18:53:00Z">
        <w:r w:rsidR="00A677AD" w:rsidRPr="00387397" w:rsidDel="009A1AFE">
          <w:rPr>
            <w:color w:val="000000" w:themeColor="text1"/>
          </w:rPr>
          <w:delText>T</w:delText>
        </w:r>
      </w:del>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00A677AD" w:rsidRPr="00387397">
        <w:rPr>
          <w:color w:val="000000" w:themeColor="text1"/>
        </w:rPr>
        <w:t xml:space="preserve">ement strategies </w:t>
      </w:r>
      <w:r w:rsidR="00681883" w:rsidRPr="00387397">
        <w:rPr>
          <w:color w:val="000000" w:themeColor="text1"/>
        </w:rPr>
        <w:t xml:space="preserve">tend to </w:t>
      </w:r>
      <w:ins w:id="158" w:author="Cashore, Benjamin" w:date="2019-03-11T18:53:00Z">
        <w:r>
          <w:rPr>
            <w:color w:val="000000" w:themeColor="text1"/>
          </w:rPr>
          <w:t xml:space="preserve">fall short because they only </w:t>
        </w:r>
      </w:ins>
      <w:r w:rsidR="00681883" w:rsidRPr="00387397">
        <w:rPr>
          <w:color w:val="000000" w:themeColor="text1"/>
        </w:rPr>
        <w:t xml:space="preserve">focus on </w:t>
      </w:r>
      <w:r w:rsidR="00326B17" w:rsidRPr="00387397">
        <w:rPr>
          <w:color w:val="000000" w:themeColor="text1"/>
        </w:rPr>
        <w:t>a few salient components</w:t>
      </w:r>
      <w:r w:rsidR="00681883" w:rsidRPr="00387397">
        <w:rPr>
          <w:color w:val="000000" w:themeColor="text1"/>
        </w:rPr>
        <w:t xml:space="preserve">, rather than </w:t>
      </w:r>
      <w:r w:rsidR="00A677AD"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ins w:id="159" w:author="Cashore, Benjamin" w:date="2019-03-11T18:53:00Z">
        <w:r w:rsidR="000756DB">
          <w:rPr>
            <w:color w:val="000000" w:themeColor="text1"/>
          </w:rPr>
          <w:t xml:space="preserve">. This approach, in turn, can lead to </w:t>
        </w:r>
      </w:ins>
      <w:ins w:id="160" w:author="Cashore, Benjamin" w:date="2019-03-11T18:54:00Z">
        <w:r w:rsidR="00C41923">
          <w:rPr>
            <w:color w:val="000000" w:themeColor="text1"/>
          </w:rPr>
          <w:t xml:space="preserve">measuring different issues with varying </w:t>
        </w:r>
      </w:ins>
      <w:del w:id="161" w:author="Cashore, Benjamin" w:date="2019-03-11T18:54:00Z">
        <w:r w:rsidR="0038489B" w:rsidRPr="00387397" w:rsidDel="00C41923">
          <w:rPr>
            <w:color w:val="000000" w:themeColor="text1"/>
          </w:rPr>
          <w:delText xml:space="preserve">, </w:delText>
        </w:r>
        <w:r w:rsidR="00681883" w:rsidRPr="00387397" w:rsidDel="00C41923">
          <w:rPr>
            <w:color w:val="000000" w:themeColor="text1"/>
          </w:rPr>
          <w:delText xml:space="preserve">causing </w:delText>
        </w:r>
        <w:r w:rsidR="0038489B" w:rsidRPr="00387397" w:rsidDel="00C41923">
          <w:rPr>
            <w:color w:val="000000" w:themeColor="text1"/>
          </w:rPr>
          <w:delText xml:space="preserve">similar concepts to be measured in </w:delText>
        </w:r>
        <w:r w:rsidR="00821839" w:rsidRPr="00387397" w:rsidDel="00C41923">
          <w:rPr>
            <w:color w:val="000000" w:themeColor="text1"/>
          </w:rPr>
          <w:delText xml:space="preserve">different </w:delText>
        </w:r>
        <w:r w:rsidR="0038489B" w:rsidRPr="00387397" w:rsidDel="00C41923">
          <w:rPr>
            <w:color w:val="000000" w:themeColor="text1"/>
          </w:rPr>
          <w:delText>ways</w:delText>
        </w:r>
        <w:r w:rsidR="00B37010" w:rsidRPr="00387397" w:rsidDel="00C41923">
          <w:rPr>
            <w:color w:val="000000" w:themeColor="text1"/>
          </w:rPr>
          <w:delText>,</w:delText>
        </w:r>
        <w:r w:rsidR="0038489B" w:rsidRPr="00387397" w:rsidDel="00C41923">
          <w:rPr>
            <w:color w:val="000000" w:themeColor="text1"/>
          </w:rPr>
          <w:delText xml:space="preserve"> </w:delText>
        </w:r>
        <w:r w:rsidR="00D7178E" w:rsidRPr="00387397" w:rsidDel="00C41923">
          <w:rPr>
            <w:color w:val="000000" w:themeColor="text1"/>
          </w:rPr>
          <w:delText xml:space="preserve">leading to different </w:delText>
        </w:r>
      </w:del>
      <w:r w:rsidR="004A6A03" w:rsidRPr="00387397">
        <w:rPr>
          <w:color w:val="000000" w:themeColor="text1"/>
        </w:rPr>
        <w:t xml:space="preserve">results. </w:t>
      </w:r>
    </w:p>
    <w:p w14:paraId="29D78806" w14:textId="77777777" w:rsidR="006C77F6" w:rsidRDefault="006C77F6" w:rsidP="00387397">
      <w:pPr>
        <w:spacing w:line="480" w:lineRule="auto"/>
        <w:rPr>
          <w:color w:val="000000" w:themeColor="text1"/>
        </w:rPr>
      </w:pPr>
    </w:p>
    <w:p w14:paraId="74C8ED9A" w14:textId="5A1A55F5" w:rsidR="00AC0AFB" w:rsidRDefault="006C77F6" w:rsidP="00387397">
      <w:pPr>
        <w:spacing w:line="480" w:lineRule="auto"/>
        <w:rPr>
          <w:ins w:id="162" w:author="Cashore, Benjamin" w:date="2019-03-11T18:57:00Z"/>
          <w:rFonts w:eastAsia="Times New Roman"/>
          <w:color w:val="000000" w:themeColor="text1"/>
        </w:rPr>
      </w:pPr>
      <w:r>
        <w:rPr>
          <w:color w:val="000000" w:themeColor="text1"/>
        </w:rPr>
        <w:t xml:space="preserve">For example,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ge enduring differences between activist-</w:t>
      </w:r>
      <w:r w:rsidR="00501F82" w:rsidRPr="00387397">
        <w:rPr>
          <w:noProof/>
          <w:color w:val="000000" w:themeColor="text1"/>
        </w:rPr>
        <w:lastRenderedPageBreak/>
        <w:t xml:space="preserve">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ins w:id="163" w:author="Cashore, Benjamin" w:date="2019-03-11T18:55:00Z">
        <w:r w:rsidR="00AC0AFB">
          <w:rPr>
            <w:rFonts w:eastAsia="Times New Roman"/>
            <w:color w:val="000000" w:themeColor="text1"/>
          </w:rPr>
          <w:t xml:space="preserve">Hence, </w:t>
        </w:r>
      </w:ins>
      <w:ins w:id="164" w:author="Cashore, Benjamin" w:date="2019-03-11T18:56:00Z">
        <w:r w:rsidR="00AC0AFB">
          <w:rPr>
            <w:rFonts w:eastAsia="Times New Roman"/>
            <w:color w:val="000000" w:themeColor="text1"/>
          </w:rPr>
          <w:t xml:space="preserve">choices about which </w:t>
        </w:r>
      </w:ins>
      <w:del w:id="165" w:author="Cashore, Benjamin" w:date="2019-03-11T18:55:00Z">
        <w:r w:rsidR="00862563" w:rsidRPr="00387397" w:rsidDel="00AC0AFB">
          <w:rPr>
            <w:rFonts w:eastAsia="Times New Roman"/>
            <w:color w:val="000000" w:themeColor="text1"/>
          </w:rPr>
          <w:delText>T</w:delText>
        </w:r>
        <w:r w:rsidR="0038489B" w:rsidRPr="00387397" w:rsidDel="00AC0AFB">
          <w:rPr>
            <w:rFonts w:eastAsia="Times New Roman"/>
            <w:color w:val="000000" w:themeColor="text1"/>
          </w:rPr>
          <w:delText>h</w:delText>
        </w:r>
        <w:r w:rsidR="001F51BC" w:rsidRPr="00387397" w:rsidDel="00AC0AFB">
          <w:rPr>
            <w:rFonts w:eastAsia="Times New Roman"/>
            <w:color w:val="000000" w:themeColor="text1"/>
          </w:rPr>
          <w:delText>e</w:delText>
        </w:r>
        <w:r w:rsidR="0038489B" w:rsidRPr="00387397" w:rsidDel="00AC0AFB">
          <w:rPr>
            <w:rFonts w:eastAsia="Times New Roman"/>
            <w:color w:val="000000" w:themeColor="text1"/>
          </w:rPr>
          <w:delText xml:space="preserve"> </w:delText>
        </w:r>
      </w:del>
      <w:del w:id="166" w:author="Cashore, Benjamin" w:date="2019-03-11T18:56:00Z">
        <w:r w:rsidR="001F51BC" w:rsidRPr="00387397" w:rsidDel="00AC0AFB">
          <w:rPr>
            <w:rFonts w:eastAsia="Times New Roman"/>
            <w:color w:val="000000" w:themeColor="text1"/>
          </w:rPr>
          <w:delText>differen</w:delText>
        </w:r>
      </w:del>
      <w:del w:id="167" w:author="Cashore, Benjamin" w:date="2019-03-11T18:55:00Z">
        <w:r w:rsidR="001F51BC" w:rsidRPr="00387397" w:rsidDel="00AC0AFB">
          <w:rPr>
            <w:rFonts w:eastAsia="Times New Roman"/>
            <w:color w:val="000000" w:themeColor="text1"/>
          </w:rPr>
          <w:delText>t</w:delText>
        </w:r>
      </w:del>
      <w:del w:id="168" w:author="Cashore, Benjamin" w:date="2019-03-11T18:56:00Z">
        <w:r w:rsidR="001F51BC" w:rsidRPr="00387397" w:rsidDel="00AC0AFB">
          <w:rPr>
            <w:rFonts w:eastAsia="Times New Roman"/>
            <w:color w:val="000000" w:themeColor="text1"/>
          </w:rPr>
          <w:delText xml:space="preserve"> sets </w:delText>
        </w:r>
        <w:r w:rsidR="004A6A03" w:rsidRPr="00387397" w:rsidDel="00AC0AFB">
          <w:rPr>
            <w:rFonts w:eastAsia="Times New Roman"/>
            <w:color w:val="000000" w:themeColor="text1"/>
          </w:rPr>
          <w:delText xml:space="preserve">of </w:delText>
        </w:r>
      </w:del>
      <w:r w:rsidR="004A6A03" w:rsidRPr="00387397">
        <w:rPr>
          <w:rFonts w:eastAsia="Times New Roman"/>
          <w:color w:val="000000" w:themeColor="text1"/>
        </w:rPr>
        <w:t>issue</w:t>
      </w:r>
      <w:ins w:id="169" w:author="Cashore, Benjamin" w:date="2019-03-11T18:56:00Z">
        <w:r w:rsidR="00AC0AFB">
          <w:rPr>
            <w:rFonts w:eastAsia="Times New Roman"/>
            <w:color w:val="000000" w:themeColor="text1"/>
          </w:rPr>
          <w:t xml:space="preserve"> to measure lead to fundamentally different conclusions about variation, </w:t>
        </w:r>
      </w:ins>
      <w:ins w:id="170" w:author="Cashore, Benjamin" w:date="2019-03-11T18:57:00Z">
        <w:r w:rsidR="00AC0AFB">
          <w:rPr>
            <w:rFonts w:eastAsia="Times New Roman"/>
            <w:color w:val="000000" w:themeColor="text1"/>
          </w:rPr>
          <w:t>and also help account for strong differences in explanatory accounts.</w:t>
        </w:r>
      </w:ins>
    </w:p>
    <w:p w14:paraId="52060C46" w14:textId="42A45E70" w:rsidR="00E00ADD" w:rsidRPr="00387397" w:rsidDel="00AC0AFB" w:rsidRDefault="004A6A03" w:rsidP="00387397">
      <w:pPr>
        <w:spacing w:line="480" w:lineRule="auto"/>
        <w:rPr>
          <w:del w:id="171" w:author="Cashore, Benjamin" w:date="2019-03-11T18:57:00Z"/>
          <w:rFonts w:eastAsia="Times New Roman"/>
          <w:color w:val="000000" w:themeColor="text1"/>
        </w:rPr>
      </w:pPr>
      <w:del w:id="172" w:author="Cashore, Benjamin" w:date="2019-03-11T18:56:00Z">
        <w:r w:rsidRPr="00387397" w:rsidDel="00AC0AFB">
          <w:rPr>
            <w:rFonts w:eastAsia="Times New Roman"/>
            <w:color w:val="000000" w:themeColor="text1"/>
          </w:rPr>
          <w:delText>s</w:delText>
        </w:r>
      </w:del>
      <w:del w:id="173" w:author="Cashore, Benjamin" w:date="2019-03-11T18:57:00Z">
        <w:r w:rsidR="001F51BC" w:rsidRPr="00387397" w:rsidDel="00AC0AFB">
          <w:rPr>
            <w:rFonts w:eastAsia="Times New Roman"/>
            <w:color w:val="000000" w:themeColor="text1"/>
          </w:rPr>
          <w:delText xml:space="preserve"> selected by these two studies</w:delText>
        </w:r>
        <w:r w:rsidR="0038489B" w:rsidRPr="00387397" w:rsidDel="00AC0AFB">
          <w:rPr>
            <w:rFonts w:eastAsia="Times New Roman"/>
            <w:color w:val="000000" w:themeColor="text1"/>
          </w:rPr>
          <w:delText xml:space="preserve"> illustrate </w:delText>
        </w:r>
        <w:r w:rsidR="000C28CD" w:rsidRPr="00387397" w:rsidDel="00AC0AFB">
          <w:rPr>
            <w:rFonts w:eastAsia="Times New Roman"/>
            <w:color w:val="000000" w:themeColor="text1"/>
          </w:rPr>
          <w:delText>only a few of the many</w:delText>
        </w:r>
        <w:r w:rsidR="0038489B" w:rsidRPr="00387397" w:rsidDel="00AC0AFB">
          <w:rPr>
            <w:rFonts w:eastAsia="Times New Roman"/>
            <w:color w:val="000000" w:themeColor="text1"/>
          </w:rPr>
          <w:delText xml:space="preserve"> different ways </w:delText>
        </w:r>
        <w:r w:rsidR="00503C39" w:rsidRPr="00387397" w:rsidDel="00AC0AFB">
          <w:rPr>
            <w:rFonts w:eastAsia="Times New Roman"/>
            <w:color w:val="000000" w:themeColor="text1"/>
          </w:rPr>
          <w:delText>private regulations</w:delText>
        </w:r>
        <w:r w:rsidR="0038489B" w:rsidRPr="00387397" w:rsidDel="00AC0AFB">
          <w:rPr>
            <w:rFonts w:eastAsia="Times New Roman"/>
            <w:color w:val="000000" w:themeColor="text1"/>
          </w:rPr>
          <w:delText xml:space="preserve"> may vary</w:delText>
        </w:r>
        <w:r w:rsidR="00E00ADD" w:rsidRPr="00387397" w:rsidDel="00AC0AFB">
          <w:rPr>
            <w:rFonts w:eastAsia="Times New Roman"/>
            <w:color w:val="000000" w:themeColor="text1"/>
          </w:rPr>
          <w:delText xml:space="preserve">. </w:delText>
        </w:r>
      </w:del>
    </w:p>
    <w:p w14:paraId="3A005C49" w14:textId="77777777" w:rsidR="00E00ADD" w:rsidRPr="00387397" w:rsidRDefault="00E00ADD" w:rsidP="00387397">
      <w:pPr>
        <w:spacing w:line="480" w:lineRule="auto"/>
        <w:rPr>
          <w:rFonts w:eastAsia="Times New Roman"/>
          <w:color w:val="000000" w:themeColor="text1"/>
        </w:rPr>
      </w:pPr>
    </w:p>
    <w:p w14:paraId="7F51C550" w14:textId="34453386" w:rsidR="00C80933" w:rsidRPr="00387397" w:rsidRDefault="0033739D" w:rsidP="0033739D">
      <w:pPr>
        <w:spacing w:line="480" w:lineRule="auto"/>
        <w:rPr>
          <w:rFonts w:eastAsia="Times New Roman"/>
          <w:color w:val="000000" w:themeColor="text1"/>
        </w:rPr>
      </w:pPr>
      <w:ins w:id="174" w:author="Cashore, Benjamin" w:date="2019-03-11T18:58:00Z">
        <w:r>
          <w:rPr>
            <w:rFonts w:eastAsia="Times New Roman"/>
            <w:color w:val="000000" w:themeColor="text1"/>
          </w:rPr>
          <w:t xml:space="preserve">Hence, </w:t>
        </w:r>
      </w:ins>
      <w:del w:id="175" w:author="Cashore, Benjamin" w:date="2019-03-11T18:57:00Z">
        <w:r w:rsidR="00E00ADD" w:rsidRPr="00387397" w:rsidDel="00AC0AFB">
          <w:rPr>
            <w:rFonts w:eastAsia="Times New Roman"/>
            <w:color w:val="000000" w:themeColor="text1"/>
          </w:rPr>
          <w:delText>The above example</w:delText>
        </w:r>
        <w:r w:rsidR="00862563" w:rsidRPr="00387397" w:rsidDel="00AC0AFB">
          <w:rPr>
            <w:rFonts w:eastAsia="Times New Roman"/>
            <w:color w:val="000000" w:themeColor="text1"/>
          </w:rPr>
          <w:delText xml:space="preserve"> also illustrates two</w:delText>
        </w:r>
      </w:del>
      <w:ins w:id="176" w:author="Cashore, Benjamin" w:date="2019-03-11T18:58:00Z">
        <w:r>
          <w:rPr>
            <w:rFonts w:eastAsia="Times New Roman"/>
            <w:color w:val="000000" w:themeColor="text1"/>
          </w:rPr>
          <w:t>t</w:t>
        </w:r>
      </w:ins>
      <w:ins w:id="177" w:author="Cashore, Benjamin" w:date="2019-03-11T18:57:00Z">
        <w:r w:rsidR="00AC0AFB">
          <w:rPr>
            <w:rFonts w:eastAsia="Times New Roman"/>
            <w:color w:val="000000" w:themeColor="text1"/>
          </w:rPr>
          <w:t>wo</w:t>
        </w:r>
      </w:ins>
      <w:r w:rsidR="00862563" w:rsidRPr="00387397">
        <w:rPr>
          <w:rFonts w:eastAsia="Times New Roman"/>
          <w:color w:val="000000" w:themeColor="text1"/>
        </w:rPr>
        <w:t xml:space="preserve"> common </w:t>
      </w:r>
      <w:ins w:id="178" w:author="Cashore, Benjamin" w:date="2019-03-11T18:57:00Z">
        <w:r w:rsidR="00AC0AFB">
          <w:rPr>
            <w:rFonts w:eastAsia="Times New Roman"/>
            <w:color w:val="000000" w:themeColor="text1"/>
          </w:rPr>
          <w:t xml:space="preserve">challenges face efforts to </w:t>
        </w:r>
      </w:ins>
      <w:del w:id="179" w:author="Cashore, Benjamin" w:date="2019-03-11T18:57:00Z">
        <w:r w:rsidR="00674894" w:rsidRPr="00387397" w:rsidDel="00AC0AFB">
          <w:rPr>
            <w:rFonts w:eastAsia="Times New Roman"/>
            <w:color w:val="000000" w:themeColor="text1"/>
          </w:rPr>
          <w:delText>difficulties</w:delText>
        </w:r>
        <w:r w:rsidR="00862563" w:rsidRPr="00387397" w:rsidDel="00AC0AFB">
          <w:rPr>
            <w:rFonts w:eastAsia="Times New Roman"/>
            <w:color w:val="000000" w:themeColor="text1"/>
          </w:rPr>
          <w:delText xml:space="preserve"> in </w:delText>
        </w:r>
      </w:del>
      <w:r w:rsidR="00862563" w:rsidRPr="00387397">
        <w:rPr>
          <w:rFonts w:eastAsia="Times New Roman"/>
          <w:color w:val="000000" w:themeColor="text1"/>
        </w:rPr>
        <w:t xml:space="preserve">identifying </w:t>
      </w:r>
      <w:ins w:id="180" w:author="Cashore, Benjamin" w:date="2019-03-11T18:57:00Z">
        <w:r w:rsidR="00AC0AFB">
          <w:rPr>
            <w:rFonts w:eastAsia="Times New Roman"/>
            <w:color w:val="000000" w:themeColor="text1"/>
          </w:rPr>
          <w:t xml:space="preserve">change </w:t>
        </w:r>
      </w:ins>
      <w:r w:rsidR="00862563" w:rsidRPr="00387397">
        <w:rPr>
          <w:rFonts w:eastAsia="Times New Roman"/>
          <w:color w:val="000000" w:themeColor="text1"/>
        </w:rPr>
        <w:t>patterns</w:t>
      </w:r>
      <w:del w:id="181" w:author="Cashore, Benjamin" w:date="2019-03-11T18:58:00Z">
        <w:r w:rsidR="00862563" w:rsidRPr="00387397" w:rsidDel="00AC0AFB">
          <w:rPr>
            <w:rFonts w:eastAsia="Times New Roman"/>
            <w:color w:val="000000" w:themeColor="text1"/>
          </w:rPr>
          <w:delText xml:space="preserve"> like convergence</w:delText>
        </w:r>
      </w:del>
      <w:r w:rsidR="0038489B" w:rsidRPr="00387397">
        <w:rPr>
          <w:rFonts w:eastAsia="Times New Roman"/>
          <w:color w:val="000000" w:themeColor="text1"/>
        </w:rPr>
        <w:t xml:space="preserve">. First, </w:t>
      </w:r>
      <w:del w:id="182" w:author="Cashore, Benjamin" w:date="2019-03-11T18:58:00Z">
        <w:r w:rsidR="00F10DAC" w:rsidRPr="00387397" w:rsidDel="0033739D">
          <w:rPr>
            <w:rFonts w:eastAsia="Times New Roman"/>
            <w:color w:val="000000" w:themeColor="text1"/>
          </w:rPr>
          <w:delText>conclusions may</w:delText>
        </w:r>
      </w:del>
      <w:ins w:id="183" w:author="Cashore, Benjamin" w:date="2019-03-11T18:58:00Z">
        <w:r>
          <w:rPr>
            <w:rFonts w:eastAsia="Times New Roman"/>
            <w:color w:val="000000" w:themeColor="text1"/>
          </w:rPr>
          <w:t>results vary</w:t>
        </w:r>
      </w:ins>
      <w:r w:rsidR="00F10DAC" w:rsidRPr="00387397">
        <w:rPr>
          <w:rFonts w:eastAsia="Times New Roman"/>
          <w:color w:val="000000" w:themeColor="text1"/>
        </w:rPr>
        <w:t xml:space="preserve"> </w:t>
      </w:r>
      <w:del w:id="184" w:author="Cashore, Benjamin" w:date="2019-03-11T18:58:00Z">
        <w:r w:rsidR="005B1D92" w:rsidRPr="00387397" w:rsidDel="0033739D">
          <w:rPr>
            <w:rFonts w:eastAsia="Times New Roman"/>
            <w:color w:val="000000" w:themeColor="text1"/>
          </w:rPr>
          <w:delText>differ if drawn from a different set</w:delText>
        </w:r>
        <w:r w:rsidR="0038489B" w:rsidRPr="00387397" w:rsidDel="0033739D">
          <w:rPr>
            <w:rFonts w:eastAsia="Times New Roman"/>
            <w:color w:val="000000" w:themeColor="text1"/>
          </w:rPr>
          <w:delText xml:space="preserve"> of known </w:delText>
        </w:r>
        <w:r w:rsidR="000C28CD" w:rsidRPr="00387397" w:rsidDel="0033739D">
          <w:rPr>
            <w:rFonts w:eastAsia="Times New Roman"/>
            <w:color w:val="000000" w:themeColor="text1"/>
          </w:rPr>
          <w:delText>areas</w:delText>
        </w:r>
        <w:r w:rsidR="0038489B" w:rsidRPr="00387397" w:rsidDel="0033739D">
          <w:rPr>
            <w:rFonts w:eastAsia="Times New Roman"/>
            <w:color w:val="000000" w:themeColor="text1"/>
          </w:rPr>
          <w:delText xml:space="preserve"> of</w:delText>
        </w:r>
        <w:r w:rsidR="000C28CD" w:rsidRPr="00387397" w:rsidDel="0033739D">
          <w:rPr>
            <w:rFonts w:eastAsia="Times New Roman"/>
            <w:color w:val="000000" w:themeColor="text1"/>
          </w:rPr>
          <w:delText xml:space="preserve"> potential</w:delText>
        </w:r>
        <w:r w:rsidR="0038489B" w:rsidRPr="00387397" w:rsidDel="0033739D">
          <w:rPr>
            <w:rFonts w:eastAsia="Times New Roman"/>
            <w:color w:val="000000" w:themeColor="text1"/>
          </w:rPr>
          <w:delText xml:space="preserve"> variation</w:delText>
        </w:r>
      </w:del>
      <w:ins w:id="185" w:author="Cashore, Benjamin" w:date="2019-03-11T18:58:00Z">
        <w:r>
          <w:rPr>
            <w:rFonts w:eastAsia="Times New Roman"/>
            <w:color w:val="000000" w:themeColor="text1"/>
          </w:rPr>
          <w:t>depending on issues studied</w:t>
        </w:r>
      </w:ins>
      <w:r w:rsidR="0038489B" w:rsidRPr="00387397">
        <w:rPr>
          <w:rFonts w:eastAsia="Times New Roman"/>
          <w:color w:val="000000" w:themeColor="text1"/>
        </w:rPr>
        <w:t>.</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00E00ADD"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xml:space="preserve">. </w:t>
      </w:r>
      <w:del w:id="186" w:author="Cashore, Benjamin" w:date="2019-03-11T18:58:00Z">
        <w:r w:rsidR="001F51BC" w:rsidRPr="00387397" w:rsidDel="0033739D">
          <w:rPr>
            <w:rFonts w:eastAsia="Times New Roman"/>
            <w:bCs/>
            <w:color w:val="000000" w:themeColor="text1"/>
          </w:rPr>
          <w:delText>Indeed, as we show in section</w:delText>
        </w:r>
        <w:r w:rsidR="00FC4A9B" w:rsidRPr="00387397" w:rsidDel="0033739D">
          <w:rPr>
            <w:rFonts w:eastAsia="Times New Roman"/>
            <w:bCs/>
            <w:color w:val="000000" w:themeColor="text1"/>
          </w:rPr>
          <w:delText>s</w:delText>
        </w:r>
        <w:r w:rsidR="001F51BC" w:rsidRPr="00387397" w:rsidDel="0033739D">
          <w:rPr>
            <w:rFonts w:eastAsia="Times New Roman"/>
            <w:bCs/>
            <w:color w:val="000000" w:themeColor="text1"/>
          </w:rPr>
          <w:delText xml:space="preserve"> 4</w:delText>
        </w:r>
        <w:r w:rsidR="00FC4A9B" w:rsidRPr="00387397" w:rsidDel="0033739D">
          <w:rPr>
            <w:rFonts w:eastAsia="Times New Roman"/>
            <w:bCs/>
            <w:color w:val="000000" w:themeColor="text1"/>
          </w:rPr>
          <w:delText xml:space="preserve"> and 5</w:delText>
        </w:r>
        <w:r w:rsidR="001F51BC" w:rsidRPr="00387397" w:rsidDel="0033739D">
          <w:rPr>
            <w:rFonts w:eastAsia="Times New Roman"/>
            <w:bCs/>
            <w:color w:val="000000" w:themeColor="text1"/>
          </w:rPr>
          <w:delText xml:space="preserve">, these </w:delText>
        </w:r>
        <w:r w:rsidR="005B1D92" w:rsidRPr="00387397" w:rsidDel="0033739D">
          <w:rPr>
            <w:rFonts w:eastAsia="Times New Roman"/>
            <w:bCs/>
            <w:color w:val="000000" w:themeColor="text1"/>
          </w:rPr>
          <w:delText xml:space="preserve">forestry </w:delText>
        </w:r>
        <w:r w:rsidR="00074F81" w:rsidRPr="00387397" w:rsidDel="0033739D">
          <w:rPr>
            <w:rFonts w:eastAsia="Times New Roman"/>
            <w:bCs/>
            <w:color w:val="000000" w:themeColor="text1"/>
          </w:rPr>
          <w:delText xml:space="preserve">certification </w:delText>
        </w:r>
        <w:r w:rsidR="0072282C" w:rsidRPr="00387397" w:rsidDel="0033739D">
          <w:rPr>
            <w:rFonts w:eastAsia="Times New Roman"/>
            <w:bCs/>
            <w:color w:val="000000" w:themeColor="text1"/>
          </w:rPr>
          <w:delText>programs</w:delText>
        </w:r>
        <w:r w:rsidR="005B1D92" w:rsidRPr="00387397" w:rsidDel="0033739D">
          <w:rPr>
            <w:rFonts w:eastAsia="Times New Roman"/>
            <w:bCs/>
            <w:color w:val="000000" w:themeColor="text1"/>
          </w:rPr>
          <w:delText xml:space="preserve"> </w:delText>
        </w:r>
        <w:r w:rsidR="000C28CD" w:rsidRPr="00387397" w:rsidDel="0033739D">
          <w:rPr>
            <w:i/>
            <w:color w:val="000000" w:themeColor="text1"/>
          </w:rPr>
          <w:delText>do</w:delText>
        </w:r>
        <w:r w:rsidR="000C28CD" w:rsidRPr="00387397" w:rsidDel="0033739D">
          <w:rPr>
            <w:rFonts w:eastAsia="Times New Roman"/>
            <w:bCs/>
            <w:color w:val="000000" w:themeColor="text1"/>
          </w:rPr>
          <w:delText xml:space="preserve"> </w:delText>
        </w:r>
        <w:r w:rsidR="001F51BC" w:rsidRPr="00387397" w:rsidDel="0033739D">
          <w:rPr>
            <w:rFonts w:eastAsia="Times New Roman"/>
            <w:bCs/>
            <w:color w:val="000000" w:themeColor="text1"/>
          </w:rPr>
          <w:delText xml:space="preserve">have </w:delText>
        </w:r>
        <w:r w:rsidR="005B2406" w:rsidRPr="00387397" w:rsidDel="0033739D">
          <w:rPr>
            <w:rFonts w:eastAsia="Times New Roman"/>
            <w:bCs/>
            <w:color w:val="000000" w:themeColor="text1"/>
          </w:rPr>
          <w:delText>common trajectories on</w:delText>
        </w:r>
        <w:r w:rsidR="005B1D92" w:rsidRPr="00387397" w:rsidDel="0033739D">
          <w:rPr>
            <w:rFonts w:eastAsia="Times New Roman"/>
            <w:bCs/>
            <w:color w:val="000000" w:themeColor="text1"/>
          </w:rPr>
          <w:delText xml:space="preserve"> pro</w:delText>
        </w:r>
        <w:r w:rsidR="005B2406" w:rsidRPr="00387397" w:rsidDel="0033739D">
          <w:rPr>
            <w:rFonts w:eastAsia="Times New Roman"/>
            <w:bCs/>
            <w:color w:val="000000" w:themeColor="text1"/>
          </w:rPr>
          <w:delText>cedural openness</w:delText>
        </w:r>
        <w:r w:rsidR="00B40706" w:rsidRPr="00387397" w:rsidDel="0033739D">
          <w:rPr>
            <w:rFonts w:eastAsia="Times New Roman"/>
            <w:bCs/>
            <w:color w:val="000000" w:themeColor="text1"/>
          </w:rPr>
          <w:delText>,</w:delText>
        </w:r>
        <w:r w:rsidR="005B2406" w:rsidRPr="00387397" w:rsidDel="0033739D">
          <w:rPr>
            <w:rFonts w:eastAsia="Times New Roman"/>
            <w:bCs/>
            <w:color w:val="000000" w:themeColor="text1"/>
          </w:rPr>
          <w:delText xml:space="preserve"> but </w:delText>
        </w:r>
        <w:r w:rsidR="00B40706" w:rsidRPr="00387397" w:rsidDel="0033739D">
          <w:rPr>
            <w:rFonts w:eastAsia="Times New Roman"/>
            <w:bCs/>
            <w:color w:val="000000" w:themeColor="text1"/>
          </w:rPr>
          <w:delText xml:space="preserve">they </w:delText>
        </w:r>
        <w:r w:rsidR="00F04715" w:rsidRPr="00532339" w:rsidDel="0033739D">
          <w:rPr>
            <w:rFonts w:eastAsia="Times New Roman"/>
            <w:bCs/>
            <w:i/>
            <w:color w:val="000000" w:themeColor="text1"/>
          </w:rPr>
          <w:delText>also</w:delText>
        </w:r>
        <w:r w:rsidR="00F04715" w:rsidDel="0033739D">
          <w:rPr>
            <w:rFonts w:eastAsia="Times New Roman"/>
            <w:bCs/>
            <w:color w:val="000000" w:themeColor="text1"/>
          </w:rPr>
          <w:delText xml:space="preserve"> </w:delText>
        </w:r>
        <w:r w:rsidR="00B40706" w:rsidRPr="00387397" w:rsidDel="0033739D">
          <w:rPr>
            <w:rFonts w:eastAsia="Times New Roman"/>
            <w:bCs/>
            <w:color w:val="000000" w:themeColor="text1"/>
          </w:rPr>
          <w:delText xml:space="preserve">have </w:delText>
        </w:r>
        <w:r w:rsidR="005B2406" w:rsidRPr="00387397" w:rsidDel="0033739D">
          <w:rPr>
            <w:rFonts w:eastAsia="Times New Roman"/>
            <w:bCs/>
            <w:color w:val="000000" w:themeColor="text1"/>
          </w:rPr>
          <w:delText>divergent trajectories on</w:delText>
        </w:r>
        <w:r w:rsidR="005B1D92" w:rsidRPr="00387397" w:rsidDel="0033739D">
          <w:rPr>
            <w:rFonts w:eastAsia="Times New Roman"/>
            <w:bCs/>
            <w:color w:val="000000" w:themeColor="text1"/>
          </w:rPr>
          <w:delText xml:space="preserve"> ecological protection.</w:delText>
        </w:r>
      </w:del>
    </w:p>
    <w:p w14:paraId="798016E5" w14:textId="77777777" w:rsidR="00C80933" w:rsidRPr="00387397" w:rsidRDefault="00C80933" w:rsidP="00387397">
      <w:pPr>
        <w:spacing w:line="480" w:lineRule="auto"/>
        <w:rPr>
          <w:rFonts w:eastAsia="Times New Roman"/>
          <w:bCs/>
          <w:color w:val="000000" w:themeColor="text1"/>
        </w:rPr>
      </w:pPr>
    </w:p>
    <w:p w14:paraId="4CE158F3" w14:textId="598DDDB9" w:rsidR="00522762" w:rsidDel="001D5EB6" w:rsidRDefault="001F51BC" w:rsidP="00387397">
      <w:pPr>
        <w:spacing w:line="480" w:lineRule="auto"/>
        <w:rPr>
          <w:del w:id="187" w:author="Cashore, Benjamin" w:date="2019-03-11T18:59:00Z"/>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xml:space="preserve">. </w:t>
      </w:r>
      <w:del w:id="188" w:author="Cashore, Benjamin" w:date="2019-03-11T18:59:00Z">
        <w:r w:rsidR="005F4C03" w:rsidRPr="00387397" w:rsidDel="001D5EB6">
          <w:rPr>
            <w:rFonts w:eastAsia="Times New Roman"/>
            <w:color w:val="000000" w:themeColor="text1"/>
          </w:rPr>
          <w:delText>Indeed, a</w:delText>
        </w:r>
        <w:r w:rsidRPr="00387397" w:rsidDel="001D5EB6">
          <w:rPr>
            <w:rFonts w:eastAsia="Times New Roman"/>
            <w:color w:val="000000" w:themeColor="text1"/>
          </w:rPr>
          <w:delText>s we show in section</w:delText>
        </w:r>
        <w:r w:rsidR="00FC4A9B" w:rsidRPr="00387397" w:rsidDel="001D5EB6">
          <w:rPr>
            <w:rFonts w:eastAsia="Times New Roman"/>
            <w:color w:val="000000" w:themeColor="text1"/>
          </w:rPr>
          <w:delText>s</w:delText>
        </w:r>
        <w:r w:rsidRPr="00387397" w:rsidDel="001D5EB6">
          <w:rPr>
            <w:rFonts w:eastAsia="Times New Roman"/>
            <w:color w:val="000000" w:themeColor="text1"/>
          </w:rPr>
          <w:delText xml:space="preserve"> 4</w:delText>
        </w:r>
        <w:r w:rsidR="00FC4A9B" w:rsidRPr="00387397" w:rsidDel="001D5EB6">
          <w:rPr>
            <w:rFonts w:eastAsia="Times New Roman"/>
            <w:color w:val="000000" w:themeColor="text1"/>
          </w:rPr>
          <w:delText xml:space="preserve"> and 5</w:delText>
        </w:r>
        <w:r w:rsidRPr="00387397" w:rsidDel="001D5EB6">
          <w:rPr>
            <w:rFonts w:eastAsia="Times New Roman"/>
            <w:color w:val="000000" w:themeColor="text1"/>
          </w:rPr>
          <w:delText xml:space="preserve">, </w:delText>
        </w:r>
        <w:r w:rsidR="00745275" w:rsidRPr="00387397" w:rsidDel="001D5EB6">
          <w:rPr>
            <w:rFonts w:eastAsia="Times New Roman"/>
            <w:color w:val="000000" w:themeColor="text1"/>
          </w:rPr>
          <w:delText>U.S.</w:delText>
        </w:r>
        <w:r w:rsidRPr="00387397" w:rsidDel="001D5EB6">
          <w:rPr>
            <w:rFonts w:eastAsia="Times New Roman"/>
            <w:color w:val="000000" w:themeColor="text1"/>
          </w:rPr>
          <w:delText xml:space="preserve"> forest certification standards </w:delText>
        </w:r>
        <w:r w:rsidR="005F4C03" w:rsidRPr="00387397" w:rsidDel="001D5EB6">
          <w:rPr>
            <w:rFonts w:eastAsia="Times New Roman"/>
            <w:color w:val="000000" w:themeColor="text1"/>
          </w:rPr>
          <w:delText xml:space="preserve">may have </w:delText>
        </w:r>
        <w:r w:rsidRPr="00387397" w:rsidDel="001D5EB6">
          <w:rPr>
            <w:rFonts w:eastAsia="Times New Roman"/>
            <w:color w:val="000000" w:themeColor="text1"/>
          </w:rPr>
          <w:delText xml:space="preserve">slightly converged in scope but </w:delText>
        </w:r>
        <w:r w:rsidR="005F4C03" w:rsidRPr="00387397" w:rsidDel="001D5EB6">
          <w:rPr>
            <w:rFonts w:eastAsia="Times New Roman"/>
            <w:color w:val="000000" w:themeColor="text1"/>
          </w:rPr>
          <w:delText xml:space="preserve">they </w:delText>
        </w:r>
        <w:r w:rsidRPr="00387397" w:rsidDel="001D5EB6">
          <w:rPr>
            <w:rFonts w:eastAsia="Times New Roman"/>
            <w:color w:val="000000" w:themeColor="text1"/>
          </w:rPr>
          <w:delText xml:space="preserve">diverged in overall prescriptiveness and levels of performance required. </w:delText>
        </w:r>
      </w:del>
    </w:p>
    <w:p w14:paraId="3273145A" w14:textId="327FD681" w:rsidR="00522762" w:rsidRDefault="00522762" w:rsidP="001D5EB6">
      <w:pPr>
        <w:spacing w:line="480" w:lineRule="auto"/>
        <w:rPr>
          <w:ins w:id="189" w:author="Cashore, Benjamin" w:date="2019-03-11T18:59:00Z"/>
          <w:rFonts w:eastAsia="Times New Roman"/>
          <w:color w:val="000000" w:themeColor="text1"/>
        </w:rPr>
      </w:pPr>
    </w:p>
    <w:p w14:paraId="6D54D399" w14:textId="77777777" w:rsidR="001D5EB6" w:rsidRPr="00387397" w:rsidRDefault="001D5EB6" w:rsidP="001D5EB6">
      <w:pPr>
        <w:spacing w:line="480" w:lineRule="auto"/>
        <w:rPr>
          <w:rFonts w:eastAsia="Times New Roman"/>
          <w:color w:val="000000" w:themeColor="text1"/>
        </w:rPr>
      </w:pPr>
    </w:p>
    <w:p w14:paraId="4F1EF73B" w14:textId="3137AD26" w:rsidR="00921C3C" w:rsidRPr="00387397" w:rsidRDefault="00F04715" w:rsidP="00EB4F8E">
      <w:pPr>
        <w:spacing w:line="480" w:lineRule="auto"/>
        <w:rPr>
          <w:rFonts w:eastAsia="Times New Roman"/>
          <w:color w:val="000000" w:themeColor="text1"/>
        </w:rPr>
      </w:pPr>
      <w:commentRangeStart w:id="190"/>
      <w:r>
        <w:rPr>
          <w:rFonts w:eastAsia="Times New Roman"/>
          <w:color w:val="000000" w:themeColor="text1"/>
        </w:rPr>
        <w:lastRenderedPageBreak/>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commentRangeEnd w:id="190"/>
      <w:r w:rsidR="0033739D">
        <w:rPr>
          <w:rStyle w:val="CommentReference"/>
          <w:rFonts w:asciiTheme="minorHAnsi" w:hAnsiTheme="minorHAnsi" w:cstheme="minorBidi"/>
        </w:rPr>
        <w:commentReference w:id="190"/>
      </w:r>
      <w:ins w:id="191" w:author="Cashore, Benjamin" w:date="2019-03-11T19:00:00Z">
        <w:r w:rsidR="001D5EB6">
          <w:rPr>
            <w:rFonts w:eastAsia="Times New Roman"/>
            <w:color w:val="000000" w:themeColor="text1"/>
          </w:rPr>
          <w:t xml:space="preserve">It is for these reasons that </w:t>
        </w:r>
      </w:ins>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Zeitlin </w:t>
      </w:r>
      <w:r w:rsidR="00FC4A9B" w:rsidRPr="00387397">
        <w:rPr>
          <w:rFonts w:eastAsia="Times New Roman"/>
          <w:bCs/>
          <w:color w:val="000000" w:themeColor="text1"/>
        </w:rPr>
        <w:t>(2014)</w:t>
      </w:r>
      <w:r w:rsidR="0081786F">
        <w:rPr>
          <w:rFonts w:eastAsia="Times New Roman"/>
          <w:bCs/>
          <w:color w:val="000000" w:themeColor="text1"/>
        </w:rPr>
        <w:t xml:space="preserve"> </w:t>
      </w:r>
      <w:del w:id="192" w:author="Cashore, Benjamin" w:date="2019-03-11T19:00:00Z">
        <w:r w:rsidR="0081786F" w:rsidDel="003A7534">
          <w:rPr>
            <w:rFonts w:eastAsia="Times New Roman"/>
            <w:bCs/>
            <w:color w:val="000000" w:themeColor="text1"/>
          </w:rPr>
          <w:delText>are correct</w:delText>
        </w:r>
      </w:del>
      <w:ins w:id="193" w:author="Cashore, Benjamin" w:date="2019-03-11T19:00:00Z">
        <w:r w:rsidR="001D5EB6">
          <w:rPr>
            <w:rFonts w:eastAsia="Times New Roman"/>
            <w:bCs/>
            <w:color w:val="000000" w:themeColor="text1"/>
          </w:rPr>
          <w:t xml:space="preserve">assert </w:t>
        </w:r>
      </w:ins>
      <w:r w:rsidR="00CC3E25">
        <w:rPr>
          <w:rFonts w:eastAsia="Times New Roman"/>
          <w:bCs/>
          <w:color w:val="000000" w:themeColor="text1"/>
        </w:rPr>
        <w:t>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w:t>
      </w:r>
      <w:ins w:id="194" w:author="Cashore, Benjamin" w:date="2019-03-11T19:00:00Z">
        <w:r w:rsidR="001D5EB6">
          <w:rPr>
            <w:rFonts w:eastAsia="Times New Roman"/>
            <w:bCs/>
            <w:color w:val="000000" w:themeColor="text1"/>
          </w:rPr>
          <w:t xml:space="preserve">SFI </w:t>
        </w:r>
      </w:ins>
      <w:del w:id="195" w:author="Cashore, Benjamin" w:date="2019-03-11T19:00:00Z">
        <w:r w:rsidR="005B2406" w:rsidRPr="00387397" w:rsidDel="001D5EB6">
          <w:rPr>
            <w:rFonts w:eastAsia="Times New Roman"/>
            <w:bCs/>
            <w:color w:val="000000" w:themeColor="text1"/>
          </w:rPr>
          <w:delText xml:space="preserve">industry-backed program </w:delText>
        </w:r>
      </w:del>
      <w:r w:rsidR="005B2406" w:rsidRPr="00387397">
        <w:rPr>
          <w:rFonts w:eastAsia="Times New Roman"/>
          <w:bCs/>
          <w:color w:val="000000" w:themeColor="text1"/>
        </w:rPr>
        <w:t xml:space="preserve">moved in the direction of the </w:t>
      </w:r>
      <w:ins w:id="196" w:author="Cashore, Benjamin" w:date="2019-03-11T19:00:00Z">
        <w:r w:rsidR="001D5EB6">
          <w:rPr>
            <w:rFonts w:eastAsia="Times New Roman"/>
            <w:bCs/>
            <w:color w:val="000000" w:themeColor="text1"/>
          </w:rPr>
          <w:t xml:space="preserve">FSC </w:t>
        </w:r>
      </w:ins>
      <w:del w:id="197" w:author="Cashore, Benjamin" w:date="2019-03-11T19:00:00Z">
        <w:r w:rsidR="005B2406" w:rsidRPr="00387397" w:rsidDel="001D5EB6">
          <w:rPr>
            <w:rFonts w:eastAsia="Times New Roman"/>
            <w:bCs/>
            <w:color w:val="000000" w:themeColor="text1"/>
          </w:rPr>
          <w:delText xml:space="preserve">activist-backed program </w:delText>
        </w:r>
      </w:del>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ins w:id="198" w:author="Cashore, Benjamin" w:date="2019-03-11T19:00:00Z">
        <w:r w:rsidR="001D5EB6">
          <w:rPr>
            <w:rFonts w:eastAsia="Times New Roman"/>
            <w:bCs/>
            <w:color w:val="000000" w:themeColor="text1"/>
          </w:rPr>
          <w:t xml:space="preserve">found that </w:t>
        </w:r>
      </w:ins>
      <w:del w:id="199" w:author="Cashore, Benjamin" w:date="2019-03-11T19:00:00Z">
        <w:r w:rsidR="005F4C03" w:rsidRPr="00387397" w:rsidDel="001D5EB6">
          <w:rPr>
            <w:rFonts w:eastAsia="Times New Roman"/>
            <w:bCs/>
            <w:color w:val="000000" w:themeColor="text1"/>
          </w:rPr>
          <w:delText>are</w:delText>
        </w:r>
        <w:r w:rsidR="00C80933" w:rsidRPr="00387397" w:rsidDel="001D5EB6">
          <w:rPr>
            <w:rFonts w:eastAsia="Times New Roman"/>
            <w:bCs/>
            <w:color w:val="000000" w:themeColor="text1"/>
          </w:rPr>
          <w:delText xml:space="preserve"> also correct that </w:delText>
        </w:r>
      </w:del>
      <w:r w:rsidR="00C80933" w:rsidRPr="00387397">
        <w:rPr>
          <w:rFonts w:eastAsia="Times New Roman"/>
          <w:bCs/>
          <w:color w:val="000000" w:themeColor="text1"/>
        </w:rPr>
        <w:t>the</w:t>
      </w:r>
      <w:r w:rsidR="008F2333">
        <w:rPr>
          <w:rFonts w:eastAsia="Times New Roman"/>
          <w:bCs/>
          <w:color w:val="000000" w:themeColor="text1"/>
        </w:rPr>
        <w:t>se competing program</w:t>
      </w:r>
      <w:r w:rsidR="0081786F">
        <w:rPr>
          <w:rFonts w:eastAsia="Times New Roman"/>
          <w:bCs/>
          <w:color w:val="000000" w:themeColor="text1"/>
        </w:rPr>
        <w:t>s</w:t>
      </w:r>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del w:id="200" w:author="Cashore, Benjamin" w:date="2019-03-11T19:01:00Z">
        <w:r w:rsidR="007E744D" w:rsidDel="00EB4F8E">
          <w:rPr>
            <w:rFonts w:eastAsia="Times New Roman"/>
            <w:bCs/>
            <w:color w:val="000000" w:themeColor="text1"/>
          </w:rPr>
          <w:delText xml:space="preserve">Distinguishing among often-conflated dimensions of stringency thus clarifies both findings. It also cautions </w:delText>
        </w:r>
        <w:r w:rsidR="007E744D" w:rsidRPr="00387397" w:rsidDel="00EB4F8E">
          <w:rPr>
            <w:rFonts w:eastAsia="Times New Roman"/>
            <w:bCs/>
            <w:color w:val="000000" w:themeColor="text1"/>
          </w:rPr>
          <w:delText xml:space="preserve">readers and practitioners </w:delText>
        </w:r>
        <w:r w:rsidR="007E744D" w:rsidDel="00EB4F8E">
          <w:rPr>
            <w:rFonts w:eastAsia="Times New Roman"/>
            <w:bCs/>
            <w:color w:val="000000" w:themeColor="text1"/>
          </w:rPr>
          <w:delText>against</w:delText>
        </w:r>
        <w:r w:rsidR="007E744D" w:rsidRPr="00387397" w:rsidDel="00EB4F8E">
          <w:rPr>
            <w:rFonts w:eastAsia="Times New Roman"/>
            <w:bCs/>
            <w:color w:val="000000" w:themeColor="text1"/>
          </w:rPr>
          <w:delText xml:space="preserve"> overgeneralizing</w:delText>
        </w:r>
        <w:r w:rsidR="007E744D" w:rsidDel="00EB4F8E">
          <w:rPr>
            <w:rFonts w:eastAsia="Times New Roman"/>
            <w:bCs/>
            <w:color w:val="000000" w:themeColor="text1"/>
          </w:rPr>
          <w:delText xml:space="preserve"> and demands that scholars</w:delText>
        </w:r>
        <w:r w:rsidR="007E744D" w:rsidRPr="00387397" w:rsidDel="00EB4F8E">
          <w:rPr>
            <w:rFonts w:eastAsia="Times New Roman"/>
            <w:bCs/>
            <w:color w:val="000000" w:themeColor="text1"/>
          </w:rPr>
          <w:delText xml:space="preserve"> </w:delText>
        </w:r>
        <w:r w:rsidR="007E744D" w:rsidDel="00EB4F8E">
          <w:rPr>
            <w:rFonts w:eastAsia="Times New Roman"/>
            <w:bCs/>
            <w:color w:val="000000" w:themeColor="text1"/>
          </w:rPr>
          <w:delText>are</w:delText>
        </w:r>
        <w:r w:rsidR="007E744D" w:rsidRPr="00387397" w:rsidDel="00EB4F8E">
          <w:rPr>
            <w:rFonts w:eastAsia="Times New Roman"/>
            <w:bCs/>
            <w:color w:val="000000" w:themeColor="text1"/>
          </w:rPr>
          <w:delText xml:space="preserve"> extraordinarily clear about concepts and measurement</w:delText>
        </w:r>
      </w:del>
      <w:del w:id="201"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202"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w:delText>
        </w:r>
      </w:del>
      <w:del w:id="203" w:author="Cashore, Benjamin" w:date="2019-03-11T19:01:00Z">
        <w:r w:rsidR="007E744D" w:rsidDel="00EB4F8E">
          <w:rPr>
            <w:rFonts w:eastAsia="Times New Roman"/>
            <w:bCs/>
            <w:color w:val="000000" w:themeColor="text1"/>
          </w:rPr>
          <w:delText>.</w:delText>
        </w:r>
        <w:r w:rsidR="002C24AA" w:rsidRPr="00387397" w:rsidDel="00EB4F8E">
          <w:rPr>
            <w:rFonts w:eastAsia="Times New Roman"/>
            <w:bCs/>
            <w:color w:val="000000" w:themeColor="text1"/>
          </w:rPr>
          <w:delText xml:space="preserve"> </w:delText>
        </w:r>
        <w:r w:rsidR="00A91BFB" w:rsidRPr="00387397" w:rsidDel="00EB4F8E">
          <w:rPr>
            <w:rFonts w:eastAsia="Times New Roman"/>
            <w:bCs/>
            <w:color w:val="000000" w:themeColor="text1"/>
          </w:rPr>
          <w:delText xml:space="preserve">Such clarity is difficult without a framework to relate </w:delText>
        </w:r>
        <w:r w:rsidR="00572BE5" w:rsidDel="00EB4F8E">
          <w:rPr>
            <w:rFonts w:eastAsia="Times New Roman"/>
            <w:bCs/>
            <w:color w:val="000000" w:themeColor="text1"/>
          </w:rPr>
          <w:delText xml:space="preserve">different bits of </w:delText>
        </w:r>
        <w:r w:rsidR="00A91BFB" w:rsidRPr="00387397" w:rsidDel="00EB4F8E">
          <w:rPr>
            <w:rFonts w:eastAsia="Times New Roman"/>
            <w:bCs/>
            <w:color w:val="000000" w:themeColor="text1"/>
          </w:rPr>
          <w:delText xml:space="preserve">particular evidence to </w:delText>
        </w:r>
        <w:r w:rsidDel="00EB4F8E">
          <w:rPr>
            <w:rFonts w:eastAsia="Times New Roman"/>
            <w:bCs/>
            <w:color w:val="000000" w:themeColor="text1"/>
          </w:rPr>
          <w:delText xml:space="preserve">shared </w:delText>
        </w:r>
        <w:r w:rsidR="00A91BFB" w:rsidRPr="00387397" w:rsidDel="00EB4F8E">
          <w:rPr>
            <w:rFonts w:eastAsia="Times New Roman"/>
            <w:bCs/>
            <w:color w:val="000000" w:themeColor="text1"/>
          </w:rPr>
          <w:delText>broader concepts of stringency.</w:delText>
        </w:r>
        <w:r w:rsidR="00E85074" w:rsidRPr="00387397" w:rsidDel="00EB4F8E">
          <w:rPr>
            <w:rFonts w:eastAsia="Times New Roman"/>
            <w:bCs/>
            <w:color w:val="000000" w:themeColor="text1"/>
          </w:rPr>
          <w:delText xml:space="preserve"> </w:delText>
        </w:r>
        <w:r w:rsidR="009C57F6" w:rsidRPr="00387397" w:rsidDel="00EB4F8E">
          <w:rPr>
            <w:rFonts w:eastAsia="Times New Roman"/>
            <w:bCs/>
            <w:color w:val="000000" w:themeColor="text1"/>
          </w:rPr>
          <w:delText>Indeed, g</w:delText>
        </w:r>
        <w:r w:rsidR="00ED725B" w:rsidRPr="00387397" w:rsidDel="00EB4F8E">
          <w:rPr>
            <w:rFonts w:eastAsia="Times New Roman"/>
            <w:bCs/>
            <w:color w:val="000000" w:themeColor="text1"/>
          </w:rPr>
          <w:delText xml:space="preserve">eneralizing from different </w:delText>
        </w:r>
        <w:r w:rsidR="00FB51C0" w:rsidRPr="00387397" w:rsidDel="00EB4F8E">
          <w:rPr>
            <w:rFonts w:eastAsia="Times New Roman"/>
            <w:bCs/>
            <w:color w:val="000000" w:themeColor="text1"/>
          </w:rPr>
          <w:delText>evidence—</w:delText>
        </w:r>
        <w:r w:rsidR="00D546C8" w:rsidRPr="00387397" w:rsidDel="00EB4F8E">
          <w:rPr>
            <w:rFonts w:eastAsia="Times New Roman"/>
            <w:bCs/>
            <w:color w:val="000000" w:themeColor="text1"/>
          </w:rPr>
          <w:delText xml:space="preserve">broad </w:delText>
        </w:r>
        <w:r w:rsidR="00FB51C0" w:rsidRPr="00387397" w:rsidDel="00EB4F8E">
          <w:rPr>
            <w:rFonts w:eastAsia="Times New Roman"/>
            <w:bCs/>
            <w:color w:val="000000" w:themeColor="text1"/>
          </w:rPr>
          <w:delText xml:space="preserve">in some cases, </w:delText>
        </w:r>
        <w:r w:rsidR="00D546C8" w:rsidRPr="00387397" w:rsidDel="00EB4F8E">
          <w:rPr>
            <w:rFonts w:eastAsia="Times New Roman"/>
            <w:bCs/>
            <w:color w:val="000000" w:themeColor="text1"/>
          </w:rPr>
          <w:delText xml:space="preserve">particular </w:delText>
        </w:r>
        <w:r w:rsidR="00FB51C0" w:rsidRPr="00387397" w:rsidDel="00EB4F8E">
          <w:rPr>
            <w:rFonts w:eastAsia="Times New Roman"/>
            <w:bCs/>
            <w:color w:val="000000" w:themeColor="text1"/>
          </w:rPr>
          <w:delText>in others—</w:delText>
        </w:r>
        <w:r w:rsidR="00ED725B" w:rsidRPr="00387397" w:rsidDel="00EB4F8E">
          <w:rPr>
            <w:rFonts w:eastAsia="Times New Roman"/>
            <w:bCs/>
            <w:color w:val="000000" w:themeColor="text1"/>
          </w:rPr>
          <w:delText>explains the seemingly contradictory results reviewed above.</w:delText>
        </w:r>
      </w:del>
    </w:p>
    <w:p w14:paraId="24C56AC5" w14:textId="77777777" w:rsidR="001B1297" w:rsidRPr="00387397" w:rsidRDefault="001B1297" w:rsidP="00387397">
      <w:pPr>
        <w:spacing w:line="480" w:lineRule="auto"/>
        <w:rPr>
          <w:rFonts w:eastAsia="Times New Roman"/>
          <w:color w:val="000000" w:themeColor="text1"/>
        </w:rPr>
      </w:pPr>
    </w:p>
    <w:p w14:paraId="7771B277" w14:textId="64112940" w:rsidR="00F00BF7" w:rsidRPr="00387397" w:rsidRDefault="00EB4F8E" w:rsidP="00387397">
      <w:pPr>
        <w:spacing w:line="480" w:lineRule="auto"/>
        <w:rPr>
          <w:rFonts w:eastAsia="Times New Roman"/>
          <w:color w:val="000000" w:themeColor="text1"/>
        </w:rPr>
      </w:pPr>
      <w:ins w:id="204" w:author="Cashore, Benjamin" w:date="2019-03-11T19:01:00Z">
        <w:r>
          <w:rPr>
            <w:rFonts w:eastAsia="Times New Roman"/>
            <w:color w:val="000000" w:themeColor="text1"/>
          </w:rPr>
          <w:t>One of the challenges facing broader comparisons with fin</w:t>
        </w:r>
      </w:ins>
      <w:ins w:id="205" w:author="Cashore, Benjamin" w:date="2019-03-11T19:02:00Z">
        <w:r>
          <w:rPr>
            <w:rFonts w:eastAsia="Times New Roman"/>
            <w:color w:val="000000" w:themeColor="text1"/>
          </w:rPr>
          <w:t xml:space="preserve">er grained empirical attention is that the research process is </w:t>
        </w:r>
      </w:ins>
      <w:del w:id="206" w:author="Cashore, Benjamin" w:date="2019-03-11T19:02:00Z">
        <w:r w:rsidR="00637F86" w:rsidDel="00EB4F8E">
          <w:rPr>
            <w:rFonts w:eastAsia="Times New Roman"/>
            <w:color w:val="000000" w:themeColor="text1"/>
          </w:rPr>
          <w:delText>At the same time</w:delText>
        </w:r>
        <w:r w:rsidR="0081786F" w:rsidDel="00EB4F8E">
          <w:rPr>
            <w:rFonts w:eastAsia="Times New Roman"/>
            <w:color w:val="000000" w:themeColor="text1"/>
          </w:rPr>
          <w:delText>,</w:delText>
        </w:r>
        <w:r w:rsidR="00637F86" w:rsidDel="00EB4F8E">
          <w:rPr>
            <w:rFonts w:eastAsia="Times New Roman"/>
            <w:color w:val="000000" w:themeColor="text1"/>
          </w:rPr>
          <w:delText xml:space="preserve"> </w:delText>
        </w:r>
        <w:r w:rsidR="0081786F" w:rsidDel="00EB4F8E">
          <w:rPr>
            <w:rFonts w:eastAsia="Times New Roman"/>
            <w:color w:val="000000" w:themeColor="text1"/>
          </w:rPr>
          <w:delText>studies</w:delText>
        </w:r>
        <w:r w:rsidR="00637F86" w:rsidDel="00EB4F8E">
          <w:rPr>
            <w:rFonts w:eastAsia="Times New Roman"/>
            <w:color w:val="000000" w:themeColor="text1"/>
          </w:rPr>
          <w:delText xml:space="preserve"> that employ</w:delText>
        </w:r>
        <w:r w:rsidR="00284AF6" w:rsidDel="00EB4F8E">
          <w:rPr>
            <w:rFonts w:eastAsia="Times New Roman"/>
            <w:color w:val="000000" w:themeColor="text1"/>
          </w:rPr>
          <w:delText xml:space="preserve"> broader measurement concepts </w:delText>
        </w:r>
        <w:r w:rsidR="0081786F" w:rsidDel="00EB4F8E">
          <w:rPr>
            <w:rFonts w:eastAsia="Times New Roman"/>
            <w:color w:val="000000" w:themeColor="text1"/>
          </w:rPr>
          <w:delText xml:space="preserve">(at the bottom of Table 1) </w:delText>
        </w:r>
        <w:r w:rsidR="00284AF6" w:rsidDel="00EB4F8E">
          <w:rPr>
            <w:rFonts w:eastAsia="Times New Roman"/>
            <w:color w:val="000000" w:themeColor="text1"/>
          </w:rPr>
          <w:delText xml:space="preserve">tend to have less empirical detail. </w:delText>
        </w:r>
        <w:r w:rsidR="0038489B" w:rsidRPr="00387397" w:rsidDel="00EB4F8E">
          <w:rPr>
            <w:rFonts w:eastAsia="Times New Roman"/>
            <w:color w:val="000000" w:themeColor="text1"/>
          </w:rPr>
          <w:delText xml:space="preserve">Two challenges </w:delText>
        </w:r>
        <w:r w:rsidR="005F0486" w:rsidRPr="00387397" w:rsidDel="00EB4F8E">
          <w:rPr>
            <w:rFonts w:eastAsia="Times New Roman"/>
            <w:color w:val="000000" w:themeColor="text1"/>
          </w:rPr>
          <w:delText xml:space="preserve">appear to have </w:delText>
        </w:r>
        <w:r w:rsidR="0038489B" w:rsidRPr="00387397" w:rsidDel="00EB4F8E">
          <w:rPr>
            <w:rFonts w:eastAsia="Times New Roman"/>
            <w:color w:val="000000" w:themeColor="text1"/>
          </w:rPr>
          <w:delText>create</w:delText>
        </w:r>
        <w:r w:rsidR="005F0486" w:rsidRPr="00387397" w:rsidDel="00EB4F8E">
          <w:rPr>
            <w:rFonts w:eastAsia="Times New Roman"/>
            <w:color w:val="000000" w:themeColor="text1"/>
          </w:rPr>
          <w:delText>d</w:delText>
        </w:r>
        <w:r w:rsidR="0038489B" w:rsidRPr="00387397" w:rsidDel="00EB4F8E">
          <w:rPr>
            <w:rFonts w:eastAsia="Times New Roman"/>
            <w:color w:val="000000" w:themeColor="text1"/>
          </w:rPr>
          <w:delText xml:space="preserve"> </w:delText>
        </w:r>
        <w:r w:rsidR="00572BE5" w:rsidDel="00EB4F8E">
          <w:rPr>
            <w:rFonts w:eastAsia="Times New Roman"/>
            <w:color w:val="000000" w:themeColor="text1"/>
          </w:rPr>
          <w:delText>th</w:delText>
        </w:r>
        <w:r w:rsidR="00284AF6" w:rsidDel="00EB4F8E">
          <w:rPr>
            <w:rFonts w:eastAsia="Times New Roman"/>
            <w:color w:val="000000" w:themeColor="text1"/>
          </w:rPr>
          <w:delText>is</w:delText>
        </w:r>
        <w:r w:rsidR="0038489B" w:rsidRPr="00387397" w:rsidDel="00EB4F8E">
          <w:rPr>
            <w:rFonts w:eastAsia="Times New Roman"/>
            <w:color w:val="000000" w:themeColor="text1"/>
          </w:rPr>
          <w:delText xml:space="preserve"> breadth-depth tradeoff</w:delText>
        </w:r>
        <w:r w:rsidR="005F0486" w:rsidRPr="00387397" w:rsidDel="00EB4F8E">
          <w:rPr>
            <w:rFonts w:eastAsia="Times New Roman"/>
            <w:color w:val="000000" w:themeColor="text1"/>
          </w:rPr>
          <w:delText xml:space="preserve">. First, </w:delText>
        </w:r>
        <w:r w:rsidR="0085433F" w:rsidDel="00EB4F8E">
          <w:rPr>
            <w:rFonts w:eastAsia="Times New Roman"/>
            <w:color w:val="000000" w:themeColor="text1"/>
          </w:rPr>
          <w:delText xml:space="preserve">research that is </w:delText>
        </w:r>
        <w:r w:rsidR="005F0486" w:rsidRPr="00387397" w:rsidDel="00EB4F8E">
          <w:rPr>
            <w:rFonts w:eastAsia="Times New Roman"/>
            <w:color w:val="000000" w:themeColor="text1"/>
          </w:rPr>
          <w:delText>both comprehensive and precise</w:delText>
        </w:r>
        <w:r w:rsidR="0038489B" w:rsidRPr="00387397" w:rsidDel="00EB4F8E">
          <w:rPr>
            <w:rFonts w:eastAsia="Times New Roman"/>
            <w:color w:val="000000" w:themeColor="text1"/>
          </w:rPr>
          <w:delText xml:space="preserve"> is </w:delText>
        </w:r>
      </w:del>
      <w:r w:rsidR="0038489B" w:rsidRPr="00387397">
        <w:rPr>
          <w:rFonts w:eastAsia="Times New Roman"/>
          <w:color w:val="000000" w:themeColor="text1"/>
        </w:rPr>
        <w:t>costly</w:t>
      </w:r>
      <w:r w:rsidR="00F80416" w:rsidRPr="00387397">
        <w:rPr>
          <w:rFonts w:eastAsia="Times New Roman"/>
          <w:color w:val="000000" w:themeColor="text1"/>
        </w:rPr>
        <w:t xml:space="preserve"> </w:t>
      </w:r>
      <w:r w:rsidR="0085433F">
        <w:rPr>
          <w:rFonts w:eastAsia="Times New Roman"/>
          <w:color w:val="000000" w:themeColor="text1"/>
        </w:rPr>
        <w:t>and time consuming</w:t>
      </w:r>
      <w:r w:rsidR="0038489B" w:rsidRPr="00387397">
        <w:rPr>
          <w:rFonts w:eastAsia="Times New Roman"/>
          <w:color w:val="000000" w:themeColor="text1"/>
        </w:rPr>
        <w:t xml:space="preserve">. </w:t>
      </w:r>
      <w:ins w:id="207" w:author="Cashore, Benjamin" w:date="2019-03-11T19:02:00Z">
        <w:r>
          <w:rPr>
            <w:rFonts w:eastAsia="Times New Roman"/>
            <w:color w:val="000000" w:themeColor="text1"/>
          </w:rPr>
          <w:t>Another is limited attention to developing robust descriptive fram</w:t>
        </w:r>
      </w:ins>
      <w:ins w:id="208" w:author="Cashore, Benjamin" w:date="2019-03-11T19:03:00Z">
        <w:r>
          <w:rPr>
            <w:rFonts w:eastAsia="Times New Roman"/>
            <w:color w:val="000000" w:themeColor="text1"/>
          </w:rPr>
          <w:t>eworks.</w:t>
        </w:r>
      </w:ins>
      <w:del w:id="209" w:author="Cashore, Benjamin" w:date="2019-03-11T19:02:00Z">
        <w:r w:rsidR="0038489B" w:rsidRPr="00387397" w:rsidDel="00EB4F8E">
          <w:rPr>
            <w:rFonts w:eastAsia="Times New Roman"/>
            <w:color w:val="000000" w:themeColor="text1"/>
          </w:rPr>
          <w:delText xml:space="preserve">Second, even if researchers conduct </w:delText>
        </w:r>
        <w:r w:rsidR="00C94C63" w:rsidRPr="00387397" w:rsidDel="00EB4F8E">
          <w:rPr>
            <w:rFonts w:eastAsia="Times New Roman"/>
            <w:color w:val="000000" w:themeColor="text1"/>
          </w:rPr>
          <w:delText xml:space="preserve">a </w:delText>
        </w:r>
        <w:r w:rsidR="0038489B" w:rsidRPr="00387397" w:rsidDel="00EB4F8E">
          <w:rPr>
            <w:rFonts w:eastAsia="Times New Roman"/>
            <w:color w:val="000000" w:themeColor="text1"/>
          </w:rPr>
          <w:delText>detailed analysis of a comprehensive set of policy issues,</w:delText>
        </w:r>
      </w:del>
      <w:del w:id="210" w:author="Cashore, Benjamin" w:date="2019-03-11T19:03:00Z">
        <w:r w:rsidR="0038489B" w:rsidRPr="00387397" w:rsidDel="00EB4F8E">
          <w:rPr>
            <w:rFonts w:eastAsia="Times New Roman"/>
            <w:color w:val="000000" w:themeColor="text1"/>
          </w:rPr>
          <w:delText xml:space="preserve"> </w:delText>
        </w:r>
        <w:r w:rsidR="005B1D92" w:rsidRPr="00387397" w:rsidDel="00EB4F8E">
          <w:rPr>
            <w:rFonts w:eastAsia="Times New Roman"/>
            <w:color w:val="000000" w:themeColor="text1"/>
          </w:rPr>
          <w:delText xml:space="preserve">we lack consistent methods for </w:delText>
        </w:r>
        <w:r w:rsidR="0038489B" w:rsidRPr="00387397" w:rsidDel="00EB4F8E">
          <w:rPr>
            <w:rFonts w:eastAsia="Times New Roman"/>
            <w:color w:val="000000" w:themeColor="text1"/>
          </w:rPr>
          <w:delText xml:space="preserve">aggregating comparisons </w:delText>
        </w:r>
        <w:r w:rsidR="005B1D92" w:rsidRPr="00387397" w:rsidDel="00EB4F8E">
          <w:rPr>
            <w:rFonts w:eastAsia="Times New Roman"/>
            <w:color w:val="000000" w:themeColor="text1"/>
          </w:rPr>
          <w:delText xml:space="preserve">across </w:delText>
        </w:r>
        <w:r w:rsidR="0038489B" w:rsidRPr="00387397" w:rsidDel="00EB4F8E">
          <w:rPr>
            <w:rFonts w:eastAsia="Times New Roman"/>
            <w:color w:val="000000" w:themeColor="text1"/>
          </w:rPr>
          <w:delText xml:space="preserve">different issues to </w:delText>
        </w:r>
        <w:r w:rsidR="005B1D92" w:rsidRPr="00387397" w:rsidDel="00EB4F8E">
          <w:rPr>
            <w:rFonts w:eastAsia="Times New Roman"/>
            <w:color w:val="000000" w:themeColor="text1"/>
          </w:rPr>
          <w:delText>describe general trends</w:delText>
        </w:r>
        <w:r w:rsidR="0038489B" w:rsidRPr="00387397" w:rsidDel="00EB4F8E">
          <w:rPr>
            <w:rFonts w:eastAsia="Times New Roman"/>
            <w:color w:val="000000" w:themeColor="text1"/>
          </w:rPr>
          <w:delText xml:space="preserve">. Indeed, specific requirements are often incommensurable between programs and can only be </w:delText>
        </w:r>
        <w:r w:rsidR="007B1BAF" w:rsidRPr="00387397" w:rsidDel="00EB4F8E">
          <w:rPr>
            <w:rFonts w:eastAsia="Times New Roman"/>
            <w:color w:val="000000" w:themeColor="text1"/>
          </w:rPr>
          <w:delText xml:space="preserve">appropriately </w:delText>
        </w:r>
        <w:r w:rsidR="0038489B" w:rsidRPr="00387397" w:rsidDel="00EB4F8E">
          <w:rPr>
            <w:rFonts w:eastAsia="Times New Roman"/>
            <w:color w:val="000000" w:themeColor="text1"/>
          </w:rPr>
          <w:delText>compared through descriptive narratives.</w:delText>
        </w:r>
      </w:del>
    </w:p>
    <w:p w14:paraId="16EC0CFA" w14:textId="77777777" w:rsidR="009E45C0" w:rsidRPr="00387397" w:rsidRDefault="009E45C0" w:rsidP="00387397">
      <w:pPr>
        <w:spacing w:line="480" w:lineRule="auto"/>
        <w:rPr>
          <w:rFonts w:eastAsia="Times New Roman"/>
          <w:color w:val="000000" w:themeColor="text1"/>
        </w:rPr>
      </w:pPr>
    </w:p>
    <w:p w14:paraId="7390448B" w14:textId="1302B851" w:rsidR="008B2888" w:rsidRPr="00387397" w:rsidRDefault="00EB4F8E" w:rsidP="00387397">
      <w:pPr>
        <w:pStyle w:val="NormalWeb"/>
        <w:spacing w:before="0" w:beforeAutospacing="0" w:after="0" w:afterAutospacing="0" w:line="480" w:lineRule="auto"/>
        <w:rPr>
          <w:color w:val="000000" w:themeColor="text1"/>
        </w:rPr>
      </w:pPr>
      <w:ins w:id="211" w:author="Cashore, Benjamin" w:date="2019-03-11T19:03:00Z">
        <w:r>
          <w:rPr>
            <w:rFonts w:eastAsia="Times New Roman"/>
            <w:color w:val="000000" w:themeColor="text1"/>
          </w:rPr>
          <w:t xml:space="preserve">Our framework helps fill these gaps by applying </w:t>
        </w:r>
      </w:ins>
      <w:del w:id="212" w:author="Cashore, Benjamin" w:date="2019-03-11T19:03:00Z">
        <w:r w:rsidR="0038489B" w:rsidRPr="00387397" w:rsidDel="00EB4F8E">
          <w:rPr>
            <w:rFonts w:eastAsia="Times New Roman"/>
            <w:color w:val="000000" w:themeColor="text1"/>
          </w:rPr>
          <w:delText xml:space="preserve">We </w:delText>
        </w:r>
        <w:r w:rsidR="00ED725B" w:rsidRPr="00387397" w:rsidDel="00EB4F8E">
          <w:rPr>
            <w:rFonts w:eastAsia="Times New Roman"/>
            <w:color w:val="000000" w:themeColor="text1"/>
          </w:rPr>
          <w:delText xml:space="preserve">partially </w:delText>
        </w:r>
        <w:r w:rsidR="005F0486" w:rsidRPr="00387397" w:rsidDel="00EB4F8E">
          <w:rPr>
            <w:rFonts w:eastAsia="Times New Roman"/>
            <w:color w:val="000000" w:themeColor="text1"/>
          </w:rPr>
          <w:delText xml:space="preserve">overcome </w:delText>
        </w:r>
        <w:r w:rsidR="00ED725B" w:rsidRPr="00387397" w:rsidDel="00EB4F8E">
          <w:rPr>
            <w:rFonts w:eastAsia="Times New Roman"/>
            <w:color w:val="000000" w:themeColor="text1"/>
          </w:rPr>
          <w:delText xml:space="preserve">the second </w:delText>
        </w:r>
        <w:r w:rsidR="005F0486" w:rsidRPr="00387397" w:rsidDel="00EB4F8E">
          <w:rPr>
            <w:rFonts w:eastAsia="Times New Roman"/>
            <w:color w:val="000000" w:themeColor="text1"/>
          </w:rPr>
          <w:delText xml:space="preserve">dilemma </w:delText>
        </w:r>
        <w:r w:rsidR="000230CA" w:rsidRPr="00387397" w:rsidDel="00EB4F8E">
          <w:rPr>
            <w:rFonts w:eastAsia="Times New Roman"/>
            <w:color w:val="000000" w:themeColor="text1"/>
          </w:rPr>
          <w:delText>by</w:delText>
        </w:r>
        <w:r w:rsidR="001C5A5A" w:rsidRPr="00387397" w:rsidDel="00EB4F8E">
          <w:rPr>
            <w:rFonts w:eastAsia="Times New Roman"/>
            <w:color w:val="000000" w:themeColor="text1"/>
          </w:rPr>
          <w:delText>, in addition to</w:delText>
        </w:r>
        <w:r w:rsidR="00ED725B" w:rsidRPr="00387397" w:rsidDel="00EB4F8E">
          <w:rPr>
            <w:rFonts w:eastAsia="Times New Roman"/>
            <w:color w:val="000000" w:themeColor="text1"/>
          </w:rPr>
          <w:delText xml:space="preserve"> </w:delText>
        </w:r>
      </w:del>
      <w:r w:rsidR="00ED725B" w:rsidRPr="00387397">
        <w:rPr>
          <w:rFonts w:eastAsia="Times New Roman"/>
          <w:color w:val="000000" w:themeColor="text1"/>
        </w:rPr>
        <w:t>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ins w:id="213" w:author="Cashore, Benjamin" w:date="2019-03-11T19:03:00Z">
        <w:r>
          <w:rPr>
            <w:rFonts w:eastAsia="Times New Roman"/>
            <w:color w:val="000000" w:themeColor="text1"/>
          </w:rPr>
          <w:t xml:space="preserve">as well as offering an approach to regulatory classification </w:t>
        </w:r>
      </w:ins>
      <w:del w:id="214" w:author="Cashore, Benjamin" w:date="2019-03-11T19:03:00Z">
        <w:r w:rsidR="000230CA" w:rsidRPr="00387397" w:rsidDel="00EB4F8E">
          <w:rPr>
            <w:rFonts w:eastAsia="Times New Roman"/>
            <w:color w:val="000000" w:themeColor="text1"/>
          </w:rPr>
          <w:delText xml:space="preserve">using </w:delText>
        </w:r>
        <w:r w:rsidR="0038489B" w:rsidRPr="00387397" w:rsidDel="00EB4F8E">
          <w:rPr>
            <w:rFonts w:eastAsia="Times New Roman"/>
            <w:color w:val="000000" w:themeColor="text1"/>
          </w:rPr>
          <w:delText xml:space="preserve">two measurement </w:delText>
        </w:r>
        <w:r w:rsidR="0039606B" w:rsidRPr="00387397" w:rsidDel="00EB4F8E">
          <w:rPr>
            <w:rFonts w:eastAsia="Times New Roman"/>
            <w:color w:val="000000" w:themeColor="text1"/>
          </w:rPr>
          <w:delText>concepts</w:delText>
        </w:r>
        <w:r w:rsidR="0038489B" w:rsidRPr="00387397" w:rsidDel="00EB4F8E">
          <w:rPr>
            <w:rFonts w:eastAsia="Times New Roman"/>
            <w:color w:val="000000" w:themeColor="text1"/>
          </w:rPr>
          <w:delText xml:space="preserve"> </w:delText>
        </w:r>
      </w:del>
      <w:r w:rsidR="0038489B" w:rsidRPr="00387397">
        <w:rPr>
          <w:rFonts w:eastAsia="Times New Roman"/>
          <w:color w:val="000000" w:themeColor="text1"/>
        </w:rPr>
        <w:t>t</w:t>
      </w:r>
      <w:r w:rsidR="00E97E36" w:rsidRPr="00387397">
        <w:rPr>
          <w:rFonts w:eastAsia="Times New Roman"/>
          <w:color w:val="000000" w:themeColor="text1"/>
        </w:rPr>
        <w:t xml:space="preserve">hat can be applied </w:t>
      </w:r>
      <w:ins w:id="215" w:author="Cashore, Benjamin" w:date="2019-03-11T19:04:00Z">
        <w:r>
          <w:rPr>
            <w:rFonts w:eastAsia="Times New Roman"/>
            <w:color w:val="000000" w:themeColor="text1"/>
          </w:rPr>
          <w:t xml:space="preserve">across a range of issue areas. </w:t>
        </w:r>
      </w:ins>
      <w:del w:id="216" w:author="Cashore, Benjamin" w:date="2019-03-11T19:04:00Z">
        <w:r w:rsidR="00E97E36" w:rsidRPr="00387397" w:rsidDel="00867336">
          <w:rPr>
            <w:rFonts w:eastAsia="Times New Roman"/>
            <w:color w:val="000000" w:themeColor="text1"/>
          </w:rPr>
          <w:delText>to all</w:delText>
        </w:r>
        <w:r w:rsidR="00102576" w:rsidRPr="00387397" w:rsidDel="00867336">
          <w:rPr>
            <w:rFonts w:eastAsia="Times New Roman"/>
            <w:color w:val="000000" w:themeColor="text1"/>
          </w:rPr>
          <w:delText xml:space="preserve"> types of requirement</w:delText>
        </w:r>
        <w:commentRangeStart w:id="217"/>
        <w:r w:rsidR="00102576" w:rsidRPr="00387397" w:rsidDel="002B4705">
          <w:rPr>
            <w:rFonts w:eastAsia="Times New Roman"/>
            <w:color w:val="000000" w:themeColor="text1"/>
          </w:rPr>
          <w:delText>s</w:delText>
        </w:r>
        <w:r w:rsidR="00FD5A64" w:rsidRPr="00387397" w:rsidDel="002B4705">
          <w:rPr>
            <w:rFonts w:eastAsia="Times New Roman"/>
            <w:color w:val="000000" w:themeColor="text1"/>
          </w:rPr>
          <w:delText>.</w:delText>
        </w:r>
      </w:del>
      <w:r w:rsidR="00FD5A64" w:rsidRPr="00387397">
        <w:rPr>
          <w:rFonts w:eastAsia="Times New Roman"/>
          <w:color w:val="000000" w:themeColor="text1"/>
        </w:rPr>
        <w:t xml:space="preserve">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0038489B" w:rsidRPr="00387397">
        <w:rPr>
          <w:rFonts w:eastAsia="Times New Roman"/>
          <w:color w:val="000000" w:themeColor="text1"/>
        </w:rPr>
        <w:t>general trends.</w:t>
      </w:r>
      <w:commentRangeEnd w:id="217"/>
      <w:r w:rsidR="002B4705">
        <w:rPr>
          <w:rStyle w:val="CommentReference"/>
          <w:rFonts w:asciiTheme="minorHAnsi" w:hAnsiTheme="minorHAnsi" w:cstheme="minorBidi"/>
        </w:rPr>
        <w:commentReference w:id="217"/>
      </w:r>
      <w:r w:rsidR="00F40BC6">
        <w:rPr>
          <w:rFonts w:eastAsia="Times New Roman"/>
          <w:color w:val="000000" w:themeColor="text1"/>
        </w:rPr>
        <w:t xml:space="preserve"> </w:t>
      </w:r>
      <w:ins w:id="218" w:author="Cashore, Benjamin" w:date="2019-03-11T19:05:00Z">
        <w:r w:rsidR="00BE1A0B">
          <w:rPr>
            <w:rFonts w:eastAsia="Times New Roman"/>
            <w:color w:val="000000" w:themeColor="text1"/>
          </w:rPr>
          <w:t>Following Brunel and Levinson (2016), t</w:t>
        </w:r>
      </w:ins>
      <w:del w:id="219" w:author="Cashore, Benjamin" w:date="2019-03-11T19:05:00Z">
        <w:r w:rsidR="00F40BC6" w:rsidDel="00BE1A0B">
          <w:rPr>
            <w:rFonts w:eastAsia="Times New Roman"/>
            <w:color w:val="000000" w:themeColor="text1"/>
          </w:rPr>
          <w:delText>T</w:delText>
        </w:r>
      </w:del>
      <w:r w:rsidR="00F40BC6">
        <w:rPr>
          <w:rFonts w:eastAsia="Times New Roman"/>
          <w:color w:val="000000" w:themeColor="text1"/>
        </w:rPr>
        <w:t xml:space="preserve">his framework </w:t>
      </w:r>
      <w:del w:id="220" w:author="Cashore, Benjamin" w:date="2019-03-11T19:05:00Z">
        <w:r w:rsidR="00F40BC6" w:rsidDel="00BE1A0B">
          <w:rPr>
            <w:rFonts w:eastAsia="Times New Roman"/>
            <w:color w:val="000000" w:themeColor="text1"/>
          </w:rPr>
          <w:delText xml:space="preserve">thus meets </w:delText>
        </w:r>
        <w:r w:rsidR="00DD5BBA" w:rsidDel="00BE1A0B">
          <w:rPr>
            <w:rFonts w:eastAsia="Times New Roman"/>
            <w:color w:val="000000" w:themeColor="text1"/>
          </w:rPr>
          <w:delText xml:space="preserve">the </w:delText>
        </w:r>
      </w:del>
      <w:ins w:id="221" w:author="Cashore, Benjamin" w:date="2019-03-11T19:05:00Z">
        <w:r w:rsidR="00BE1A0B">
          <w:rPr>
            <w:rFonts w:eastAsia="Times New Roman"/>
            <w:color w:val="000000" w:themeColor="text1"/>
          </w:rPr>
          <w:t xml:space="preserve">helps address key factors important for comparing </w:t>
        </w:r>
      </w:ins>
      <w:del w:id="222" w:author="Cashore, Benjamin" w:date="2019-03-11T19:05:00Z">
        <w:r w:rsidR="00F40BC6" w:rsidDel="00BE1A0B">
          <w:rPr>
            <w:rFonts w:eastAsia="Times New Roman"/>
            <w:color w:val="000000" w:themeColor="text1"/>
          </w:rPr>
          <w:delText xml:space="preserve">criteria that Brunel and Levinson (2016) set out </w:delText>
        </w:r>
        <w:r w:rsidR="00DD5BBA" w:rsidDel="00BE1A0B">
          <w:rPr>
            <w:rFonts w:eastAsia="Times New Roman"/>
            <w:color w:val="000000" w:themeColor="text1"/>
          </w:rPr>
          <w:delText xml:space="preserve">for the measurement of </w:delText>
        </w:r>
      </w:del>
      <w:r w:rsidR="00F40BC6">
        <w:rPr>
          <w:rFonts w:eastAsia="Times New Roman"/>
          <w:color w:val="000000" w:themeColor="text1"/>
        </w:rPr>
        <w:t>regulatory stringency</w:t>
      </w:r>
      <w:ins w:id="223" w:author="Cashore, Benjamin" w:date="2019-03-11T19:05:00Z">
        <w:r w:rsidR="00BE1A0B">
          <w:rPr>
            <w:rFonts w:eastAsia="Times New Roman"/>
            <w:color w:val="000000" w:themeColor="text1"/>
          </w:rPr>
          <w:t xml:space="preserve"> across certification program</w:t>
        </w:r>
      </w:ins>
      <w:ins w:id="224" w:author="Cashore, Benjamin" w:date="2019-03-11T19:06:00Z">
        <w:r w:rsidR="00BE1A0B">
          <w:rPr>
            <w:rFonts w:eastAsia="Times New Roman"/>
            <w:color w:val="000000" w:themeColor="text1"/>
          </w:rPr>
          <w:t>s</w:t>
        </w:r>
      </w:ins>
      <w:r w:rsidR="00F40BC6">
        <w:rPr>
          <w:rFonts w:eastAsia="Times New Roman"/>
          <w:color w:val="000000" w:themeColor="text1"/>
        </w:rPr>
        <w:t xml:space="preserve">: </w:t>
      </w:r>
      <w:r w:rsidR="00DD5BBA">
        <w:rPr>
          <w:rFonts w:eastAsia="Times New Roman"/>
          <w:color w:val="000000" w:themeColor="text1"/>
        </w:rPr>
        <w:t xml:space="preserve">(1) </w:t>
      </w:r>
      <w:del w:id="225" w:author="Cashore, Benjamin" w:date="2019-03-11T19:06:00Z">
        <w:r w:rsidR="00DD5BBA" w:rsidDel="00BE1A0B">
          <w:rPr>
            <w:rFonts w:eastAsia="Times New Roman"/>
            <w:color w:val="000000" w:themeColor="text1"/>
          </w:rPr>
          <w:delText xml:space="preserve">it allows </w:delText>
        </w:r>
      </w:del>
      <w:r w:rsidR="00DD5BBA">
        <w:rPr>
          <w:rFonts w:eastAsia="Times New Roman"/>
          <w:color w:val="000000" w:themeColor="text1"/>
        </w:rPr>
        <w:t xml:space="preserve">measurement over time, (2) </w:t>
      </w:r>
      <w:del w:id="226" w:author="Cashore, Benjamin" w:date="2019-03-11T19:06:00Z">
        <w:r w:rsidR="00DD5BBA" w:rsidDel="00BE1A0B">
          <w:rPr>
            <w:rFonts w:eastAsia="Times New Roman"/>
            <w:color w:val="000000" w:themeColor="text1"/>
          </w:rPr>
          <w:delText xml:space="preserve">it allows </w:delText>
        </w:r>
      </w:del>
      <w:r w:rsidR="00DD5BBA">
        <w:rPr>
          <w:rFonts w:eastAsia="Times New Roman"/>
          <w:color w:val="000000" w:themeColor="text1"/>
        </w:rPr>
        <w:t xml:space="preserve">assessment of relative and absolute magnitudes, (3) </w:t>
      </w:r>
      <w:del w:id="227" w:author="Cashore, Benjamin" w:date="2019-03-11T19:06:00Z">
        <w:r w:rsidR="00DD5BBA" w:rsidDel="00BE1A0B">
          <w:rPr>
            <w:rFonts w:eastAsia="Times New Roman"/>
            <w:color w:val="000000" w:themeColor="text1"/>
          </w:rPr>
          <w:delText>it offers overarching measures of</w:delText>
        </w:r>
      </w:del>
      <w:r w:rsidR="00DD5BBA">
        <w:rPr>
          <w:rFonts w:eastAsia="Times New Roman"/>
          <w:color w:val="000000" w:themeColor="text1"/>
        </w:rPr>
        <w:t xml:space="preserve"> multidimensional stringency, and (4) </w:t>
      </w:r>
      <w:commentRangeStart w:id="228"/>
      <w:r w:rsidR="00DD5BBA">
        <w:rPr>
          <w:rFonts w:eastAsia="Times New Roman"/>
          <w:color w:val="000000" w:themeColor="text1"/>
        </w:rPr>
        <w:t>it can be theoretically related to compliance costs</w:t>
      </w:r>
      <w:commentRangeEnd w:id="228"/>
      <w:r w:rsidR="00BE1A0B">
        <w:rPr>
          <w:rStyle w:val="CommentReference"/>
          <w:rFonts w:asciiTheme="minorHAnsi" w:hAnsiTheme="minorHAnsi" w:cstheme="minorBidi"/>
        </w:rPr>
        <w:commentReference w:id="228"/>
      </w:r>
      <w:r w:rsidR="00DD5BBA">
        <w:rPr>
          <w:rFonts w:eastAsia="Times New Roman"/>
          <w:color w:val="000000" w:themeColor="text1"/>
        </w:rPr>
        <w:t xml:space="preserve">. </w:t>
      </w:r>
      <w:commentRangeStart w:id="229"/>
      <w:del w:id="230" w:author="Cashore, Benjamin" w:date="2019-03-11T19:04:00Z">
        <w:r w:rsidR="00DD5BBA" w:rsidDel="002B4705">
          <w:rPr>
            <w:rFonts w:eastAsia="Times New Roman"/>
            <w:color w:val="000000" w:themeColor="text1"/>
          </w:rPr>
          <w:delText xml:space="preserve">To these criteria, we would add that a measurement approach should also capture qualitative differences in policy settings.  </w:delText>
        </w:r>
      </w:del>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commentRangeEnd w:id="229"/>
      <w:r w:rsidR="00BE1A0B">
        <w:rPr>
          <w:rStyle w:val="CommentReference"/>
          <w:rFonts w:asciiTheme="minorHAnsi" w:hAnsiTheme="minorHAnsi" w:cstheme="minorBidi"/>
        </w:rPr>
        <w:commentReference w:id="229"/>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62745D" w:rsidP="00044AED">
      <w:pPr>
        <w:widowControl w:val="0"/>
        <w:autoSpaceDE w:val="0"/>
        <w:autoSpaceDN w:val="0"/>
        <w:adjustRightInd w:val="0"/>
        <w:spacing w:after="240"/>
        <w:rPr>
          <w:b/>
          <w:color w:val="000000" w:themeColor="text1"/>
        </w:rPr>
      </w:pPr>
      <w:r>
        <w:rPr>
          <w:b/>
          <w:color w:val="000000" w:themeColor="text1"/>
        </w:rPr>
        <w:t xml:space="preserve">## </w:t>
      </w:r>
      <w:r w:rsidR="00D255B0"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5E534F04" w:rsidR="0099356D" w:rsidRPr="00387397" w:rsidRDefault="00791462" w:rsidP="00044AED">
      <w:pPr>
        <w:widowControl w:val="0"/>
        <w:autoSpaceDE w:val="0"/>
        <w:autoSpaceDN w:val="0"/>
        <w:adjustRightInd w:val="0"/>
        <w:spacing w:after="240" w:line="480" w:lineRule="auto"/>
        <w:rPr>
          <w:color w:val="000000" w:themeColor="text1"/>
        </w:rPr>
      </w:pPr>
      <w:r>
        <w:rPr>
          <w:color w:val="000000" w:themeColor="text1"/>
        </w:rPr>
        <w:t xml:space="preserve">Our </w:t>
      </w:r>
      <w:r w:rsidR="00090555">
        <w:rPr>
          <w:color w:val="000000" w:themeColor="text1"/>
        </w:rPr>
        <w:t xml:space="preserve">core </w:t>
      </w:r>
      <w:r>
        <w:rPr>
          <w:color w:val="000000" w:themeColor="text1"/>
        </w:rPr>
        <w:t xml:space="preserve">methodological critique is that </w:t>
      </w:r>
      <w:r w:rsidRPr="00387397">
        <w:rPr>
          <w:color w:val="000000" w:themeColor="text1"/>
        </w:rPr>
        <w:t>different dimensions of stringency may exhibit different patterns</w:t>
      </w:r>
      <w:r>
        <w:rPr>
          <w:color w:val="000000" w:themeColor="text1"/>
        </w:rPr>
        <w:t xml:space="preserve"> of change. </w:t>
      </w:r>
      <w:r w:rsidR="00090555">
        <w:rPr>
          <w:color w:val="000000" w:themeColor="text1"/>
        </w:rPr>
        <w:t xml:space="preserve">Thus, </w:t>
      </w:r>
      <w:r w:rsidR="0012750D" w:rsidRPr="00387397">
        <w:rPr>
          <w:color w:val="000000" w:themeColor="text1"/>
        </w:rPr>
        <w:t xml:space="preserve">precise and testable hypotheses about </w:t>
      </w:r>
      <w:r w:rsidR="00D54401">
        <w:rPr>
          <w:color w:val="000000" w:themeColor="text1"/>
        </w:rPr>
        <w:t>the</w:t>
      </w:r>
      <w:r w:rsidR="00572BE5" w:rsidRPr="00387397">
        <w:rPr>
          <w:color w:val="000000" w:themeColor="text1"/>
        </w:rPr>
        <w:t xml:space="preserve"> </w:t>
      </w:r>
      <w:r w:rsidR="0012750D" w:rsidRPr="00387397">
        <w:rPr>
          <w:color w:val="000000" w:themeColor="text1"/>
        </w:rPr>
        <w:t>causes and effects</w:t>
      </w:r>
      <w:r w:rsidR="00D54401">
        <w:rPr>
          <w:color w:val="000000" w:themeColor="text1"/>
        </w:rPr>
        <w:t xml:space="preserve"> of change</w:t>
      </w:r>
      <w:r w:rsidR="00090555">
        <w:rPr>
          <w:color w:val="000000" w:themeColor="text1"/>
        </w:rPr>
        <w:t xml:space="preserve"> </w:t>
      </w:r>
      <w:r w:rsidR="00090555">
        <w:rPr>
          <w:color w:val="000000" w:themeColor="text1"/>
        </w:rPr>
        <w:lastRenderedPageBreak/>
        <w:t>must distinguish among types of policy change</w:t>
      </w:r>
      <w:r w:rsidR="0012750D"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r w:rsidR="0053066D" w:rsidRPr="00387397">
        <w:rPr>
          <w:color w:val="000000" w:themeColor="text1"/>
        </w:rPr>
        <w:t xml:space="preserve">vary </w:t>
      </w:r>
      <w:r w:rsidR="0039606B" w:rsidRPr="00387397">
        <w:rPr>
          <w:color w:val="000000" w:themeColor="text1"/>
        </w:rPr>
        <w:t>independently,</w:t>
      </w:r>
      <w:r w:rsidR="00090555">
        <w:rPr>
          <w:color w:val="000000" w:themeColor="text1"/>
        </w:rPr>
        <w:t xml:space="preserve"> a</w:t>
      </w:r>
      <w:r w:rsidR="0039606B" w:rsidRPr="00387397">
        <w:rPr>
          <w:color w:val="000000" w:themeColor="text1"/>
        </w:rPr>
        <w:t xml:space="preserve">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r w:rsidR="00F43BC1">
        <w:rPr>
          <w:color w:val="000000" w:themeColor="text1"/>
        </w:rPr>
        <w:t>terms of scope, prescriptiveness, and policy settings</w:t>
      </w:r>
      <w:r w:rsidR="008B2888" w:rsidRPr="00387397">
        <w:rPr>
          <w:color w:val="000000" w:themeColor="text1"/>
        </w:rPr>
        <w:t xml:space="preserve"> may </w:t>
      </w:r>
      <w:r w:rsidR="00F43BC1">
        <w:rPr>
          <w:color w:val="000000" w:themeColor="text1"/>
        </w:rPr>
        <w:t>yield</w:t>
      </w:r>
      <w:r w:rsidR="00F43BC1" w:rsidRPr="00387397">
        <w:rPr>
          <w:color w:val="000000" w:themeColor="text1"/>
        </w:rPr>
        <w:t xml:space="preserve"> </w:t>
      </w:r>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t>
      </w:r>
      <w:r w:rsidR="0062745D" w:rsidRPr="0062745D">
        <w:rPr>
          <w:color w:val="000000" w:themeColor="text1"/>
        </w:rPr>
        <w:t>for</w:t>
      </w:r>
      <w:r w:rsidR="00EC15D6" w:rsidRPr="00387397">
        <w:rPr>
          <w:color w:val="000000" w:themeColor="text1"/>
        </w:rPr>
        <w:t xml:space="preserve"> hypotheses rooted in compliance </w:t>
      </w:r>
      <w:r w:rsidR="0012750D"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044AED" w:rsidRDefault="0099356D" w:rsidP="00044AED">
      <w:pPr>
        <w:widowControl w:val="0"/>
        <w:autoSpaceDE w:val="0"/>
        <w:autoSpaceDN w:val="0"/>
        <w:adjustRightInd w:val="0"/>
        <w:spacing w:after="240" w:line="480" w:lineRule="auto"/>
        <w:rPr>
          <w:color w:val="000000" w:themeColor="text1"/>
        </w:rPr>
      </w:pPr>
    </w:p>
    <w:p w14:paraId="338A2938" w14:textId="64FF7CAF" w:rsidR="00D255B0"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Compliance costs</w:t>
      </w:r>
      <w:r w:rsidR="005F7DC8" w:rsidRPr="00044AED">
        <w:rPr>
          <w:color w:val="000000" w:themeColor="text1"/>
        </w:rPr>
        <w:t xml:space="preserve"> and competition</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r w:rsidR="00F43BC1">
        <w:rPr>
          <w:color w:val="000000" w:themeColor="text1"/>
        </w:rPr>
        <w:t xml:space="preserve">expand on two </w:t>
      </w:r>
      <w:r w:rsidR="00F60E8E">
        <w:rPr>
          <w:color w:val="000000" w:themeColor="text1"/>
        </w:rPr>
        <w:t xml:space="preserve">related </w:t>
      </w:r>
      <w:r w:rsidR="00BB2C6D" w:rsidRPr="00387397">
        <w:rPr>
          <w:color w:val="000000" w:themeColor="text1"/>
        </w:rPr>
        <w:t>proposition</w:t>
      </w:r>
      <w:r w:rsidR="005F7DC8">
        <w:rPr>
          <w:color w:val="000000" w:themeColor="text1"/>
        </w:rPr>
        <w:t>s</w:t>
      </w:r>
      <w:r w:rsidR="00F43BC1">
        <w:rPr>
          <w:color w:val="000000" w:themeColor="text1"/>
        </w:rPr>
        <w:t xml:space="preserve">: (1) </w:t>
      </w:r>
      <w:r w:rsidR="00F60E8E">
        <w:rPr>
          <w:color w:val="000000" w:themeColor="text1"/>
        </w:rPr>
        <w:t xml:space="preserve">that </w:t>
      </w:r>
      <w:r w:rsidR="00923B7F" w:rsidRPr="00387397">
        <w:rPr>
          <w:color w:val="000000" w:themeColor="text1"/>
        </w:rPr>
        <w:t>compliance costs cause competing programs to set different levels of stringency</w:t>
      </w:r>
      <w:r w:rsidR="005756EA">
        <w:rPr>
          <w:color w:val="000000" w:themeColor="text1"/>
        </w:rPr>
        <w:t xml:space="preserve"> </w:t>
      </w:r>
      <w:r w:rsidR="005F7DC8">
        <w:rPr>
          <w:color w:val="000000" w:themeColor="text1"/>
        </w:rPr>
        <w:t>and</w:t>
      </w:r>
      <w:r w:rsidR="00F43BC1">
        <w:rPr>
          <w:color w:val="000000" w:themeColor="text1"/>
        </w:rPr>
        <w:t xml:space="preserve"> (2)</w:t>
      </w:r>
      <w:r w:rsidR="00F60E8E">
        <w:rPr>
          <w:color w:val="000000" w:themeColor="text1"/>
        </w:rPr>
        <w:t xml:space="preserve"> that</w:t>
      </w:r>
      <w:r w:rsidR="00923B7F" w:rsidRPr="00387397">
        <w:rPr>
          <w:color w:val="000000" w:themeColor="text1"/>
        </w:rPr>
        <w:t xml:space="preserve"> programs change in response to changes by their competitor. </w:t>
      </w:r>
      <w:r w:rsidR="00F43BC1" w:rsidRPr="00387397">
        <w:rPr>
          <w:color w:val="000000" w:themeColor="text1"/>
        </w:rPr>
        <w:t xml:space="preserve">Cashore et al. </w:t>
      </w:r>
      <w:r w:rsidR="00F43BC1">
        <w:rPr>
          <w:color w:val="000000" w:themeColor="text1"/>
        </w:rPr>
        <w:t>(</w:t>
      </w:r>
      <w:r w:rsidR="00F43BC1" w:rsidRPr="00387397">
        <w:rPr>
          <w:color w:val="000000" w:themeColor="text1"/>
        </w:rPr>
        <w:t>2004</w:t>
      </w:r>
      <w:r w:rsidR="00F43BC1">
        <w:rPr>
          <w:color w:val="000000" w:themeColor="text1"/>
        </w:rPr>
        <w:t xml:space="preserve">) and </w:t>
      </w:r>
      <w:r w:rsidR="00F43BC1" w:rsidRPr="00387397">
        <w:rPr>
          <w:color w:val="000000" w:themeColor="text1"/>
        </w:rPr>
        <w:t>Fischer &amp; Lyon</w:t>
      </w:r>
      <w:r w:rsidR="00F43BC1">
        <w:rPr>
          <w:color w:val="000000" w:themeColor="text1"/>
        </w:rPr>
        <w:t xml:space="preserve"> (</w:t>
      </w:r>
      <w:r w:rsidR="00F43BC1" w:rsidRPr="00387397">
        <w:rPr>
          <w:color w:val="000000" w:themeColor="text1"/>
        </w:rPr>
        <w:t>2014)</w:t>
      </w:r>
      <w:r w:rsidR="00F43BC1">
        <w:rPr>
          <w:color w:val="000000" w:themeColor="text1"/>
        </w:rPr>
        <w:t xml:space="preserve"> theorize that i</w:t>
      </w:r>
      <w:r w:rsidR="00691C7F" w:rsidRPr="00387397">
        <w:rPr>
          <w:color w:val="000000" w:themeColor="text1"/>
        </w:rPr>
        <w:t xml:space="preserve">ndustry-backed programs set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F43BC1">
        <w:rPr>
          <w:color w:val="000000" w:themeColor="text1"/>
        </w:rPr>
        <w:t>.</w:t>
      </w:r>
      <w:r w:rsidR="00691C7F" w:rsidRPr="00387397">
        <w:rPr>
          <w:color w:val="000000" w:themeColor="text1"/>
        </w:rPr>
        <w:t xml:space="preserve"> </w:t>
      </w:r>
      <w:r w:rsidR="00BF2CF0" w:rsidRPr="00387397">
        <w:rPr>
          <w:color w:val="000000" w:themeColor="text1"/>
        </w:rPr>
        <w:t>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w:t>
      </w:r>
      <w:r w:rsidR="00F60E8E">
        <w:rPr>
          <w:color w:val="000000" w:themeColor="text1"/>
        </w:rPr>
        <w:t xml:space="preserve">proposition </w:t>
      </w:r>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r w:rsidR="004220AC">
        <w:rPr>
          <w:color w:val="000000" w:themeColor="text1"/>
        </w:rPr>
        <w:t>requirements</w:t>
      </w:r>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w:t>
      </w:r>
      <w:r w:rsidR="00BA102F" w:rsidRPr="00387397">
        <w:rPr>
          <w:color w:val="000000" w:themeColor="text1"/>
        </w:rPr>
        <w:t xml:space="preserve">Yet, </w:t>
      </w:r>
      <w:r w:rsidR="00BA102F">
        <w:rPr>
          <w:color w:val="000000" w:themeColor="text1"/>
        </w:rPr>
        <w:t xml:space="preserve">these studies do not specify </w:t>
      </w:r>
      <w:r w:rsidR="00BA102F" w:rsidRPr="00387397">
        <w:rPr>
          <w:color w:val="000000" w:themeColor="text1"/>
        </w:rPr>
        <w:t>which dimensions of stringency ought to be affected by compliance costs</w:t>
      </w:r>
      <w:r w:rsidR="00BA102F">
        <w:rPr>
          <w:color w:val="000000" w:themeColor="text1"/>
        </w:rPr>
        <w:t>.</w:t>
      </w:r>
      <w:r w:rsidR="00BA102F" w:rsidRPr="00387397">
        <w:rPr>
          <w:color w:val="000000" w:themeColor="text1"/>
        </w:rPr>
        <w:t xml:space="preserve"> </w:t>
      </w:r>
      <w:r w:rsidR="00BA102F">
        <w:rPr>
          <w:color w:val="000000" w:themeColor="text1"/>
        </w:rPr>
        <w:t xml:space="preserve">Do </w:t>
      </w:r>
      <w:r w:rsidR="00BA102F" w:rsidRPr="00387397">
        <w:rPr>
          <w:color w:val="000000" w:themeColor="text1"/>
        </w:rPr>
        <w:t xml:space="preserve">incentives rooted in compliance cost affect each dimension in the same </w:t>
      </w:r>
      <w:r w:rsidR="00BA102F">
        <w:rPr>
          <w:color w:val="000000" w:themeColor="text1"/>
        </w:rPr>
        <w:t xml:space="preserve">way? </w:t>
      </w:r>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r w:rsidR="00AE3733" w:rsidRPr="00387397">
        <w:rPr>
          <w:color w:val="000000" w:themeColor="text1"/>
        </w:rPr>
        <w:t>Disentangling</w:t>
      </w:r>
      <w:r w:rsidR="0062745D" w:rsidRPr="0062745D">
        <w:rPr>
          <w:color w:val="000000" w:themeColor="text1"/>
        </w:rPr>
        <w:t xml:space="preserve"> policy settings,</w:t>
      </w:r>
      <w:r w:rsidR="00AE3733" w:rsidRPr="00387397">
        <w:rPr>
          <w:color w:val="000000" w:themeColor="text1"/>
        </w:rPr>
        <w:t xml:space="preserve"> scope, </w:t>
      </w:r>
      <w:r w:rsidR="0062745D" w:rsidRPr="0062745D">
        <w:rPr>
          <w:color w:val="000000" w:themeColor="text1"/>
        </w:rPr>
        <w:t xml:space="preserve">and </w:t>
      </w:r>
      <w:r w:rsidR="00AE3733" w:rsidRPr="00387397">
        <w:rPr>
          <w:color w:val="000000" w:themeColor="text1"/>
        </w:rPr>
        <w:t>prescriptiveness suggests</w:t>
      </w:r>
      <w:r w:rsidR="004220AC">
        <w:rPr>
          <w:color w:val="000000" w:themeColor="text1"/>
        </w:rPr>
        <w:t xml:space="preserve"> more precise</w:t>
      </w:r>
      <w:r w:rsidR="00AE3733" w:rsidRPr="00387397">
        <w:rPr>
          <w:color w:val="000000" w:themeColor="text1"/>
        </w:rPr>
        <w:t xml:space="preserve"> </w:t>
      </w:r>
      <w:r w:rsidR="00923B7F" w:rsidRPr="00387397">
        <w:rPr>
          <w:color w:val="000000" w:themeColor="text1"/>
        </w:rPr>
        <w:t>hypotheses</w:t>
      </w:r>
      <w:r w:rsidR="00AE3733" w:rsidRPr="00387397">
        <w:rPr>
          <w:color w:val="000000" w:themeColor="text1"/>
        </w:rPr>
        <w:t xml:space="preserve"> to assess</w:t>
      </w:r>
      <w:r w:rsidR="00F60E8E">
        <w:rPr>
          <w:color w:val="000000" w:themeColor="text1"/>
        </w:rPr>
        <w:t xml:space="preserve"> such</w:t>
      </w:r>
      <w:r w:rsidR="004220AC">
        <w:rPr>
          <w:color w:val="000000" w:themeColor="text1"/>
        </w:rPr>
        <w:t xml:space="preserve"> </w:t>
      </w:r>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r w:rsidR="00090555">
        <w:rPr>
          <w:color w:val="000000" w:themeColor="text1"/>
        </w:rPr>
        <w:t>.</w:t>
      </w:r>
    </w:p>
    <w:p w14:paraId="6DBAA31A" w14:textId="77777777" w:rsidR="00387397" w:rsidRPr="00044AED" w:rsidRDefault="00387397" w:rsidP="00044AED">
      <w:pPr>
        <w:widowControl w:val="0"/>
        <w:autoSpaceDE w:val="0"/>
        <w:autoSpaceDN w:val="0"/>
        <w:adjustRightInd w:val="0"/>
        <w:spacing w:after="240" w:line="480" w:lineRule="auto"/>
        <w:rPr>
          <w:color w:val="000000" w:themeColor="text1"/>
        </w:rPr>
      </w:pPr>
    </w:p>
    <w:p w14:paraId="3F8BF1E8" w14:textId="03FA085A" w:rsidR="00AE3733" w:rsidRPr="00044AED" w:rsidRDefault="00C37BC8" w:rsidP="00044AED">
      <w:pPr>
        <w:widowControl w:val="0"/>
        <w:autoSpaceDE w:val="0"/>
        <w:autoSpaceDN w:val="0"/>
        <w:adjustRightInd w:val="0"/>
        <w:spacing w:after="240" w:line="480" w:lineRule="auto"/>
        <w:rPr>
          <w:color w:val="000000" w:themeColor="text1"/>
        </w:rPr>
      </w:pPr>
      <w:r w:rsidRPr="00090555">
        <w:rPr>
          <w:b/>
          <w:color w:val="000000" w:themeColor="text1"/>
        </w:rPr>
        <w:t>Re</w:t>
      </w:r>
      <w:r w:rsidR="00BF2CF0" w:rsidRPr="00090555">
        <w:rPr>
          <w:b/>
          <w:color w:val="000000" w:themeColor="text1"/>
        </w:rPr>
        <w:t xml:space="preserve">vised </w:t>
      </w:r>
      <w:r w:rsidRPr="00090555">
        <w:rPr>
          <w:b/>
          <w:color w:val="000000" w:themeColor="text1"/>
        </w:rPr>
        <w:t>c</w:t>
      </w:r>
      <w:r w:rsidR="00AE3733" w:rsidRPr="00090555">
        <w:rPr>
          <w:b/>
          <w:color w:val="000000" w:themeColor="text1"/>
        </w:rPr>
        <w:t>ompliance cost h</w:t>
      </w:r>
      <w:r w:rsidR="0099356D" w:rsidRPr="00090555">
        <w:rPr>
          <w:b/>
          <w:color w:val="000000" w:themeColor="text1"/>
        </w:rPr>
        <w:t>ypothes</w:t>
      </w:r>
      <w:r w:rsidR="00AE3733" w:rsidRPr="00090555">
        <w:rPr>
          <w:b/>
          <w:color w:val="000000" w:themeColor="text1"/>
        </w:rPr>
        <w:t>es:</w:t>
      </w:r>
      <w:r w:rsidR="00AE3733" w:rsidRPr="00044AED">
        <w:rPr>
          <w:color w:val="000000" w:themeColor="text1"/>
        </w:rPr>
        <w:t xml:space="preserve">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044AED">
      <w:pPr>
        <w:widowControl w:val="0"/>
        <w:autoSpaceDE w:val="0"/>
        <w:autoSpaceDN w:val="0"/>
        <w:adjustRightInd w:val="0"/>
        <w:spacing w:after="240" w:line="480" w:lineRule="auto"/>
        <w:rPr>
          <w:color w:val="000000" w:themeColor="text1"/>
        </w:rPr>
      </w:pPr>
      <w:r w:rsidRPr="00044AED">
        <w:rPr>
          <w:color w:val="000000" w:themeColor="text1"/>
        </w:rPr>
        <w:t>H1</w:t>
      </w:r>
      <w:r w:rsidR="00C37BC8" w:rsidRPr="00044AED">
        <w:rPr>
          <w:color w:val="000000" w:themeColor="text1"/>
        </w:rPr>
        <w:t>.1</w:t>
      </w:r>
      <w:r w:rsidRPr="00044AED">
        <w:rPr>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0B1EC366" w:rsidR="00D969AD" w:rsidRPr="00387397" w:rsidRDefault="00AE3733" w:rsidP="00044AED">
      <w:pPr>
        <w:widowControl w:val="0"/>
        <w:autoSpaceDE w:val="0"/>
        <w:autoSpaceDN w:val="0"/>
        <w:adjustRightInd w:val="0"/>
        <w:spacing w:after="240" w:line="480" w:lineRule="auto"/>
        <w:rPr>
          <w:color w:val="000000" w:themeColor="text1"/>
        </w:rPr>
      </w:pPr>
      <w:r w:rsidRPr="00044AED">
        <w:rPr>
          <w:color w:val="000000" w:themeColor="text1"/>
        </w:rPr>
        <w:t>H1</w:t>
      </w:r>
      <w:r w:rsidR="00C37BC8" w:rsidRPr="00044AED">
        <w:rPr>
          <w:color w:val="000000" w:themeColor="text1"/>
        </w:rPr>
        <w:t>.2</w:t>
      </w:r>
      <w:r w:rsidRPr="00044AED">
        <w:rPr>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w:t>
      </w:r>
      <w:r w:rsidR="00470494">
        <w:rPr>
          <w:color w:val="000000" w:themeColor="text1"/>
        </w:rPr>
        <w:t>ing</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044AED">
      <w:pPr>
        <w:widowControl w:val="0"/>
        <w:autoSpaceDE w:val="0"/>
        <w:autoSpaceDN w:val="0"/>
        <w:adjustRightInd w:val="0"/>
        <w:spacing w:after="240" w:line="480" w:lineRule="auto"/>
        <w:rPr>
          <w:color w:val="000000" w:themeColor="text1"/>
        </w:rPr>
      </w:pPr>
    </w:p>
    <w:p w14:paraId="54C81C07" w14:textId="43A91E17" w:rsidR="00291F94" w:rsidRDefault="00C37BC8" w:rsidP="00044AED">
      <w:pPr>
        <w:widowControl w:val="0"/>
        <w:autoSpaceDE w:val="0"/>
        <w:autoSpaceDN w:val="0"/>
        <w:adjustRightInd w:val="0"/>
        <w:spacing w:after="240" w:line="480" w:lineRule="auto"/>
        <w:rPr>
          <w:ins w:id="231" w:author="Cashore, Benjamin" w:date="2019-03-11T19:22:00Z"/>
          <w:color w:val="000000" w:themeColor="text1"/>
        </w:rPr>
      </w:pPr>
      <w:r w:rsidRPr="00044AED">
        <w:rPr>
          <w:color w:val="000000" w:themeColor="text1"/>
        </w:rPr>
        <w:t>Differentiation:</w:t>
      </w:r>
      <w:r w:rsidRPr="00387397">
        <w:rPr>
          <w:color w:val="000000" w:themeColor="text1"/>
        </w:rPr>
        <w:t xml:space="preserve"> </w:t>
      </w:r>
      <w:r w:rsidR="0099356D" w:rsidRPr="00387397">
        <w:rPr>
          <w:color w:val="000000" w:themeColor="text1"/>
        </w:rPr>
        <w:t xml:space="preserve">Another core theoretical </w:t>
      </w:r>
      <w:r w:rsidR="00F60E8E">
        <w:rPr>
          <w:color w:val="000000" w:themeColor="text1"/>
        </w:rPr>
        <w:t>claim</w:t>
      </w:r>
      <w:r w:rsidR="00F60E8E" w:rsidRPr="00387397">
        <w:rPr>
          <w:color w:val="000000" w:themeColor="text1"/>
        </w:rPr>
        <w:t xml:space="preserve"> </w:t>
      </w:r>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62745D" w:rsidRPr="0062745D">
        <w:rPr>
          <w:color w:val="000000" w:themeColor="text1"/>
        </w:rPr>
        <w:t>(</w:t>
      </w:r>
      <w:proofErr w:type="spellStart"/>
      <w:r w:rsidR="0062745D" w:rsidRPr="0062745D">
        <w:rPr>
          <w:color w:val="000000" w:themeColor="text1"/>
        </w:rPr>
        <w:t>Botzem</w:t>
      </w:r>
      <w:proofErr w:type="spellEnd"/>
      <w:r w:rsidR="0062745D" w:rsidRPr="0062745D">
        <w:rPr>
          <w:color w:val="000000" w:themeColor="text1"/>
        </w:rPr>
        <w:t xml:space="preserve"> &amp; </w:t>
      </w:r>
      <w:proofErr w:type="spellStart"/>
      <w:r w:rsidR="0062745D" w:rsidRPr="0062745D">
        <w:rPr>
          <w:color w:val="000000" w:themeColor="text1"/>
        </w:rPr>
        <w:t>Dobusch</w:t>
      </w:r>
      <w:proofErr w:type="spellEnd"/>
      <w:r w:rsidR="0062745D" w:rsidRPr="0062745D">
        <w:rPr>
          <w:color w:val="000000" w:themeColor="text1"/>
        </w:rPr>
        <w:t>, 2012; Hsueh and Prakash, 2012).</w:t>
      </w:r>
      <w:r w:rsidR="0099356D" w:rsidRPr="00387397">
        <w:rPr>
          <w:color w:val="000000" w:themeColor="text1"/>
        </w:rPr>
        <w:t xml:space="preserve"> </w:t>
      </w:r>
      <w:r w:rsidR="00090555">
        <w:rPr>
          <w:color w:val="000000" w:themeColor="text1"/>
        </w:rPr>
        <w:t>By distinguishing types of stringency we may identify qualitative differences how stringency varies across programs.</w:t>
      </w:r>
    </w:p>
    <w:p w14:paraId="0E8C365A" w14:textId="33FCA20F" w:rsidR="0099356D" w:rsidDel="00291F94" w:rsidRDefault="00810524" w:rsidP="00044AED">
      <w:pPr>
        <w:widowControl w:val="0"/>
        <w:autoSpaceDE w:val="0"/>
        <w:autoSpaceDN w:val="0"/>
        <w:adjustRightInd w:val="0"/>
        <w:spacing w:after="240" w:line="480" w:lineRule="auto"/>
        <w:rPr>
          <w:del w:id="232" w:author="Cashore, Benjamin" w:date="2019-03-11T19:22:00Z"/>
          <w:color w:val="000000" w:themeColor="text1"/>
        </w:rPr>
      </w:pPr>
      <w:del w:id="233" w:author="Cashore, Benjamin" w:date="2019-03-11T19:22:00Z">
        <w:r w:rsidRPr="00387397" w:rsidDel="00291F94">
          <w:rPr>
            <w:color w:val="000000" w:themeColor="text1"/>
          </w:rPr>
          <w:delText>Focusing on</w:delText>
        </w:r>
        <w:r w:rsidR="0099356D" w:rsidRPr="00387397" w:rsidDel="00291F94">
          <w:rPr>
            <w:color w:val="000000" w:themeColor="text1"/>
          </w:rPr>
          <w:delText xml:space="preserve"> a comprehensive rather than a l</w:delText>
        </w:r>
        <w:r w:rsidRPr="00387397" w:rsidDel="00291F94">
          <w:rPr>
            <w:color w:val="000000" w:themeColor="text1"/>
          </w:rPr>
          <w:delText xml:space="preserve">imited set of issues suggests </w:delText>
        </w:r>
        <w:r w:rsidR="0099356D" w:rsidRPr="00387397" w:rsidDel="00291F94">
          <w:rPr>
            <w:color w:val="000000" w:themeColor="text1"/>
          </w:rPr>
          <w:delText>new version</w:delText>
        </w:r>
        <w:r w:rsidRPr="00387397" w:rsidDel="00291F94">
          <w:rPr>
            <w:color w:val="000000" w:themeColor="text1"/>
          </w:rPr>
          <w:delText>s</w:delText>
        </w:r>
        <w:r w:rsidR="0099356D" w:rsidRPr="00387397" w:rsidDel="00291F94">
          <w:rPr>
            <w:color w:val="000000" w:themeColor="text1"/>
          </w:rPr>
          <w:delText xml:space="preserve"> of this question: On which issues will an activist-backed </w:delText>
        </w:r>
        <w:r w:rsidR="00D910B4" w:rsidRPr="00387397" w:rsidDel="00291F94">
          <w:rPr>
            <w:color w:val="000000" w:themeColor="text1"/>
          </w:rPr>
          <w:delText xml:space="preserve">regulation </w:delText>
        </w:r>
        <w:r w:rsidR="0099356D" w:rsidRPr="00387397" w:rsidDel="00291F94">
          <w:rPr>
            <w:color w:val="000000" w:themeColor="text1"/>
          </w:rPr>
          <w:delText xml:space="preserve">be more stringent than an industry-backed </w:delText>
        </w:r>
        <w:r w:rsidR="00D910B4" w:rsidRPr="00387397" w:rsidDel="00291F94">
          <w:rPr>
            <w:color w:val="000000" w:themeColor="text1"/>
          </w:rPr>
          <w:delText>regulation</w:delText>
        </w:r>
        <w:r w:rsidR="0099356D" w:rsidRPr="00387397" w:rsidDel="00291F94">
          <w:rPr>
            <w:color w:val="000000" w:themeColor="text1"/>
          </w:rPr>
          <w:delText xml:space="preserve">? On which issues will an industry-backed </w:delText>
        </w:r>
        <w:r w:rsidR="00D910B4" w:rsidRPr="00387397" w:rsidDel="00291F94">
          <w:rPr>
            <w:color w:val="000000" w:themeColor="text1"/>
          </w:rPr>
          <w:delText xml:space="preserve">regulation </w:delText>
        </w:r>
        <w:r w:rsidR="0099356D" w:rsidRPr="00387397" w:rsidDel="00291F94">
          <w:rPr>
            <w:color w:val="000000" w:themeColor="text1"/>
          </w:rPr>
          <w:delText xml:space="preserve">be more stringent than an activist-backed </w:delText>
        </w:r>
        <w:r w:rsidR="00D910B4" w:rsidRPr="00387397" w:rsidDel="00291F94">
          <w:rPr>
            <w:color w:val="000000" w:themeColor="text1"/>
          </w:rPr>
          <w:delText>regulation</w:delText>
        </w:r>
        <w:r w:rsidR="0099356D" w:rsidRPr="00387397" w:rsidDel="00291F94">
          <w:rPr>
            <w:color w:val="000000" w:themeColor="text1"/>
          </w:rPr>
          <w:delText>?</w:delText>
        </w:r>
      </w:del>
    </w:p>
    <w:p w14:paraId="4BB44E40" w14:textId="77777777" w:rsidR="0070156E" w:rsidRDefault="0070156E" w:rsidP="00044AED">
      <w:pPr>
        <w:widowControl w:val="0"/>
        <w:autoSpaceDE w:val="0"/>
        <w:autoSpaceDN w:val="0"/>
        <w:adjustRightInd w:val="0"/>
        <w:spacing w:after="240" w:line="480" w:lineRule="auto"/>
        <w:rPr>
          <w:color w:val="000000" w:themeColor="text1"/>
        </w:rPr>
      </w:pPr>
    </w:p>
    <w:p w14:paraId="16CD5310" w14:textId="00DBAF7F" w:rsidR="008B6C5D" w:rsidRDefault="0070156E" w:rsidP="00044AED">
      <w:pPr>
        <w:widowControl w:val="0"/>
        <w:autoSpaceDE w:val="0"/>
        <w:autoSpaceDN w:val="0"/>
        <w:adjustRightInd w:val="0"/>
        <w:spacing w:after="240" w:line="480" w:lineRule="auto"/>
        <w:rPr>
          <w:color w:val="000000" w:themeColor="text1"/>
        </w:rPr>
      </w:pPr>
      <w:commentRangeStart w:id="234"/>
      <w:commentRangeStart w:id="235"/>
      <w:r>
        <w:rPr>
          <w:color w:val="000000" w:themeColor="text1"/>
        </w:rPr>
        <w:t>We suggest that</w:t>
      </w:r>
      <w:r w:rsidR="00F60E8E">
        <w:rPr>
          <w:color w:val="000000" w:themeColor="text1"/>
        </w:rPr>
        <w:t xml:space="preserve"> the</w:t>
      </w:r>
      <w:r>
        <w:rPr>
          <w:color w:val="000000" w:themeColor="text1"/>
        </w:rPr>
        <w:t xml:space="preserve"> relative stringency </w:t>
      </w:r>
      <w:r w:rsidR="00F60E8E">
        <w:rPr>
          <w:color w:val="000000" w:themeColor="text1"/>
        </w:rPr>
        <w:t xml:space="preserve">of an industry-backed program </w:t>
      </w:r>
      <w:r>
        <w:rPr>
          <w:color w:val="000000" w:themeColor="text1"/>
        </w:rPr>
        <w:t xml:space="preserve">on a given issue depends on whether </w:t>
      </w:r>
      <w:r w:rsidR="005F7DC8">
        <w:rPr>
          <w:color w:val="000000" w:themeColor="text1"/>
        </w:rPr>
        <w:t>it</w:t>
      </w:r>
      <w:r>
        <w:rPr>
          <w:color w:val="000000" w:themeColor="text1"/>
        </w:rPr>
        <w:t xml:space="preserve"> result</w:t>
      </w:r>
      <w:r w:rsidR="005F7DC8">
        <w:rPr>
          <w:color w:val="000000" w:themeColor="text1"/>
        </w:rPr>
        <w:t>s</w:t>
      </w:r>
      <w:r>
        <w:rPr>
          <w:color w:val="000000" w:themeColor="text1"/>
        </w:rPr>
        <w:t xml:space="preserve"> in net costs or </w:t>
      </w:r>
      <w:r w:rsidR="005F7DC8">
        <w:rPr>
          <w:color w:val="000000" w:themeColor="text1"/>
        </w:rPr>
        <w:t xml:space="preserve">net </w:t>
      </w:r>
      <w:r>
        <w:rPr>
          <w:color w:val="000000" w:themeColor="text1"/>
        </w:rPr>
        <w:t xml:space="preserve">benefits to the industry. </w:t>
      </w:r>
      <w:r w:rsidR="008B6C5D">
        <w:rPr>
          <w:color w:val="000000" w:themeColor="text1"/>
        </w:rPr>
        <w:t xml:space="preserve">Activist-backed programs drive stringency on </w:t>
      </w:r>
      <w:r w:rsidR="00F60E8E">
        <w:rPr>
          <w:color w:val="000000" w:themeColor="text1"/>
        </w:rPr>
        <w:t>issues</w:t>
      </w:r>
      <w:r w:rsidR="008B6C5D">
        <w:rPr>
          <w:color w:val="000000" w:themeColor="text1"/>
        </w:rPr>
        <w:t xml:space="preserve"> where requirements impose costs</w:t>
      </w:r>
      <w:r w:rsidR="005F7DC8">
        <w:rPr>
          <w:color w:val="000000" w:themeColor="text1"/>
        </w:rPr>
        <w:t xml:space="preserve"> on firms</w:t>
      </w:r>
      <w:r w:rsidR="008B6C5D">
        <w:rPr>
          <w:color w:val="000000" w:themeColor="text1"/>
        </w:rPr>
        <w:t xml:space="preserve"> in order to achieve social or ecological goals.</w:t>
      </w:r>
      <w:r w:rsidR="00830A1B">
        <w:rPr>
          <w:color w:val="000000" w:themeColor="text1"/>
        </w:rPr>
        <w:t xml:space="preserve"> We call these “</w:t>
      </w:r>
      <w:r w:rsidR="005D7606">
        <w:rPr>
          <w:color w:val="000000" w:themeColor="text1"/>
        </w:rPr>
        <w:t>costly</w:t>
      </w:r>
      <w:r w:rsidR="00830A1B">
        <w:rPr>
          <w:color w:val="000000" w:themeColor="text1"/>
        </w:rPr>
        <w:t xml:space="preserve"> issues.”</w:t>
      </w:r>
      <w:r w:rsidR="008B6C5D">
        <w:rPr>
          <w:color w:val="000000" w:themeColor="text1"/>
        </w:rPr>
        <w:t xml:space="preserve"> On these issues, an industry-backed </w:t>
      </w:r>
      <w:r w:rsidR="005F7DC8">
        <w:rPr>
          <w:color w:val="000000" w:themeColor="text1"/>
        </w:rPr>
        <w:t xml:space="preserve">program </w:t>
      </w:r>
      <w:r w:rsidR="008B6C5D">
        <w:rPr>
          <w:color w:val="000000" w:themeColor="text1"/>
        </w:rPr>
        <w:t>must balance achieving legitimacy through perceived stringency w</w:t>
      </w:r>
      <w:r w:rsidR="005F7DC8">
        <w:rPr>
          <w:color w:val="000000" w:themeColor="text1"/>
        </w:rPr>
        <w:t xml:space="preserve">ith minimizing </w:t>
      </w:r>
      <w:r w:rsidR="008B6C5D">
        <w:rPr>
          <w:color w:val="000000" w:themeColor="text1"/>
        </w:rPr>
        <w:t>compliance</w:t>
      </w:r>
      <w:r w:rsidR="005F7DC8">
        <w:rPr>
          <w:color w:val="000000" w:themeColor="text1"/>
        </w:rPr>
        <w:t xml:space="preserve"> costs</w:t>
      </w:r>
      <w:r w:rsidR="008B6C5D">
        <w:rPr>
          <w:color w:val="000000" w:themeColor="text1"/>
        </w:rPr>
        <w:t xml:space="preserve">. The result is likely to be a lower level of stringency than that of </w:t>
      </w:r>
      <w:r w:rsidR="005D7606">
        <w:rPr>
          <w:color w:val="000000" w:themeColor="text1"/>
        </w:rPr>
        <w:t>a</w:t>
      </w:r>
      <w:r w:rsidR="00470494">
        <w:rPr>
          <w:color w:val="000000" w:themeColor="text1"/>
        </w:rPr>
        <w:t>n</w:t>
      </w:r>
      <w:r w:rsidR="005D7606">
        <w:rPr>
          <w:color w:val="000000" w:themeColor="text1"/>
        </w:rPr>
        <w:t xml:space="preserve"> </w:t>
      </w:r>
      <w:r w:rsidR="008B6C5D">
        <w:rPr>
          <w:color w:val="000000" w:themeColor="text1"/>
        </w:rPr>
        <w:t>activist-backed</w:t>
      </w:r>
      <w:r w:rsidR="005D7606">
        <w:rPr>
          <w:color w:val="000000" w:themeColor="text1"/>
        </w:rPr>
        <w:t xml:space="preserve"> program</w:t>
      </w:r>
      <w:r w:rsidR="008B6C5D">
        <w:rPr>
          <w:color w:val="000000" w:themeColor="text1"/>
        </w:rPr>
        <w:t xml:space="preserve">, especially where industry-backed programs can more easily create an impression of </w:t>
      </w:r>
      <w:r w:rsidR="008B6C5D">
        <w:rPr>
          <w:color w:val="000000" w:themeColor="text1"/>
        </w:rPr>
        <w:lastRenderedPageBreak/>
        <w:t>stringency or where compliance costs are high.</w:t>
      </w:r>
      <w:commentRangeEnd w:id="234"/>
      <w:r w:rsidR="00465B50">
        <w:rPr>
          <w:rStyle w:val="CommentReference"/>
          <w:rFonts w:asciiTheme="minorHAnsi" w:hAnsiTheme="minorHAnsi" w:cstheme="minorBidi"/>
        </w:rPr>
        <w:commentReference w:id="234"/>
      </w:r>
      <w:commentRangeEnd w:id="235"/>
      <w:r w:rsidR="00090555">
        <w:rPr>
          <w:rStyle w:val="CommentReference"/>
          <w:rFonts w:asciiTheme="minorHAnsi" w:hAnsiTheme="minorHAnsi" w:cstheme="minorBidi"/>
        </w:rPr>
        <w:commentReference w:id="235"/>
      </w:r>
    </w:p>
    <w:p w14:paraId="3EF99A0D" w14:textId="77777777" w:rsidR="00407838" w:rsidRDefault="00407838" w:rsidP="00044AED">
      <w:pPr>
        <w:widowControl w:val="0"/>
        <w:autoSpaceDE w:val="0"/>
        <w:autoSpaceDN w:val="0"/>
        <w:adjustRightInd w:val="0"/>
        <w:spacing w:after="240" w:line="480" w:lineRule="auto"/>
        <w:rPr>
          <w:color w:val="000000" w:themeColor="text1"/>
        </w:rPr>
      </w:pPr>
    </w:p>
    <w:p w14:paraId="5F2AD7CC" w14:textId="1109DBCB" w:rsidR="0070156E" w:rsidRPr="00387397" w:rsidRDefault="005D7606" w:rsidP="00044AED">
      <w:pPr>
        <w:widowControl w:val="0"/>
        <w:autoSpaceDE w:val="0"/>
        <w:autoSpaceDN w:val="0"/>
        <w:adjustRightInd w:val="0"/>
        <w:spacing w:after="240" w:line="480" w:lineRule="auto"/>
        <w:rPr>
          <w:color w:val="000000" w:themeColor="text1"/>
        </w:rPr>
      </w:pPr>
      <w:r>
        <w:rPr>
          <w:color w:val="000000" w:themeColor="text1"/>
        </w:rPr>
        <w:t>The opposite result is likely on issues where</w:t>
      </w:r>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develop stringent requirements because </w:t>
      </w:r>
      <w:r w:rsidR="009C015F">
        <w:rPr>
          <w:color w:val="000000" w:themeColor="text1"/>
        </w:rPr>
        <w:t>activist</w:t>
      </w:r>
      <w:r w:rsidR="00D422C1">
        <w:rPr>
          <w:color w:val="000000" w:themeColor="text1"/>
        </w:rPr>
        <w:t xml:space="preserve"> pressure is </w:t>
      </w:r>
      <w:r w:rsidR="0062745D" w:rsidRPr="0062745D">
        <w:rPr>
          <w:color w:val="000000" w:themeColor="text1"/>
        </w:rPr>
        <w:t>redundant</w:t>
      </w:r>
      <w:r w:rsidR="00D422C1">
        <w:rPr>
          <w:color w:val="000000" w:themeColor="text1"/>
        </w:rPr>
        <w:t xml:space="preserve">. </w:t>
      </w:r>
      <w:r w:rsidR="00B02D5C">
        <w:rPr>
          <w:color w:val="000000" w:themeColor="text1"/>
        </w:rPr>
        <w:t>T</w:t>
      </w:r>
      <w:r w:rsidR="00830A1B">
        <w:rPr>
          <w:color w:val="000000" w:themeColor="text1"/>
        </w:rPr>
        <w:t>hese “</w:t>
      </w:r>
      <w:r>
        <w:rPr>
          <w:color w:val="000000" w:themeColor="text1"/>
        </w:rPr>
        <w:t>business-friendly</w:t>
      </w:r>
      <w:r w:rsidR="00B02D5C">
        <w:rPr>
          <w:color w:val="000000" w:themeColor="text1"/>
        </w:rPr>
        <w:t>”</w:t>
      </w:r>
      <w:r w:rsidR="00830A1B">
        <w:rPr>
          <w:color w:val="000000" w:themeColor="text1"/>
        </w:rPr>
        <w:t xml:space="preserve"> issues</w:t>
      </w:r>
      <w:r w:rsidR="00D422C1">
        <w:rPr>
          <w:color w:val="000000" w:themeColor="text1"/>
        </w:rPr>
        <w:t xml:space="preserve"> serve a similar function to industry associations—coordinating resources and solving collective action problems related to industry reputation (e.g</w:t>
      </w:r>
      <w:r w:rsidR="0062745D" w:rsidRPr="0062745D">
        <w:rPr>
          <w:color w:val="000000" w:themeColor="text1"/>
        </w:rPr>
        <w:t>.,</w:t>
      </w:r>
      <w:r w:rsidR="00D422C1">
        <w:rPr>
          <w:color w:val="000000" w:themeColor="text1"/>
        </w:rPr>
        <w:t xml:space="preserve"> through public image campaigns) and capacity (e.g</w:t>
      </w:r>
      <w:r w:rsidR="0062745D" w:rsidRPr="0062745D">
        <w:rPr>
          <w:color w:val="000000" w:themeColor="text1"/>
        </w:rPr>
        <w:t>.,</w:t>
      </w:r>
      <w:r w:rsidR="00D422C1">
        <w:rPr>
          <w:color w:val="000000" w:themeColor="text1"/>
        </w:rPr>
        <w:t xml:space="preserve"> by developing collective goods like </w:t>
      </w:r>
      <w:r w:rsidR="009C015F">
        <w:rPr>
          <w:color w:val="000000" w:themeColor="text1"/>
        </w:rPr>
        <w:t xml:space="preserve">technical knowledge or </w:t>
      </w:r>
      <w:r w:rsidR="00D422C1">
        <w:rPr>
          <w:color w:val="000000" w:themeColor="text1"/>
        </w:rPr>
        <w:t xml:space="preserve">a skilled </w:t>
      </w:r>
      <w:commentRangeStart w:id="236"/>
      <w:commentRangeStart w:id="237"/>
      <w:r w:rsidR="00D422C1">
        <w:rPr>
          <w:color w:val="000000" w:themeColor="text1"/>
        </w:rPr>
        <w:t>workforce</w:t>
      </w:r>
      <w:commentRangeEnd w:id="236"/>
      <w:r w:rsidR="00B02D5C">
        <w:rPr>
          <w:rStyle w:val="CommentReference"/>
          <w:rFonts w:asciiTheme="minorHAnsi" w:hAnsiTheme="minorHAnsi" w:cstheme="minorBidi"/>
        </w:rPr>
        <w:commentReference w:id="236"/>
      </w:r>
      <w:commentRangeEnd w:id="237"/>
      <w:r w:rsidR="00F63F63">
        <w:rPr>
          <w:rStyle w:val="CommentReference"/>
          <w:rFonts w:asciiTheme="minorHAnsi" w:hAnsiTheme="minorHAnsi" w:cstheme="minorBidi"/>
        </w:rPr>
        <w:commentReference w:id="237"/>
      </w:r>
      <w:r w:rsidR="00D422C1">
        <w:rPr>
          <w:color w:val="000000" w:themeColor="text1"/>
        </w:rPr>
        <w:t>).</w:t>
      </w:r>
      <w:r>
        <w:rPr>
          <w:color w:val="000000" w:themeColor="text1"/>
        </w:rPr>
        <w:t xml:space="preserve"> </w:t>
      </w:r>
      <w:r w:rsidR="0062745D" w:rsidRPr="0062745D">
        <w:rPr>
          <w:color w:val="000000" w:themeColor="text1"/>
        </w:rPr>
        <w:t xml:space="preserve"> Similarly, to</w:t>
      </w:r>
      <w:r w:rsidR="004A1C15">
        <w:rPr>
          <w:color w:val="000000" w:themeColor="text1"/>
        </w:rPr>
        <w:t xml:space="preserve"> create perceptions of stringency, p</w:t>
      </w:r>
      <w:r>
        <w:rPr>
          <w:color w:val="000000" w:themeColor="text1"/>
        </w:rPr>
        <w:t xml:space="preserve">rograms may add requirements </w:t>
      </w:r>
      <w:r w:rsidR="004A1C15">
        <w:rPr>
          <w:color w:val="000000" w:themeColor="text1"/>
        </w:rPr>
        <w:t xml:space="preserve">to do things that firms would do anyway. If observers fail to distinguish among </w:t>
      </w:r>
      <w:r w:rsidR="00A4349C">
        <w:rPr>
          <w:color w:val="000000" w:themeColor="text1"/>
        </w:rPr>
        <w:t xml:space="preserve">different </w:t>
      </w:r>
      <w:r w:rsidR="004A1C15">
        <w:rPr>
          <w:color w:val="000000" w:themeColor="text1"/>
        </w:rPr>
        <w:t xml:space="preserve">types of stringency on different issues, such </w:t>
      </w:r>
      <w:r w:rsidR="0044241D">
        <w:rPr>
          <w:color w:val="000000" w:themeColor="text1"/>
        </w:rPr>
        <w:t>a strategy may be a low cost and</w:t>
      </w:r>
      <w:r w:rsidR="004A1C15">
        <w:rPr>
          <w:color w:val="000000" w:themeColor="text1"/>
        </w:rPr>
        <w:t xml:space="preserve"> effective </w:t>
      </w:r>
      <w:r w:rsidR="0044241D">
        <w:rPr>
          <w:color w:val="000000" w:themeColor="text1"/>
        </w:rPr>
        <w:t xml:space="preserve">way </w:t>
      </w:r>
      <w:r w:rsidR="0062745D" w:rsidRPr="0062745D">
        <w:rPr>
          <w:color w:val="000000" w:themeColor="text1"/>
        </w:rPr>
        <w:t xml:space="preserve">to shape </w:t>
      </w:r>
      <w:r w:rsidR="004A1C15">
        <w:rPr>
          <w:color w:val="000000" w:themeColor="text1"/>
        </w:rPr>
        <w:t>perceptions of overall stringency.</w:t>
      </w:r>
    </w:p>
    <w:p w14:paraId="4B0576CB" w14:textId="77777777" w:rsidR="00C37BC8" w:rsidRPr="00387397" w:rsidRDefault="00C37BC8" w:rsidP="00044AED">
      <w:pPr>
        <w:widowControl w:val="0"/>
        <w:autoSpaceDE w:val="0"/>
        <w:autoSpaceDN w:val="0"/>
        <w:adjustRightInd w:val="0"/>
        <w:spacing w:after="240" w:line="480" w:lineRule="auto"/>
        <w:rPr>
          <w:color w:val="000000" w:themeColor="text1"/>
        </w:rPr>
      </w:pPr>
      <w:commentRangeStart w:id="238"/>
    </w:p>
    <w:p w14:paraId="18F59712" w14:textId="6236BB2B" w:rsidR="00C37BC8" w:rsidRPr="00387397" w:rsidRDefault="00EB0B24" w:rsidP="00044AED">
      <w:pPr>
        <w:widowControl w:val="0"/>
        <w:autoSpaceDE w:val="0"/>
        <w:autoSpaceDN w:val="0"/>
        <w:adjustRightInd w:val="0"/>
        <w:spacing w:after="240" w:line="480" w:lineRule="auto"/>
        <w:rPr>
          <w:color w:val="000000" w:themeColor="text1"/>
        </w:rPr>
      </w:pPr>
      <w:r w:rsidRPr="00044AED">
        <w:rPr>
          <w:b/>
          <w:color w:val="000000" w:themeColor="text1"/>
        </w:rPr>
        <w:t>Revised</w:t>
      </w:r>
      <w:r w:rsidR="00C37BC8" w:rsidRPr="00044AED">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commentRangeEnd w:id="238"/>
      <w:r w:rsidR="00956FFD">
        <w:rPr>
          <w:rStyle w:val="CommentReference"/>
          <w:rFonts w:asciiTheme="minorHAnsi" w:hAnsiTheme="minorHAnsi" w:cstheme="minorBidi"/>
        </w:rPr>
        <w:commentReference w:id="238"/>
      </w:r>
    </w:p>
    <w:p w14:paraId="113E989E" w14:textId="1CF85CDA" w:rsidR="00C37BC8"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H2.1:</w:t>
      </w:r>
      <w:r w:rsidRPr="00387397">
        <w:rPr>
          <w:color w:val="000000" w:themeColor="text1"/>
        </w:rPr>
        <w:t xml:space="preserve"> Activist-backed regulations will have more comprehensive </w:t>
      </w:r>
      <w:r w:rsidR="0062745D" w:rsidRPr="0062745D">
        <w:rPr>
          <w:color w:val="000000" w:themeColor="text1"/>
        </w:rPr>
        <w:t>coverage</w:t>
      </w:r>
      <w:r w:rsidRPr="00387397">
        <w:rPr>
          <w:color w:val="000000" w:themeColor="text1"/>
        </w:rPr>
        <w:t xml:space="preserve">, more prescriptive requirements, and higher performance thresholds on </w:t>
      </w:r>
      <w:r w:rsidR="004A1C15">
        <w:rPr>
          <w:color w:val="000000" w:themeColor="text1"/>
        </w:rPr>
        <w:t>costly issues</w:t>
      </w:r>
      <w:r w:rsidRPr="00387397">
        <w:rPr>
          <w:color w:val="000000" w:themeColor="text1"/>
        </w:rPr>
        <w:t xml:space="preserve">. </w:t>
      </w:r>
    </w:p>
    <w:p w14:paraId="29719F18" w14:textId="4575EF8F" w:rsidR="00C37BC8"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H2.2:</w:t>
      </w:r>
      <w:r w:rsidRPr="00387397">
        <w:rPr>
          <w:color w:val="000000" w:themeColor="text1"/>
        </w:rPr>
        <w:t xml:space="preserve"> Industry-backed regulations have more comprehensive </w:t>
      </w:r>
      <w:r w:rsidR="0062745D" w:rsidRPr="0062745D">
        <w:rPr>
          <w:color w:val="000000" w:themeColor="text1"/>
        </w:rPr>
        <w:t xml:space="preserve">coverage, </w:t>
      </w:r>
      <w:r w:rsidRPr="00387397">
        <w:rPr>
          <w:color w:val="000000" w:themeColor="text1"/>
        </w:rPr>
        <w:t xml:space="preserve"> more prescriptive requirements, and higher performance thresholds on</w:t>
      </w:r>
      <w:r w:rsidR="004A1C15">
        <w:rPr>
          <w:color w:val="000000" w:themeColor="text1"/>
        </w:rPr>
        <w:t xml:space="preserve"> business-friendly</w:t>
      </w:r>
      <w:r w:rsidRPr="00387397">
        <w:rPr>
          <w:color w:val="000000" w:themeColor="text1"/>
        </w:rPr>
        <w:t xml:space="preserve"> issues</w:t>
      </w:r>
      <w:r w:rsidR="009D3E45">
        <w:rPr>
          <w:color w:val="000000" w:themeColor="text1"/>
        </w:rPr>
        <w:t>,</w:t>
      </w:r>
      <w:r w:rsidRPr="00387397">
        <w:rPr>
          <w:color w:val="000000" w:themeColor="text1"/>
        </w:rPr>
        <w:t xml:space="preserve"> </w:t>
      </w:r>
      <w:r w:rsidR="004A1C15">
        <w:rPr>
          <w:color w:val="000000" w:themeColor="text1"/>
        </w:rPr>
        <w:t xml:space="preserve">such as those </w:t>
      </w:r>
      <w:r w:rsidR="0062745D" w:rsidRPr="0062745D">
        <w:rPr>
          <w:color w:val="000000" w:themeColor="text1"/>
        </w:rPr>
        <w:t xml:space="preserve">that firms do anyway or those </w:t>
      </w:r>
      <w:r w:rsidR="009D3E45">
        <w:rPr>
          <w:color w:val="000000" w:themeColor="text1"/>
        </w:rPr>
        <w:t xml:space="preserve">related to </w:t>
      </w:r>
      <w:r w:rsidRPr="00387397">
        <w:rPr>
          <w:color w:val="000000" w:themeColor="text1"/>
        </w:rPr>
        <w:t>industry collective action problems.</w:t>
      </w:r>
    </w:p>
    <w:p w14:paraId="6C18237D" w14:textId="7516552A" w:rsidR="00023827" w:rsidRPr="00387397" w:rsidRDefault="00023827" w:rsidP="00044AED">
      <w:pPr>
        <w:widowControl w:val="0"/>
        <w:autoSpaceDE w:val="0"/>
        <w:autoSpaceDN w:val="0"/>
        <w:adjustRightInd w:val="0"/>
        <w:spacing w:after="240" w:line="480" w:lineRule="auto"/>
        <w:rPr>
          <w:color w:val="000000" w:themeColor="text1"/>
        </w:rPr>
      </w:pPr>
    </w:p>
    <w:p w14:paraId="27EA13A0" w14:textId="0F3CF96E" w:rsidR="00EC0360" w:rsidRPr="00387397" w:rsidRDefault="00791462" w:rsidP="00044AED">
      <w:pPr>
        <w:widowControl w:val="0"/>
        <w:autoSpaceDE w:val="0"/>
        <w:autoSpaceDN w:val="0"/>
        <w:adjustRightInd w:val="0"/>
        <w:spacing w:after="240" w:line="480" w:lineRule="auto"/>
        <w:rPr>
          <w:color w:val="000000" w:themeColor="text1"/>
        </w:rPr>
      </w:pPr>
      <w:r>
        <w:rPr>
          <w:color w:val="000000" w:themeColor="text1"/>
        </w:rPr>
        <w:lastRenderedPageBreak/>
        <w:t>T</w:t>
      </w:r>
      <w:r w:rsidRPr="0062745D">
        <w:rPr>
          <w:color w:val="000000" w:themeColor="text1"/>
        </w:rPr>
        <w:t>hese hyp</w:t>
      </w:r>
      <w:r>
        <w:rPr>
          <w:color w:val="000000" w:themeColor="text1"/>
        </w:rPr>
        <w:t xml:space="preserve">otheses illustrate how </w:t>
      </w:r>
      <w:r w:rsidRPr="0062745D">
        <w:rPr>
          <w:color w:val="000000" w:themeColor="text1"/>
        </w:rPr>
        <w:t>many of the</w:t>
      </w:r>
      <w:r>
        <w:rPr>
          <w:color w:val="000000" w:themeColor="text1"/>
        </w:rPr>
        <w:t xml:space="preserve"> theories reviewed in section 2 could be revised in light of o</w:t>
      </w:r>
      <w:r w:rsidR="00EC0360" w:rsidRPr="00387397">
        <w:rPr>
          <w:color w:val="000000" w:themeColor="text1"/>
        </w:rPr>
        <w:t>ur core methodological critique</w:t>
      </w:r>
      <w:r>
        <w:rPr>
          <w:color w:val="000000" w:themeColor="text1"/>
        </w:rPr>
        <w:t xml:space="preserve">. </w:t>
      </w:r>
      <w:r w:rsidR="009D3E45">
        <w:rPr>
          <w:color w:val="000000" w:themeColor="text1"/>
        </w:rPr>
        <w:t xml:space="preserve">One may </w:t>
      </w:r>
      <w:r w:rsidR="009860CE" w:rsidRPr="00387397">
        <w:rPr>
          <w:color w:val="000000" w:themeColor="text1"/>
        </w:rPr>
        <w:t>assess whether our framework is useful</w:t>
      </w:r>
      <w:r w:rsidR="009D3E45">
        <w:rPr>
          <w:color w:val="000000" w:themeColor="text1"/>
        </w:rPr>
        <w:t xml:space="preserve"> in two ways</w:t>
      </w:r>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62745D" w:rsidRPr="0062745D">
        <w:rPr>
          <w:color w:val="000000" w:themeColor="text1"/>
        </w:rPr>
        <w:t xml:space="preserve">reveal </w:t>
      </w:r>
      <w:r w:rsidR="00202023" w:rsidRPr="00387397">
        <w:rPr>
          <w:color w:val="000000" w:themeColor="text1"/>
        </w:rPr>
        <w:t xml:space="preserve">patterns of change that other methods failed to </w:t>
      </w:r>
      <w:r w:rsidR="0062745D" w:rsidRPr="0062745D">
        <w:rPr>
          <w:color w:val="000000" w:themeColor="text1"/>
        </w:rPr>
        <w:t>discover</w:t>
      </w:r>
      <w:r w:rsidR="00202023" w:rsidRPr="00387397">
        <w:rPr>
          <w:color w:val="000000" w:themeColor="text1"/>
        </w:rPr>
        <w:t xml:space="preserve">? </w:t>
      </w:r>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r w:rsidR="009D3E45">
        <w:rPr>
          <w:color w:val="000000" w:themeColor="text1"/>
        </w:rPr>
        <w:t xml:space="preserve">show </w:t>
      </w:r>
      <w:r w:rsidR="00EC0360" w:rsidRPr="00387397">
        <w:rPr>
          <w:color w:val="000000" w:themeColor="text1"/>
        </w:rPr>
        <w:t xml:space="preserve">that </w:t>
      </w:r>
      <w:r w:rsidR="009D3E45">
        <w:rPr>
          <w:color w:val="000000" w:themeColor="text1"/>
        </w:rPr>
        <w:t>our</w:t>
      </w:r>
      <w:r w:rsidR="009D3E45" w:rsidRPr="00387397">
        <w:rPr>
          <w:color w:val="000000" w:themeColor="text1"/>
        </w:rPr>
        <w:t xml:space="preserve"> </w:t>
      </w:r>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r w:rsidR="009D3E45">
        <w:rPr>
          <w:color w:val="000000" w:themeColor="text1"/>
        </w:rPr>
        <w:t>programs</w:t>
      </w:r>
      <w:r w:rsidR="009D3E45" w:rsidRPr="00387397">
        <w:rPr>
          <w:color w:val="000000" w:themeColor="text1"/>
        </w:rPr>
        <w:t xml:space="preserve">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 </w:t>
      </w:r>
      <w:r w:rsidR="00EC0360" w:rsidRPr="00387397">
        <w:rPr>
          <w:color w:val="000000" w:themeColor="text1"/>
        </w:rPr>
        <w:t xml:space="preserve">and that </w:t>
      </w:r>
      <w:r w:rsidR="0062745D" w:rsidRPr="0062745D">
        <w:rPr>
          <w:color w:val="000000" w:themeColor="text1"/>
        </w:rPr>
        <w:t>existing</w:t>
      </w:r>
      <w:r w:rsidR="00EC0360" w:rsidRPr="00387397">
        <w:rPr>
          <w:color w:val="000000" w:themeColor="text1"/>
        </w:rPr>
        <w:t xml:space="preserve">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commentRangeStart w:id="239"/>
      <w:commentRangeStart w:id="240"/>
      <w:r w:rsidR="00EC0360" w:rsidRPr="00387397">
        <w:rPr>
          <w:color w:val="000000" w:themeColor="text1"/>
        </w:rPr>
        <w:t xml:space="preserve">The </w:t>
      </w:r>
      <w:r w:rsidR="00F66C33">
        <w:rPr>
          <w:color w:val="000000" w:themeColor="text1"/>
        </w:rPr>
        <w:t>following sections detail</w:t>
      </w:r>
      <w:r w:rsidR="00EC0360" w:rsidRPr="00387397">
        <w:rPr>
          <w:color w:val="000000" w:themeColor="text1"/>
        </w:rPr>
        <w:t xml:space="preserve"> </w:t>
      </w:r>
      <w:r w:rsidR="00F66C33">
        <w:rPr>
          <w:color w:val="000000" w:themeColor="text1"/>
        </w:rPr>
        <w:t>our</w:t>
      </w:r>
      <w:r w:rsidR="004C295D" w:rsidRPr="00387397">
        <w:rPr>
          <w:color w:val="000000" w:themeColor="text1"/>
        </w:rPr>
        <w:t xml:space="preserve"> </w:t>
      </w:r>
      <w:r w:rsidR="00EC0360" w:rsidRPr="00387397">
        <w:rPr>
          <w:color w:val="000000" w:themeColor="text1"/>
        </w:rPr>
        <w:t>framework</w:t>
      </w:r>
      <w:r w:rsidR="00F66C33">
        <w:rPr>
          <w:color w:val="000000" w:themeColor="text1"/>
        </w:rPr>
        <w:t>,</w:t>
      </w:r>
      <w:r w:rsidR="00D910B4" w:rsidRPr="00387397">
        <w:rPr>
          <w:color w:val="000000" w:themeColor="text1"/>
        </w:rPr>
        <w:t xml:space="preserve"> </w:t>
      </w:r>
      <w:r w:rsidR="00F66C33">
        <w:rPr>
          <w:color w:val="000000" w:themeColor="text1"/>
        </w:rPr>
        <w:t>apply</w:t>
      </w:r>
      <w:r w:rsidR="007B1E02">
        <w:rPr>
          <w:color w:val="000000" w:themeColor="text1"/>
        </w:rPr>
        <w:t xml:space="preserve"> it to forestry certification programs in the U.S</w:t>
      </w:r>
      <w:r w:rsidR="0062745D" w:rsidRPr="0062745D">
        <w:rPr>
          <w:color w:val="000000" w:themeColor="text1"/>
        </w:rPr>
        <w:t>.,</w:t>
      </w:r>
      <w:r w:rsidR="00F66C33">
        <w:rPr>
          <w:color w:val="000000" w:themeColor="text1"/>
        </w:rPr>
        <w:t xml:space="preserve"> and</w:t>
      </w:r>
      <w:r w:rsidR="0062745D" w:rsidRPr="0062745D">
        <w:rPr>
          <w:color w:val="000000" w:themeColor="text1"/>
        </w:rPr>
        <w:t xml:space="preserve"> then</w:t>
      </w:r>
      <w:r w:rsidR="00EC0360" w:rsidRPr="00387397">
        <w:rPr>
          <w:color w:val="000000" w:themeColor="text1"/>
        </w:rPr>
        <w:t xml:space="preserve"> reflect whether the above hypotheses are consistent with observed stringency on each dimension. </w:t>
      </w:r>
      <w:r w:rsidR="00F54833" w:rsidRPr="00387397">
        <w:rPr>
          <w:color w:val="000000" w:themeColor="text1"/>
        </w:rPr>
        <w:t>First, we present our framework in more detail:</w:t>
      </w:r>
      <w:commentRangeEnd w:id="239"/>
      <w:r w:rsidR="00956FFD">
        <w:rPr>
          <w:rStyle w:val="CommentReference"/>
          <w:rFonts w:asciiTheme="minorHAnsi" w:hAnsiTheme="minorHAnsi" w:cstheme="minorBidi"/>
        </w:rPr>
        <w:commentReference w:id="239"/>
      </w:r>
      <w:commentRangeEnd w:id="240"/>
      <w:r>
        <w:rPr>
          <w:rStyle w:val="CommentReference"/>
          <w:rFonts w:asciiTheme="minorHAnsi" w:hAnsiTheme="minorHAnsi" w:cstheme="minorBidi"/>
        </w:rPr>
        <w:commentReference w:id="240"/>
      </w:r>
    </w:p>
    <w:p w14:paraId="318CC2E6" w14:textId="77777777" w:rsidR="00341AD2" w:rsidRPr="00387397" w:rsidRDefault="00341AD2" w:rsidP="00044AED">
      <w:pPr>
        <w:widowControl w:val="0"/>
        <w:autoSpaceDE w:val="0"/>
        <w:autoSpaceDN w:val="0"/>
        <w:adjustRightInd w:val="0"/>
        <w:spacing w:after="240" w:line="480" w:lineRule="auto"/>
        <w:rPr>
          <w:color w:val="000000" w:themeColor="text1"/>
        </w:rPr>
      </w:pPr>
    </w:p>
    <w:p w14:paraId="70816D91" w14:textId="29CA554B" w:rsidR="00EA59F6" w:rsidRPr="00044AED" w:rsidRDefault="009D3E4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1210A6" w:rsidRPr="00044AED">
        <w:rPr>
          <w:b/>
          <w:color w:val="000000" w:themeColor="text1"/>
        </w:rPr>
        <w:t>3</w:t>
      </w:r>
      <w:r w:rsidR="00F0740D" w:rsidRPr="00044AED">
        <w:rPr>
          <w:b/>
          <w:color w:val="000000" w:themeColor="text1"/>
        </w:rPr>
        <w:t xml:space="preserve"> </w:t>
      </w:r>
      <w:r w:rsidR="0038489B" w:rsidRPr="00044AED">
        <w:rPr>
          <w:b/>
          <w:color w:val="000000" w:themeColor="text1"/>
        </w:rPr>
        <w:t>A</w:t>
      </w:r>
      <w:r w:rsidR="00330078" w:rsidRPr="00044AED">
        <w:rPr>
          <w:b/>
          <w:color w:val="000000" w:themeColor="text1"/>
        </w:rPr>
        <w:t xml:space="preserve"> Framework to c</w:t>
      </w:r>
      <w:r w:rsidR="00727EED" w:rsidRPr="00044AED">
        <w:rPr>
          <w:b/>
          <w:color w:val="000000" w:themeColor="text1"/>
        </w:rPr>
        <w:t>lassify</w:t>
      </w:r>
      <w:r w:rsidR="00F26430" w:rsidRPr="00044AED">
        <w:rPr>
          <w:b/>
          <w:color w:val="000000" w:themeColor="text1"/>
        </w:rPr>
        <w:t xml:space="preserve"> </w:t>
      </w:r>
      <w:r w:rsidR="00330078" w:rsidRPr="00044AED">
        <w:rPr>
          <w:b/>
          <w:color w:val="000000" w:themeColor="text1"/>
        </w:rPr>
        <w:t>c</w:t>
      </w:r>
      <w:r w:rsidR="00727EED" w:rsidRPr="00044AED">
        <w:rPr>
          <w:b/>
          <w:color w:val="000000" w:themeColor="text1"/>
        </w:rPr>
        <w:t xml:space="preserve">hange </w:t>
      </w:r>
      <w:r w:rsidR="00330078" w:rsidRPr="00044AED">
        <w:rPr>
          <w:b/>
          <w:color w:val="000000" w:themeColor="text1"/>
        </w:rPr>
        <w:t>in private r</w:t>
      </w:r>
      <w:r w:rsidR="00727EED" w:rsidRPr="00044AED">
        <w:rPr>
          <w:b/>
          <w:color w:val="000000" w:themeColor="text1"/>
        </w:rPr>
        <w:t>egulations</w:t>
      </w:r>
      <w:r w:rsidR="00F26430" w:rsidRPr="00044AED">
        <w:rPr>
          <w:b/>
          <w:color w:val="000000" w:themeColor="text1"/>
        </w:rPr>
        <w:t xml:space="preserve"> </w:t>
      </w:r>
    </w:p>
    <w:p w14:paraId="2BF275B0"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Students of public policy have long recognized the need to break policy into its component parts and have found different explanations for change regarding different end goals and means to achieve them (Cashore, 1997; Hall, 1993; Weimer &amp; Vining, 2005). While private governance scholars have shown that private regulations resemble public laws (</w:t>
      </w:r>
      <w:proofErr w:type="spellStart"/>
      <w:r w:rsidRPr="0062745D">
        <w:rPr>
          <w:color w:val="000000" w:themeColor="text1"/>
        </w:rPr>
        <w:t>Meidinger</w:t>
      </w:r>
      <w:proofErr w:type="spellEnd"/>
      <w:r w:rsidRPr="0062745D">
        <w:rPr>
          <w:color w:val="000000" w:themeColor="text1"/>
        </w:rPr>
        <w:t>, 2003, 2006), they have paid less attention to distinctions between policy means and ends. Similarly, policy change, a core concept in public policy scholarship, remains underdeveloped in research on private regulation. We thus draw on public policy scholarship to address these gaps.</w:t>
      </w:r>
    </w:p>
    <w:p w14:paraId="0F999B29" w14:textId="77777777" w:rsidR="0062745D" w:rsidRPr="0062745D" w:rsidRDefault="0062745D" w:rsidP="0062745D">
      <w:pPr>
        <w:widowControl w:val="0"/>
        <w:autoSpaceDE w:val="0"/>
        <w:autoSpaceDN w:val="0"/>
        <w:adjustRightInd w:val="0"/>
        <w:spacing w:after="240" w:line="480" w:lineRule="auto"/>
        <w:rPr>
          <w:color w:val="000000" w:themeColor="text1"/>
        </w:rPr>
      </w:pPr>
      <w:commentRangeStart w:id="241"/>
      <w:commentRangeStart w:id="242"/>
    </w:p>
    <w:p w14:paraId="12E22C8B"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lastRenderedPageBreak/>
        <w:t>## 3.1 Step 1: Measuring scope, prescriptiveness, and policy settings</w:t>
      </w:r>
      <w:commentRangeEnd w:id="241"/>
      <w:r w:rsidR="00956FFD">
        <w:rPr>
          <w:rStyle w:val="CommentReference"/>
          <w:rFonts w:asciiTheme="minorHAnsi" w:hAnsiTheme="minorHAnsi" w:cstheme="minorBidi"/>
        </w:rPr>
        <w:commentReference w:id="241"/>
      </w:r>
      <w:commentRangeEnd w:id="242"/>
      <w:r w:rsidR="00791462">
        <w:rPr>
          <w:rStyle w:val="CommentReference"/>
          <w:rFonts w:asciiTheme="minorHAnsi" w:hAnsiTheme="minorHAnsi" w:cstheme="minorBidi"/>
        </w:rPr>
        <w:commentReference w:id="242"/>
      </w:r>
    </w:p>
    <w:p w14:paraId="6D8B8CDB" w14:textId="5ACC9D63" w:rsidR="005D4584" w:rsidRPr="00387397" w:rsidRDefault="0062745D" w:rsidP="00044AED">
      <w:pPr>
        <w:widowControl w:val="0"/>
        <w:autoSpaceDE w:val="0"/>
        <w:autoSpaceDN w:val="0"/>
        <w:adjustRightInd w:val="0"/>
        <w:spacing w:after="240" w:line="480" w:lineRule="auto"/>
        <w:rPr>
          <w:color w:val="000000" w:themeColor="text1"/>
        </w:rPr>
      </w:pPr>
      <w:r w:rsidRPr="0062745D">
        <w:rPr>
          <w:color w:val="000000" w:themeColor="text1"/>
        </w:rPr>
        <w:t>To disaggregate regulatory stringency, we focus on three dimensions of variation: (1) the comprehensiveness of a regulation’s scope (i.e. which policy problems it addresses</w:t>
      </w:r>
      <w:r w:rsidR="0032607F" w:rsidRPr="00044AED">
        <w:rPr>
          <w:color w:val="000000" w:themeColor="text1"/>
        </w:rPr>
        <w:t>)</w:t>
      </w:r>
      <w:r w:rsidR="00171AE3" w:rsidRPr="00044AED">
        <w:rPr>
          <w:color w:val="000000" w:themeColor="text1"/>
        </w:rPr>
        <w:t>, (2)</w:t>
      </w:r>
      <w:r w:rsidR="00E17E24" w:rsidRPr="00044AED">
        <w:rPr>
          <w:color w:val="000000" w:themeColor="text1"/>
        </w:rPr>
        <w:t xml:space="preserve"> the extent to which requirements are prescriptive</w:t>
      </w:r>
      <w:r w:rsidR="00251C49" w:rsidRPr="00044AED">
        <w:rPr>
          <w:color w:val="000000" w:themeColor="text1"/>
        </w:rPr>
        <w:t xml:space="preserve"> versus flexible</w:t>
      </w:r>
      <w:r w:rsidR="0032607F" w:rsidRPr="00044AED">
        <w:rPr>
          <w:color w:val="000000" w:themeColor="text1"/>
        </w:rPr>
        <w:t xml:space="preserve"> (</w:t>
      </w:r>
      <w:r w:rsidR="00E17E24" w:rsidRPr="00044AED">
        <w:rPr>
          <w:color w:val="000000" w:themeColor="text1"/>
        </w:rPr>
        <w:t>i.e.</w:t>
      </w:r>
      <w:r w:rsidR="0032607F" w:rsidRPr="00044AED">
        <w:rPr>
          <w:color w:val="000000" w:themeColor="text1"/>
        </w:rPr>
        <w:t xml:space="preserve"> </w:t>
      </w:r>
      <w:r w:rsidRPr="0062745D">
        <w:rPr>
          <w:color w:val="000000" w:themeColor="text1"/>
        </w:rPr>
        <w:t xml:space="preserve">whether </w:t>
      </w:r>
      <w:r w:rsidR="0032607F" w:rsidRPr="00044AED">
        <w:rPr>
          <w:color w:val="000000" w:themeColor="text1"/>
        </w:rPr>
        <w:t>they</w:t>
      </w:r>
      <w:r w:rsidR="00E17E24" w:rsidRPr="00044AED">
        <w:rPr>
          <w:color w:val="000000" w:themeColor="text1"/>
        </w:rPr>
        <w:t xml:space="preserve"> </w:t>
      </w:r>
      <w:r w:rsidRPr="0062745D">
        <w:rPr>
          <w:color w:val="000000" w:themeColor="text1"/>
        </w:rPr>
        <w:t>have</w:t>
      </w:r>
      <w:r w:rsidR="00E17E24" w:rsidRPr="00044AED">
        <w:rPr>
          <w:color w:val="000000" w:themeColor="text1"/>
        </w:rPr>
        <w:t xml:space="preserve"> mandatory and substantive thresholds</w:t>
      </w:r>
      <w:r w:rsidR="0032607F" w:rsidRPr="00044AED">
        <w:rPr>
          <w:color w:val="000000" w:themeColor="text1"/>
        </w:rPr>
        <w:t>)</w:t>
      </w:r>
      <w:r w:rsidR="00171AE3" w:rsidRPr="00044AED">
        <w:rPr>
          <w:color w:val="000000" w:themeColor="text1"/>
        </w:rPr>
        <w:t>, and (3) the levels of those thresholds or similarly specific policy setting</w:t>
      </w:r>
      <w:r w:rsidR="00D84D5D" w:rsidRPr="00044AED">
        <w:rPr>
          <w:color w:val="000000" w:themeColor="text1"/>
        </w:rPr>
        <w:t>s</w:t>
      </w:r>
      <w:r w:rsidR="00746DF8" w:rsidRPr="00044AED">
        <w:rPr>
          <w:color w:val="000000" w:themeColor="text1"/>
        </w:rPr>
        <w:t xml:space="preserve"> (see Table 2)</w:t>
      </w:r>
      <w:r w:rsidR="00EE76E2" w:rsidRPr="00044AED">
        <w:rPr>
          <w:color w:val="000000" w:themeColor="text1"/>
        </w:rPr>
        <w:t>.</w:t>
      </w:r>
      <w:r w:rsidR="00254EA4" w:rsidRPr="00044AED">
        <w:rPr>
          <w:color w:val="000000" w:themeColor="text1"/>
        </w:rPr>
        <w:t xml:space="preserve"> </w:t>
      </w:r>
      <w:r w:rsidR="00802F9E">
        <w:rPr>
          <w:color w:val="000000" w:themeColor="text1"/>
        </w:rPr>
        <w:t xml:space="preserve">The </w:t>
      </w:r>
      <w:r w:rsidR="00254EA4" w:rsidRPr="00387397">
        <w:rPr>
          <w:color w:val="000000" w:themeColor="text1"/>
        </w:rPr>
        <w:t>first step for scholars who wish to make claims about stringency or direction of change</w:t>
      </w:r>
      <w:r w:rsidR="00802F9E">
        <w:rPr>
          <w:color w:val="000000" w:themeColor="text1"/>
        </w:rPr>
        <w:t xml:space="preserve"> thus</w:t>
      </w:r>
      <w:r w:rsidR="00254EA4" w:rsidRPr="00387397">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w:t>
      </w:r>
      <w:r w:rsidRPr="0062745D">
        <w:rPr>
          <w:color w:val="000000" w:themeColor="text1"/>
        </w:rPr>
        <w:t xml:space="preserve">policy settings, </w:t>
      </w:r>
      <w:r w:rsidR="00254EA4" w:rsidRPr="00387397">
        <w:rPr>
          <w:color w:val="000000" w:themeColor="text1"/>
        </w:rPr>
        <w:t>scope,</w:t>
      </w:r>
      <w:r w:rsidR="00044AED">
        <w:rPr>
          <w:color w:val="000000" w:themeColor="text1"/>
        </w:rPr>
        <w:t xml:space="preserve"> and</w:t>
      </w:r>
      <w:r w:rsidR="00254EA4" w:rsidRPr="00387397">
        <w:rPr>
          <w:color w:val="000000" w:themeColor="text1"/>
        </w:rPr>
        <w:t xml:space="preserve"> prescriptiveness</w:t>
      </w:r>
      <w:r w:rsidRPr="0062745D">
        <w:rPr>
          <w:color w:val="000000" w:themeColor="text1"/>
        </w:rPr>
        <w:t xml:space="preserve">. Comparing across programs requires </w:t>
      </w:r>
      <w:r w:rsidR="00254EA4" w:rsidRPr="00387397">
        <w:rPr>
          <w:color w:val="000000" w:themeColor="text1"/>
        </w:rPr>
        <w:t xml:space="preserve">a second step: measuring relative </w:t>
      </w:r>
      <w:r w:rsidRPr="0062745D">
        <w:rPr>
          <w:color w:val="000000" w:themeColor="text1"/>
        </w:rPr>
        <w:t>stringency</w:t>
      </w:r>
      <w:r w:rsidR="00254EA4" w:rsidRPr="00387397">
        <w:rPr>
          <w:color w:val="000000" w:themeColor="text1"/>
        </w:rPr>
        <w:t xml:space="preserve"> and change on each dimension (see </w:t>
      </w:r>
      <w:r w:rsidR="00802F9E">
        <w:rPr>
          <w:color w:val="000000" w:themeColor="text1"/>
        </w:rPr>
        <w:t>T</w:t>
      </w:r>
      <w:r w:rsidR="00254EA4" w:rsidRPr="00387397">
        <w:rPr>
          <w:color w:val="000000" w:themeColor="text1"/>
        </w:rPr>
        <w:t>able 3). First, we elaborate on step one.</w:t>
      </w:r>
    </w:p>
    <w:p w14:paraId="44A524E1" w14:textId="77777777" w:rsidR="005D4584" w:rsidRPr="00044AED" w:rsidRDefault="005D4584" w:rsidP="00044AED">
      <w:pPr>
        <w:widowControl w:val="0"/>
        <w:autoSpaceDE w:val="0"/>
        <w:autoSpaceDN w:val="0"/>
        <w:adjustRightInd w:val="0"/>
        <w:spacing w:after="240" w:line="480" w:lineRule="auto"/>
        <w:rPr>
          <w:color w:val="000000" w:themeColor="text1"/>
        </w:rPr>
      </w:pPr>
    </w:p>
    <w:p w14:paraId="63754D76" w14:textId="7C823CB0" w:rsidR="003A13CF" w:rsidRPr="00387397" w:rsidRDefault="00AA09C3" w:rsidP="00044AED">
      <w:pPr>
        <w:widowControl w:val="0"/>
        <w:autoSpaceDE w:val="0"/>
        <w:autoSpaceDN w:val="0"/>
        <w:adjustRightInd w:val="0"/>
        <w:spacing w:after="240" w:line="480" w:lineRule="auto"/>
        <w:rPr>
          <w:color w:val="000000" w:themeColor="text1"/>
        </w:rPr>
      </w:pPr>
      <w:r>
        <w:rPr>
          <w:color w:val="000000" w:themeColor="text1"/>
        </w:rPr>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A4349C">
        <w:rPr>
          <w:color w:val="000000" w:themeColor="text1"/>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35C173A" w14:textId="0EFB747E" w:rsidR="00592EE2" w:rsidRPr="00387397" w:rsidRDefault="00AA09C3" w:rsidP="00044AED">
      <w:pPr>
        <w:widowControl w:val="0"/>
        <w:autoSpaceDE w:val="0"/>
        <w:autoSpaceDN w:val="0"/>
        <w:adjustRightInd w:val="0"/>
        <w:spacing w:after="240" w:line="480" w:lineRule="auto"/>
        <w:rPr>
          <w:color w:val="000000" w:themeColor="text1"/>
        </w:rPr>
      </w:pPr>
      <w:r>
        <w:rPr>
          <w:color w:val="000000" w:themeColor="text1"/>
        </w:rPr>
        <w:t xml:space="preserve">To </w:t>
      </w:r>
      <w:r w:rsidR="0062745D" w:rsidRPr="0062745D">
        <w:rPr>
          <w:color w:val="000000" w:themeColor="text1"/>
        </w:rPr>
        <w:t>assess</w:t>
      </w:r>
      <w:r w:rsidRPr="00387397">
        <w:rPr>
          <w:color w:val="000000" w:themeColor="text1"/>
        </w:rPr>
        <w:t xml:space="preserve"> </w:t>
      </w:r>
      <w:r w:rsidR="00A82409" w:rsidRPr="00387397">
        <w:rPr>
          <w:color w:val="000000" w:themeColor="text1"/>
        </w:rPr>
        <w:t xml:space="preserve">a </w:t>
      </w:r>
      <w:r w:rsidR="0062745D" w:rsidRPr="0062745D">
        <w:rPr>
          <w:color w:val="000000" w:themeColor="text1"/>
        </w:rPr>
        <w:t>regulation's</w:t>
      </w:r>
      <w:r w:rsidR="00254EA4" w:rsidRPr="00387397">
        <w:rPr>
          <w:color w:val="000000" w:themeColor="text1"/>
        </w:rPr>
        <w:t xml:space="preserve"> scope</w:t>
      </w:r>
      <w:r>
        <w:rPr>
          <w:color w:val="000000" w:themeColor="text1"/>
        </w:rPr>
        <w:t xml:space="preserve">, </w:t>
      </w:r>
      <w:r w:rsidR="0062745D" w:rsidRPr="0062745D">
        <w:rPr>
          <w:color w:val="000000" w:themeColor="text1"/>
        </w:rPr>
        <w:t>we</w:t>
      </w:r>
      <w:r>
        <w:rPr>
          <w:color w:val="000000" w:themeColor="text1"/>
        </w:rPr>
        <w:t xml:space="preserve"> must </w:t>
      </w:r>
      <w:r w:rsidR="00254EA4" w:rsidRPr="00387397">
        <w:rPr>
          <w:color w:val="000000" w:themeColor="text1"/>
        </w:rPr>
        <w:t>inductively deriv</w:t>
      </w:r>
      <w:r>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62745D" w:rsidRPr="0062745D">
        <w:rPr>
          <w:color w:val="000000" w:themeColor="text1"/>
        </w:rPr>
        <w:t xml:space="preserve">policy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Pr>
          <w:color w:val="000000" w:themeColor="text1"/>
        </w:rPr>
        <w:t>given</w:t>
      </w:r>
      <w:r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62745D" w:rsidRPr="0062745D">
        <w:rPr>
          <w:color w:val="000000" w:themeColor="text1"/>
        </w:rPr>
        <w:t>We can then measure the</w:t>
      </w:r>
      <w:r w:rsidR="005B1D92" w:rsidRPr="00387397">
        <w:rPr>
          <w:rFonts w:eastAsia="Times New Roman"/>
          <w:color w:val="000000" w:themeColor="text1"/>
        </w:rPr>
        <w:t xml:space="preserve"> comprehensiveness of each regulation’s scope by asking which of </w:t>
      </w:r>
      <w:r w:rsidR="0062745D" w:rsidRPr="0062745D">
        <w:rPr>
          <w:color w:val="000000" w:themeColor="text1"/>
        </w:rPr>
        <w:t>these</w:t>
      </w:r>
      <w:r w:rsidR="005B1D92" w:rsidRPr="00387397">
        <w:rPr>
          <w:rFonts w:eastAsia="Times New Roman"/>
          <w:color w:val="000000" w:themeColor="text1"/>
        </w:rPr>
        <w:t xml:space="preserve">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62745D" w:rsidRPr="0062745D">
        <w:rPr>
          <w:color w:val="000000" w:themeColor="text1"/>
        </w:rPr>
        <w:t>may</w:t>
      </w:r>
      <w:r w:rsidR="003E6B11">
        <w:rPr>
          <w:color w:val="000000" w:themeColor="text1"/>
        </w:rPr>
        <w:t xml:space="preserve"> thus </w:t>
      </w:r>
      <w:r>
        <w:rPr>
          <w:color w:val="000000" w:themeColor="text1"/>
        </w:rPr>
        <w:t>opt for</w:t>
      </w:r>
      <w:r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 xml:space="preserve">to assess </w:t>
      </w:r>
      <w:r w:rsidR="0062745D" w:rsidRPr="0062745D">
        <w:rPr>
          <w:color w:val="000000" w:themeColor="text1"/>
        </w:rPr>
        <w:t>claims</w:t>
      </w:r>
      <w:r w:rsidR="00E32DD3" w:rsidRPr="00387397">
        <w:rPr>
          <w:color w:val="000000" w:themeColor="text1"/>
        </w:rPr>
        <w:t xml:space="preserve">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w:t>
      </w:r>
      <w:r w:rsidR="0062745D" w:rsidRPr="0062745D">
        <w:rPr>
          <w:color w:val="000000" w:themeColor="text1"/>
        </w:rPr>
        <w:t>from</w:t>
      </w:r>
      <w:r w:rsidR="003E6B11">
        <w:rPr>
          <w:color w:val="000000" w:themeColor="text1"/>
        </w:rPr>
        <w:t xml:space="preserve"> section 2.3</w:t>
      </w:r>
      <w:r w:rsidR="00313DCA">
        <w:rPr>
          <w:color w:val="000000" w:themeColor="text1"/>
        </w:rPr>
        <w:t>)</w:t>
      </w:r>
      <w:r w:rsidR="00592EE2" w:rsidRPr="00387397">
        <w:rPr>
          <w:color w:val="000000" w:themeColor="text1"/>
        </w:rPr>
        <w:t>.</w:t>
      </w:r>
      <w:r w:rsidR="00332C55" w:rsidRPr="00387397">
        <w:rPr>
          <w:color w:val="000000" w:themeColor="text1"/>
        </w:rPr>
        <w:t xml:space="preserve"> </w:t>
      </w:r>
      <w:r w:rsidR="0062745D" w:rsidRPr="0062745D">
        <w:rPr>
          <w:color w:val="000000" w:themeColor="text1"/>
        </w:rPr>
        <w:t>We</w:t>
      </w:r>
      <w:r w:rsidR="00332C55" w:rsidRPr="00387397">
        <w:rPr>
          <w:color w:val="000000" w:themeColor="text1"/>
        </w:rPr>
        <w:t xml:space="preserve"> can </w:t>
      </w:r>
      <w:r w:rsidR="0062745D" w:rsidRPr="0062745D">
        <w:rPr>
          <w:color w:val="000000" w:themeColor="text1"/>
        </w:rPr>
        <w:t>measure a regulation's scope</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62745D" w:rsidRPr="0062745D">
        <w:rPr>
          <w:color w:val="000000" w:themeColor="text1"/>
        </w:rPr>
        <w:t>it</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w:t>
      </w:r>
      <w:r w:rsidR="0062745D" w:rsidRPr="0062745D">
        <w:rPr>
          <w:color w:val="000000" w:themeColor="text1"/>
        </w:rPr>
        <w:t xml:space="preserve"> in</w:t>
      </w:r>
      <w:r w:rsidR="00254EA4" w:rsidRPr="00387397">
        <w:rPr>
          <w:color w:val="000000" w:themeColor="text1"/>
        </w:rPr>
        <w:t xml:space="preserve"> </w:t>
      </w:r>
      <w:r w:rsidR="00332C55" w:rsidRPr="00387397">
        <w:rPr>
          <w:color w:val="000000" w:themeColor="text1"/>
        </w:rPr>
        <w:t xml:space="preserve">a relative </w:t>
      </w:r>
      <w:r w:rsidR="00332C55" w:rsidRPr="00387397">
        <w:rPr>
          <w:color w:val="000000" w:themeColor="text1"/>
        </w:rPr>
        <w:lastRenderedPageBreak/>
        <w:t xml:space="preserve">sense (how many more </w:t>
      </w:r>
      <w:r w:rsidR="0062745D" w:rsidRPr="0062745D">
        <w:rPr>
          <w:color w:val="000000" w:themeColor="text1"/>
        </w:rPr>
        <w:t xml:space="preserve">or fewer </w:t>
      </w:r>
      <w:r w:rsidR="00332C55" w:rsidRPr="00387397">
        <w:rPr>
          <w:color w:val="000000" w:themeColor="text1"/>
        </w:rPr>
        <w:t xml:space="preserve">issues </w:t>
      </w:r>
      <w:r w:rsidR="00313DCA">
        <w:rPr>
          <w:color w:val="000000" w:themeColor="text1"/>
        </w:rPr>
        <w:t>it addresses than its competitor</w:t>
      </w:r>
      <w:r w:rsidR="00332C55" w:rsidRPr="00387397">
        <w:rPr>
          <w:color w:val="000000" w:themeColor="text1"/>
        </w:rPr>
        <w:t xml:space="preserve">), and </w:t>
      </w:r>
      <w:r w:rsidR="0062745D" w:rsidRPr="0062745D">
        <w:rPr>
          <w:color w:val="000000" w:themeColor="text1"/>
        </w:rPr>
        <w:t>in</w:t>
      </w:r>
      <w:r w:rsidR="00332C55" w:rsidRPr="00387397">
        <w:rPr>
          <w:color w:val="000000" w:themeColor="text1"/>
        </w:rPr>
        <w:t xml:space="preserve">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06681147" w14:textId="0523E3BD" w:rsidR="00494530" w:rsidRPr="00387397" w:rsidRDefault="00761175" w:rsidP="00044AED">
      <w:pPr>
        <w:widowControl w:val="0"/>
        <w:autoSpaceDE w:val="0"/>
        <w:autoSpaceDN w:val="0"/>
        <w:adjustRightInd w:val="0"/>
        <w:spacing w:after="240" w:line="480" w:lineRule="auto"/>
        <w:rPr>
          <w:color w:val="000000" w:themeColor="text1"/>
        </w:rPr>
      </w:pPr>
      <w:r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62745D" w:rsidRPr="0062745D">
        <w:rPr>
          <w:color w:val="000000" w:themeColor="text1"/>
        </w:rPr>
        <w:t>.,</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62745D" w:rsidRPr="0062745D">
        <w:rPr>
          <w:color w:val="000000" w:themeColor="text1"/>
        </w:rPr>
        <w:t xml:space="preserve"> adapted from</w:t>
      </w:r>
      <w:r w:rsidR="00313DCA">
        <w:rPr>
          <w:color w:val="000000" w:themeColor="text1"/>
        </w:rPr>
        <w:t xml:space="preserve"> Cashore 2007</w:t>
      </w:r>
      <w:r w:rsidR="0062745D" w:rsidRPr="0062745D">
        <w:rPr>
          <w:color w:val="000000" w:themeColor="text1"/>
        </w:rPr>
        <w:t>).</w:t>
      </w:r>
      <w:r w:rsidRPr="00387397">
        <w:rPr>
          <w:rFonts w:eastAsia="Times New Roman"/>
          <w:color w:val="000000" w:themeColor="text1"/>
        </w:rPr>
        <w:t xml:space="preserve"> Because </w:t>
      </w:r>
      <w:r w:rsidR="0062745D" w:rsidRPr="0062745D">
        <w:rPr>
          <w:color w:val="000000" w:themeColor="text1"/>
        </w:rPr>
        <w:t>"</w:t>
      </w:r>
      <w:r w:rsidR="00E85074" w:rsidRPr="00387397">
        <w:rPr>
          <w:rFonts w:eastAsia="Times New Roman"/>
          <w:color w:val="000000" w:themeColor="text1"/>
        </w:rPr>
        <w:t>prescriptive versus flexible</w:t>
      </w:r>
      <w:r w:rsidR="0062745D" w:rsidRPr="0062745D">
        <w:rPr>
          <w:color w:val="000000" w:themeColor="text1"/>
        </w:rPr>
        <w:t>"</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0062745D" w:rsidRPr="0062745D">
        <w:rPr>
          <w:color w:val="000000" w:themeColor="text1"/>
        </w:rPr>
        <w:t xml:space="preserve">how </w:t>
      </w:r>
      <w:r w:rsidRPr="00387397">
        <w:rPr>
          <w:rFonts w:eastAsia="Times New Roman"/>
          <w:color w:val="000000" w:themeColor="text1"/>
        </w:rPr>
        <w:t xml:space="preserve">each issue is addressed, not the ends of the policy, </w:t>
      </w:r>
      <w:r w:rsidR="0062745D" w:rsidRPr="0062745D">
        <w:rPr>
          <w:color w:val="000000" w:themeColor="text1"/>
        </w:rPr>
        <w:t>we</w:t>
      </w:r>
      <w:r w:rsidRPr="00387397">
        <w:rPr>
          <w:rFonts w:eastAsia="Times New Roman"/>
          <w:color w:val="000000" w:themeColor="text1"/>
        </w:rPr>
        <w:t xml:space="preserve"> can </w:t>
      </w:r>
      <w:r w:rsidR="0062745D" w:rsidRPr="0062745D">
        <w:rPr>
          <w:color w:val="000000" w:themeColor="text1"/>
        </w:rPr>
        <w:t xml:space="preserve">compare prescriptiveness across different </w:t>
      </w:r>
      <w:r w:rsidRPr="00387397">
        <w:rPr>
          <w:rFonts w:eastAsia="Times New Roman"/>
          <w:color w:val="000000" w:themeColor="text1"/>
        </w:rPr>
        <w:t xml:space="preserve">substantive requirement.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w:t>
      </w:r>
      <w:r w:rsidR="00044AED">
        <w:rPr>
          <w:color w:val="000000" w:themeColor="text1"/>
        </w:rPr>
        <w:t xml:space="preserve">we </w:t>
      </w:r>
      <w:r w:rsidR="0062745D" w:rsidRPr="0062745D">
        <w:rPr>
          <w:color w:val="000000" w:themeColor="text1"/>
        </w:rPr>
        <w:t xml:space="preserve">code </w:t>
      </w:r>
      <w:r w:rsidR="003A13CF" w:rsidRPr="00387397">
        <w:rPr>
          <w:color w:val="000000" w:themeColor="text1"/>
        </w:rPr>
        <w:t>requirements</w:t>
      </w:r>
      <w:r w:rsidR="00C01240" w:rsidRPr="00387397">
        <w:rPr>
          <w:color w:val="000000" w:themeColor="text1"/>
        </w:rPr>
        <w:t xml:space="preserve">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044AED">
        <w:rPr>
          <w:color w:val="000000" w:themeColor="text1"/>
        </w:rPr>
        <w:t>issues</w:t>
      </w:r>
      <w:r w:rsidR="00C61790">
        <w:rPr>
          <w:color w:val="000000" w:themeColor="text1"/>
        </w:rPr>
        <w:t xml:space="preserve"> creates</w:t>
      </w:r>
      <w:r w:rsidR="00313DCA" w:rsidRPr="00387397">
        <w:rPr>
          <w:color w:val="000000" w:themeColor="text1"/>
        </w:rPr>
        <w:t xml:space="preserve"> </w:t>
      </w:r>
      <w:r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Pr="00387397">
        <w:rPr>
          <w:color w:val="000000" w:themeColor="text1"/>
        </w:rPr>
        <w:t xml:space="preserve">of policy </w:t>
      </w:r>
      <w:r w:rsidR="001F3BA1" w:rsidRPr="00044AED">
        <w:rPr>
          <w:color w:val="000000" w:themeColor="text1"/>
        </w:rPr>
        <w:t>sco</w:t>
      </w:r>
      <w:r w:rsidR="00756769" w:rsidRPr="00044AED">
        <w:rPr>
          <w:color w:val="000000" w:themeColor="text1"/>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044AED">
        <w:rPr>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044AED">
        <w:rPr>
          <w:color w:val="000000" w:themeColor="text1"/>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62745D" w:rsidRPr="0062745D">
        <w:rPr>
          <w:color w:val="000000" w:themeColor="text1"/>
        </w:rPr>
        <w:t>we classify</w:t>
      </w:r>
      <w:r w:rsidR="00C61790" w:rsidRPr="00387397">
        <w:rPr>
          <w:color w:val="000000" w:themeColor="text1"/>
        </w:rPr>
        <w:t xml:space="preserve"> </w:t>
      </w:r>
      <w:r w:rsidR="003A13CF" w:rsidRPr="00044AED">
        <w:rPr>
          <w:color w:val="000000" w:themeColor="text1"/>
        </w:rPr>
        <w:t>change</w:t>
      </w:r>
      <w:r w:rsidR="00C61790" w:rsidRPr="00044AED">
        <w:rPr>
          <w:color w:val="000000" w:themeColor="text1"/>
        </w:rPr>
        <w:t>s</w:t>
      </w:r>
      <w:r w:rsidR="00251C49" w:rsidRPr="00387397">
        <w:rPr>
          <w:color w:val="000000" w:themeColor="text1"/>
        </w:rPr>
        <w:t xml:space="preserve">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w:t>
      </w:r>
      <w:r w:rsidR="0062745D" w:rsidRPr="0062745D">
        <w:rPr>
          <w:color w:val="000000" w:themeColor="text1"/>
        </w:rPr>
        <w:t xml:space="preserve">thus capturing </w:t>
      </w:r>
      <w:r w:rsidR="00332C55" w:rsidRPr="00387397">
        <w:rPr>
          <w:color w:val="000000" w:themeColor="text1"/>
        </w:rPr>
        <w:t xml:space="preserve">the </w:t>
      </w:r>
      <w:r w:rsidR="00332C55" w:rsidRPr="00044AED">
        <w:rPr>
          <w:color w:val="000000" w:themeColor="text1"/>
        </w:rPr>
        <w:t>direction</w:t>
      </w:r>
      <w:r w:rsidR="00332C55" w:rsidRPr="00387397">
        <w:rPr>
          <w:color w:val="000000" w:themeColor="text1"/>
        </w:rPr>
        <w:t xml:space="preserve"> of change in prescriptiveness.</w:t>
      </w:r>
    </w:p>
    <w:p w14:paraId="7964769A"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21C93039" w14:textId="1E26FCDD" w:rsidR="005D4584" w:rsidRPr="00387397" w:rsidRDefault="00FE1D21" w:rsidP="00044AED">
      <w:pPr>
        <w:widowControl w:val="0"/>
        <w:autoSpaceDE w:val="0"/>
        <w:autoSpaceDN w:val="0"/>
        <w:adjustRightInd w:val="0"/>
        <w:spacing w:after="240" w:line="480" w:lineRule="auto"/>
        <w:rPr>
          <w:color w:val="000000" w:themeColor="text1"/>
        </w:rPr>
      </w:pPr>
      <w:r w:rsidRPr="00387397">
        <w:rPr>
          <w:color w:val="000000" w:themeColor="text1"/>
        </w:rPr>
        <w:t>[Table 3]</w:t>
      </w:r>
    </w:p>
    <w:p w14:paraId="58BF7B22"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502CD4E9" w14:textId="44AFB851" w:rsidR="00332C55" w:rsidRPr="00387397" w:rsidRDefault="004A4831" w:rsidP="00044AED">
      <w:pPr>
        <w:widowControl w:val="0"/>
        <w:autoSpaceDE w:val="0"/>
        <w:autoSpaceDN w:val="0"/>
        <w:adjustRightInd w:val="0"/>
        <w:spacing w:after="240"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interpret differences in scope or prescriptiveness</w:t>
      </w:r>
      <w:r w:rsidR="0062745D" w:rsidRPr="0062745D">
        <w:rPr>
          <w:color w:val="000000" w:themeColor="text1"/>
        </w:rPr>
        <w:t xml:space="preserve"> substantively.</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t>
      </w:r>
      <w:r w:rsidR="0062745D" w:rsidRPr="0062745D">
        <w:rPr>
          <w:color w:val="000000" w:themeColor="text1"/>
        </w:rPr>
        <w:t>are</w:t>
      </w:r>
      <w:r w:rsidR="003A13CF" w:rsidRPr="00387397">
        <w:rPr>
          <w:color w:val="000000" w:themeColor="text1"/>
        </w:rPr>
        <w:t xml:space="preserve">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62745D" w:rsidRPr="0062745D">
        <w:rPr>
          <w:color w:val="000000" w:themeColor="text1"/>
        </w:rPr>
        <w:t>a meaningful</w:t>
      </w:r>
      <w:r w:rsidR="00D12C0A" w:rsidRPr="00387397">
        <w:rPr>
          <w:color w:val="000000" w:themeColor="text1"/>
        </w:rPr>
        <w:t xml:space="preserve"> type of variation. </w:t>
      </w:r>
      <w:r w:rsidR="00CD1E1C" w:rsidRPr="00387397">
        <w:rPr>
          <w:color w:val="000000" w:themeColor="text1"/>
        </w:rPr>
        <w:t>Unfortunately</w:t>
      </w:r>
      <w:r w:rsidR="00D12C0A" w:rsidRPr="00387397">
        <w:rPr>
          <w:color w:val="000000" w:themeColor="text1"/>
        </w:rPr>
        <w:t xml:space="preserve">, most specific policy settings, even prescriptive ones, </w:t>
      </w:r>
      <w:r w:rsidR="0062745D" w:rsidRPr="0062745D">
        <w:rPr>
          <w:color w:val="000000" w:themeColor="text1"/>
        </w:rPr>
        <w:t>cannot be quantified</w:t>
      </w:r>
      <w:r w:rsidR="00D12C0A" w:rsidRPr="00387397">
        <w:rPr>
          <w:color w:val="000000" w:themeColor="text1"/>
        </w:rPr>
        <w:t xml:space="preserve"> and</w:t>
      </w:r>
      <w:r w:rsidR="0062745D" w:rsidRPr="0062745D">
        <w:rPr>
          <w:color w:val="000000" w:themeColor="text1"/>
        </w:rPr>
        <w:t xml:space="preserve"> are</w:t>
      </w:r>
      <w:r w:rsidR="00D12C0A" w:rsidRPr="00387397">
        <w:rPr>
          <w:color w:val="000000" w:themeColor="text1"/>
        </w:rPr>
        <w:t xml:space="preserve">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62745D" w:rsidRPr="0062745D">
        <w:rPr>
          <w:color w:val="000000" w:themeColor="text1"/>
        </w:rPr>
        <w:t>figure 4 in section 4).</w:t>
      </w:r>
      <w:r w:rsidR="00D12C0A" w:rsidRPr="00387397">
        <w:rPr>
          <w:color w:val="000000" w:themeColor="text1"/>
        </w:rPr>
        <w:t xml:space="preserve"> </w:t>
      </w:r>
      <w:r w:rsidR="00181E49" w:rsidRPr="00387397">
        <w:rPr>
          <w:rFonts w:eastAsia="Times New Roman"/>
          <w:color w:val="000000" w:themeColor="text1"/>
        </w:rPr>
        <w:t xml:space="preserve">Measurement strategies that allow program-level aggregation </w:t>
      </w:r>
      <w:r w:rsidR="0062745D" w:rsidRPr="0062745D">
        <w:rPr>
          <w:color w:val="000000" w:themeColor="text1"/>
        </w:rPr>
        <w:t>cannot</w:t>
      </w:r>
      <w:r w:rsidR="00181E49" w:rsidRPr="00387397">
        <w:rPr>
          <w:rFonts w:eastAsia="Times New Roman"/>
          <w:color w:val="000000" w:themeColor="text1"/>
        </w:rPr>
        <w:t xml:space="preserve"> replace issue-specific qualitative comparison. </w:t>
      </w:r>
      <w:r w:rsidR="00E85074" w:rsidRPr="00044AED">
        <w:rPr>
          <w:color w:val="000000" w:themeColor="text1"/>
        </w:rPr>
        <w:t xml:space="preserve">It is </w:t>
      </w:r>
      <w:r w:rsidR="0062745D" w:rsidRPr="0062745D">
        <w:rPr>
          <w:color w:val="000000" w:themeColor="text1"/>
        </w:rPr>
        <w:t>crucial</w:t>
      </w:r>
      <w:r w:rsidR="00E85074" w:rsidRPr="00044AED">
        <w:rPr>
          <w:color w:val="000000" w:themeColor="text1"/>
        </w:rPr>
        <w:t xml:space="preserve"> to</w:t>
      </w:r>
      <w:r w:rsidR="007F35D8" w:rsidRPr="00044AED">
        <w:rPr>
          <w:color w:val="000000" w:themeColor="text1"/>
        </w:rPr>
        <w:t xml:space="preserve"> both quantify absolute and relative </w:t>
      </w:r>
      <w:r w:rsidR="0062745D" w:rsidRPr="0062745D">
        <w:rPr>
          <w:color w:val="000000" w:themeColor="text1"/>
        </w:rPr>
        <w:t>differences</w:t>
      </w:r>
      <w:r w:rsidR="007F35D8" w:rsidRPr="00044AED">
        <w:rPr>
          <w:color w:val="000000" w:themeColor="text1"/>
        </w:rPr>
        <w:t xml:space="preserve"> and describe the most </w:t>
      </w:r>
      <w:r w:rsidR="0062745D" w:rsidRPr="0062745D">
        <w:rPr>
          <w:color w:val="000000" w:themeColor="text1"/>
        </w:rPr>
        <w:t xml:space="preserve">meaningful differences </w:t>
      </w:r>
      <w:r w:rsidR="007F35D8" w:rsidRPr="00044AED">
        <w:rPr>
          <w:color w:val="000000" w:themeColor="text1"/>
        </w:rPr>
        <w:t>that capture the overall trend</w:t>
      </w:r>
      <w:r w:rsidR="00761175" w:rsidRPr="00044AED">
        <w:rPr>
          <w:color w:val="000000" w:themeColor="text1"/>
        </w:rPr>
        <w:t>s</w:t>
      </w:r>
      <w:r w:rsidR="007F35D8" w:rsidRPr="00044AED">
        <w:rPr>
          <w:color w:val="000000" w:themeColor="text1"/>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r w:rsidR="00756769">
        <w:rPr>
          <w:rFonts w:eastAsia="Times New Roman"/>
          <w:color w:val="000000" w:themeColor="text1"/>
        </w:rPr>
        <w:t>co</w:t>
      </w:r>
      <w:r w:rsidR="0044241D">
        <w:rPr>
          <w:rFonts w:eastAsia="Times New Roman"/>
          <w:color w:val="000000" w:themeColor="text1"/>
        </w:rPr>
        <w:t>m</w:t>
      </w:r>
      <w:r w:rsidR="00756769">
        <w:rPr>
          <w:rFonts w:eastAsia="Times New Roman"/>
          <w:color w:val="000000" w:themeColor="text1"/>
        </w:rPr>
        <w:t>bine</w:t>
      </w:r>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with descriptive comparisons of </w:t>
      </w:r>
      <w:r w:rsidR="0062745D" w:rsidRPr="0062745D">
        <w:rPr>
          <w:color w:val="000000" w:themeColor="text1"/>
        </w:rPr>
        <w:t>important</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044AED">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044AED">
      <w:pPr>
        <w:widowControl w:val="0"/>
        <w:autoSpaceDE w:val="0"/>
        <w:autoSpaceDN w:val="0"/>
        <w:adjustRightInd w:val="0"/>
        <w:spacing w:after="240" w:line="480" w:lineRule="auto"/>
        <w:rPr>
          <w:rFonts w:eastAsia="Times New Roman"/>
          <w:color w:val="000000" w:themeColor="text1"/>
        </w:rPr>
      </w:pPr>
      <w:commentRangeStart w:id="243"/>
      <w:commentRangeStart w:id="244"/>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 xml:space="preserve">programs (A and B) in a policy space </w:t>
      </w:r>
      <w:r w:rsidRPr="00387397">
        <w:rPr>
          <w:rFonts w:eastAsia="Times New Roman"/>
          <w:color w:val="000000" w:themeColor="text1"/>
        </w:rPr>
        <w:lastRenderedPageBreak/>
        <w:t>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243"/>
      <w:r w:rsidR="00956FFD">
        <w:rPr>
          <w:rStyle w:val="CommentReference"/>
          <w:rFonts w:asciiTheme="minorHAnsi" w:hAnsiTheme="minorHAnsi" w:cstheme="minorBidi"/>
        </w:rPr>
        <w:commentReference w:id="243"/>
      </w:r>
      <w:commentRangeEnd w:id="244"/>
      <w:r w:rsidR="00F63F63">
        <w:rPr>
          <w:rStyle w:val="CommentReference"/>
          <w:rFonts w:asciiTheme="minorHAnsi" w:hAnsiTheme="minorHAnsi" w:cstheme="minorBidi"/>
        </w:rPr>
        <w:commentReference w:id="244"/>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w:t>
      </w:r>
      <w:commentRangeStart w:id="245"/>
      <w:commentRangeStart w:id="246"/>
      <w:r w:rsidR="00CD1E1C" w:rsidRPr="00387397">
        <w:rPr>
          <w:rFonts w:eastAsia="Times New Roman"/>
          <w:color w:val="000000" w:themeColor="text1"/>
        </w:rPr>
        <w:t xml:space="preserve"> possibly </w:t>
      </w:r>
      <w:commentRangeEnd w:id="245"/>
      <w:r w:rsidR="00C001AE">
        <w:rPr>
          <w:rStyle w:val="CommentReference"/>
          <w:rFonts w:asciiTheme="minorHAnsi" w:hAnsiTheme="minorHAnsi" w:cstheme="minorBidi"/>
        </w:rPr>
        <w:commentReference w:id="245"/>
      </w:r>
      <w:commentRangeEnd w:id="246"/>
      <w:r w:rsidR="000E0724">
        <w:rPr>
          <w:rStyle w:val="CommentReference"/>
          <w:rFonts w:asciiTheme="minorHAnsi" w:hAnsiTheme="minorHAnsi" w:cstheme="minorBidi"/>
        </w:rPr>
        <w:commentReference w:id="246"/>
      </w:r>
      <w:del w:id="247"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044AED">
      <w:pPr>
        <w:widowControl w:val="0"/>
        <w:autoSpaceDE w:val="0"/>
        <w:autoSpaceDN w:val="0"/>
        <w:adjustRightInd w:val="0"/>
        <w:spacing w:after="240" w:line="480" w:lineRule="auto"/>
        <w:rPr>
          <w:rFonts w:eastAsia="Times New Roman"/>
          <w:color w:val="000000" w:themeColor="text1"/>
        </w:rPr>
      </w:pPr>
    </w:p>
    <w:p w14:paraId="3EBAFCA8" w14:textId="58F229B6" w:rsidR="00172525" w:rsidRPr="00387397" w:rsidRDefault="00BF0AAA" w:rsidP="00044AED">
      <w:pPr>
        <w:widowControl w:val="0"/>
        <w:autoSpaceDE w:val="0"/>
        <w:autoSpaceDN w:val="0"/>
        <w:adjustRightInd w:val="0"/>
        <w:spacing w:after="240"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044AED">
        <w:rPr>
          <w:color w:val="000000" w:themeColor="text1"/>
        </w:rPr>
        <w:t xml:space="preserve"> </w:t>
      </w:r>
      <w:r w:rsidR="00BF7F4F" w:rsidRPr="00387397">
        <w:rPr>
          <w:rFonts w:eastAsia="Times New Roman"/>
          <w:color w:val="000000" w:themeColor="text1"/>
        </w:rPr>
        <w:t xml:space="preserve">precise </w:t>
      </w:r>
      <w:r w:rsidR="00BF7F4F" w:rsidRPr="00044AED">
        <w:rPr>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044AED">
        <w:rPr>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044AED">
        <w:rPr>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044AED">
        <w:rPr>
          <w:color w:val="000000" w:themeColor="text1"/>
        </w:rPr>
        <w:t>specific</w:t>
      </w:r>
      <w:r w:rsidR="009B7489" w:rsidRPr="00387397">
        <w:rPr>
          <w:rFonts w:eastAsia="Times New Roman"/>
          <w:color w:val="000000" w:themeColor="text1"/>
        </w:rPr>
        <w:t xml:space="preserve"> </w:t>
      </w:r>
      <w:r w:rsidR="004740E3" w:rsidRPr="00044AED">
        <w:rPr>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w:t>
      </w:r>
      <w:r w:rsidR="005C5CA5" w:rsidRPr="00387397">
        <w:rPr>
          <w:rFonts w:eastAsia="Times New Roman"/>
          <w:color w:val="000000" w:themeColor="text1"/>
        </w:rPr>
        <w:lastRenderedPageBreak/>
        <w:t xml:space="preserve">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6B6DD1D" w14:textId="7887D171" w:rsidR="003E7A2F" w:rsidRPr="00044AED" w:rsidRDefault="00BF0AAA"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3E7A2F" w:rsidRPr="00044AED">
        <w:rPr>
          <w:b/>
          <w:color w:val="000000" w:themeColor="text1"/>
        </w:rPr>
        <w:t xml:space="preserve">3.2 </w:t>
      </w:r>
      <w:r w:rsidR="000F3ED1" w:rsidRPr="00044AED">
        <w:rPr>
          <w:b/>
          <w:color w:val="000000" w:themeColor="text1"/>
        </w:rPr>
        <w:t xml:space="preserve">Step 2: </w:t>
      </w:r>
      <w:r w:rsidR="00AB5202" w:rsidRPr="00044AED">
        <w:rPr>
          <w:b/>
          <w:color w:val="000000" w:themeColor="text1"/>
        </w:rPr>
        <w:t xml:space="preserve">Classifying </w:t>
      </w:r>
      <w:r w:rsidR="003E7A2F" w:rsidRPr="00044AED">
        <w:rPr>
          <w:b/>
          <w:color w:val="000000" w:themeColor="text1"/>
        </w:rPr>
        <w:t>Patterns of Change</w:t>
      </w:r>
    </w:p>
    <w:p w14:paraId="515FFC1B" w14:textId="04DFBD16" w:rsidR="00B15838" w:rsidRDefault="006F0DF8" w:rsidP="00044AED">
      <w:pPr>
        <w:widowControl w:val="0"/>
        <w:autoSpaceDE w:val="0"/>
        <w:autoSpaceDN w:val="0"/>
        <w:adjustRightInd w:val="0"/>
        <w:spacing w:after="240"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62745D" w:rsidRPr="0062745D">
        <w:rPr>
          <w:color w:val="000000" w:themeColor="text1"/>
        </w:rPr>
        <w:t>(2002)</w:t>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62745D" w:rsidRPr="0062745D">
        <w:rPr>
          <w:color w:val="000000" w:themeColor="text1"/>
        </w:rPr>
        <w:t>(2007),</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62745D" w:rsidRPr="0062745D">
        <w:rPr>
          <w:color w:val="000000" w:themeColor="text1"/>
        </w:rPr>
        <w:t xml:space="preserve"> </w:t>
      </w:r>
      <w:r w:rsidR="00A17B6A" w:rsidRPr="00387397">
        <w:rPr>
          <w:color w:val="000000" w:themeColor="text1"/>
        </w:rPr>
        <w:t xml:space="preserve"> </w:t>
      </w:r>
      <w:r w:rsidR="006C6B32" w:rsidRPr="00387397">
        <w:rPr>
          <w:color w:val="000000" w:themeColor="text1"/>
        </w:rPr>
        <w:t xml:space="preserve">All of the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62745D" w:rsidRPr="0062745D">
        <w:rPr>
          <w:color w:val="000000" w:themeColor="text1"/>
        </w:rPr>
        <w:t>,</w:t>
      </w:r>
      <w:r w:rsidR="003C3F84">
        <w:rPr>
          <w:color w:val="000000" w:themeColor="text1"/>
        </w:rPr>
        <w:t xml:space="preserve">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w:t>
      </w:r>
      <w:r w:rsidR="0062745D" w:rsidRPr="0062745D">
        <w:rPr>
          <w:color w:val="000000" w:themeColor="text1"/>
        </w:rPr>
        <w:t xml:space="preserve">of change they predict, </w:t>
      </w:r>
      <w:r w:rsidR="006C6B32" w:rsidRPr="00387397">
        <w:rPr>
          <w:color w:val="000000" w:themeColor="text1"/>
        </w:rPr>
        <w:t xml:space="preserve">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044AED">
      <w:pPr>
        <w:widowControl w:val="0"/>
        <w:autoSpaceDE w:val="0"/>
        <w:autoSpaceDN w:val="0"/>
        <w:adjustRightInd w:val="0"/>
        <w:spacing w:after="240" w:line="480" w:lineRule="auto"/>
        <w:rPr>
          <w:color w:val="000000" w:themeColor="text1"/>
        </w:rPr>
      </w:pPr>
    </w:p>
    <w:p w14:paraId="23B26691" w14:textId="640FC824" w:rsidR="00FA76FB" w:rsidRPr="00044AED" w:rsidRDefault="001363DA" w:rsidP="00044AED">
      <w:pPr>
        <w:widowControl w:val="0"/>
        <w:autoSpaceDE w:val="0"/>
        <w:autoSpaceDN w:val="0"/>
        <w:adjustRightInd w:val="0"/>
        <w:spacing w:after="240" w:line="480" w:lineRule="auto"/>
        <w:rPr>
          <w:color w:val="000000" w:themeColor="text1"/>
        </w:rPr>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8AC4AA1" w14:textId="77777777" w:rsidR="00D00707" w:rsidRPr="00387397" w:rsidRDefault="00D00707" w:rsidP="00044AED">
      <w:pPr>
        <w:widowControl w:val="0"/>
        <w:autoSpaceDE w:val="0"/>
        <w:autoSpaceDN w:val="0"/>
        <w:adjustRightInd w:val="0"/>
        <w:spacing w:after="240" w:line="480" w:lineRule="auto"/>
        <w:rPr>
          <w:color w:val="000000" w:themeColor="text1"/>
        </w:rPr>
      </w:pPr>
    </w:p>
    <w:p w14:paraId="4B5B123B" w14:textId="0B21912F" w:rsidR="00D00707"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4</w:t>
      </w:r>
      <w:r w:rsidR="001210A6" w:rsidRPr="00387397">
        <w:rPr>
          <w:b/>
          <w:bCs/>
          <w:color w:val="000000" w:themeColor="text1"/>
        </w:rPr>
        <w:t xml:space="preserve"> Competing US </w:t>
      </w:r>
      <w:r w:rsidR="00EB336C" w:rsidRPr="00387397">
        <w:rPr>
          <w:b/>
          <w:bCs/>
          <w:color w:val="000000" w:themeColor="text1"/>
        </w:rPr>
        <w:t>Forest</w:t>
      </w:r>
      <w:r w:rsidR="001210A6" w:rsidRPr="00387397">
        <w:rPr>
          <w:b/>
          <w:bCs/>
          <w:color w:val="000000" w:themeColor="text1"/>
        </w:rPr>
        <w:t xml:space="preserve"> Certification Programs</w:t>
      </w:r>
    </w:p>
    <w:p w14:paraId="52D51FB2" w14:textId="4722B6C5" w:rsidR="00D00707" w:rsidRPr="00387397" w:rsidRDefault="00093435" w:rsidP="00044AED">
      <w:pPr>
        <w:widowControl w:val="0"/>
        <w:autoSpaceDE w:val="0"/>
        <w:autoSpaceDN w:val="0"/>
        <w:adjustRightInd w:val="0"/>
        <w:spacing w:after="240"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w:t>
      </w:r>
      <w:r w:rsidRPr="00387397">
        <w:rPr>
          <w:color w:val="000000" w:themeColor="text1"/>
        </w:rPr>
        <w:t xml:space="preserve">forestry </w:t>
      </w:r>
      <w:r w:rsidR="0062745D" w:rsidRPr="0062745D">
        <w:rPr>
          <w:color w:val="000000" w:themeColor="text1"/>
        </w:rPr>
        <w:t xml:space="preserve">certification </w:t>
      </w:r>
      <w:r w:rsidRPr="00387397">
        <w:rPr>
          <w:color w:val="000000" w:themeColor="text1"/>
        </w:rPr>
        <w:t>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w:t>
      </w:r>
      <w:r w:rsidR="00C04C9D">
        <w:rPr>
          <w:color w:val="000000" w:themeColor="text1"/>
        </w:rPr>
        <w:t>domains</w:t>
      </w:r>
      <w:r w:rsidR="00D00707" w:rsidRPr="00387397">
        <w:rPr>
          <w:color w:val="000000" w:themeColor="text1"/>
        </w:rPr>
        <w:t xml:space="preserve">,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 xml:space="preserve">regulations, both </w:t>
      </w:r>
      <w:r w:rsidR="007A0BD9" w:rsidRPr="00387397">
        <w:rPr>
          <w:color w:val="000000" w:themeColor="text1"/>
        </w:rPr>
        <w:lastRenderedPageBreak/>
        <w:t>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w:t>
      </w:r>
      <w:r w:rsidR="0062745D" w:rsidRPr="0062745D">
        <w:rPr>
          <w:color w:val="000000" w:themeColor="text1"/>
        </w:rPr>
        <w:t>can</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044AED">
      <w:pPr>
        <w:widowControl w:val="0"/>
        <w:autoSpaceDE w:val="0"/>
        <w:autoSpaceDN w:val="0"/>
        <w:adjustRightInd w:val="0"/>
        <w:spacing w:after="240" w:line="480" w:lineRule="auto"/>
        <w:rPr>
          <w:color w:val="000000" w:themeColor="text1"/>
        </w:rPr>
      </w:pPr>
    </w:p>
    <w:p w14:paraId="0664062B" w14:textId="1FD9CCF4" w:rsidR="0038489B" w:rsidRPr="00387397" w:rsidRDefault="005C1FAE" w:rsidP="00044AED">
      <w:pPr>
        <w:widowControl w:val="0"/>
        <w:autoSpaceDE w:val="0"/>
        <w:autoSpaceDN w:val="0"/>
        <w:adjustRightInd w:val="0"/>
        <w:spacing w:after="240"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w:t>
      </w:r>
      <w:r w:rsidR="0062745D" w:rsidRPr="0062745D">
        <w:rPr>
          <w:color w:val="000000" w:themeColor="text1"/>
        </w:rPr>
        <w:t xml:space="preserve">formal </w:t>
      </w:r>
      <w:r w:rsidR="00406A6A" w:rsidRPr="00387397">
        <w:rPr>
          <w:color w:val="000000" w:themeColor="text1"/>
        </w:rPr>
        <w:t xml:space="preserve">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w:t>
      </w:r>
      <w:r w:rsidR="0062745D" w:rsidRPr="0062745D">
        <w:rPr>
          <w:color w:val="000000" w:themeColor="text1"/>
        </w:rPr>
        <w:t>power with consumers and retailers, a timber company's</w:t>
      </w:r>
      <w:r w:rsidR="00406A6A" w:rsidRPr="00387397">
        <w:rPr>
          <w:color w:val="000000" w:themeColor="text1"/>
        </w:rPr>
        <w:t xml:space="preserve"> contracts may depend on an </w:t>
      </w:r>
      <w:r w:rsidR="0062745D" w:rsidRPr="0062745D">
        <w:rPr>
          <w:color w:val="000000" w:themeColor="text1"/>
        </w:rPr>
        <w:t>audit</w:t>
      </w:r>
      <w:r w:rsidR="00406A6A" w:rsidRPr="00387397">
        <w:rPr>
          <w:color w:val="000000" w:themeColor="text1"/>
        </w:rPr>
        <w:t xml:space="preserve"> of </w:t>
      </w:r>
      <w:r w:rsidR="0062745D" w:rsidRPr="0062745D">
        <w:rPr>
          <w:color w:val="000000" w:themeColor="text1"/>
        </w:rPr>
        <w:t xml:space="preserve">their </w:t>
      </w:r>
      <w:r w:rsidR="00406A6A" w:rsidRPr="00387397">
        <w:rPr>
          <w:color w:val="000000" w:themeColor="text1"/>
        </w:rPr>
        <w:t>compliance with hundreds of requirements</w:t>
      </w:r>
      <w:r w:rsidR="0062745D" w:rsidRPr="0062745D">
        <w:rPr>
          <w:color w:val="000000" w:themeColor="text1"/>
        </w:rPr>
        <w:t>. 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For example</w:t>
      </w:r>
      <w:r w:rsidR="000A3097" w:rsidRPr="00387397">
        <w:rPr>
          <w:color w:val="000000" w:themeColor="text1"/>
        </w:rPr>
        <w:t xml:space="preserve">,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62745D" w:rsidRPr="0062745D">
        <w:rPr>
          <w:color w:val="000000" w:themeColor="text1"/>
        </w:rPr>
        <w:t>This</w:t>
      </w:r>
      <w:r w:rsidR="00406A6A" w:rsidRPr="00387397">
        <w:rPr>
          <w:color w:val="000000" w:themeColor="text1"/>
        </w:rPr>
        <w:t xml:space="preserve">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62745D" w:rsidRPr="0062745D">
        <w:rPr>
          <w:color w:val="000000" w:themeColor="text1"/>
        </w:rPr>
        <w:t xml:space="preserve">. </w:t>
      </w:r>
    </w:p>
    <w:p w14:paraId="5148F9BF" w14:textId="77777777" w:rsidR="005A088A" w:rsidRPr="00387397" w:rsidRDefault="005A088A" w:rsidP="00044AED">
      <w:pPr>
        <w:widowControl w:val="0"/>
        <w:autoSpaceDE w:val="0"/>
        <w:autoSpaceDN w:val="0"/>
        <w:adjustRightInd w:val="0"/>
        <w:spacing w:after="240" w:line="480" w:lineRule="auto"/>
        <w:rPr>
          <w:color w:val="000000" w:themeColor="text1"/>
        </w:rPr>
      </w:pPr>
    </w:p>
    <w:p w14:paraId="596BE069" w14:textId="70EF3A07" w:rsidR="0013321A" w:rsidRPr="00044AED" w:rsidRDefault="00EE0D54" w:rsidP="00044AED">
      <w:pPr>
        <w:widowControl w:val="0"/>
        <w:autoSpaceDE w:val="0"/>
        <w:autoSpaceDN w:val="0"/>
        <w:adjustRightInd w:val="0"/>
        <w:spacing w:after="240" w:line="480" w:lineRule="auto"/>
        <w:rPr>
          <w:color w:val="000000" w:themeColor="text1"/>
        </w:rPr>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w:t>
      </w:r>
      <w:r w:rsidR="0062745D" w:rsidRPr="0062745D">
        <w:rPr>
          <w:color w:val="000000" w:themeColor="text1"/>
        </w:rPr>
        <w:t>regulating</w:t>
      </w:r>
      <w:r w:rsidR="0013321A" w:rsidRPr="00387397">
        <w:rPr>
          <w:color w:val="000000" w:themeColor="text1"/>
        </w:rPr>
        <w:t xml:space="preserve"> a third of </w:t>
      </w:r>
      <w:r w:rsidR="00044AED" w:rsidRPr="00387397">
        <w:rPr>
          <w:color w:val="000000" w:themeColor="text1"/>
        </w:rPr>
        <w:t>commercially harvested</w:t>
      </w:r>
      <w:r w:rsidR="0013321A" w:rsidRPr="00387397">
        <w:rPr>
          <w:color w:val="000000" w:themeColor="text1"/>
        </w:rPr>
        <w:t xml:space="preserve"> timberland</w:t>
      </w:r>
      <w:r w:rsidR="0062745D" w:rsidRPr="0062745D">
        <w:rPr>
          <w:color w:val="000000" w:themeColor="text1"/>
        </w:rPr>
        <w:t xml:space="preserve"> including most</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2"/>
      </w:r>
      <w:r w:rsidR="0013321A" w:rsidRPr="00387397">
        <w:rPr>
          <w:color w:val="000000" w:themeColor="text1"/>
        </w:rPr>
        <w:t xml:space="preserve"> </w:t>
      </w:r>
      <w:r w:rsidR="0013321A" w:rsidRPr="00044AED">
        <w:rPr>
          <w:color w:val="000000" w:themeColor="text1"/>
        </w:rPr>
        <w:t xml:space="preserve">Many states support certification as a </w:t>
      </w:r>
      <w:r w:rsidR="0062745D" w:rsidRPr="0062745D">
        <w:rPr>
          <w:color w:val="000000" w:themeColor="text1"/>
        </w:rPr>
        <w:t>compliment</w:t>
      </w:r>
      <w:r w:rsidR="0013321A" w:rsidRPr="00044AED">
        <w:rPr>
          <w:color w:val="000000" w:themeColor="text1"/>
        </w:rPr>
        <w:t xml:space="preserve"> or alternative to public regulation. For example, in some </w:t>
      </w:r>
      <w:r w:rsidR="0062745D" w:rsidRPr="0062745D">
        <w:rPr>
          <w:color w:val="000000" w:themeColor="text1"/>
        </w:rPr>
        <w:t xml:space="preserve">U.S. </w:t>
      </w:r>
      <w:r w:rsidR="0013321A" w:rsidRPr="00044AED">
        <w:rPr>
          <w:color w:val="000000" w:themeColor="text1"/>
        </w:rPr>
        <w:t xml:space="preserve">states, regulators forgo inspections of FSC-certified forests </w:t>
      </w:r>
      <w:r w:rsidR="0062745D" w:rsidRPr="0062745D">
        <w:rPr>
          <w:color w:val="000000" w:themeColor="text1"/>
        </w:rPr>
        <w:t xml:space="preserve">since FSC auditors </w:t>
      </w:r>
      <w:r w:rsidR="0013321A" w:rsidRPr="00044AED">
        <w:rPr>
          <w:color w:val="000000" w:themeColor="text1"/>
        </w:rPr>
        <w:t xml:space="preserve">already </w:t>
      </w:r>
      <w:r w:rsidR="0062745D" w:rsidRPr="0062745D">
        <w:rPr>
          <w:color w:val="000000" w:themeColor="text1"/>
        </w:rPr>
        <w:lastRenderedPageBreak/>
        <w:t>assess</w:t>
      </w:r>
      <w:r w:rsidR="0013321A" w:rsidRPr="00044AED">
        <w:rPr>
          <w:color w:val="000000" w:themeColor="text1"/>
        </w:rPr>
        <w:t xml:space="preserve"> legal compliance and more</w:t>
      </w:r>
      <w:r w:rsidR="00220A0E" w:rsidRPr="00044AED">
        <w:rPr>
          <w:color w:val="000000" w:themeColor="text1"/>
        </w:rPr>
        <w:t xml:space="preserve"> (Judge-Lord, 2013)</w:t>
      </w:r>
      <w:r w:rsidR="0013321A" w:rsidRPr="00044AED">
        <w:rPr>
          <w:color w:val="000000" w:themeColor="text1"/>
        </w:rPr>
        <w:t xml:space="preserve">. </w:t>
      </w:r>
    </w:p>
    <w:p w14:paraId="1A8CFCF4" w14:textId="77777777" w:rsidR="0013321A" w:rsidRPr="00387397" w:rsidRDefault="0013321A" w:rsidP="00044AED">
      <w:pPr>
        <w:widowControl w:val="0"/>
        <w:autoSpaceDE w:val="0"/>
        <w:autoSpaceDN w:val="0"/>
        <w:adjustRightInd w:val="0"/>
        <w:spacing w:after="240" w:line="480" w:lineRule="auto"/>
        <w:rPr>
          <w:color w:val="000000" w:themeColor="text1"/>
        </w:rPr>
      </w:pPr>
    </w:p>
    <w:p w14:paraId="0479F71C" w14:textId="29B3F54E" w:rsidR="005C1FAE" w:rsidRDefault="0013321A"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044AED">
      <w:pPr>
        <w:widowControl w:val="0"/>
        <w:autoSpaceDE w:val="0"/>
        <w:autoSpaceDN w:val="0"/>
        <w:adjustRightInd w:val="0"/>
        <w:spacing w:after="240" w:line="480" w:lineRule="auto"/>
        <w:rPr>
          <w:color w:val="000000" w:themeColor="text1"/>
        </w:rPr>
      </w:pPr>
    </w:p>
    <w:p w14:paraId="54720B62" w14:textId="19652054" w:rsidR="006C586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62745D" w:rsidRPr="0062745D">
        <w:rPr>
          <w:color w:val="000000" w:themeColor="text1"/>
        </w:rPr>
        <w:t xml:space="preserve">FSC's founders designed its </w:t>
      </w:r>
      <w:r w:rsidR="009D3EE7" w:rsidRPr="00387397">
        <w:rPr>
          <w:color w:val="000000" w:themeColor="text1"/>
        </w:rPr>
        <w:t>rule</w:t>
      </w:r>
      <w:r w:rsidR="004214BC" w:rsidRPr="00387397">
        <w:rPr>
          <w:color w:val="000000" w:themeColor="text1"/>
        </w:rPr>
        <w:t xml:space="preserve">making </w:t>
      </w:r>
      <w:r w:rsidR="0062745D" w:rsidRPr="0062745D">
        <w:rPr>
          <w:color w:val="000000" w:themeColor="text1"/>
        </w:rPr>
        <w:t xml:space="preserve">procedures </w:t>
      </w:r>
      <w:r w:rsidR="009D3EE7" w:rsidRPr="00387397">
        <w:rPr>
          <w:color w:val="000000" w:themeColor="text1"/>
        </w:rPr>
        <w:t>as a</w:t>
      </w:r>
      <w:r w:rsidR="00B45D1A" w:rsidRPr="00387397">
        <w:rPr>
          <w:color w:val="000000" w:themeColor="text1"/>
        </w:rPr>
        <w:t xml:space="preserve"> </w:t>
      </w:r>
      <w:r w:rsidR="00B45D1A" w:rsidRPr="00044AED">
        <w:rPr>
          <w:color w:val="000000" w:themeColor="text1"/>
        </w:rPr>
        <w:t xml:space="preserve">“democratic” </w:t>
      </w:r>
      <w:r w:rsidR="009D3EE7" w:rsidRPr="00044AED">
        <w:rPr>
          <w:color w:val="000000" w:themeColor="text1"/>
        </w:rPr>
        <w:t>process</w:t>
      </w:r>
      <w:r w:rsidR="00C236EE" w:rsidRPr="00044AED">
        <w:rPr>
          <w:color w:val="000000" w:themeColor="text1"/>
        </w:rPr>
        <w:t xml:space="preserve"> </w:t>
      </w:r>
      <w:r w:rsidR="00C236EE" w:rsidRPr="00387397">
        <w:rPr>
          <w:color w:val="000000" w:themeColor="text1"/>
        </w:rPr>
        <w:t>where members vote on</w:t>
      </w:r>
      <w:r w:rsidR="00E420F3" w:rsidRPr="00387397">
        <w:rPr>
          <w:color w:val="000000" w:themeColor="text1"/>
        </w:rPr>
        <w:t xml:space="preserve"> decision-making </w:t>
      </w:r>
      <w:r w:rsidR="0062745D" w:rsidRPr="0062745D">
        <w:rPr>
          <w:color w:val="000000" w:themeColor="text1"/>
        </w:rPr>
        <w:t>rules</w:t>
      </w:r>
      <w:r w:rsidR="00E420F3" w:rsidRPr="00387397">
        <w:rPr>
          <w:color w:val="000000" w:themeColor="text1"/>
        </w:rPr>
        <w:t xml:space="preserve"> as well as</w:t>
      </w:r>
      <w:r w:rsidR="00C236EE" w:rsidRPr="00387397">
        <w:rPr>
          <w:color w:val="000000" w:themeColor="text1"/>
        </w:rPr>
        <w:t xml:space="preserve"> </w:t>
      </w:r>
      <w:r w:rsidR="00E420F3" w:rsidRPr="00387397">
        <w:rPr>
          <w:color w:val="000000" w:themeColor="text1"/>
        </w:rPr>
        <w:t xml:space="preserve">substantive </w:t>
      </w:r>
      <w:r w:rsidR="0062745D" w:rsidRPr="0062745D">
        <w:rPr>
          <w:color w:val="000000" w:themeColor="text1"/>
        </w:rPr>
        <w:t>policy (</w:t>
      </w:r>
      <w:proofErr w:type="spellStart"/>
      <w:r w:rsidR="0062745D" w:rsidRPr="0062745D">
        <w:rPr>
          <w:color w:val="000000" w:themeColor="text1"/>
        </w:rPr>
        <w:t>Meidinger</w:t>
      </w:r>
      <w:proofErr w:type="spellEnd"/>
      <w:r w:rsidR="0062745D" w:rsidRPr="0062745D">
        <w:rPr>
          <w:color w:val="000000" w:themeColor="text1"/>
        </w:rPr>
        <w:t>, 2003).</w:t>
      </w:r>
      <w:r w:rsidR="00FB3EB3" w:rsidRPr="00387397">
        <w:rPr>
          <w:color w:val="000000" w:themeColor="text1"/>
        </w:rPr>
        <w:t xml:space="preserve"> </w:t>
      </w:r>
      <w:r w:rsidR="00CB7A94" w:rsidRPr="00387397">
        <w:rPr>
          <w:color w:val="000000" w:themeColor="text1"/>
        </w:rPr>
        <w:t xml:space="preserve">The FSC standards </w:t>
      </w:r>
      <w:r w:rsidR="0062745D" w:rsidRPr="0062745D">
        <w:rPr>
          <w:color w:val="000000" w:themeColor="text1"/>
        </w:rPr>
        <w:t>begin with</w:t>
      </w:r>
      <w:r w:rsidR="00CB7A94" w:rsidRPr="00387397">
        <w:rPr>
          <w:color w:val="000000" w:themeColor="text1"/>
        </w:rPr>
        <w:t xml:space="preserve">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2745D" w:rsidRPr="0062745D">
        <w:rPr>
          <w:color w:val="000000" w:themeColor="text1"/>
        </w:rPr>
        <w:t>used</w:t>
      </w:r>
      <w:r w:rsidR="00613BEB" w:rsidRPr="00387397">
        <w:rPr>
          <w:color w:val="000000" w:themeColor="text1"/>
        </w:rPr>
        <w:t xml:space="preserve">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w:t>
      </w:r>
      <w:r w:rsidR="0062745D" w:rsidRPr="0062745D">
        <w:rPr>
          <w:color w:val="000000" w:themeColor="text1"/>
        </w:rPr>
        <w:t>to</w:t>
      </w:r>
      <w:r w:rsidRPr="00387397">
        <w:rPr>
          <w:color w:val="000000" w:themeColor="text1"/>
        </w:rPr>
        <w:t xml:space="preserve">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3"/>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044AED">
      <w:pPr>
        <w:widowControl w:val="0"/>
        <w:autoSpaceDE w:val="0"/>
        <w:autoSpaceDN w:val="0"/>
        <w:adjustRightInd w:val="0"/>
        <w:spacing w:after="240" w:line="480" w:lineRule="auto"/>
        <w:rPr>
          <w:color w:val="000000" w:themeColor="text1"/>
        </w:rPr>
      </w:pPr>
    </w:p>
    <w:p w14:paraId="7B8EF2CF" w14:textId="6E2A3231" w:rsidR="009E3860"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SFI:</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 xml:space="preserve">legally distinct entity with </w:t>
      </w:r>
      <w:r w:rsidR="0062745D" w:rsidRPr="0062745D">
        <w:rPr>
          <w:color w:val="000000" w:themeColor="text1"/>
        </w:rPr>
        <w:t>a</w:t>
      </w:r>
      <w:r w:rsidR="001B3484" w:rsidRPr="00387397">
        <w:rPr>
          <w:color w:val="000000" w:themeColor="text1"/>
        </w:rPr>
        <w:t xml:space="preserve"> rulemaking </w:t>
      </w:r>
      <w:r w:rsidR="0062745D" w:rsidRPr="0062745D">
        <w:rPr>
          <w:color w:val="000000" w:themeColor="text1"/>
        </w:rPr>
        <w:t>process that is formally independent, though still largely governed by business stakeholders.</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w:t>
      </w:r>
      <w:r w:rsidR="009E3860" w:rsidRPr="00387397">
        <w:rPr>
          <w:color w:val="000000" w:themeColor="text1"/>
        </w:rPr>
        <w:lastRenderedPageBreak/>
        <w:t>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 xml:space="preserve">benchmarks verbatim. </w:t>
      </w:r>
      <w:r w:rsidR="0062745D" w:rsidRPr="0062745D">
        <w:rPr>
          <w:color w:val="000000" w:themeColor="text1"/>
        </w:rPr>
        <w:t>Instead</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044AED">
      <w:pPr>
        <w:widowControl w:val="0"/>
        <w:autoSpaceDE w:val="0"/>
        <w:autoSpaceDN w:val="0"/>
        <w:adjustRightInd w:val="0"/>
        <w:spacing w:after="240" w:line="480" w:lineRule="auto"/>
        <w:rPr>
          <w:color w:val="000000" w:themeColor="text1"/>
        </w:rPr>
      </w:pPr>
    </w:p>
    <w:p w14:paraId="614F1161" w14:textId="798AD616" w:rsidR="00C600B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“Sustainable” Forestry:</w:t>
      </w:r>
      <w:r w:rsidRPr="00387397">
        <w:rPr>
          <w:color w:val="000000" w:themeColor="text1"/>
        </w:rPr>
        <w:t xml:space="preserve"> </w:t>
      </w:r>
      <w:r w:rsidR="0062745D" w:rsidRPr="0062745D">
        <w:rPr>
          <w:color w:val="000000" w:themeColor="text1"/>
        </w:rPr>
        <w:t xml:space="preserve">Like many sectors, there are ongoing debates over acceptable business practices </w:t>
      </w:r>
      <w:r w:rsidR="001A68C5" w:rsidRPr="00387397">
        <w:rPr>
          <w:color w:val="000000" w:themeColor="text1"/>
        </w:rPr>
        <w:t xml:space="preserve">and the appropriate role of </w:t>
      </w:r>
      <w:r w:rsidR="00406A6A" w:rsidRPr="00387397">
        <w:rPr>
          <w:color w:val="000000" w:themeColor="text1"/>
        </w:rPr>
        <w:t>public and private regulation</w:t>
      </w:r>
      <w:r w:rsidR="001A68C5" w:rsidRPr="00387397">
        <w:rPr>
          <w:color w:val="000000" w:themeColor="text1"/>
        </w:rPr>
        <w:t xml:space="preserve"> </w:t>
      </w:r>
      <w:r w:rsidR="0062745D" w:rsidRPr="0062745D">
        <w:rPr>
          <w:color w:val="000000" w:themeColor="text1"/>
        </w:rPr>
        <w:t xml:space="preserve">in forestry. “Sustainable” </w:t>
      </w:r>
      <w:r w:rsidR="00EB7D03" w:rsidRPr="00387397">
        <w:rPr>
          <w:color w:val="000000" w:themeColor="text1"/>
        </w:rPr>
        <w:t>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62745D" w:rsidRPr="0062745D">
        <w:rPr>
          <w:color w:val="000000" w:themeColor="text1"/>
        </w:rPr>
        <w:t>2012).</w:t>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w:t>
      </w:r>
      <w:ins w:id="248" w:author="Constance McDermott" w:date="2019-03-11T16:35:00Z">
        <w:r w:rsidR="00C001AE">
          <w:rPr>
            <w:color w:val="000000" w:themeColor="text1"/>
          </w:rPr>
          <w:t xml:space="preserve">the </w:t>
        </w:r>
      </w:ins>
      <w:r w:rsidR="001A68C5" w:rsidRPr="00387397">
        <w:rPr>
          <w:color w:val="000000" w:themeColor="text1"/>
        </w:rPr>
        <w:t>long-term efficiency</w:t>
      </w:r>
      <w:ins w:id="249" w:author="Constance McDermott" w:date="2019-03-11T16:35:00Z">
        <w:r w:rsidR="00C001AE">
          <w:rPr>
            <w:color w:val="000000" w:themeColor="text1"/>
          </w:rPr>
          <w:t xml:space="preserve"> of production</w:t>
        </w:r>
      </w:ins>
      <w:r w:rsidR="001A68C5" w:rsidRPr="00387397">
        <w:rPr>
          <w:color w:val="000000" w:themeColor="text1"/>
        </w:rPr>
        <w:t xml:space="preserve">.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w:t>
      </w:r>
      <w:r w:rsidR="0062745D" w:rsidRPr="0062745D">
        <w:rPr>
          <w:color w:val="000000" w:themeColor="text1"/>
        </w:rPr>
        <w:t>targeting</w:t>
      </w:r>
      <w:r w:rsidR="001A68C5" w:rsidRPr="00387397">
        <w:rPr>
          <w:color w:val="000000" w:themeColor="text1"/>
        </w:rPr>
        <w:t xml:space="preserve"> efficiency may require high levels of utilization of trees and tree-parts</w:t>
      </w:r>
      <w:r w:rsidR="00831E12" w:rsidRPr="00387397">
        <w:rPr>
          <w:color w:val="000000" w:themeColor="text1"/>
        </w:rPr>
        <w:t>,</w:t>
      </w:r>
      <w:r w:rsidR="001A68C5" w:rsidRPr="00387397">
        <w:rPr>
          <w:color w:val="000000" w:themeColor="text1"/>
        </w:rPr>
        <w:t xml:space="preserve"> whereas </w:t>
      </w:r>
      <w:r w:rsidR="0062745D" w:rsidRPr="0062745D">
        <w:rPr>
          <w:color w:val="000000" w:themeColor="text1"/>
        </w:rPr>
        <w:t xml:space="preserve">a regulation targeting </w:t>
      </w:r>
      <w:r w:rsidR="001A68C5" w:rsidRPr="00387397">
        <w:rPr>
          <w:color w:val="000000" w:themeColor="text1"/>
        </w:rPr>
        <w:t xml:space="preserve">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044AED">
      <w:pPr>
        <w:widowControl w:val="0"/>
        <w:autoSpaceDE w:val="0"/>
        <w:autoSpaceDN w:val="0"/>
        <w:adjustRightInd w:val="0"/>
        <w:spacing w:after="240" w:line="480" w:lineRule="auto"/>
        <w:rPr>
          <w:color w:val="000000" w:themeColor="text1"/>
        </w:rPr>
      </w:pPr>
    </w:p>
    <w:p w14:paraId="6477A279" w14:textId="77B2350C" w:rsidR="003A13CF"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A64C9D"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2523B853" w:rsidR="003A13CF"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lastRenderedPageBreak/>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62745D" w:rsidRPr="0062745D">
        <w:rPr>
          <w:color w:val="000000" w:themeColor="text1"/>
        </w:rPr>
        <w:t>2010),</w:t>
      </w:r>
      <w:r w:rsidRPr="00387397">
        <w:rPr>
          <w:color w:val="000000" w:themeColor="text1"/>
        </w:rPr>
        <w:t xml:space="preserve"> disaggregating </w:t>
      </w:r>
      <w:r w:rsidR="0062745D" w:rsidRPr="0062745D">
        <w:rPr>
          <w:color w:val="000000" w:themeColor="text1"/>
        </w:rPr>
        <w:t>forestry policies</w:t>
      </w:r>
      <w:r w:rsidRPr="00387397">
        <w:rPr>
          <w:color w:val="000000" w:themeColor="text1"/>
        </w:rPr>
        <w:t xml:space="preserve"> to </w:t>
      </w:r>
      <w:r w:rsidR="0062745D" w:rsidRPr="0062745D">
        <w:rPr>
          <w:color w:val="000000" w:themeColor="text1"/>
        </w:rPr>
        <w:t>capture</w:t>
      </w:r>
      <w:r w:rsidRPr="00387397">
        <w:rPr>
          <w:color w:val="000000" w:themeColor="text1"/>
        </w:rPr>
        <w:t xml:space="preserve"> all of the major issues </w:t>
      </w:r>
      <w:r w:rsidR="0062745D" w:rsidRPr="0062745D">
        <w:rPr>
          <w:color w:val="000000" w:themeColor="text1"/>
        </w:rPr>
        <w:t>addressed</w:t>
      </w:r>
      <w:r w:rsidRPr="00387397">
        <w:rPr>
          <w:color w:val="000000" w:themeColor="text1"/>
        </w:rPr>
        <w:t xml:space="preserve"> by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w:t>
      </w:r>
      <w:r w:rsidR="0062745D" w:rsidRPr="0062745D">
        <w:rPr>
          <w:color w:val="000000" w:themeColor="text1"/>
        </w:rPr>
        <w:t>requirements</w:t>
      </w:r>
      <w:r w:rsidR="00B47E54">
        <w:rPr>
          <w:color w:val="000000" w:themeColor="text1"/>
        </w:rPr>
        <w:t>.</w:t>
      </w:r>
    </w:p>
    <w:p w14:paraId="5C44D299"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496AA991" w14:textId="513D6D9D" w:rsidR="00C5047A"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4"/>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044AED" w:rsidRDefault="005A10A8" w:rsidP="00044AED">
      <w:pPr>
        <w:widowControl w:val="0"/>
        <w:autoSpaceDE w:val="0"/>
        <w:autoSpaceDN w:val="0"/>
        <w:adjustRightInd w:val="0"/>
        <w:spacing w:after="240" w:line="480" w:lineRule="auto"/>
        <w:rPr>
          <w:color w:val="000000" w:themeColor="text1"/>
        </w:rPr>
      </w:pPr>
    </w:p>
    <w:p w14:paraId="4E4920F3" w14:textId="020C6C33" w:rsidR="002A08A9" w:rsidRPr="00387397" w:rsidRDefault="003E1473"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 xml:space="preserve">most </w:t>
      </w:r>
      <w:r w:rsidR="0062745D" w:rsidRPr="0062745D">
        <w:rPr>
          <w:color w:val="000000" w:themeColor="text1"/>
        </w:rPr>
        <w:t xml:space="preserve">of our 48 </w:t>
      </w:r>
      <w:r w:rsidR="005066A8" w:rsidRPr="00387397">
        <w:rPr>
          <w:color w:val="000000" w:themeColor="text1"/>
        </w:rPr>
        <w:t>key</w:t>
      </w:r>
      <w:r w:rsidRPr="00387397">
        <w:rPr>
          <w:color w:val="000000" w:themeColor="text1"/>
        </w:rPr>
        <w:t xml:space="preserve"> issues in the text below and all </w:t>
      </w:r>
      <w:r w:rsidR="0062745D" w:rsidRPr="0062745D">
        <w:rPr>
          <w:color w:val="000000" w:themeColor="text1"/>
        </w:rPr>
        <w:t>of them</w:t>
      </w:r>
      <w:r w:rsidRPr="00387397">
        <w:rPr>
          <w:color w:val="000000" w:themeColor="text1"/>
        </w:rPr>
        <w:t xml:space="preserve"> in the</w:t>
      </w:r>
      <w:r w:rsidR="005E6C40" w:rsidRPr="00387397">
        <w:rPr>
          <w:color w:val="000000" w:themeColor="text1"/>
        </w:rPr>
        <w:t xml:space="preserve"> online appendix</w:t>
      </w:r>
      <w:r w:rsidR="0062745D" w:rsidRPr="0062745D">
        <w:rPr>
          <w:color w:val="000000" w:themeColor="text1"/>
        </w:rPr>
        <w:t>. This approach is</w:t>
      </w:r>
      <w:r w:rsidR="005066A8" w:rsidRPr="00387397">
        <w:rPr>
          <w:color w:val="000000" w:themeColor="text1"/>
        </w:rPr>
        <w:t xml:space="preserve">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select </w:t>
      </w:r>
      <w:r w:rsidR="0062745D" w:rsidRPr="0062745D">
        <w:rPr>
          <w:color w:val="000000" w:themeColor="text1"/>
        </w:rPr>
        <w:t>sets</w:t>
      </w:r>
      <w:r w:rsidR="00EC59D3" w:rsidRPr="00387397">
        <w:rPr>
          <w:color w:val="000000" w:themeColor="text1"/>
        </w:rPr>
        <w:t xml:space="preserve"> of issues</w:t>
      </w:r>
      <w:r w:rsidR="0062745D" w:rsidRPr="0062745D">
        <w:rPr>
          <w:color w:val="000000" w:themeColor="text1"/>
        </w:rPr>
        <w:t>, except with a comprehensive scope of potential issues</w:t>
      </w:r>
      <w:r w:rsidR="00EC59D3" w:rsidRPr="00387397">
        <w:rPr>
          <w:color w:val="000000" w:themeColor="text1"/>
        </w:rPr>
        <w:t>.</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w:t>
      </w:r>
      <w:r w:rsidR="0062745D" w:rsidRPr="0062745D">
        <w:rPr>
          <w:color w:val="000000" w:themeColor="text1"/>
        </w:rPr>
        <w:t>that changed</w:t>
      </w:r>
      <w:r w:rsidR="00AA4696" w:rsidRPr="00387397">
        <w:rPr>
          <w:color w:val="000000" w:themeColor="text1"/>
        </w:rPr>
        <w:t xml:space="preserv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044AED">
      <w:pPr>
        <w:widowControl w:val="0"/>
        <w:autoSpaceDE w:val="0"/>
        <w:autoSpaceDN w:val="0"/>
        <w:adjustRightInd w:val="0"/>
        <w:spacing w:after="240" w:line="480" w:lineRule="auto"/>
        <w:rPr>
          <w:color w:val="000000" w:themeColor="text1"/>
        </w:rPr>
      </w:pPr>
    </w:p>
    <w:p w14:paraId="7C13F4D1" w14:textId="09545265" w:rsidR="00CA4AE5"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EB336C" w:rsidRPr="00387397">
        <w:rPr>
          <w:b/>
          <w:bCs/>
          <w:color w:val="000000" w:themeColor="text1"/>
        </w:rPr>
        <w:t>4</w:t>
      </w:r>
      <w:r w:rsidR="00B23251" w:rsidRPr="00387397">
        <w:rPr>
          <w:b/>
          <w:bCs/>
          <w:color w:val="000000" w:themeColor="text1"/>
        </w:rPr>
        <w:t>.2</w:t>
      </w:r>
      <w:r w:rsidR="00EB336C"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044AED">
      <w:pPr>
        <w:widowControl w:val="0"/>
        <w:autoSpaceDE w:val="0"/>
        <w:autoSpaceDN w:val="0"/>
        <w:adjustRightInd w:val="0"/>
        <w:spacing w:after="240"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044AED">
        <w:rPr>
          <w:color w:val="000000" w:themeColor="text1"/>
        </w:rPr>
        <w:t xml:space="preserve">We assess revisions in the FSC- International’s 2012 Revised Principles and Criteria 01-001 Version 5-0 (FSC–P&amp;C), and we compare them to the PEFC’s Sustainable Forest Management Standards (1003:2010). Similarly, we compare the 2010 FSC-U.S. Forest </w:t>
      </w:r>
      <w:r w:rsidR="00E01B27" w:rsidRPr="00044AED">
        <w:rPr>
          <w:color w:val="000000" w:themeColor="text1"/>
        </w:rPr>
        <w:lastRenderedPageBreak/>
        <w:t xml:space="preserve">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044AED" w:rsidRDefault="0026549F" w:rsidP="00044AED">
      <w:pPr>
        <w:widowControl w:val="0"/>
        <w:autoSpaceDE w:val="0"/>
        <w:autoSpaceDN w:val="0"/>
        <w:adjustRightInd w:val="0"/>
        <w:spacing w:after="240" w:line="480" w:lineRule="auto"/>
        <w:rPr>
          <w:color w:val="000000" w:themeColor="text1"/>
        </w:rPr>
      </w:pPr>
    </w:p>
    <w:p w14:paraId="01671F0E" w14:textId="24194310" w:rsidR="0026549F" w:rsidRPr="00387397" w:rsidRDefault="0062745D" w:rsidP="00044AED">
      <w:pPr>
        <w:widowControl w:val="0"/>
        <w:autoSpaceDE w:val="0"/>
        <w:autoSpaceDN w:val="0"/>
        <w:adjustRightInd w:val="0"/>
        <w:spacing w:after="240" w:line="480" w:lineRule="auto"/>
        <w:rPr>
          <w:b/>
          <w:bCs/>
          <w:color w:val="000000" w:themeColor="text1"/>
        </w:rPr>
      </w:pPr>
      <w:r>
        <w:rPr>
          <w:b/>
          <w:color w:val="000000" w:themeColor="text1"/>
        </w:rPr>
        <w:t xml:space="preserve">### </w:t>
      </w:r>
      <w:r w:rsidR="00B23251"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66619E0D" w:rsidR="0026549F" w:rsidRPr="00387397" w:rsidRDefault="00E85DFF" w:rsidP="00044AED">
      <w:pPr>
        <w:widowControl w:val="0"/>
        <w:autoSpaceDE w:val="0"/>
        <w:autoSpaceDN w:val="0"/>
        <w:adjustRightInd w:val="0"/>
        <w:spacing w:after="240" w:line="480" w:lineRule="auto"/>
        <w:rPr>
          <w:bCs/>
          <w:color w:val="000000" w:themeColor="text1"/>
        </w:rPr>
      </w:pPr>
      <w:r w:rsidRPr="00044AED">
        <w:rPr>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xml:space="preserve">, with both programs being equally </w:t>
      </w:r>
      <w:r w:rsidR="009E2BA4">
        <w:rPr>
          <w:bCs/>
          <w:color w:val="000000" w:themeColor="text1"/>
        </w:rPr>
        <w:lastRenderedPageBreak/>
        <w:t>prescriptive on 19 key issues</w:t>
      </w:r>
      <w:r w:rsidR="00F7436B">
        <w:rPr>
          <w:bCs/>
          <w:color w:val="000000" w:themeColor="text1"/>
        </w:rPr>
        <w:t xml:space="preserve"> (see Figure 3). </w:t>
      </w:r>
    </w:p>
    <w:p w14:paraId="311BD99F"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474D36F" w14:textId="3108CAAB" w:rsidR="00624586" w:rsidRPr="00387397" w:rsidRDefault="00634A09"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[FIGURE </w:t>
      </w:r>
      <w:r w:rsidR="00DF61A1">
        <w:rPr>
          <w:bCs/>
          <w:color w:val="000000" w:themeColor="text1"/>
        </w:rPr>
        <w:t>5</w:t>
      </w:r>
      <w:r w:rsidR="00EC5F32" w:rsidRPr="00387397">
        <w:rPr>
          <w:bCs/>
          <w:color w:val="000000" w:themeColor="text1"/>
        </w:rPr>
        <w:t>]</w:t>
      </w:r>
    </w:p>
    <w:p w14:paraId="0E7ADFEC" w14:textId="77777777" w:rsidR="000F4B18" w:rsidRDefault="000F4B18" w:rsidP="00044AED">
      <w:pPr>
        <w:widowControl w:val="0"/>
        <w:autoSpaceDE w:val="0"/>
        <w:autoSpaceDN w:val="0"/>
        <w:adjustRightInd w:val="0"/>
        <w:spacing w:after="240" w:line="480" w:lineRule="auto"/>
        <w:rPr>
          <w:bCs/>
          <w:color w:val="000000" w:themeColor="text1"/>
        </w:rPr>
      </w:pPr>
    </w:p>
    <w:p w14:paraId="7AD2F06D" w14:textId="550F43E4" w:rsidR="00F7436B" w:rsidRDefault="00DF61A1" w:rsidP="00044AED">
      <w:pPr>
        <w:widowControl w:val="0"/>
        <w:autoSpaceDE w:val="0"/>
        <w:autoSpaceDN w:val="0"/>
        <w:adjustRightInd w:val="0"/>
        <w:spacing w:after="240" w:line="480" w:lineRule="auto"/>
        <w:rPr>
          <w:bCs/>
          <w:color w:val="000000" w:themeColor="text1"/>
        </w:rPr>
      </w:pPr>
      <w:r>
        <w:rPr>
          <w:bCs/>
          <w:color w:val="000000" w:themeColor="text1"/>
        </w:rPr>
        <w:t xml:space="preserve">The </w:t>
      </w:r>
      <w:r w:rsidR="00F7436B">
        <w:rPr>
          <w:bCs/>
          <w:color w:val="000000" w:themeColor="text1"/>
        </w:rPr>
        <w:t>FSC-P&amp;C and PEFC maintained a similar scope of issues covered over time</w:t>
      </w:r>
      <w:r>
        <w:rPr>
          <w:bCs/>
          <w:color w:val="000000" w:themeColor="text1"/>
        </w:rPr>
        <w:t xml:space="preserve"> (see the top panel of figure 3)</w:t>
      </w:r>
      <w:r w:rsidR="00F7436B">
        <w:rPr>
          <w:bCs/>
          <w:color w:val="000000" w:themeColor="text1"/>
        </w:rPr>
        <w:t xml:space="preserve">. </w:t>
      </w:r>
      <w:r w:rsidR="0062745D" w:rsidRPr="0062745D">
        <w:rPr>
          <w:color w:val="000000" w:themeColor="text1"/>
        </w:rPr>
        <w:t>The PEFC once covered slightly fewer issues than</w:t>
      </w:r>
      <w:r>
        <w:rPr>
          <w:color w:val="000000" w:themeColor="text1"/>
        </w:rPr>
        <w:t xml:space="preserve"> did</w:t>
      </w:r>
      <w:r w:rsidR="0062745D" w:rsidRPr="0062745D">
        <w:rPr>
          <w:color w:val="000000" w:themeColor="text1"/>
        </w:rPr>
        <w:t xml:space="preserve"> the</w:t>
      </w:r>
      <w:r w:rsidR="00F7436B">
        <w:rPr>
          <w:bCs/>
          <w:color w:val="000000" w:themeColor="text1"/>
        </w:rPr>
        <w:t xml:space="preserve"> </w:t>
      </w:r>
      <w:r>
        <w:rPr>
          <w:bCs/>
          <w:color w:val="000000" w:themeColor="text1"/>
        </w:rPr>
        <w:t>FSC-P&amp;C</w:t>
      </w:r>
      <w:ins w:id="250" w:author="Constance McDermott" w:date="2019-03-11T16:07:00Z">
        <w:r w:rsidR="00F7436B">
          <w:rPr>
            <w:bCs/>
            <w:color w:val="000000" w:themeColor="text1"/>
          </w:rPr>
          <w:t xml:space="preserve">, </w:t>
        </w:r>
      </w:ins>
      <w:r>
        <w:rPr>
          <w:bCs/>
          <w:color w:val="000000" w:themeColor="text1"/>
        </w:rPr>
        <w:t>but its 2010 revisions make the two generally aligned in scope of issues covered</w:t>
      </w:r>
      <w:r w:rsidR="00F7436B">
        <w:rPr>
          <w:bCs/>
          <w:color w:val="000000" w:themeColor="text1"/>
        </w:rPr>
        <w:t xml:space="preserve">. </w:t>
      </w:r>
      <w:r>
        <w:rPr>
          <w:bCs/>
          <w:color w:val="000000" w:themeColor="text1"/>
        </w:rPr>
        <w:t>A</w:t>
      </w:r>
      <w:r w:rsidR="00EB40DD">
        <w:rPr>
          <w:bCs/>
          <w:color w:val="000000" w:themeColor="text1"/>
        </w:rPr>
        <w:t>s of 2015, the FSC P&amp;C covered three potentially “costly” issues that the PEFC</w:t>
      </w:r>
      <w:r>
        <w:rPr>
          <w:bCs/>
          <w:color w:val="000000" w:themeColor="text1"/>
        </w:rPr>
        <w:t xml:space="preserve"> still</w:t>
      </w:r>
      <w:r w:rsidR="00EB40DD">
        <w:rPr>
          <w:bCs/>
          <w:color w:val="000000" w:themeColor="text1"/>
        </w:rPr>
        <w:t xml:space="preserve"> did no</w:t>
      </w:r>
      <w:r>
        <w:rPr>
          <w:bCs/>
          <w:color w:val="000000" w:themeColor="text1"/>
        </w:rPr>
        <w:t>t; carbon emissions, restrictions on</w:t>
      </w:r>
      <w:r w:rsidR="00EB40DD">
        <w:rPr>
          <w:bCs/>
          <w:color w:val="000000" w:themeColor="text1"/>
        </w:rPr>
        <w:t xml:space="preserve"> conversion to plantations, and worker wage requirements</w:t>
      </w:r>
      <w:r>
        <w:rPr>
          <w:bCs/>
          <w:color w:val="000000" w:themeColor="text1"/>
        </w:rPr>
        <w:t xml:space="preserve"> (See the middle panel of figure 5)</w:t>
      </w:r>
      <w:r w:rsidR="00EB40DD">
        <w:rPr>
          <w:bCs/>
          <w:color w:val="000000" w:themeColor="text1"/>
        </w:rPr>
        <w:t xml:space="preserve">.  </w:t>
      </w:r>
    </w:p>
    <w:p w14:paraId="78C833D0" w14:textId="73DACE87" w:rsidR="00F7436B" w:rsidRPr="00387397" w:rsidRDefault="00F7436B" w:rsidP="00044AED">
      <w:pPr>
        <w:widowControl w:val="0"/>
        <w:autoSpaceDE w:val="0"/>
        <w:autoSpaceDN w:val="0"/>
        <w:adjustRightInd w:val="0"/>
        <w:spacing w:after="240" w:line="480" w:lineRule="auto"/>
        <w:rPr>
          <w:bCs/>
          <w:color w:val="000000" w:themeColor="text1"/>
        </w:rPr>
      </w:pPr>
      <w:r>
        <w:rPr>
          <w:bCs/>
          <w:color w:val="000000" w:themeColor="text1"/>
        </w:rPr>
        <w:t>PEFC covers two issues</w:t>
      </w:r>
      <w:r w:rsidR="003F05E9">
        <w:rPr>
          <w:bCs/>
          <w:color w:val="000000" w:themeColor="text1"/>
        </w:rPr>
        <w:t xml:space="preserve"> relating to public perceptions</w:t>
      </w:r>
      <w:r>
        <w:rPr>
          <w:bCs/>
          <w:color w:val="000000" w:themeColor="text1"/>
        </w:rPr>
        <w:t xml:space="preserve"> that FSC-P&amp;C do not: </w:t>
      </w:r>
      <w:r w:rsidR="00EB40DD">
        <w:rPr>
          <w:bCs/>
          <w:color w:val="000000" w:themeColor="text1"/>
        </w:rPr>
        <w:t xml:space="preserve">managing </w:t>
      </w:r>
      <w:r>
        <w:rPr>
          <w:bCs/>
          <w:color w:val="000000" w:themeColor="text1"/>
        </w:rPr>
        <w:t xml:space="preserve">aesthetics and </w:t>
      </w:r>
      <w:r w:rsidR="00EB40DD">
        <w:rPr>
          <w:bCs/>
          <w:color w:val="000000" w:themeColor="text1"/>
        </w:rPr>
        <w:t xml:space="preserve">allowing </w:t>
      </w:r>
      <w:r>
        <w:rPr>
          <w:bCs/>
          <w:color w:val="000000" w:themeColor="text1"/>
        </w:rPr>
        <w:t xml:space="preserve">public access. </w:t>
      </w:r>
      <w:r w:rsidR="00DF61A1">
        <w:rPr>
          <w:bCs/>
          <w:color w:val="000000" w:themeColor="text1"/>
        </w:rPr>
        <w:t>T</w:t>
      </w:r>
      <w:r w:rsidR="00231885">
        <w:rPr>
          <w:bCs/>
          <w:color w:val="000000" w:themeColor="text1"/>
        </w:rPr>
        <w:t>he PEFC increased in prescriptiveness on more issues than the</w:t>
      </w:r>
      <w:r w:rsidR="0091646A">
        <w:rPr>
          <w:bCs/>
          <w:color w:val="000000" w:themeColor="text1"/>
        </w:rPr>
        <w:t xml:space="preserve"> FSC-P&amp;C, yielding an “upwardly converging” pattern</w:t>
      </w:r>
      <w:r w:rsidR="00231885">
        <w:rPr>
          <w:bCs/>
          <w:color w:val="000000" w:themeColor="text1"/>
        </w:rPr>
        <w:t xml:space="preserve"> in overall prescriptiveness</w:t>
      </w:r>
      <w:r w:rsidR="00DF61A1">
        <w:rPr>
          <w:bCs/>
          <w:color w:val="000000" w:themeColor="text1"/>
        </w:rPr>
        <w:t xml:space="preserve"> (see the bottom panel of figure 3)</w:t>
      </w:r>
      <w:r w:rsidR="00231885">
        <w:rPr>
          <w:bCs/>
          <w:color w:val="000000" w:themeColor="text1"/>
        </w:rPr>
        <w:t xml:space="preserve">. </w:t>
      </w:r>
    </w:p>
    <w:p w14:paraId="49F944D8" w14:textId="77777777" w:rsidR="00F7436B" w:rsidRPr="00387397" w:rsidRDefault="00F7436B" w:rsidP="00044AED">
      <w:pPr>
        <w:widowControl w:val="0"/>
        <w:autoSpaceDE w:val="0"/>
        <w:autoSpaceDN w:val="0"/>
        <w:adjustRightInd w:val="0"/>
        <w:spacing w:after="240" w:line="480" w:lineRule="auto"/>
        <w:rPr>
          <w:bCs/>
          <w:color w:val="000000" w:themeColor="text1"/>
        </w:rPr>
      </w:pPr>
    </w:p>
    <w:p w14:paraId="2A9CF161" w14:textId="77D57A1D" w:rsidR="0026549F" w:rsidRPr="00387397" w:rsidRDefault="005E6C40" w:rsidP="00044AED">
      <w:pPr>
        <w:widowControl w:val="0"/>
        <w:autoSpaceDE w:val="0"/>
        <w:autoSpaceDN w:val="0"/>
        <w:adjustRightInd w:val="0"/>
        <w:spacing w:after="240"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lastRenderedPageBreak/>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suggests that forests should be certified only if</w:t>
      </w:r>
      <w:r w:rsidR="0062745D" w:rsidRPr="0062745D">
        <w:rPr>
          <w:color w:val="000000" w:themeColor="text1"/>
        </w:rPr>
        <w:t xml:space="preserve"> the</w:t>
      </w:r>
      <w:r w:rsidR="0036180D" w:rsidRPr="00387397">
        <w:rPr>
          <w:color w:val="000000" w:themeColor="text1"/>
        </w:rPr>
        <w:t xml:space="preserve">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24EC972F" w14:textId="038369E6" w:rsidR="0026549F" w:rsidRPr="00387397" w:rsidRDefault="0026549F"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3B7FF39D" w14:textId="3D036F63" w:rsidR="0026549F" w:rsidRPr="00387397" w:rsidRDefault="003478ED"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w:t>
      </w:r>
      <w:r w:rsidR="0026549F" w:rsidRPr="00387397">
        <w:rPr>
          <w:bCs/>
          <w:color w:val="000000" w:themeColor="text1"/>
        </w:rPr>
        <w:lastRenderedPageBreak/>
        <w:t xml:space="preserve">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w:t>
      </w:r>
      <w:r w:rsidR="0062745D" w:rsidRPr="0062745D">
        <w:rPr>
          <w:color w:val="000000" w:themeColor="text1"/>
        </w:rPr>
        <w:t>have</w:t>
      </w:r>
      <w:r w:rsidR="0026549F" w:rsidRPr="00387397">
        <w:rPr>
          <w:bCs/>
          <w:color w:val="000000" w:themeColor="text1"/>
        </w:rPr>
        <w:t xml:space="preserve"> similar </w:t>
      </w:r>
      <w:r w:rsidR="0062745D" w:rsidRPr="0062745D">
        <w:rPr>
          <w:color w:val="000000" w:themeColor="text1"/>
        </w:rPr>
        <w:t>requirements for</w:t>
      </w:r>
      <w:r w:rsidR="0026549F" w:rsidRPr="00387397">
        <w:rPr>
          <w:bCs/>
          <w:color w:val="000000" w:themeColor="text1"/>
        </w:rPr>
        <w:t xml:space="preserve">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46683B83" w14:textId="5E22B628" w:rsidR="00F12B7E"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w:t>
      </w:r>
      <w:r w:rsidR="006E4228">
        <w:rPr>
          <w:color w:val="000000" w:themeColor="text1"/>
        </w:rPr>
        <w:t>.</w:t>
      </w:r>
    </w:p>
    <w:p w14:paraId="72B84ECD"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75BF9B3" w14:textId="4C5740BB" w:rsidR="0026549F" w:rsidRPr="00387397" w:rsidRDefault="0026549F" w:rsidP="00044AED">
      <w:pPr>
        <w:widowControl w:val="0"/>
        <w:autoSpaceDE w:val="0"/>
        <w:autoSpaceDN w:val="0"/>
        <w:adjustRightInd w:val="0"/>
        <w:spacing w:after="240" w:line="480" w:lineRule="auto"/>
        <w:rPr>
          <w:b/>
          <w:bCs/>
          <w:color w:val="000000" w:themeColor="text1"/>
        </w:rPr>
      </w:pPr>
      <w:r w:rsidRPr="00387397">
        <w:rPr>
          <w:b/>
          <w:bCs/>
          <w:color w:val="000000" w:themeColor="text1"/>
        </w:rPr>
        <w:lastRenderedPageBreak/>
        <w:t>4.2</w:t>
      </w:r>
      <w:r w:rsidR="00B23251" w:rsidRPr="00387397">
        <w:rPr>
          <w:b/>
          <w:bCs/>
          <w:color w:val="000000" w:themeColor="text1"/>
        </w:rPr>
        <w:t>.2</w:t>
      </w:r>
      <w:r w:rsidRPr="00387397">
        <w:rPr>
          <w:b/>
          <w:bCs/>
          <w:color w:val="000000" w:themeColor="text1"/>
        </w:rPr>
        <w:t xml:space="preserve"> Comparing the FSC-US and SFI</w:t>
      </w:r>
    </w:p>
    <w:p w14:paraId="04BF2312" w14:textId="7F79E5C4" w:rsidR="005A10A8"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62745D" w:rsidRPr="0062745D">
        <w:rPr>
          <w:color w:val="000000" w:themeColor="text1"/>
        </w:rPr>
        <w:t xml:space="preserve">in the United States,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w:t>
      </w:r>
      <w:r w:rsidR="0062745D" w:rsidRPr="0062745D">
        <w:rPr>
          <w:color w:val="000000" w:themeColor="text1"/>
        </w:rPr>
        <w:t>is</w:t>
      </w:r>
      <w:r w:rsidR="008E7BA1" w:rsidRPr="00387397">
        <w:rPr>
          <w:color w:val="000000" w:themeColor="text1"/>
        </w:rPr>
        <w:t xml:space="preserve">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w:t>
      </w:r>
      <w:r w:rsidR="0062745D" w:rsidRPr="0062745D">
        <w:rPr>
          <w:color w:val="000000" w:themeColor="text1"/>
        </w:rPr>
        <w:t>panel</w:t>
      </w:r>
      <w:r w:rsidR="009E2BA4">
        <w:rPr>
          <w:color w:val="000000" w:themeColor="text1"/>
        </w:rPr>
        <w:t xml:space="preserv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0D3934F2" w14:textId="77777777" w:rsidR="00231885" w:rsidRDefault="00231885" w:rsidP="00044AED">
      <w:pPr>
        <w:widowControl w:val="0"/>
        <w:autoSpaceDE w:val="0"/>
        <w:autoSpaceDN w:val="0"/>
        <w:adjustRightInd w:val="0"/>
        <w:spacing w:after="240" w:line="480" w:lineRule="auto"/>
        <w:rPr>
          <w:color w:val="000000" w:themeColor="text1"/>
        </w:rPr>
      </w:pPr>
    </w:p>
    <w:p w14:paraId="55D43874" w14:textId="6593C254" w:rsidR="00231885" w:rsidRPr="00231885" w:rsidRDefault="00231885" w:rsidP="00044AED">
      <w:pPr>
        <w:widowControl w:val="0"/>
        <w:autoSpaceDE w:val="0"/>
        <w:autoSpaceDN w:val="0"/>
        <w:adjustRightInd w:val="0"/>
        <w:spacing w:after="240" w:line="480" w:lineRule="auto"/>
        <w:rPr>
          <w:color w:val="000000" w:themeColor="text1"/>
        </w:rPr>
      </w:pPr>
      <w:r>
        <w:rPr>
          <w:bCs/>
          <w:color w:val="000000" w:themeColor="text1"/>
        </w:rPr>
        <w:t xml:space="preserve">The top panel of figure 3 shows that the FSC-US and SFI maintained a similar scope of issues covered over time. The SFI covers nearly the same number of issues as the FSC-US. </w:t>
      </w:r>
      <w:r w:rsidRPr="00387397">
        <w:rPr>
          <w:color w:val="000000" w:themeColor="text1"/>
        </w:rPr>
        <w:t>While fairly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w:t>
      </w:r>
      <w:r>
        <w:rPr>
          <w:color w:val="000000" w:themeColor="text1"/>
        </w:rPr>
        <w:t>estored to, natural conditions.</w:t>
      </w:r>
    </w:p>
    <w:p w14:paraId="4BDF0ABC" w14:textId="77777777" w:rsidR="00231885" w:rsidRDefault="00231885" w:rsidP="00044AED">
      <w:pPr>
        <w:widowControl w:val="0"/>
        <w:autoSpaceDE w:val="0"/>
        <w:autoSpaceDN w:val="0"/>
        <w:adjustRightInd w:val="0"/>
        <w:spacing w:after="240" w:line="480" w:lineRule="auto"/>
        <w:rPr>
          <w:bCs/>
          <w:color w:val="000000" w:themeColor="text1"/>
        </w:rPr>
      </w:pPr>
    </w:p>
    <w:p w14:paraId="2CA63CEE" w14:textId="5C78101A" w:rsidR="00231885" w:rsidRDefault="00EB1A3B" w:rsidP="00044AED">
      <w:pPr>
        <w:widowControl w:val="0"/>
        <w:autoSpaceDE w:val="0"/>
        <w:autoSpaceDN w:val="0"/>
        <w:adjustRightInd w:val="0"/>
        <w:spacing w:after="240" w:line="480" w:lineRule="auto"/>
        <w:rPr>
          <w:bCs/>
          <w:color w:val="000000" w:themeColor="text1"/>
        </w:rPr>
      </w:pPr>
      <w:r>
        <w:rPr>
          <w:bCs/>
          <w:color w:val="000000" w:themeColor="text1"/>
        </w:rPr>
        <w:lastRenderedPageBreak/>
        <w:t xml:space="preserve">In </w:t>
      </w:r>
      <w:r w:rsidR="0091646A">
        <w:rPr>
          <w:bCs/>
          <w:color w:val="000000" w:themeColor="text1"/>
        </w:rPr>
        <w:t>2016</w:t>
      </w:r>
      <w:r w:rsidR="00231885">
        <w:rPr>
          <w:bCs/>
          <w:color w:val="000000" w:themeColor="text1"/>
        </w:rPr>
        <w:t xml:space="preserve">, the FSC-US covered </w:t>
      </w:r>
      <w:r w:rsidR="0091646A">
        <w:rPr>
          <w:bCs/>
          <w:color w:val="000000" w:themeColor="text1"/>
        </w:rPr>
        <w:t>six</w:t>
      </w:r>
      <w:r w:rsidR="00231885">
        <w:rPr>
          <w:bCs/>
          <w:color w:val="000000" w:themeColor="text1"/>
        </w:rPr>
        <w:t xml:space="preserve"> potentially “costly” issues that the PEFC did not; community benefit requirements, forest extent restrictions, required impact assessments, </w:t>
      </w:r>
      <w:r w:rsidR="0091646A">
        <w:rPr>
          <w:bCs/>
          <w:color w:val="000000" w:themeColor="text1"/>
        </w:rPr>
        <w:t>protected area restrictions, restoration requirements, and indigenous tenure protections</w:t>
      </w:r>
      <w:r>
        <w:rPr>
          <w:bCs/>
          <w:color w:val="000000" w:themeColor="text1"/>
        </w:rPr>
        <w:t xml:space="preserve"> (see the middle panel of figure 3)</w:t>
      </w:r>
      <w:r w:rsidR="0091646A">
        <w:rPr>
          <w:bCs/>
          <w:color w:val="000000" w:themeColor="text1"/>
        </w:rPr>
        <w:t xml:space="preserve">. </w:t>
      </w:r>
    </w:p>
    <w:p w14:paraId="717EA404" w14:textId="77777777" w:rsidR="003F05E9" w:rsidRDefault="003F05E9" w:rsidP="00231885">
      <w:pPr>
        <w:spacing w:line="480" w:lineRule="auto"/>
        <w:rPr>
          <w:bCs/>
          <w:color w:val="000000" w:themeColor="text1"/>
        </w:rPr>
      </w:pPr>
    </w:p>
    <w:p w14:paraId="4C79F329" w14:textId="559EC8A2" w:rsidR="00634A09" w:rsidRPr="000907BB" w:rsidRDefault="003D716F" w:rsidP="00044AED">
      <w:pPr>
        <w:widowControl w:val="0"/>
        <w:autoSpaceDE w:val="0"/>
        <w:autoSpaceDN w:val="0"/>
        <w:adjustRightInd w:val="0"/>
        <w:spacing w:after="240" w:line="480" w:lineRule="auto"/>
        <w:rPr>
          <w:bCs/>
          <w:color w:val="000000" w:themeColor="text1"/>
        </w:rPr>
      </w:pPr>
      <w:r>
        <w:rPr>
          <w:bCs/>
          <w:color w:val="000000" w:themeColor="text1"/>
        </w:rPr>
        <w:t xml:space="preserve">The SFI </w:t>
      </w:r>
      <w:r w:rsidR="0091646A">
        <w:rPr>
          <w:bCs/>
          <w:color w:val="000000" w:themeColor="text1"/>
        </w:rPr>
        <w:t>has more prescriptive requirements</w:t>
      </w:r>
      <w:r>
        <w:rPr>
          <w:bCs/>
          <w:color w:val="000000" w:themeColor="text1"/>
        </w:rPr>
        <w:t xml:space="preserve"> than</w:t>
      </w:r>
      <w:r w:rsidR="0091646A">
        <w:rPr>
          <w:bCs/>
          <w:color w:val="000000" w:themeColor="text1"/>
        </w:rPr>
        <w:t xml:space="preserve"> </w:t>
      </w:r>
      <w:r>
        <w:rPr>
          <w:bCs/>
          <w:color w:val="000000" w:themeColor="text1"/>
        </w:rPr>
        <w:t xml:space="preserve">the FSC </w:t>
      </w:r>
      <w:r w:rsidR="0091646A">
        <w:rPr>
          <w:bCs/>
          <w:color w:val="000000" w:themeColor="text1"/>
        </w:rPr>
        <w:t>on five</w:t>
      </w:r>
      <w:r>
        <w:rPr>
          <w:bCs/>
          <w:color w:val="000000" w:themeColor="text1"/>
        </w:rPr>
        <w:t xml:space="preserve"> “business-friendly” </w:t>
      </w:r>
      <w:r w:rsidR="0091646A">
        <w:rPr>
          <w:bCs/>
          <w:color w:val="000000" w:themeColor="text1"/>
        </w:rPr>
        <w:t>issues:</w:t>
      </w:r>
      <w:r w:rsidR="00231885">
        <w:rPr>
          <w:bCs/>
          <w:color w:val="000000" w:themeColor="text1"/>
        </w:rPr>
        <w:t xml:space="preserve"> </w:t>
      </w:r>
      <w:r w:rsidR="0091646A">
        <w:rPr>
          <w:bCs/>
          <w:color w:val="000000" w:themeColor="text1"/>
        </w:rPr>
        <w:t>continual improvement of management planning, requirements to educating the public about forestry, required contributions to forestry research, worker training, and material utilization</w:t>
      </w:r>
      <w:r w:rsidR="00231885">
        <w:rPr>
          <w:bCs/>
          <w:color w:val="000000" w:themeColor="text1"/>
        </w:rPr>
        <w:t xml:space="preserve">. The bottom panel of figure 3 shows that the </w:t>
      </w:r>
      <w:r w:rsidR="0091646A">
        <w:rPr>
          <w:bCs/>
          <w:color w:val="000000" w:themeColor="text1"/>
        </w:rPr>
        <w:t>SFI</w:t>
      </w:r>
      <w:r w:rsidR="00231885">
        <w:rPr>
          <w:bCs/>
          <w:color w:val="000000" w:themeColor="text1"/>
        </w:rPr>
        <w:t xml:space="preserve"> increased in prescriptiveness on </w:t>
      </w:r>
      <w:r w:rsidR="0091646A">
        <w:rPr>
          <w:bCs/>
          <w:color w:val="000000" w:themeColor="text1"/>
        </w:rPr>
        <w:t>fewer issues than the FSC-US yielding an “upwardly diverging” pattern</w:t>
      </w:r>
      <w:r w:rsidR="00231885">
        <w:rPr>
          <w:bCs/>
          <w:color w:val="000000" w:themeColor="text1"/>
        </w:rPr>
        <w:t xml:space="preserve"> in overall prescriptiveness.</w:t>
      </w:r>
    </w:p>
    <w:p w14:paraId="33B125EF" w14:textId="4A4B740D" w:rsidR="005A10A8" w:rsidRPr="00387397" w:rsidRDefault="00634A09"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556EB48D" w14:textId="7A124AA0" w:rsidR="0026549F" w:rsidRPr="00387397" w:rsidRDefault="00A619E4" w:rsidP="00044AED">
      <w:pPr>
        <w:widowControl w:val="0"/>
        <w:autoSpaceDE w:val="0"/>
        <w:autoSpaceDN w:val="0"/>
        <w:adjustRightInd w:val="0"/>
        <w:spacing w:after="240"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 xml:space="preserve">prescriptive requirements requiring certain areas to be designated HCVFs and </w:t>
      </w:r>
      <w:r w:rsidR="005A10A8" w:rsidRPr="00387397">
        <w:rPr>
          <w:color w:val="000000" w:themeColor="text1"/>
        </w:rPr>
        <w:lastRenderedPageBreak/>
        <w:t>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62745D" w:rsidRPr="0062745D">
        <w:rPr>
          <w:color w:val="000000" w:themeColor="text1"/>
        </w:rPr>
        <w:t>HCVFs under the FSC-US require significantly more than baseline practices (Newsom et al., 2006), while SFI’s FECV requirements have been criticized as not significantly exceeding legal baselines which already protect threatened and endangered species.</w:t>
      </w:r>
      <w:r w:rsidR="005A10A8" w:rsidRPr="00387397">
        <w:rPr>
          <w:color w:val="000000" w:themeColor="text1"/>
        </w:rPr>
        <w:t xml:space="preserve">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044AED">
      <w:pPr>
        <w:widowControl w:val="0"/>
        <w:autoSpaceDE w:val="0"/>
        <w:autoSpaceDN w:val="0"/>
        <w:adjustRightInd w:val="0"/>
        <w:spacing w:after="240" w:line="480" w:lineRule="auto"/>
        <w:rPr>
          <w:color w:val="000000" w:themeColor="text1"/>
        </w:rPr>
      </w:pPr>
    </w:p>
    <w:p w14:paraId="23805825" w14:textId="53BAAA10" w:rsidR="00537ABD"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044AED">
      <w:pPr>
        <w:widowControl w:val="0"/>
        <w:autoSpaceDE w:val="0"/>
        <w:autoSpaceDN w:val="0"/>
        <w:adjustRightInd w:val="0"/>
        <w:spacing w:after="240" w:line="480" w:lineRule="auto"/>
        <w:rPr>
          <w:color w:val="000000" w:themeColor="text1"/>
        </w:rPr>
      </w:pPr>
    </w:p>
    <w:p w14:paraId="5E730996" w14:textId="53451E95" w:rsidR="007750C3" w:rsidRPr="00387397" w:rsidRDefault="00C56DF8" w:rsidP="00044AED">
      <w:pPr>
        <w:widowControl w:val="0"/>
        <w:autoSpaceDE w:val="0"/>
        <w:autoSpaceDN w:val="0"/>
        <w:adjustRightInd w:val="0"/>
        <w:spacing w:after="240"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71FD3503" w14:textId="1674AC0D" w:rsidR="003151F8"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w:t>
      </w:r>
      <w:r w:rsidR="007944E5" w:rsidRPr="00387397">
        <w:rPr>
          <w:color w:val="000000" w:themeColor="text1"/>
        </w:rPr>
        <w:t xml:space="preserve"> </w:t>
      </w:r>
      <w:r w:rsidR="005A10A8" w:rsidRPr="00387397">
        <w:rPr>
          <w:color w:val="000000" w:themeColor="text1"/>
        </w:rPr>
        <w:t xml:space="preserve">each </w:t>
      </w:r>
      <w:r w:rsidR="0052326C">
        <w:rPr>
          <w:color w:val="000000" w:themeColor="text1"/>
        </w:rPr>
        <w:t>program had</w:t>
      </w:r>
      <w:r w:rsidR="003151F8" w:rsidRPr="00387397">
        <w:rPr>
          <w:color w:val="000000" w:themeColor="text1"/>
        </w:rPr>
        <w:t xml:space="preserve"> distinct areas</w:t>
      </w:r>
      <w:r w:rsidR="005A10A8" w:rsidRPr="00387397">
        <w:rPr>
          <w:color w:val="000000" w:themeColor="text1"/>
        </w:rPr>
        <w:t xml:space="preserve"> in which </w:t>
      </w:r>
      <w:r w:rsidR="000907BB">
        <w:rPr>
          <w:color w:val="000000" w:themeColor="text1"/>
        </w:rPr>
        <w:t>its requirements were more</w:t>
      </w:r>
      <w:r w:rsidR="005A10A8" w:rsidRPr="00387397">
        <w:rPr>
          <w:color w:val="000000" w:themeColor="text1"/>
        </w:rPr>
        <w:t xml:space="preserve">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907BB">
        <w:rPr>
          <w:color w:val="000000" w:themeColor="text1"/>
        </w:rPr>
        <w:t>.</w:t>
      </w:r>
      <w:r w:rsidR="005A10A8" w:rsidRPr="00387397">
        <w:rPr>
          <w:color w:val="000000" w:themeColor="text1"/>
        </w:rPr>
        <w:t xml:space="preserve">” This language appears more frequently and </w:t>
      </w:r>
      <w:r w:rsidR="005A10A8" w:rsidRPr="00387397">
        <w:rPr>
          <w:color w:val="000000" w:themeColor="text1"/>
        </w:rPr>
        <w:lastRenderedPageBreak/>
        <w:t xml:space="preserve">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044AED">
      <w:pPr>
        <w:widowControl w:val="0"/>
        <w:autoSpaceDE w:val="0"/>
        <w:autoSpaceDN w:val="0"/>
        <w:adjustRightInd w:val="0"/>
        <w:spacing w:after="240" w:line="480" w:lineRule="auto"/>
        <w:rPr>
          <w:color w:val="000000" w:themeColor="text1"/>
        </w:rPr>
      </w:pPr>
    </w:p>
    <w:p w14:paraId="5F2C6B5C" w14:textId="424CBEA1" w:rsidR="005A10A8" w:rsidRPr="00387397" w:rsidRDefault="005A10A8" w:rsidP="00044AED">
      <w:pPr>
        <w:widowControl w:val="0"/>
        <w:autoSpaceDE w:val="0"/>
        <w:autoSpaceDN w:val="0"/>
        <w:adjustRightInd w:val="0"/>
        <w:spacing w:after="240"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5"/>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4385399D" w14:textId="7AB2DB85" w:rsidR="00355ED4" w:rsidRPr="00387397" w:rsidRDefault="00A13B1C" w:rsidP="00044AED">
      <w:pPr>
        <w:widowControl w:val="0"/>
        <w:autoSpaceDE w:val="0"/>
        <w:autoSpaceDN w:val="0"/>
        <w:adjustRightInd w:val="0"/>
        <w:spacing w:after="240"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w:t>
      </w:r>
      <w:r w:rsidR="005A10A8" w:rsidRPr="00387397">
        <w:rPr>
          <w:color w:val="000000" w:themeColor="text1"/>
        </w:rPr>
        <w:lastRenderedPageBreak/>
        <w:t xml:space="preserve">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044AED">
      <w:pPr>
        <w:widowControl w:val="0"/>
        <w:autoSpaceDE w:val="0"/>
        <w:autoSpaceDN w:val="0"/>
        <w:adjustRightInd w:val="0"/>
        <w:spacing w:after="240" w:line="480" w:lineRule="auto"/>
        <w:rPr>
          <w:color w:val="000000" w:themeColor="text1"/>
        </w:rPr>
      </w:pPr>
    </w:p>
    <w:p w14:paraId="410AB2E3" w14:textId="3A9C7C78" w:rsidR="00EA607B" w:rsidRPr="00387397" w:rsidRDefault="00EA607B" w:rsidP="00044AED">
      <w:pPr>
        <w:widowControl w:val="0"/>
        <w:autoSpaceDE w:val="0"/>
        <w:autoSpaceDN w:val="0"/>
        <w:adjustRightInd w:val="0"/>
        <w:spacing w:after="240" w:line="480" w:lineRule="auto"/>
        <w:rPr>
          <w:b/>
          <w:bCs/>
          <w:color w:val="000000" w:themeColor="text1"/>
        </w:rPr>
      </w:pPr>
      <w:r w:rsidRPr="00387397">
        <w:rPr>
          <w:b/>
          <w:bCs/>
          <w:color w:val="000000" w:themeColor="text1"/>
        </w:rPr>
        <w:t xml:space="preserve">5 </w:t>
      </w:r>
      <w:r w:rsidR="003F460C" w:rsidRPr="00387397">
        <w:rPr>
          <w:b/>
          <w:bCs/>
          <w:color w:val="000000" w:themeColor="text1"/>
        </w:rPr>
        <w:t>Discussion</w:t>
      </w:r>
    </w:p>
    <w:p w14:paraId="3077698D" w14:textId="205FEAE0" w:rsidR="00174015"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5.1 Overall </w:t>
      </w:r>
      <w:r w:rsidR="009E2BA4" w:rsidRPr="00044AED">
        <w:rPr>
          <w:b/>
          <w:color w:val="000000" w:themeColor="text1"/>
        </w:rPr>
        <w:t>c</w:t>
      </w:r>
      <w:r w:rsidRPr="00044AED">
        <w:rPr>
          <w:b/>
          <w:color w:val="000000" w:themeColor="text1"/>
        </w:rPr>
        <w:t>omparison</w:t>
      </w:r>
    </w:p>
    <w:p w14:paraId="125D530E" w14:textId="169968D1" w:rsidR="00BA52AF" w:rsidRPr="00044AED" w:rsidRDefault="00BA52AF" w:rsidP="00044AED">
      <w:pPr>
        <w:widowControl w:val="0"/>
        <w:autoSpaceDE w:val="0"/>
        <w:autoSpaceDN w:val="0"/>
        <w:adjustRightInd w:val="0"/>
        <w:spacing w:after="240" w:line="480" w:lineRule="auto"/>
        <w:rPr>
          <w:color w:val="000000" w:themeColor="text1"/>
        </w:rPr>
      </w:pPr>
      <w:r w:rsidRPr="00044AED">
        <w:rPr>
          <w:color w:val="000000" w:themeColor="text1"/>
        </w:rPr>
        <w:t xml:space="preserve">Our framework improves upon extant blunt claims of “high” or “low” stringency, by disaggregating policy substance to allow more nuanced empirical results. </w:t>
      </w:r>
      <w:r w:rsidR="00CC684D" w:rsidRPr="00044AED">
        <w:rPr>
          <w:color w:val="000000" w:themeColor="text1"/>
        </w:rPr>
        <w:t>These issue-specific results can then be aggregated to</w:t>
      </w:r>
      <w:r w:rsidRPr="00044AED">
        <w:rPr>
          <w:color w:val="000000" w:themeColor="text1"/>
        </w:rPr>
        <w:t xml:space="preserve"> make more general observations: First, </w:t>
      </w:r>
      <w:r w:rsidR="00CC684D" w:rsidRPr="00044AED">
        <w:rPr>
          <w:color w:val="000000" w:themeColor="text1"/>
        </w:rPr>
        <w:t>on both scope and prescriptiveness dimensions</w:t>
      </w:r>
      <w:r w:rsidR="00A61891" w:rsidRPr="00044AED">
        <w:rPr>
          <w:color w:val="000000" w:themeColor="text1"/>
        </w:rPr>
        <w:t>, in 2016</w:t>
      </w:r>
      <w:r w:rsidR="00CC684D" w:rsidRPr="00044AED">
        <w:rPr>
          <w:color w:val="000000" w:themeColor="text1"/>
        </w:rPr>
        <w:t xml:space="preserve"> </w:t>
      </w:r>
      <w:r w:rsidRPr="00044AED">
        <w:rPr>
          <w:color w:val="000000" w:themeColor="text1"/>
        </w:rPr>
        <w:t>the FSC-US stand</w:t>
      </w:r>
      <w:r w:rsidR="00A61891" w:rsidRPr="00044AED">
        <w:rPr>
          <w:color w:val="000000" w:themeColor="text1"/>
        </w:rPr>
        <w:t>ard was</w:t>
      </w:r>
      <w:r w:rsidRPr="00044AED">
        <w:rPr>
          <w:color w:val="000000" w:themeColor="text1"/>
        </w:rPr>
        <w:t xml:space="preserve"> clearly more stringent than the SFI standard on ecological </w:t>
      </w:r>
      <w:r w:rsidR="00CC684D" w:rsidRPr="00044AED">
        <w:rPr>
          <w:color w:val="000000" w:themeColor="text1"/>
        </w:rPr>
        <w:t>goals</w:t>
      </w:r>
      <w:r w:rsidRPr="00044AED">
        <w:rPr>
          <w:color w:val="000000" w:themeColor="text1"/>
        </w:rPr>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044AED">
        <w:rPr>
          <w:color w:val="000000" w:themeColor="text1"/>
        </w:rPr>
        <w:t>y, one could say that FSC-US had</w:t>
      </w:r>
      <w:r w:rsidRPr="00044AED">
        <w:rPr>
          <w:color w:val="000000" w:themeColor="text1"/>
        </w:rPr>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044AED">
        <w:rPr>
          <w:color w:val="000000" w:themeColor="text1"/>
        </w:rPr>
        <w:t>ha</w:t>
      </w:r>
      <w:r w:rsidR="00A61891" w:rsidRPr="00044AED">
        <w:rPr>
          <w:color w:val="000000" w:themeColor="text1"/>
        </w:rPr>
        <w:t>d</w:t>
      </w:r>
      <w:r w:rsidR="00E74A0D" w:rsidRPr="00044AED">
        <w:rPr>
          <w:color w:val="000000" w:themeColor="text1"/>
        </w:rPr>
        <w:t xml:space="preserve"> </w:t>
      </w:r>
      <w:r w:rsidRPr="00044AED">
        <w:rPr>
          <w:color w:val="000000" w:themeColor="text1"/>
        </w:rPr>
        <w:t xml:space="preserve">more </w:t>
      </w:r>
      <w:r w:rsidR="0093104F" w:rsidRPr="00044AED">
        <w:rPr>
          <w:color w:val="000000" w:themeColor="text1"/>
        </w:rPr>
        <w:t>requirements on</w:t>
      </w:r>
      <w:r w:rsidRPr="00044AED">
        <w:rPr>
          <w:color w:val="000000" w:themeColor="text1"/>
        </w:rPr>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w:t>
      </w:r>
      <w:r w:rsidRPr="00044AED">
        <w:rPr>
          <w:color w:val="000000" w:themeColor="text1"/>
        </w:rPr>
        <w:lastRenderedPageBreak/>
        <w:t xml:space="preserve">(e.g.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044AED">
        <w:rPr>
          <w:color w:val="000000" w:themeColor="text1"/>
        </w:rPr>
        <w:t xml:space="preserve">is </w:t>
      </w:r>
      <w:r w:rsidRPr="00044AED">
        <w:rPr>
          <w:color w:val="000000" w:themeColor="text1"/>
        </w:rPr>
        <w:t xml:space="preserve">more prescriptive, and </w:t>
      </w:r>
      <w:r w:rsidR="00B15A4A" w:rsidRPr="00044AED">
        <w:rPr>
          <w:color w:val="000000" w:themeColor="text1"/>
        </w:rPr>
        <w:t>requires increasingly</w:t>
      </w:r>
      <w:r w:rsidRPr="00044AED">
        <w:rPr>
          <w:color w:val="000000" w:themeColor="text1"/>
        </w:rPr>
        <w:t xml:space="preserve"> difficult to achieve performance levels. </w:t>
      </w:r>
    </w:p>
    <w:p w14:paraId="51EA9E94"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2147F849" w14:textId="77777777" w:rsidR="00BA52AF" w:rsidRPr="00044AED" w:rsidRDefault="00BA52AF" w:rsidP="00044AED">
      <w:pPr>
        <w:widowControl w:val="0"/>
        <w:autoSpaceDE w:val="0"/>
        <w:autoSpaceDN w:val="0"/>
        <w:adjustRightInd w:val="0"/>
        <w:spacing w:after="240" w:line="480" w:lineRule="auto"/>
        <w:rPr>
          <w:color w:val="000000" w:themeColor="text1"/>
        </w:rPr>
      </w:pPr>
    </w:p>
    <w:p w14:paraId="610CC4D6" w14:textId="7A5383C3" w:rsidR="00BA52AF"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5.2 Patterns of change</w:t>
      </w:r>
    </w:p>
    <w:p w14:paraId="30D286B5" w14:textId="03F6B06A" w:rsidR="00827E41" w:rsidRPr="00044AED" w:rsidRDefault="00AC00D0" w:rsidP="00044AED">
      <w:pPr>
        <w:widowControl w:val="0"/>
        <w:autoSpaceDE w:val="0"/>
        <w:autoSpaceDN w:val="0"/>
        <w:adjustRightInd w:val="0"/>
        <w:spacing w:after="240" w:line="480" w:lineRule="auto"/>
        <w:rPr>
          <w:color w:val="000000" w:themeColor="text1"/>
        </w:rPr>
      </w:pPr>
      <w:r w:rsidRPr="00044AED">
        <w:rPr>
          <w:color w:val="000000" w:themeColor="text1"/>
        </w:rPr>
        <w:t xml:space="preserve">The dominant patterns were equilibrium and upward divergence. </w:t>
      </w:r>
      <w:r w:rsidR="0006633A" w:rsidRPr="00044AED">
        <w:rPr>
          <w:color w:val="000000" w:themeColor="text1"/>
        </w:rPr>
        <w:t>In most years,</w:t>
      </w:r>
      <w:r w:rsidR="00D97AD7" w:rsidRPr="00044AED">
        <w:rPr>
          <w:color w:val="000000" w:themeColor="text1"/>
        </w:rPr>
        <w:t xml:space="preserve"> neither program changed on any issue (the center cell in Figure 1</w:t>
      </w:r>
      <w:r w:rsidR="00D52201" w:rsidRPr="00044AED">
        <w:rPr>
          <w:color w:val="000000" w:themeColor="text1"/>
        </w:rPr>
        <w:t>, “equilibrium”)</w:t>
      </w:r>
      <w:r w:rsidR="00D97AD7" w:rsidRPr="00044AED">
        <w:rPr>
          <w:color w:val="000000" w:themeColor="text1"/>
        </w:rPr>
        <w:t>.</w:t>
      </w:r>
      <w:r w:rsidR="00D52201" w:rsidRPr="00044AED">
        <w:rPr>
          <w:color w:val="000000" w:themeColor="text1"/>
        </w:rPr>
        <w:t xml:space="preserve"> Most changes for both programs occurred in</w:t>
      </w:r>
      <w:r w:rsidR="0006633A" w:rsidRPr="00044AED">
        <w:rPr>
          <w:color w:val="000000" w:themeColor="text1"/>
        </w:rPr>
        <w:t xml:space="preserve"> 2010 </w:t>
      </w:r>
      <w:r w:rsidR="008E652F" w:rsidRPr="00044AED">
        <w:rPr>
          <w:color w:val="000000" w:themeColor="text1"/>
        </w:rPr>
        <w:t>where</w:t>
      </w:r>
      <w:r w:rsidR="0006633A" w:rsidRPr="00044AED">
        <w:rPr>
          <w:color w:val="000000" w:themeColor="text1"/>
        </w:rPr>
        <w:t xml:space="preserve"> the overall pattern was</w:t>
      </w:r>
      <w:r w:rsidR="00D52201" w:rsidRPr="00044AED">
        <w:rPr>
          <w:color w:val="000000" w:themeColor="text1"/>
        </w:rPr>
        <w:t xml:space="preserve"> divergence </w:t>
      </w:r>
      <w:r w:rsidR="0006633A" w:rsidRPr="00044AED">
        <w:rPr>
          <w:color w:val="000000" w:themeColor="text1"/>
        </w:rPr>
        <w:t>(also called</w:t>
      </w:r>
      <w:r w:rsidR="00D52201" w:rsidRPr="00044AED">
        <w:rPr>
          <w:color w:val="000000" w:themeColor="text1"/>
        </w:rPr>
        <w:t xml:space="preserve"> differentiation</w:t>
      </w:r>
      <w:r w:rsidR="0006633A" w:rsidRPr="00044AED">
        <w:rPr>
          <w:color w:val="000000" w:themeColor="text1"/>
        </w:rPr>
        <w:t>)</w:t>
      </w:r>
      <w:r w:rsidR="00D52201" w:rsidRPr="00044AED">
        <w:rPr>
          <w:color w:val="000000" w:themeColor="text1"/>
        </w:rPr>
        <w:t xml:space="preserve">, rather than convergence or stability. The vast majority </w:t>
      </w:r>
      <w:r w:rsidR="006A4918" w:rsidRPr="00044AED">
        <w:rPr>
          <w:color w:val="000000" w:themeColor="text1"/>
        </w:rPr>
        <w:t>of changes</w:t>
      </w:r>
      <w:r w:rsidR="00D52201" w:rsidRPr="00044AED">
        <w:rPr>
          <w:color w:val="000000" w:themeColor="text1"/>
        </w:rPr>
        <w:t xml:space="preserve"> </w:t>
      </w:r>
      <w:r w:rsidR="00A71F5A" w:rsidRPr="00044AED">
        <w:rPr>
          <w:color w:val="000000" w:themeColor="text1"/>
        </w:rPr>
        <w:t>(twenty</w:t>
      </w:r>
      <w:r w:rsidR="00E71F57" w:rsidRPr="00044AED">
        <w:rPr>
          <w:color w:val="000000" w:themeColor="text1"/>
        </w:rPr>
        <w:t>-one</w:t>
      </w:r>
      <w:r w:rsidR="00A71F5A" w:rsidRPr="00044AED">
        <w:rPr>
          <w:color w:val="000000" w:themeColor="text1"/>
        </w:rPr>
        <w:t xml:space="preserve"> of twenty-seven </w:t>
      </w:r>
      <w:r w:rsidR="005121D7" w:rsidRPr="00044AED">
        <w:rPr>
          <w:color w:val="000000" w:themeColor="text1"/>
        </w:rPr>
        <w:t>issue</w:t>
      </w:r>
      <w:r w:rsidR="008E652F" w:rsidRPr="00044AED">
        <w:rPr>
          <w:color w:val="000000" w:themeColor="text1"/>
        </w:rPr>
        <w:t>s</w:t>
      </w:r>
      <w:r w:rsidR="005121D7" w:rsidRPr="00044AED">
        <w:rPr>
          <w:color w:val="000000" w:themeColor="text1"/>
        </w:rPr>
        <w:t xml:space="preserve"> </w:t>
      </w:r>
      <w:r w:rsidR="008E652F" w:rsidRPr="00044AED">
        <w:rPr>
          <w:color w:val="000000" w:themeColor="text1"/>
        </w:rPr>
        <w:t>changed</w:t>
      </w:r>
      <w:r w:rsidR="00A71F5A" w:rsidRPr="00044AED">
        <w:rPr>
          <w:color w:val="000000" w:themeColor="text1"/>
        </w:rPr>
        <w:t xml:space="preserve">) </w:t>
      </w:r>
      <w:r w:rsidR="0006633A" w:rsidRPr="00044AED">
        <w:rPr>
          <w:color w:val="000000" w:themeColor="text1"/>
        </w:rPr>
        <w:t>fit</w:t>
      </w:r>
      <w:r w:rsidR="00D52201" w:rsidRPr="00044AED">
        <w:rPr>
          <w:color w:val="000000" w:themeColor="text1"/>
        </w:rPr>
        <w:t xml:space="preserve"> a pattern where one program increased prescriptiveness while the other did not </w:t>
      </w:r>
      <w:r w:rsidR="00E71F57" w:rsidRPr="00044AED">
        <w:rPr>
          <w:color w:val="000000" w:themeColor="text1"/>
        </w:rPr>
        <w:t xml:space="preserve">(or in one case, did so to a lesser degree) </w:t>
      </w:r>
      <w:r w:rsidR="00D52201" w:rsidRPr="00044AED">
        <w:rPr>
          <w:color w:val="000000" w:themeColor="text1"/>
        </w:rPr>
        <w:t>and</w:t>
      </w:r>
      <w:r w:rsidR="007250B5" w:rsidRPr="00044AED">
        <w:rPr>
          <w:color w:val="000000" w:themeColor="text1"/>
        </w:rPr>
        <w:t xml:space="preserve"> the program increasing stringency already had the </w:t>
      </w:r>
      <w:r w:rsidR="008E652F" w:rsidRPr="00044AED">
        <w:rPr>
          <w:color w:val="000000" w:themeColor="text1"/>
        </w:rPr>
        <w:t>more</w:t>
      </w:r>
      <w:r w:rsidR="007250B5" w:rsidRPr="00044AED">
        <w:rPr>
          <w:color w:val="000000" w:themeColor="text1"/>
        </w:rPr>
        <w:t xml:space="preserve"> </w:t>
      </w:r>
      <w:r w:rsidRPr="00044AED">
        <w:rPr>
          <w:color w:val="000000" w:themeColor="text1"/>
        </w:rPr>
        <w:t>prescriptive</w:t>
      </w:r>
      <w:r w:rsidR="007250B5" w:rsidRPr="00044AED">
        <w:rPr>
          <w:color w:val="000000" w:themeColor="text1"/>
        </w:rPr>
        <w:t xml:space="preserve"> requirements</w:t>
      </w:r>
      <w:r w:rsidR="00366B6D" w:rsidRPr="00044AED">
        <w:rPr>
          <w:color w:val="000000" w:themeColor="text1"/>
        </w:rPr>
        <w:t xml:space="preserve">. </w:t>
      </w:r>
      <w:r w:rsidR="005121D7" w:rsidRPr="00044AED">
        <w:rPr>
          <w:color w:val="000000" w:themeColor="text1"/>
        </w:rPr>
        <w:t>On eighteen issues, the other program stayed the same, leading to upward divergence. On three issues</w:t>
      </w:r>
      <w:r w:rsidR="008E652F" w:rsidRPr="00044AED">
        <w:rPr>
          <w:color w:val="000000" w:themeColor="text1"/>
        </w:rPr>
        <w:t>,</w:t>
      </w:r>
      <w:r w:rsidR="005121D7" w:rsidRPr="00044AED">
        <w:rPr>
          <w:color w:val="000000" w:themeColor="text1"/>
        </w:rPr>
        <w:t xml:space="preserve"> the less prescriptive program decreased prescriptiveness, leading to opposing divergence</w:t>
      </w:r>
      <w:r w:rsidR="008E652F" w:rsidRPr="00044AED">
        <w:rPr>
          <w:color w:val="000000" w:themeColor="text1"/>
        </w:rPr>
        <w:t xml:space="preserve"> (see Table 4)</w:t>
      </w:r>
      <w:r w:rsidR="005121D7" w:rsidRPr="00044AED">
        <w:rPr>
          <w:color w:val="000000" w:themeColor="text1"/>
        </w:rPr>
        <w:t xml:space="preserve">. </w:t>
      </w:r>
      <w:r w:rsidR="00366B6D" w:rsidRPr="00044AED">
        <w:rPr>
          <w:color w:val="000000" w:themeColor="text1"/>
        </w:rPr>
        <w:t>For all</w:t>
      </w:r>
      <w:r w:rsidR="008E652F" w:rsidRPr="00044AED">
        <w:rPr>
          <w:color w:val="000000" w:themeColor="text1"/>
        </w:rPr>
        <w:t xml:space="preserve"> sixteen</w:t>
      </w:r>
      <w:r w:rsidR="00366B6D" w:rsidRPr="00044AED">
        <w:rPr>
          <w:color w:val="000000" w:themeColor="text1"/>
        </w:rPr>
        <w:t xml:space="preserve"> </w:t>
      </w:r>
      <w:r w:rsidRPr="00044AED">
        <w:rPr>
          <w:color w:val="000000" w:themeColor="text1"/>
        </w:rPr>
        <w:t xml:space="preserve">issues on which only </w:t>
      </w:r>
      <w:r w:rsidR="006A4918" w:rsidRPr="00044AED">
        <w:rPr>
          <w:color w:val="000000" w:themeColor="text1"/>
        </w:rPr>
        <w:t xml:space="preserve">the </w:t>
      </w:r>
      <w:r w:rsidRPr="00044AED">
        <w:rPr>
          <w:color w:val="000000" w:themeColor="text1"/>
        </w:rPr>
        <w:t xml:space="preserve">FSC-US </w:t>
      </w:r>
      <w:r w:rsidR="00A264DD" w:rsidRPr="00044AED">
        <w:rPr>
          <w:color w:val="000000" w:themeColor="text1"/>
        </w:rPr>
        <w:t>add</w:t>
      </w:r>
      <w:r w:rsidR="00E71F57" w:rsidRPr="00044AED">
        <w:rPr>
          <w:color w:val="000000" w:themeColor="text1"/>
        </w:rPr>
        <w:t>ed</w:t>
      </w:r>
      <w:r w:rsidR="00A264DD" w:rsidRPr="00044AED">
        <w:rPr>
          <w:color w:val="000000" w:themeColor="text1"/>
        </w:rPr>
        <w:t xml:space="preserve"> requirements</w:t>
      </w:r>
      <w:r w:rsidRPr="00044AED">
        <w:rPr>
          <w:color w:val="000000" w:themeColor="text1"/>
        </w:rPr>
        <w:t xml:space="preserve">, it already had the </w:t>
      </w:r>
      <w:r w:rsidR="008E652F" w:rsidRPr="00044AED">
        <w:rPr>
          <w:color w:val="000000" w:themeColor="text1"/>
        </w:rPr>
        <w:t>more</w:t>
      </w:r>
      <w:r w:rsidR="00D52201" w:rsidRPr="00044AED">
        <w:rPr>
          <w:color w:val="000000" w:themeColor="text1"/>
        </w:rPr>
        <w:t xml:space="preserve"> prescriptive requirements</w:t>
      </w:r>
      <w:r w:rsidR="008E652F" w:rsidRPr="00044AED">
        <w:rPr>
          <w:color w:val="000000" w:themeColor="text1"/>
        </w:rPr>
        <w:t xml:space="preserve">, and almost all of these additions </w:t>
      </w:r>
      <w:r w:rsidRPr="00044AED">
        <w:rPr>
          <w:color w:val="000000" w:themeColor="text1"/>
        </w:rPr>
        <w:t>address e</w:t>
      </w:r>
      <w:r w:rsidR="00D52201" w:rsidRPr="00044AED">
        <w:rPr>
          <w:color w:val="000000" w:themeColor="text1"/>
        </w:rPr>
        <w:t>cological problems.</w:t>
      </w:r>
      <w:r w:rsidR="00D55530" w:rsidRPr="00044AED">
        <w:rPr>
          <w:color w:val="000000" w:themeColor="text1"/>
        </w:rPr>
        <w:t xml:space="preserve"> </w:t>
      </w:r>
      <w:r w:rsidR="00D52201" w:rsidRPr="00044AED">
        <w:rPr>
          <w:color w:val="000000" w:themeColor="text1"/>
        </w:rPr>
        <w:t xml:space="preserve">Similarly, </w:t>
      </w:r>
      <w:r w:rsidR="00AA3063" w:rsidRPr="00044AED">
        <w:rPr>
          <w:color w:val="000000" w:themeColor="text1"/>
        </w:rPr>
        <w:t>for</w:t>
      </w:r>
      <w:r w:rsidR="00D52201" w:rsidRPr="00044AED">
        <w:rPr>
          <w:color w:val="000000" w:themeColor="text1"/>
        </w:rPr>
        <w:t xml:space="preserve"> three </w:t>
      </w:r>
      <w:r w:rsidR="00D55530" w:rsidRPr="00044AED">
        <w:rPr>
          <w:color w:val="000000" w:themeColor="text1"/>
        </w:rPr>
        <w:t xml:space="preserve">out of the four </w:t>
      </w:r>
      <w:r w:rsidRPr="00044AED">
        <w:rPr>
          <w:color w:val="000000" w:themeColor="text1"/>
        </w:rPr>
        <w:t xml:space="preserve">issues </w:t>
      </w:r>
      <w:r w:rsidR="008E652F" w:rsidRPr="00044AED">
        <w:rPr>
          <w:color w:val="000000" w:themeColor="text1"/>
        </w:rPr>
        <w:t>on which</w:t>
      </w:r>
      <w:r w:rsidRPr="00044AED">
        <w:rPr>
          <w:color w:val="000000" w:themeColor="text1"/>
        </w:rPr>
        <w:t xml:space="preserve"> only </w:t>
      </w:r>
      <w:r w:rsidR="006A4918" w:rsidRPr="00044AED">
        <w:rPr>
          <w:color w:val="000000" w:themeColor="text1"/>
        </w:rPr>
        <w:t xml:space="preserve">the </w:t>
      </w:r>
      <w:r w:rsidRPr="00044AED">
        <w:rPr>
          <w:color w:val="000000" w:themeColor="text1"/>
        </w:rPr>
        <w:t xml:space="preserve">SFI </w:t>
      </w:r>
      <w:r w:rsidR="00A264DD" w:rsidRPr="00044AED">
        <w:rPr>
          <w:color w:val="000000" w:themeColor="text1"/>
        </w:rPr>
        <w:t>added requirements</w:t>
      </w:r>
      <w:r w:rsidRPr="00044AED">
        <w:rPr>
          <w:color w:val="000000" w:themeColor="text1"/>
        </w:rPr>
        <w:t xml:space="preserve">, </w:t>
      </w:r>
      <w:r w:rsidR="00AA3063" w:rsidRPr="00044AED">
        <w:rPr>
          <w:color w:val="000000" w:themeColor="text1"/>
        </w:rPr>
        <w:t>the SFI</w:t>
      </w:r>
      <w:r w:rsidRPr="00044AED">
        <w:rPr>
          <w:color w:val="000000" w:themeColor="text1"/>
        </w:rPr>
        <w:t xml:space="preserve"> already ha</w:t>
      </w:r>
      <w:r w:rsidR="00D52201" w:rsidRPr="00044AED">
        <w:rPr>
          <w:color w:val="000000" w:themeColor="text1"/>
        </w:rPr>
        <w:t xml:space="preserve">d </w:t>
      </w:r>
      <w:r w:rsidR="008E652F" w:rsidRPr="00044AED">
        <w:rPr>
          <w:color w:val="000000" w:themeColor="text1"/>
        </w:rPr>
        <w:t>more prescriptive requirements. Qualitatively, t</w:t>
      </w:r>
      <w:r w:rsidR="00D52201" w:rsidRPr="00044AED">
        <w:rPr>
          <w:color w:val="000000" w:themeColor="text1"/>
        </w:rPr>
        <w:t>hese three issues—</w:t>
      </w:r>
      <w:r w:rsidR="006A4918" w:rsidRPr="00044AED">
        <w:rPr>
          <w:color w:val="000000" w:themeColor="text1"/>
        </w:rPr>
        <w:t xml:space="preserve">maximizing the </w:t>
      </w:r>
      <w:r w:rsidR="00D52201" w:rsidRPr="00044AED">
        <w:rPr>
          <w:color w:val="000000" w:themeColor="text1"/>
        </w:rPr>
        <w:t>utilization</w:t>
      </w:r>
      <w:r w:rsidR="006A4918" w:rsidRPr="00044AED">
        <w:rPr>
          <w:color w:val="000000" w:themeColor="text1"/>
        </w:rPr>
        <w:t xml:space="preserve"> of cut trees</w:t>
      </w:r>
      <w:r w:rsidR="00D52201" w:rsidRPr="00044AED">
        <w:rPr>
          <w:color w:val="000000" w:themeColor="text1"/>
        </w:rPr>
        <w:t xml:space="preserve">, </w:t>
      </w:r>
      <w:r w:rsidR="006A4918" w:rsidRPr="00044AED">
        <w:rPr>
          <w:color w:val="000000" w:themeColor="text1"/>
        </w:rPr>
        <w:t xml:space="preserve">public </w:t>
      </w:r>
      <w:r w:rsidR="00D52201" w:rsidRPr="00044AED">
        <w:rPr>
          <w:color w:val="000000" w:themeColor="text1"/>
        </w:rPr>
        <w:t xml:space="preserve">education, and </w:t>
      </w:r>
      <w:r w:rsidR="006A4918" w:rsidRPr="00044AED">
        <w:rPr>
          <w:color w:val="000000" w:themeColor="text1"/>
        </w:rPr>
        <w:t xml:space="preserve">worker </w:t>
      </w:r>
      <w:r w:rsidR="00D52201" w:rsidRPr="00044AED">
        <w:rPr>
          <w:color w:val="000000" w:themeColor="text1"/>
        </w:rPr>
        <w:t xml:space="preserve">training—reflect </w:t>
      </w:r>
      <w:r w:rsidR="006A4918" w:rsidRPr="00044AED">
        <w:rPr>
          <w:color w:val="000000" w:themeColor="text1"/>
        </w:rPr>
        <w:t>concerns</w:t>
      </w:r>
      <w:r w:rsidR="00D52201" w:rsidRPr="00044AED">
        <w:rPr>
          <w:color w:val="000000" w:themeColor="text1"/>
        </w:rPr>
        <w:t xml:space="preserve"> </w:t>
      </w:r>
      <w:r w:rsidR="006A4918" w:rsidRPr="00044AED">
        <w:rPr>
          <w:color w:val="000000" w:themeColor="text1"/>
        </w:rPr>
        <w:t>for</w:t>
      </w:r>
      <w:r w:rsidR="00D52201" w:rsidRPr="00044AED">
        <w:rPr>
          <w:color w:val="000000" w:themeColor="text1"/>
        </w:rPr>
        <w:t xml:space="preserve"> the efficiency, reputation, and capacity of the forest products industry. </w:t>
      </w:r>
      <w:r w:rsidR="0006633A" w:rsidRPr="00044AED">
        <w:rPr>
          <w:color w:val="000000" w:themeColor="text1"/>
        </w:rPr>
        <w:t xml:space="preserve">Educating the public about forestry practices and products and </w:t>
      </w:r>
      <w:r w:rsidR="0006633A" w:rsidRPr="00044AED">
        <w:rPr>
          <w:color w:val="000000" w:themeColor="text1"/>
        </w:rPr>
        <w:lastRenderedPageBreak/>
        <w:t>training workers</w:t>
      </w:r>
      <w:r w:rsidR="006659D9" w:rsidRPr="00044AED">
        <w:rPr>
          <w:color w:val="000000" w:themeColor="text1"/>
        </w:rPr>
        <w:t xml:space="preserve"> </w:t>
      </w:r>
      <w:r w:rsidR="0006633A" w:rsidRPr="00044AED">
        <w:rPr>
          <w:color w:val="000000" w:themeColor="text1"/>
        </w:rPr>
        <w:t xml:space="preserve">are not </w:t>
      </w:r>
      <w:r w:rsidR="0093104F" w:rsidRPr="00044AED">
        <w:rPr>
          <w:color w:val="000000" w:themeColor="text1"/>
        </w:rPr>
        <w:t>privately</w:t>
      </w:r>
      <w:r w:rsidR="008E57BD" w:rsidRPr="00044AED">
        <w:rPr>
          <w:color w:val="000000" w:themeColor="text1"/>
        </w:rPr>
        <w:t xml:space="preserve"> excludable investments. Because of the wide adoption of SFI standards, s</w:t>
      </w:r>
      <w:r w:rsidR="0006633A" w:rsidRPr="00044AED">
        <w:rPr>
          <w:color w:val="000000" w:themeColor="text1"/>
        </w:rPr>
        <w:t>uch requirements may provide</w:t>
      </w:r>
      <w:r w:rsidR="008E57BD" w:rsidRPr="00044AED">
        <w:rPr>
          <w:color w:val="000000" w:themeColor="text1"/>
        </w:rPr>
        <w:t xml:space="preserve"> collective benefits </w:t>
      </w:r>
      <w:r w:rsidR="00AA3063" w:rsidRPr="00044AED">
        <w:rPr>
          <w:color w:val="000000" w:themeColor="text1"/>
        </w:rPr>
        <w:t>for the sector,</w:t>
      </w:r>
      <w:r w:rsidR="008E57BD" w:rsidRPr="00044AED">
        <w:rPr>
          <w:color w:val="000000" w:themeColor="text1"/>
        </w:rPr>
        <w:t xml:space="preserve"> in the form of a </w:t>
      </w:r>
      <w:r w:rsidR="008D05FE" w:rsidRPr="00044AED">
        <w:rPr>
          <w:color w:val="000000" w:themeColor="text1"/>
        </w:rPr>
        <w:t xml:space="preserve">positive public image and </w:t>
      </w:r>
      <w:r w:rsidR="008E57BD" w:rsidRPr="00044AED">
        <w:rPr>
          <w:color w:val="000000" w:themeColor="text1"/>
        </w:rPr>
        <w:t xml:space="preserve">skilled </w:t>
      </w:r>
      <w:r w:rsidR="0006633A" w:rsidRPr="00044AED">
        <w:rPr>
          <w:color w:val="000000" w:themeColor="text1"/>
        </w:rPr>
        <w:t>workforce</w:t>
      </w:r>
      <w:r w:rsidR="00D55530" w:rsidRPr="00044AED">
        <w:rPr>
          <w:color w:val="000000" w:themeColor="text1"/>
        </w:rPr>
        <w:t>.</w:t>
      </w:r>
    </w:p>
    <w:p w14:paraId="4B738B4C" w14:textId="77777777" w:rsidR="00366B6D" w:rsidRPr="00044AED" w:rsidRDefault="00366B6D" w:rsidP="00044AED">
      <w:pPr>
        <w:widowControl w:val="0"/>
        <w:autoSpaceDE w:val="0"/>
        <w:autoSpaceDN w:val="0"/>
        <w:adjustRightInd w:val="0"/>
        <w:spacing w:after="240" w:line="480" w:lineRule="auto"/>
        <w:rPr>
          <w:color w:val="000000" w:themeColor="text1"/>
        </w:rPr>
      </w:pPr>
    </w:p>
    <w:p w14:paraId="2F807028" w14:textId="1ECB61ED" w:rsidR="00366B6D" w:rsidRPr="00044AED" w:rsidRDefault="001A65DD" w:rsidP="00044AED">
      <w:pPr>
        <w:widowControl w:val="0"/>
        <w:autoSpaceDE w:val="0"/>
        <w:autoSpaceDN w:val="0"/>
        <w:adjustRightInd w:val="0"/>
        <w:spacing w:after="240" w:line="480" w:lineRule="auto"/>
        <w:rPr>
          <w:color w:val="000000" w:themeColor="text1"/>
        </w:rPr>
      </w:pPr>
      <w:r w:rsidRPr="00044AED">
        <w:rPr>
          <w:color w:val="000000" w:themeColor="text1"/>
        </w:rPr>
        <w:t>[Figure 1</w:t>
      </w:r>
      <w:r w:rsidR="00366B6D" w:rsidRPr="00044AED">
        <w:rPr>
          <w:color w:val="000000" w:themeColor="text1"/>
        </w:rPr>
        <w:t>]</w:t>
      </w:r>
    </w:p>
    <w:p w14:paraId="178699A9"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7F03BACC" w14:textId="056EA2F5" w:rsidR="005F6E31" w:rsidRPr="00044AED" w:rsidRDefault="00A264DD" w:rsidP="00044AED">
      <w:pPr>
        <w:widowControl w:val="0"/>
        <w:autoSpaceDE w:val="0"/>
        <w:autoSpaceDN w:val="0"/>
        <w:adjustRightInd w:val="0"/>
        <w:spacing w:after="240" w:line="480" w:lineRule="auto"/>
        <w:rPr>
          <w:color w:val="000000" w:themeColor="text1"/>
        </w:rPr>
      </w:pPr>
      <w:r w:rsidRPr="00044AED">
        <w:rPr>
          <w:color w:val="000000" w:themeColor="text1"/>
        </w:rPr>
        <w:t xml:space="preserve">Convergence and parallel change were </w:t>
      </w:r>
      <w:r w:rsidR="0062745D" w:rsidRPr="0062745D">
        <w:rPr>
          <w:color w:val="000000" w:themeColor="text1"/>
        </w:rPr>
        <w:t>rare. An upward</w:t>
      </w:r>
      <w:r w:rsidR="00E500A1" w:rsidRPr="00044AED">
        <w:rPr>
          <w:color w:val="000000" w:themeColor="text1"/>
        </w:rPr>
        <w:t xml:space="preserve"> parallel change </w:t>
      </w:r>
      <w:r w:rsidR="00005029" w:rsidRPr="00044AED">
        <w:rPr>
          <w:color w:val="000000" w:themeColor="text1"/>
        </w:rPr>
        <w:t xml:space="preserve">occurred </w:t>
      </w:r>
      <w:r w:rsidR="00E500A1" w:rsidRPr="00044AED">
        <w:rPr>
          <w:color w:val="000000" w:themeColor="text1"/>
        </w:rPr>
        <w:t xml:space="preserve">on </w:t>
      </w:r>
      <w:r w:rsidR="0047041E" w:rsidRPr="00044AED">
        <w:rPr>
          <w:color w:val="000000" w:themeColor="text1"/>
        </w:rPr>
        <w:t xml:space="preserve">only </w:t>
      </w:r>
      <w:r w:rsidR="00005029" w:rsidRPr="00044AED">
        <w:rPr>
          <w:color w:val="000000" w:themeColor="text1"/>
        </w:rPr>
        <w:t>three</w:t>
      </w:r>
      <w:r w:rsidR="006A4918" w:rsidRPr="00044AED">
        <w:rPr>
          <w:color w:val="000000" w:themeColor="text1"/>
        </w:rPr>
        <w:t xml:space="preserve"> issues</w:t>
      </w:r>
      <w:r w:rsidR="008E652F" w:rsidRPr="00044AED">
        <w:rPr>
          <w:color w:val="000000" w:themeColor="text1"/>
        </w:rPr>
        <w:t xml:space="preserve"> in 2010: </w:t>
      </w:r>
      <w:r w:rsidR="006A4918" w:rsidRPr="00044AED">
        <w:rPr>
          <w:color w:val="000000" w:themeColor="text1"/>
        </w:rPr>
        <w:t>forest management planning</w:t>
      </w:r>
      <w:r w:rsidR="00005029" w:rsidRPr="00044AED">
        <w:rPr>
          <w:color w:val="000000" w:themeColor="text1"/>
        </w:rPr>
        <w:t xml:space="preserve">, </w:t>
      </w:r>
      <w:r w:rsidR="006A4918" w:rsidRPr="00044AED">
        <w:rPr>
          <w:color w:val="000000" w:themeColor="text1"/>
        </w:rPr>
        <w:t>controlling carbon e</w:t>
      </w:r>
      <w:r w:rsidR="00E500A1" w:rsidRPr="00044AED">
        <w:rPr>
          <w:color w:val="000000" w:themeColor="text1"/>
        </w:rPr>
        <w:t>missions,</w:t>
      </w:r>
      <w:r w:rsidR="00005029" w:rsidRPr="00044AED">
        <w:rPr>
          <w:color w:val="000000" w:themeColor="text1"/>
        </w:rPr>
        <w:t xml:space="preserve"> and reporting and consultation</w:t>
      </w:r>
      <w:r w:rsidR="008E652F" w:rsidRPr="00044AED">
        <w:rPr>
          <w:color w:val="000000" w:themeColor="text1"/>
        </w:rPr>
        <w:t>,</w:t>
      </w:r>
      <w:r w:rsidR="00005029" w:rsidRPr="00044AED">
        <w:rPr>
          <w:color w:val="000000" w:themeColor="text1"/>
        </w:rPr>
        <w:t xml:space="preserve"> </w:t>
      </w:r>
      <w:r w:rsidR="00E500A1" w:rsidRPr="00044AED">
        <w:rPr>
          <w:color w:val="000000" w:themeColor="text1"/>
        </w:rPr>
        <w:t xml:space="preserve">where both programs added requirements. </w:t>
      </w:r>
      <w:r w:rsidR="00005029" w:rsidRPr="00044AED">
        <w:rPr>
          <w:color w:val="000000" w:themeColor="text1"/>
        </w:rPr>
        <w:t xml:space="preserve">We classify the addition of </w:t>
      </w:r>
      <w:r w:rsidR="0047041E" w:rsidRPr="00044AED">
        <w:rPr>
          <w:color w:val="000000" w:themeColor="text1"/>
        </w:rPr>
        <w:t xml:space="preserve">protections for riparian zones by both </w:t>
      </w:r>
      <w:r w:rsidR="00D55530" w:rsidRPr="00044AED">
        <w:rPr>
          <w:color w:val="000000" w:themeColor="text1"/>
        </w:rPr>
        <w:t>SFI and FSC-</w:t>
      </w:r>
      <w:r w:rsidR="00005029" w:rsidRPr="00044AED">
        <w:rPr>
          <w:color w:val="000000" w:themeColor="text1"/>
        </w:rPr>
        <w:t>US</w:t>
      </w:r>
      <w:r w:rsidR="00D55530" w:rsidRPr="00044AED">
        <w:rPr>
          <w:color w:val="000000" w:themeColor="text1"/>
        </w:rPr>
        <w:t xml:space="preserve"> as another </w:t>
      </w:r>
      <w:r w:rsidRPr="00044AED">
        <w:rPr>
          <w:color w:val="000000" w:themeColor="text1"/>
        </w:rPr>
        <w:t>case</w:t>
      </w:r>
      <w:r w:rsidR="00D55530" w:rsidRPr="00044AED">
        <w:rPr>
          <w:color w:val="000000" w:themeColor="text1"/>
        </w:rPr>
        <w:t xml:space="preserve"> of upward divergence rather than upward parallel</w:t>
      </w:r>
      <w:r w:rsidR="0047041E" w:rsidRPr="00044AED">
        <w:rPr>
          <w:color w:val="000000" w:themeColor="text1"/>
        </w:rPr>
        <w:t xml:space="preserve"> change</w:t>
      </w:r>
      <w:r w:rsidR="00D55530" w:rsidRPr="00044AED">
        <w:rPr>
          <w:color w:val="000000" w:themeColor="text1"/>
        </w:rPr>
        <w:t xml:space="preserve"> because the requirements </w:t>
      </w:r>
      <w:r w:rsidR="008D05FE" w:rsidRPr="00044AED">
        <w:rPr>
          <w:color w:val="000000" w:themeColor="text1"/>
        </w:rPr>
        <w:t xml:space="preserve">for riparian protection </w:t>
      </w:r>
      <w:r w:rsidR="00D55530" w:rsidRPr="00044AED">
        <w:rPr>
          <w:color w:val="000000" w:themeColor="text1"/>
        </w:rPr>
        <w:t xml:space="preserve">added by </w:t>
      </w:r>
      <w:r w:rsidR="0014071C" w:rsidRPr="00044AED">
        <w:rPr>
          <w:color w:val="000000" w:themeColor="text1"/>
        </w:rPr>
        <w:t xml:space="preserve">the </w:t>
      </w:r>
      <w:r w:rsidR="00D55530" w:rsidRPr="00044AED">
        <w:rPr>
          <w:color w:val="000000" w:themeColor="text1"/>
        </w:rPr>
        <w:t xml:space="preserve">FSC-US are more prescriptive. </w:t>
      </w:r>
      <w:r w:rsidR="004E68D5" w:rsidRPr="00044AED">
        <w:rPr>
          <w:color w:val="000000" w:themeColor="text1"/>
        </w:rPr>
        <w:t>Upward convergence only occurred where FSC-US added requirements on the issue of “continual improvement” of harvesting operations</w:t>
      </w:r>
      <w:r w:rsidR="008D05FE" w:rsidRPr="00044AED">
        <w:rPr>
          <w:color w:val="000000" w:themeColor="text1"/>
        </w:rPr>
        <w:t>,</w:t>
      </w:r>
      <w:r w:rsidR="004E68D5" w:rsidRPr="00044AED">
        <w:rPr>
          <w:color w:val="000000" w:themeColor="text1"/>
        </w:rPr>
        <w:t xml:space="preserve"> an issue usually associated more with the SFI. This is interesting because scholars often assume that </w:t>
      </w:r>
      <w:r w:rsidR="008D05FE" w:rsidRPr="00044AED">
        <w:rPr>
          <w:color w:val="000000" w:themeColor="text1"/>
        </w:rPr>
        <w:t xml:space="preserve">private regulations that are </w:t>
      </w:r>
      <w:r w:rsidR="004E68D5" w:rsidRPr="00044AED">
        <w:rPr>
          <w:color w:val="000000" w:themeColor="text1"/>
        </w:rPr>
        <w:t xml:space="preserve">less stringent </w:t>
      </w:r>
      <w:r w:rsidR="008D05FE" w:rsidRPr="00044AED">
        <w:rPr>
          <w:color w:val="000000" w:themeColor="text1"/>
        </w:rPr>
        <w:t>overall</w:t>
      </w:r>
      <w:r w:rsidR="004E68D5" w:rsidRPr="00044AED">
        <w:rPr>
          <w:color w:val="000000" w:themeColor="text1"/>
        </w:rPr>
        <w:t xml:space="preserve"> will converge toward “benchmark” standards like FSC’s</w:t>
      </w:r>
      <w:r w:rsidR="001A65DD" w:rsidRPr="00044AED">
        <w:rPr>
          <w:color w:val="000000" w:themeColor="text1"/>
        </w:rPr>
        <w:t xml:space="preserve"> (</w:t>
      </w:r>
      <w:proofErr w:type="spellStart"/>
      <w:r w:rsidR="001A65DD" w:rsidRPr="00044AED">
        <w:rPr>
          <w:color w:val="000000" w:themeColor="text1"/>
        </w:rPr>
        <w:t>Overdevest</w:t>
      </w:r>
      <w:proofErr w:type="spellEnd"/>
      <w:r w:rsidR="001A65DD" w:rsidRPr="00044AED">
        <w:rPr>
          <w:color w:val="000000" w:themeColor="text1"/>
        </w:rPr>
        <w:t xml:space="preserve"> 2005, 2010)</w:t>
      </w:r>
      <w:r w:rsidR="008D05FE" w:rsidRPr="00044AED">
        <w:rPr>
          <w:color w:val="000000" w:themeColor="text1"/>
        </w:rPr>
        <w:t xml:space="preserve">. Instead, </w:t>
      </w:r>
      <w:r w:rsidR="00B55EC4" w:rsidRPr="00044AED">
        <w:rPr>
          <w:color w:val="000000" w:themeColor="text1"/>
        </w:rPr>
        <w:t xml:space="preserve">in 2010, </w:t>
      </w:r>
      <w:r w:rsidR="008D05FE" w:rsidRPr="00044AED">
        <w:rPr>
          <w:color w:val="000000" w:themeColor="text1"/>
        </w:rPr>
        <w:t>we find</w:t>
      </w:r>
      <w:r w:rsidR="004E68D5" w:rsidRPr="00044AED">
        <w:rPr>
          <w:color w:val="000000" w:themeColor="text1"/>
        </w:rPr>
        <w:t xml:space="preserve"> FSC ratcheting up </w:t>
      </w:r>
      <w:r w:rsidR="008D05FE" w:rsidRPr="00044AED">
        <w:rPr>
          <w:color w:val="000000" w:themeColor="text1"/>
        </w:rPr>
        <w:t>on an issue where its competitor had</w:t>
      </w:r>
      <w:r w:rsidR="004E68D5" w:rsidRPr="00044AED">
        <w:rPr>
          <w:color w:val="000000" w:themeColor="text1"/>
        </w:rPr>
        <w:t xml:space="preserve"> more stringent requirements. Indeed, most </w:t>
      </w:r>
      <w:r w:rsidR="00005029" w:rsidRPr="00044AED">
        <w:rPr>
          <w:color w:val="000000" w:themeColor="text1"/>
        </w:rPr>
        <w:t>studies overlook</w:t>
      </w:r>
      <w:r w:rsidR="004E68D5" w:rsidRPr="00044AED">
        <w:rPr>
          <w:color w:val="000000" w:themeColor="text1"/>
        </w:rPr>
        <w:t xml:space="preserve"> the fact that industry-backed standards like the SFI are more </w:t>
      </w:r>
      <w:r w:rsidR="00005029" w:rsidRPr="00044AED">
        <w:rPr>
          <w:color w:val="000000" w:themeColor="text1"/>
        </w:rPr>
        <w:t>stringent</w:t>
      </w:r>
      <w:r w:rsidR="004E68D5" w:rsidRPr="00044AED">
        <w:rPr>
          <w:color w:val="000000" w:themeColor="text1"/>
        </w:rPr>
        <w:t xml:space="preserve"> on some issues.</w:t>
      </w:r>
      <w:r w:rsidR="008D05FE" w:rsidRPr="00044AED">
        <w:rPr>
          <w:color w:val="000000" w:themeColor="text1"/>
        </w:rPr>
        <w:t xml:space="preserve"> </w:t>
      </w:r>
      <w:r w:rsidR="00E500A1" w:rsidRPr="00044AED">
        <w:rPr>
          <w:color w:val="000000" w:themeColor="text1"/>
        </w:rPr>
        <w:t>We see downward convergence only on Community Benefits and Tenure Rights where the more prescriptive FSC</w:t>
      </w:r>
      <w:r w:rsidR="005F6E31" w:rsidRPr="00044AED">
        <w:rPr>
          <w:color w:val="000000" w:themeColor="text1"/>
        </w:rPr>
        <w:t>-US</w:t>
      </w:r>
      <w:r w:rsidR="00E500A1" w:rsidRPr="00044AED">
        <w:rPr>
          <w:color w:val="000000" w:themeColor="text1"/>
        </w:rPr>
        <w:t xml:space="preserve"> removed requirements, thus moving closer to SFI</w:t>
      </w:r>
      <w:r w:rsidR="005F6E31" w:rsidRPr="00044AED">
        <w:rPr>
          <w:color w:val="000000" w:themeColor="text1"/>
        </w:rPr>
        <w:t>.</w:t>
      </w:r>
      <w:r w:rsidR="008E57BD" w:rsidRPr="00044AED">
        <w:rPr>
          <w:color w:val="000000" w:themeColor="text1"/>
        </w:rPr>
        <w:t xml:space="preserve"> No issues exhibited downward parallel or downward diverging trajectories. </w:t>
      </w:r>
    </w:p>
    <w:p w14:paraId="19A2CB7F" w14:textId="77777777" w:rsidR="005F6E31" w:rsidRPr="00044AED" w:rsidRDefault="005F6E31" w:rsidP="00044AED">
      <w:pPr>
        <w:widowControl w:val="0"/>
        <w:autoSpaceDE w:val="0"/>
        <w:autoSpaceDN w:val="0"/>
        <w:adjustRightInd w:val="0"/>
        <w:spacing w:after="240" w:line="480" w:lineRule="auto"/>
        <w:rPr>
          <w:color w:val="000000" w:themeColor="text1"/>
        </w:rPr>
      </w:pPr>
    </w:p>
    <w:p w14:paraId="10ECD8D1" w14:textId="246A3AAC" w:rsidR="005F6E31" w:rsidRPr="00044AED" w:rsidRDefault="005F6E31" w:rsidP="00044AED">
      <w:pPr>
        <w:widowControl w:val="0"/>
        <w:autoSpaceDE w:val="0"/>
        <w:autoSpaceDN w:val="0"/>
        <w:adjustRightInd w:val="0"/>
        <w:spacing w:after="240" w:line="480" w:lineRule="auto"/>
        <w:rPr>
          <w:color w:val="000000" w:themeColor="text1"/>
        </w:rPr>
      </w:pPr>
      <w:r w:rsidRPr="00044AED">
        <w:rPr>
          <w:color w:val="000000" w:themeColor="text1"/>
        </w:rPr>
        <w:t xml:space="preserve">Since </w:t>
      </w:r>
      <w:r w:rsidR="00035782" w:rsidRPr="00044AED">
        <w:rPr>
          <w:color w:val="000000" w:themeColor="text1"/>
        </w:rPr>
        <w:t xml:space="preserve">the major revisions of both programs in </w:t>
      </w:r>
      <w:r w:rsidRPr="00044AED">
        <w:rPr>
          <w:color w:val="000000" w:themeColor="text1"/>
        </w:rPr>
        <w:t xml:space="preserve">2010, only SFI </w:t>
      </w:r>
      <w:r w:rsidR="00035782" w:rsidRPr="00044AED">
        <w:rPr>
          <w:color w:val="000000" w:themeColor="text1"/>
        </w:rPr>
        <w:t>has updated</w:t>
      </w:r>
      <w:r w:rsidR="00950CA7" w:rsidRPr="00044AED">
        <w:rPr>
          <w:color w:val="000000" w:themeColor="text1"/>
        </w:rPr>
        <w:t xml:space="preserve"> i</w:t>
      </w:r>
      <w:r w:rsidR="00035782" w:rsidRPr="00044AED">
        <w:rPr>
          <w:color w:val="000000" w:themeColor="text1"/>
        </w:rPr>
        <w:t>ts national-level requirements</w:t>
      </w:r>
      <w:r w:rsidR="000E41B5" w:rsidRPr="00044AED">
        <w:rPr>
          <w:color w:val="000000" w:themeColor="text1"/>
        </w:rPr>
        <w:t>, mostly in 2015</w:t>
      </w:r>
      <w:r w:rsidR="00035782" w:rsidRPr="00044AED">
        <w:rPr>
          <w:color w:val="000000" w:themeColor="text1"/>
        </w:rPr>
        <w:t>.</w:t>
      </w:r>
      <w:r w:rsidRPr="00044AED">
        <w:rPr>
          <w:color w:val="000000" w:themeColor="text1"/>
        </w:rPr>
        <w:t xml:space="preserve"> </w:t>
      </w:r>
      <w:r w:rsidR="00035782" w:rsidRPr="00044AED">
        <w:rPr>
          <w:color w:val="000000" w:themeColor="text1"/>
        </w:rPr>
        <w:t>I</w:t>
      </w:r>
      <w:r w:rsidR="00A264DD" w:rsidRPr="00044AED">
        <w:rPr>
          <w:color w:val="000000" w:themeColor="text1"/>
        </w:rPr>
        <w:t xml:space="preserve">n contrast to the 2010 changes, the pattern </w:t>
      </w:r>
      <w:r w:rsidR="000E41B5" w:rsidRPr="00044AED">
        <w:rPr>
          <w:color w:val="000000" w:themeColor="text1"/>
        </w:rPr>
        <w:t xml:space="preserve">in 2015 </w:t>
      </w:r>
      <w:r w:rsidR="00A264DD" w:rsidRPr="00044AED">
        <w:rPr>
          <w:color w:val="000000" w:themeColor="text1"/>
        </w:rPr>
        <w:t xml:space="preserve">is </w:t>
      </w:r>
      <w:r w:rsidR="006A4918" w:rsidRPr="00044AED">
        <w:rPr>
          <w:color w:val="000000" w:themeColor="text1"/>
        </w:rPr>
        <w:t xml:space="preserve">upward convergence. </w:t>
      </w:r>
      <w:r w:rsidRPr="00044AED">
        <w:rPr>
          <w:color w:val="000000" w:themeColor="text1"/>
        </w:rPr>
        <w:t xml:space="preserve">SFI increased prescriptiveness on </w:t>
      </w:r>
      <w:r w:rsidR="000E41B5" w:rsidRPr="00044AED">
        <w:rPr>
          <w:color w:val="000000" w:themeColor="text1"/>
        </w:rPr>
        <w:t xml:space="preserve">three </w:t>
      </w:r>
      <w:r w:rsidRPr="00044AED">
        <w:rPr>
          <w:color w:val="000000" w:themeColor="text1"/>
        </w:rPr>
        <w:t>issues where it did not already have the most prescrip</w:t>
      </w:r>
      <w:r w:rsidR="006A4918" w:rsidRPr="00044AED">
        <w:rPr>
          <w:color w:val="000000" w:themeColor="text1"/>
        </w:rPr>
        <w:t>tive requirements</w:t>
      </w:r>
      <w:r w:rsidRPr="00044AED">
        <w:rPr>
          <w:color w:val="000000" w:themeColor="text1"/>
        </w:rPr>
        <w:t>.</w:t>
      </w:r>
      <w:r w:rsidR="0047041E" w:rsidRPr="00044AED">
        <w:rPr>
          <w:color w:val="000000" w:themeColor="text1"/>
        </w:rPr>
        <w:t xml:space="preserve"> While a smaller scale of change than 2010, </w:t>
      </w:r>
      <w:r w:rsidR="006A4918" w:rsidRPr="00044AED">
        <w:rPr>
          <w:color w:val="000000" w:themeColor="text1"/>
        </w:rPr>
        <w:t>this</w:t>
      </w:r>
      <w:r w:rsidR="0047041E" w:rsidRPr="00044AED">
        <w:rPr>
          <w:color w:val="000000" w:themeColor="text1"/>
        </w:rPr>
        <w:t xml:space="preserve"> upward convergence is notable because</w:t>
      </w:r>
      <w:r w:rsidR="006A4918" w:rsidRPr="00044AED">
        <w:rPr>
          <w:color w:val="000000" w:themeColor="text1"/>
        </w:rPr>
        <w:t xml:space="preserve"> it focuses on regulating Toxic Chemicals, Plantations, and harvesting on Tribal Lands, which may have collective economic costs rather than benefits for the industry. </w:t>
      </w:r>
    </w:p>
    <w:p w14:paraId="29981310" w14:textId="77777777" w:rsidR="008D05FE" w:rsidRPr="00044AED" w:rsidRDefault="008D05FE" w:rsidP="00044AED">
      <w:pPr>
        <w:widowControl w:val="0"/>
        <w:autoSpaceDE w:val="0"/>
        <w:autoSpaceDN w:val="0"/>
        <w:adjustRightInd w:val="0"/>
        <w:spacing w:after="240" w:line="480" w:lineRule="auto"/>
        <w:rPr>
          <w:color w:val="000000" w:themeColor="text1"/>
        </w:rPr>
      </w:pPr>
    </w:p>
    <w:p w14:paraId="4A20095B" w14:textId="2E049E40" w:rsidR="008D05FE" w:rsidRPr="00044AED" w:rsidRDefault="008D05FE" w:rsidP="00044AED">
      <w:pPr>
        <w:widowControl w:val="0"/>
        <w:autoSpaceDE w:val="0"/>
        <w:autoSpaceDN w:val="0"/>
        <w:adjustRightInd w:val="0"/>
        <w:spacing w:after="240" w:line="480" w:lineRule="auto"/>
        <w:rPr>
          <w:color w:val="000000" w:themeColor="text1"/>
        </w:rPr>
      </w:pPr>
      <w:r w:rsidRPr="00044AED">
        <w:rPr>
          <w:color w:val="000000" w:themeColor="text1"/>
        </w:rPr>
        <w:t>Overall</w:t>
      </w:r>
      <w:r w:rsidR="003C1A19" w:rsidRPr="00044AED">
        <w:rPr>
          <w:color w:val="000000" w:themeColor="text1"/>
        </w:rPr>
        <w:t>,</w:t>
      </w:r>
      <w:r w:rsidRPr="00044AED">
        <w:rPr>
          <w:color w:val="000000" w:themeColor="text1"/>
        </w:rPr>
        <w:t xml:space="preserve"> the dominant pattern of change is</w:t>
      </w:r>
      <w:r w:rsidR="0062745D" w:rsidRPr="0062745D">
        <w:rPr>
          <w:color w:val="000000" w:themeColor="text1"/>
        </w:rPr>
        <w:t xml:space="preserve"> an</w:t>
      </w:r>
      <w:r w:rsidRPr="00044AED">
        <w:rPr>
          <w:color w:val="000000" w:themeColor="text1"/>
        </w:rPr>
        <w:t xml:space="preserve"> upward divergence</w:t>
      </w:r>
      <w:r w:rsidR="000A33FE" w:rsidRPr="00044AED">
        <w:rPr>
          <w:color w:val="000000" w:themeColor="text1"/>
        </w:rPr>
        <w:t xml:space="preserve"> on prescriptiveness and no change on scope</w:t>
      </w:r>
      <w:r w:rsidRPr="00044AED">
        <w:rPr>
          <w:color w:val="000000" w:themeColor="text1"/>
        </w:rPr>
        <w:t xml:space="preserve">. </w:t>
      </w:r>
      <w:r w:rsidR="000A33FE" w:rsidRPr="00044AED">
        <w:rPr>
          <w:color w:val="000000" w:themeColor="text1"/>
        </w:rPr>
        <w:t>Qualitatively, the upward diverging pattern results from the activist-backed FSC increasing prescriptiveness on ecological protection and the industry-backed SFI on issues that provide collective benefits to the sector. These results</w:t>
      </w:r>
      <w:r w:rsidR="00FF54F6" w:rsidRPr="00044AED">
        <w:rPr>
          <w:color w:val="000000" w:themeColor="text1"/>
        </w:rPr>
        <w:t xml:space="preserve"> </w:t>
      </w:r>
      <w:r w:rsidR="000A33FE" w:rsidRPr="00044AED">
        <w:rPr>
          <w:color w:val="000000" w:themeColor="text1"/>
        </w:rPr>
        <w:t>in hand, we can compare them to the hypotheses presented in section 2.3.</w:t>
      </w:r>
    </w:p>
    <w:p w14:paraId="1883BA08" w14:textId="77777777" w:rsidR="000A33FE" w:rsidRPr="00044AED" w:rsidRDefault="000A33FE" w:rsidP="00044AED">
      <w:pPr>
        <w:widowControl w:val="0"/>
        <w:autoSpaceDE w:val="0"/>
        <w:autoSpaceDN w:val="0"/>
        <w:adjustRightInd w:val="0"/>
        <w:spacing w:after="240" w:line="480" w:lineRule="auto"/>
        <w:rPr>
          <w:color w:val="000000" w:themeColor="text1"/>
        </w:rPr>
      </w:pPr>
    </w:p>
    <w:p w14:paraId="7BC7B239" w14:textId="04B3B25C" w:rsidR="0015688C" w:rsidRPr="00044AED" w:rsidRDefault="000A33FE"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5.3 </w:t>
      </w:r>
      <w:r w:rsidR="00BB3C35" w:rsidRPr="00044AED">
        <w:rPr>
          <w:b/>
          <w:color w:val="000000" w:themeColor="text1"/>
        </w:rPr>
        <w:t>Implications for t</w:t>
      </w:r>
      <w:r w:rsidR="0014071C" w:rsidRPr="00044AED">
        <w:rPr>
          <w:b/>
          <w:color w:val="000000" w:themeColor="text1"/>
        </w:rPr>
        <w:t>heory</w:t>
      </w:r>
      <w:r w:rsidR="00BB3C35" w:rsidRPr="00044AED">
        <w:rPr>
          <w:b/>
          <w:color w:val="000000" w:themeColor="text1"/>
        </w:rPr>
        <w:t xml:space="preserve"> testing</w:t>
      </w:r>
    </w:p>
    <w:p w14:paraId="7CBAA109" w14:textId="39B7967B" w:rsidR="00217907" w:rsidRPr="00387397" w:rsidRDefault="0015688C" w:rsidP="00044AED">
      <w:pPr>
        <w:widowControl w:val="0"/>
        <w:autoSpaceDE w:val="0"/>
        <w:autoSpaceDN w:val="0"/>
        <w:adjustRightInd w:val="0"/>
        <w:spacing w:after="240"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w:t>
      </w:r>
      <w:r w:rsidRPr="00387397">
        <w:rPr>
          <w:color w:val="000000" w:themeColor="text1"/>
        </w:rPr>
        <w:lastRenderedPageBreak/>
        <w:t>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044AED">
      <w:pPr>
        <w:widowControl w:val="0"/>
        <w:autoSpaceDE w:val="0"/>
        <w:autoSpaceDN w:val="0"/>
        <w:adjustRightInd w:val="0"/>
        <w:spacing w:after="240" w:line="480" w:lineRule="auto"/>
        <w:rPr>
          <w:color w:val="000000" w:themeColor="text1"/>
        </w:rPr>
      </w:pPr>
    </w:p>
    <w:p w14:paraId="5F31EAA4" w14:textId="18AE2D67" w:rsidR="0015688C" w:rsidRPr="00387397" w:rsidRDefault="00217907" w:rsidP="00044AED">
      <w:pPr>
        <w:widowControl w:val="0"/>
        <w:autoSpaceDE w:val="0"/>
        <w:autoSpaceDN w:val="0"/>
        <w:adjustRightInd w:val="0"/>
        <w:spacing w:after="240"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044AED">
      <w:pPr>
        <w:widowControl w:val="0"/>
        <w:autoSpaceDE w:val="0"/>
        <w:autoSpaceDN w:val="0"/>
        <w:adjustRightInd w:val="0"/>
        <w:spacing w:after="240" w:line="480" w:lineRule="auto"/>
        <w:rPr>
          <w:color w:val="000000" w:themeColor="text1"/>
        </w:rPr>
      </w:pPr>
    </w:p>
    <w:p w14:paraId="77860CB4" w14:textId="77B9BC92" w:rsidR="00815183" w:rsidRPr="00387397" w:rsidRDefault="00941AA9" w:rsidP="00044AED">
      <w:pPr>
        <w:widowControl w:val="0"/>
        <w:autoSpaceDE w:val="0"/>
        <w:autoSpaceDN w:val="0"/>
        <w:adjustRightInd w:val="0"/>
        <w:spacing w:after="240"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044AED">
      <w:pPr>
        <w:widowControl w:val="0"/>
        <w:autoSpaceDE w:val="0"/>
        <w:autoSpaceDN w:val="0"/>
        <w:adjustRightInd w:val="0"/>
        <w:spacing w:after="240" w:line="480" w:lineRule="auto"/>
        <w:rPr>
          <w:color w:val="000000" w:themeColor="text1"/>
        </w:rPr>
      </w:pPr>
    </w:p>
    <w:p w14:paraId="5A90DDDC" w14:textId="6BCA5825" w:rsidR="0014071C" w:rsidRPr="00387397" w:rsidRDefault="00E97806" w:rsidP="00044AED">
      <w:pPr>
        <w:widowControl w:val="0"/>
        <w:autoSpaceDE w:val="0"/>
        <w:autoSpaceDN w:val="0"/>
        <w:adjustRightInd w:val="0"/>
        <w:spacing w:after="240"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044AED">
        <w:rPr>
          <w:color w:val="000000" w:themeColor="text1"/>
        </w:rPr>
        <w:t xml:space="preserve">Hypothesis </w:t>
      </w:r>
      <w:r w:rsidR="00AA5EF1" w:rsidRPr="00044AED">
        <w:rPr>
          <w:color w:val="000000" w:themeColor="text1"/>
        </w:rPr>
        <w:t>1.</w:t>
      </w:r>
      <w:r w:rsidR="00EA607B" w:rsidRPr="00044AED">
        <w:rPr>
          <w:color w:val="000000" w:themeColor="text1"/>
        </w:rPr>
        <w:t>2</w:t>
      </w:r>
      <w:r w:rsidR="00941AA9" w:rsidRPr="00044AED">
        <w:rPr>
          <w:color w:val="000000" w:themeColor="text1"/>
        </w:rPr>
        <w:t>, again more clearly with respect to prescriptiveness than scope. W</w:t>
      </w:r>
      <w:r w:rsidR="00EA607B" w:rsidRPr="00044AED">
        <w:rPr>
          <w:color w:val="000000" w:themeColor="text1"/>
        </w:rPr>
        <w:t xml:space="preserve">e observe </w:t>
      </w:r>
      <w:r w:rsidR="00941AA9" w:rsidRPr="00044AED">
        <w:rPr>
          <w:color w:val="000000" w:themeColor="text1"/>
        </w:rPr>
        <w:t xml:space="preserve">overall </w:t>
      </w:r>
      <w:r w:rsidR="00EA607B" w:rsidRPr="00044AED">
        <w:rPr>
          <w:color w:val="000000" w:themeColor="text1"/>
        </w:rPr>
        <w:t>divergence on prescriptiveness</w:t>
      </w:r>
      <w:r w:rsidR="00941AA9" w:rsidRPr="00044AED">
        <w:rPr>
          <w:color w:val="000000" w:themeColor="text1"/>
        </w:rPr>
        <w:t xml:space="preserve">, most clearly on </w:t>
      </w:r>
      <w:r w:rsidR="006659D9" w:rsidRPr="00044AED">
        <w:rPr>
          <w:color w:val="000000" w:themeColor="text1"/>
        </w:rPr>
        <w:t>ecological</w:t>
      </w:r>
      <w:r w:rsidR="00941AA9" w:rsidRPr="00044AED">
        <w:rPr>
          <w:color w:val="000000" w:themeColor="text1"/>
        </w:rPr>
        <w:t xml:space="preserve"> issues</w:t>
      </w:r>
      <w:r w:rsidR="00C35FA2" w:rsidRPr="00044AED">
        <w:rPr>
          <w:color w:val="000000" w:themeColor="text1"/>
        </w:rPr>
        <w:t xml:space="preserve">. </w:t>
      </w:r>
      <w:r w:rsidR="00941AA9" w:rsidRPr="00044AED">
        <w:rPr>
          <w:color w:val="000000" w:themeColor="text1"/>
        </w:rPr>
        <w:t xml:space="preserve">As neither program changed significantly on overall scope, </w:t>
      </w:r>
      <w:r w:rsidR="00C35FA2" w:rsidRPr="00044AED">
        <w:rPr>
          <w:color w:val="000000" w:themeColor="text1"/>
        </w:rPr>
        <w:t>we do not</w:t>
      </w:r>
      <w:r w:rsidR="00941AA9" w:rsidRPr="00044AED">
        <w:rPr>
          <w:color w:val="000000" w:themeColor="text1"/>
        </w:rPr>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044AED">
      <w:pPr>
        <w:widowControl w:val="0"/>
        <w:autoSpaceDE w:val="0"/>
        <w:autoSpaceDN w:val="0"/>
        <w:adjustRightInd w:val="0"/>
        <w:spacing w:after="240" w:line="480" w:lineRule="auto"/>
        <w:rPr>
          <w:color w:val="000000" w:themeColor="text1"/>
        </w:rPr>
      </w:pPr>
    </w:p>
    <w:p w14:paraId="259EEAF4" w14:textId="2EB8377B" w:rsidR="00EA607B" w:rsidRDefault="008B5A39" w:rsidP="00044AED">
      <w:pPr>
        <w:widowControl w:val="0"/>
        <w:autoSpaceDE w:val="0"/>
        <w:autoSpaceDN w:val="0"/>
        <w:adjustRightInd w:val="0"/>
        <w:spacing w:after="240"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044AED">
      <w:pPr>
        <w:widowControl w:val="0"/>
        <w:autoSpaceDE w:val="0"/>
        <w:autoSpaceDN w:val="0"/>
        <w:adjustRightInd w:val="0"/>
        <w:spacing w:after="240" w:line="480" w:lineRule="auto"/>
        <w:rPr>
          <w:color w:val="000000" w:themeColor="text1"/>
        </w:rPr>
      </w:pPr>
    </w:p>
    <w:p w14:paraId="7BD606E0" w14:textId="4970222A" w:rsidR="00660E3E" w:rsidRPr="00044AED" w:rsidRDefault="00776539"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660E3E" w:rsidRPr="00044AED">
        <w:rPr>
          <w:b/>
          <w:color w:val="000000" w:themeColor="text1"/>
        </w:rPr>
        <w:t xml:space="preserve">5.4 </w:t>
      </w:r>
      <w:r w:rsidR="00660E3E" w:rsidRPr="000E0724">
        <w:rPr>
          <w:b/>
          <w:color w:val="000000" w:themeColor="text1"/>
        </w:rPr>
        <w:t>Industry-backed certification programs as a form of collective action.</w:t>
      </w:r>
    </w:p>
    <w:p w14:paraId="5CD2C62B" w14:textId="6C5478A4" w:rsidR="00660E3E" w:rsidRPr="00044AED"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Industry-backed alternatives to activist-backed product certification programs serve the industry in two ways. First, they provide individual firms with a service—market signals of social responsibility</w:t>
      </w:r>
      <w:r w:rsidR="00807511" w:rsidRPr="00044AED">
        <w:rPr>
          <w:color w:val="000000" w:themeColor="text1"/>
        </w:rPr>
        <w:t xml:space="preserve"> </w:t>
      </w:r>
      <w:r w:rsidR="000D00A2" w:rsidRPr="00044AED">
        <w:rPr>
          <w:color w:val="000000" w:themeColor="text1"/>
        </w:rPr>
        <w:t xml:space="preserve">that require a credible third party but would be </w:t>
      </w:r>
      <w:r w:rsidRPr="00044AED">
        <w:rPr>
          <w:color w:val="000000" w:themeColor="text1"/>
        </w:rPr>
        <w:t>more exp</w:t>
      </w:r>
      <w:r w:rsidR="000D00A2" w:rsidRPr="00044AED">
        <w:rPr>
          <w:color w:val="000000" w:themeColor="text1"/>
        </w:rPr>
        <w:t>ensive to send by complying with an activist-</w:t>
      </w:r>
      <w:r w:rsidRPr="00044AED">
        <w:rPr>
          <w:color w:val="000000" w:themeColor="text1"/>
        </w:rPr>
        <w:t>back pro</w:t>
      </w:r>
      <w:r w:rsidR="000D00A2" w:rsidRPr="00044AED">
        <w:rPr>
          <w:color w:val="000000" w:themeColor="text1"/>
        </w:rPr>
        <w:t>gram</w:t>
      </w:r>
      <w:r w:rsidRPr="00044AED">
        <w:rPr>
          <w:color w:val="000000" w:themeColor="text1"/>
        </w:rPr>
        <w:t>.</w:t>
      </w:r>
      <w:r w:rsidR="00AB3A7A" w:rsidRPr="00044AED">
        <w:rPr>
          <w:color w:val="000000" w:themeColor="text1"/>
        </w:rPr>
        <w:t xml:space="preserve"> </w:t>
      </w:r>
      <w:r w:rsidRPr="00044AED">
        <w:rPr>
          <w:color w:val="000000" w:themeColor="text1"/>
        </w:rPr>
        <w:t xml:space="preserve">Second, they provide a mechanism for the industry to </w:t>
      </w:r>
      <w:r w:rsidRPr="00044AED">
        <w:rPr>
          <w:color w:val="000000" w:themeColor="text1"/>
        </w:rPr>
        <w:lastRenderedPageBreak/>
        <w:t xml:space="preserve">improve its collective reputation and capacity by requiring contributions to collective goods, </w:t>
      </w:r>
      <w:r w:rsidR="00F66C33" w:rsidRPr="00044AED">
        <w:rPr>
          <w:color w:val="000000" w:themeColor="text1"/>
        </w:rPr>
        <w:t xml:space="preserve">a common function of </w:t>
      </w:r>
      <w:r w:rsidRPr="00044AED">
        <w:rPr>
          <w:color w:val="000000" w:themeColor="text1"/>
        </w:rPr>
        <w:t>indus</w:t>
      </w:r>
      <w:r w:rsidR="00F66C33" w:rsidRPr="00044AED">
        <w:rPr>
          <w:color w:val="000000" w:themeColor="text1"/>
        </w:rPr>
        <w:t>try associations</w:t>
      </w:r>
      <w:r w:rsidR="00807511" w:rsidRPr="00044AED">
        <w:rPr>
          <w:color w:val="000000" w:themeColor="text1"/>
        </w:rPr>
        <w:t xml:space="preserve">. Change in industry-backed standards on </w:t>
      </w:r>
      <w:r w:rsidR="00AB3A7A" w:rsidRPr="00044AED">
        <w:rPr>
          <w:color w:val="000000" w:themeColor="text1"/>
        </w:rPr>
        <w:t xml:space="preserve">costly </w:t>
      </w:r>
      <w:r w:rsidR="00807511" w:rsidRPr="00044AED">
        <w:rPr>
          <w:color w:val="000000" w:themeColor="text1"/>
        </w:rPr>
        <w:t xml:space="preserve">activist-driven issues depends on competition among standards, but on </w:t>
      </w:r>
      <w:r w:rsidR="00AB3A7A" w:rsidRPr="00044AED">
        <w:rPr>
          <w:color w:val="000000" w:themeColor="text1"/>
        </w:rPr>
        <w:t>business-friendly</w:t>
      </w:r>
      <w:r w:rsidR="00807511" w:rsidRPr="00044AED">
        <w:rPr>
          <w:color w:val="000000" w:themeColor="text1"/>
        </w:rPr>
        <w:t xml:space="preserve"> issues, it does</w:t>
      </w:r>
      <w:r w:rsidRPr="00044AED">
        <w:rPr>
          <w:color w:val="000000" w:themeColor="text1"/>
        </w:rPr>
        <w:t xml:space="preserve"> not. </w:t>
      </w:r>
      <w:r w:rsidR="00807511" w:rsidRPr="00044AED">
        <w:rPr>
          <w:color w:val="000000" w:themeColor="text1"/>
        </w:rPr>
        <w:t xml:space="preserve">Indeed, firms often collaborate on the latter type of issues (e.g. </w:t>
      </w:r>
      <w:r w:rsidR="008D748C" w:rsidRPr="00044AED">
        <w:rPr>
          <w:color w:val="000000" w:themeColor="text1"/>
        </w:rPr>
        <w:t xml:space="preserve">industry standards, </w:t>
      </w:r>
      <w:r w:rsidR="00807511" w:rsidRPr="00044AED">
        <w:rPr>
          <w:color w:val="000000" w:themeColor="text1"/>
        </w:rPr>
        <w:t>reputation,</w:t>
      </w:r>
      <w:r w:rsidR="008D748C" w:rsidRPr="00044AED">
        <w:rPr>
          <w:color w:val="000000" w:themeColor="text1"/>
        </w:rPr>
        <w:t xml:space="preserve"> and</w:t>
      </w:r>
      <w:r w:rsidR="00807511" w:rsidRPr="00044AED">
        <w:rPr>
          <w:color w:val="000000" w:themeColor="text1"/>
        </w:rPr>
        <w:t xml:space="preserve"> </w:t>
      </w:r>
      <w:r w:rsidR="008D748C" w:rsidRPr="00044AED">
        <w:rPr>
          <w:color w:val="000000" w:themeColor="text1"/>
        </w:rPr>
        <w:t>capacity)</w:t>
      </w:r>
      <w:r w:rsidR="00807511" w:rsidRPr="00044AED">
        <w:rPr>
          <w:color w:val="000000" w:themeColor="text1"/>
        </w:rPr>
        <w:t xml:space="preserve"> through trade associations without pressure from activists.</w:t>
      </w:r>
    </w:p>
    <w:p w14:paraId="1D095722" w14:textId="77777777" w:rsidR="00660E3E" w:rsidRPr="00044AED" w:rsidRDefault="00660E3E" w:rsidP="00044AED">
      <w:pPr>
        <w:widowControl w:val="0"/>
        <w:autoSpaceDE w:val="0"/>
        <w:autoSpaceDN w:val="0"/>
        <w:adjustRightInd w:val="0"/>
        <w:spacing w:after="240" w:line="480" w:lineRule="auto"/>
        <w:rPr>
          <w:color w:val="000000" w:themeColor="text1"/>
        </w:rPr>
      </w:pPr>
    </w:p>
    <w:p w14:paraId="0A608254" w14:textId="37D8234C" w:rsidR="00660E3E"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As Casho</w:t>
      </w:r>
      <w:r w:rsidR="00C018A1" w:rsidRPr="00044AED">
        <w:rPr>
          <w:color w:val="000000" w:themeColor="text1"/>
        </w:rPr>
        <w:t xml:space="preserve">re et al. (2004) </w:t>
      </w:r>
      <w:r w:rsidR="00C018A1">
        <w:t>point</w:t>
      </w:r>
      <w:r w:rsidR="00C018A1" w:rsidRPr="00044AED">
        <w:rPr>
          <w:color w:val="000000" w:themeColor="text1"/>
        </w:rPr>
        <w:t xml:space="preserve"> </w:t>
      </w:r>
      <w:proofErr w:type="gramStart"/>
      <w:r w:rsidR="00C018A1" w:rsidRPr="00044AED">
        <w:rPr>
          <w:color w:val="000000" w:themeColor="text1"/>
        </w:rPr>
        <w:t>out,</w:t>
      </w:r>
      <w:proofErr w:type="gramEnd"/>
      <w:r w:rsidR="00C018A1" w:rsidRPr="00044AED">
        <w:rPr>
          <w:color w:val="000000" w:themeColor="text1"/>
        </w:rPr>
        <w:t xml:space="preserve"> industry-backed alternatives</w:t>
      </w:r>
      <w:r w:rsidRPr="00044AED">
        <w:rPr>
          <w:color w:val="000000" w:themeColor="text1"/>
        </w:rPr>
        <w:t xml:space="preserve"> aim to save firms money by offering a label that sends a “green” or “socially responsible” signal in the market without some of the more costly </w:t>
      </w:r>
      <w:r w:rsidR="00C018A1" w:rsidRPr="00044AED">
        <w:rPr>
          <w:color w:val="000000" w:themeColor="text1"/>
        </w:rPr>
        <w:t>demands of</w:t>
      </w:r>
      <w:r w:rsidRPr="00044AED">
        <w:rPr>
          <w:color w:val="000000" w:themeColor="text1"/>
        </w:rPr>
        <w:t xml:space="preserve"> activist-backed program</w:t>
      </w:r>
      <w:r w:rsidR="00C018A1" w:rsidRPr="00044AED">
        <w:rPr>
          <w:color w:val="000000" w:themeColor="text1"/>
        </w:rPr>
        <w:t>s</w:t>
      </w:r>
      <w:r w:rsidRPr="00044AED">
        <w:rPr>
          <w:color w:val="000000" w:themeColor="text1"/>
        </w:rPr>
        <w:t xml:space="preserve">. </w:t>
      </w:r>
      <w:r w:rsidR="00AB3A7A" w:rsidRPr="00044AED">
        <w:rPr>
          <w:color w:val="000000" w:themeColor="text1"/>
        </w:rPr>
        <w:t xml:space="preserve">Credible signals are often based, in part, on perceived stringency, but because perceived and actual stringency may differ, industry-backed programs </w:t>
      </w:r>
      <w:r w:rsidR="00A06DD4" w:rsidRPr="00044AED">
        <w:rPr>
          <w:color w:val="000000" w:themeColor="text1"/>
        </w:rPr>
        <w:t>can</w:t>
      </w:r>
      <w:r w:rsidR="00AB3A7A" w:rsidRPr="00044AED">
        <w:rPr>
          <w:color w:val="000000" w:themeColor="text1"/>
        </w:rPr>
        <w:t xml:space="preserve"> send “credible” signals while </w:t>
      </w:r>
      <w:r w:rsidR="00A06DD4" w:rsidRPr="00044AED">
        <w:rPr>
          <w:color w:val="000000" w:themeColor="text1"/>
        </w:rPr>
        <w:t>maintaining</w:t>
      </w:r>
      <w:r w:rsidR="00AB3A7A" w:rsidRPr="00044AED">
        <w:rPr>
          <w:color w:val="000000" w:themeColor="text1"/>
        </w:rPr>
        <w:t xml:space="preserve"> lower compliance costs. </w:t>
      </w:r>
      <w:r w:rsidRPr="00044AED">
        <w:rPr>
          <w:color w:val="000000" w:themeColor="text1"/>
        </w:rPr>
        <w:t xml:space="preserve">Labels like SFI are </w:t>
      </w:r>
      <w:r w:rsidR="00C018A1" w:rsidRPr="00044AED">
        <w:rPr>
          <w:color w:val="000000" w:themeColor="text1"/>
        </w:rPr>
        <w:t xml:space="preserve">not </w:t>
      </w:r>
      <w:r w:rsidRPr="00044AED">
        <w:rPr>
          <w:color w:val="000000" w:themeColor="text1"/>
        </w:rPr>
        <w:t xml:space="preserve">necessarily </w:t>
      </w:r>
      <w:r w:rsidR="00A06DD4" w:rsidRPr="00044AED">
        <w:rPr>
          <w:color w:val="000000" w:themeColor="text1"/>
        </w:rPr>
        <w:t>“</w:t>
      </w:r>
      <w:r w:rsidRPr="00044AED">
        <w:rPr>
          <w:color w:val="000000" w:themeColor="text1"/>
        </w:rPr>
        <w:t>meaningless</w:t>
      </w:r>
      <w:r w:rsidR="00A06DD4" w:rsidRPr="00044AED">
        <w:rPr>
          <w:color w:val="000000" w:themeColor="text1"/>
        </w:rPr>
        <w:t>”</w:t>
      </w:r>
      <w:r w:rsidRPr="00044AED">
        <w:rPr>
          <w:color w:val="000000" w:themeColor="text1"/>
        </w:rPr>
        <w:t xml:space="preserve"> or pure “</w:t>
      </w:r>
      <w:r w:rsidR="0062745D" w:rsidRPr="0062745D">
        <w:rPr>
          <w:color w:val="000000" w:themeColor="text1"/>
        </w:rPr>
        <w:t>greenwashing</w:t>
      </w:r>
      <w:r w:rsidRPr="00044AED">
        <w:rPr>
          <w:color w:val="000000" w:themeColor="text1"/>
        </w:rPr>
        <w:t>”—indeed a certain level of stringency is often required to maintain legitimacy—but exceeding this “floor” imposes costs on firms. On ma</w:t>
      </w:r>
      <w:r w:rsidR="00A06DD4" w:rsidRPr="00044AED">
        <w:rPr>
          <w:color w:val="000000" w:themeColor="text1"/>
        </w:rPr>
        <w:t>n</w:t>
      </w:r>
      <w:r w:rsidRPr="00044AED">
        <w:rPr>
          <w:color w:val="000000" w:themeColor="text1"/>
        </w:rPr>
        <w:t>y issues</w:t>
      </w:r>
      <w:r w:rsidR="000D00A2" w:rsidRPr="00044AED">
        <w:rPr>
          <w:color w:val="000000" w:themeColor="text1"/>
        </w:rPr>
        <w:t>,</w:t>
      </w:r>
      <w:r w:rsidRPr="00044AED">
        <w:rPr>
          <w:color w:val="000000" w:themeColor="text1"/>
        </w:rPr>
        <w:t xml:space="preserve"> industry-backed programs may succeed in creating the necessary impression of equivalence to the stringency of activist-backed standards with substantially less prescriptive requirements. For example, the SFI requirements for </w:t>
      </w:r>
      <w:r w:rsidR="00AA5EF1" w:rsidRPr="00044AED">
        <w:rPr>
          <w:color w:val="000000" w:themeColor="text1"/>
        </w:rPr>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w:t>
      </w:r>
      <w:r w:rsidR="0062745D" w:rsidRPr="0062745D">
        <w:rPr>
          <w:color w:val="000000" w:themeColor="text1"/>
        </w:rPr>
        <w:t xml:space="preserve">the </w:t>
      </w:r>
      <w:r>
        <w:rPr>
          <w:color w:val="000000" w:themeColor="text1"/>
        </w:rPr>
        <w:t>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1A8D9B34" w14:textId="40DFDC0F" w:rsidR="00660E3E" w:rsidRPr="00A4349C" w:rsidRDefault="00E40DC0" w:rsidP="00044AED">
      <w:pPr>
        <w:widowControl w:val="0"/>
        <w:autoSpaceDE w:val="0"/>
        <w:autoSpaceDN w:val="0"/>
        <w:adjustRightInd w:val="0"/>
        <w:spacing w:after="240" w:line="480" w:lineRule="auto"/>
        <w:rPr>
          <w:color w:val="000000" w:themeColor="text1"/>
        </w:rPr>
      </w:pPr>
      <w:r>
        <w:rPr>
          <w:color w:val="000000" w:themeColor="text1"/>
        </w:rPr>
        <w:lastRenderedPageBreak/>
        <w:t>The</w:t>
      </w:r>
      <w:r w:rsidR="00660E3E" w:rsidRPr="00A4349C">
        <w:rPr>
          <w:color w:val="000000" w:themeColor="text1"/>
        </w:rPr>
        <w:t xml:space="preserve"> SFI </w:t>
      </w:r>
      <w:r w:rsidR="0052326C">
        <w:rPr>
          <w:color w:val="000000" w:themeColor="text1"/>
        </w:rPr>
        <w:t xml:space="preserve">developed more prescriptive standards </w:t>
      </w:r>
      <w:r>
        <w:rPr>
          <w:color w:val="000000" w:themeColor="text1"/>
        </w:rPr>
        <w:t>than did FSC-US on several issues</w:t>
      </w:r>
      <w:r w:rsidR="00660E3E" w:rsidRPr="00A4349C">
        <w:rPr>
          <w:color w:val="000000" w:themeColor="text1"/>
        </w:rPr>
        <w:t>.</w:t>
      </w:r>
      <w:r w:rsidR="000D00A2" w:rsidRPr="00A4349C">
        <w:rPr>
          <w:color w:val="000000" w:themeColor="text1"/>
        </w:rPr>
        <w:t xml:space="preserve"> T</w:t>
      </w:r>
      <w:r w:rsidR="008D2995">
        <w:rPr>
          <w:color w:val="000000" w:themeColor="text1"/>
        </w:rPr>
        <w:t>h</w:t>
      </w:r>
      <w:r>
        <w:rPr>
          <w:color w:val="000000" w:themeColor="text1"/>
        </w:rPr>
        <w:t>is</w:t>
      </w:r>
      <w:r w:rsidR="008D2995">
        <w:rPr>
          <w:color w:val="000000" w:themeColor="text1"/>
        </w:rPr>
        <w:t xml:space="preserve"> finding </w:t>
      </w:r>
      <w:r>
        <w:rPr>
          <w:color w:val="000000" w:themeColor="text1"/>
        </w:rPr>
        <w:t>is inconsistent with</w:t>
      </w:r>
      <w:r w:rsidR="000D00A2" w:rsidRPr="00A4349C">
        <w:rPr>
          <w:color w:val="000000" w:themeColor="text1"/>
        </w:rPr>
        <w:t xml:space="preserve"> </w:t>
      </w:r>
      <w:r>
        <w:rPr>
          <w:color w:val="000000" w:themeColor="text1"/>
        </w:rPr>
        <w:t>the predictions</w:t>
      </w:r>
      <w:r w:rsidR="008D2995">
        <w:rPr>
          <w:color w:val="000000" w:themeColor="text1"/>
        </w:rPr>
        <w:t xml:space="preserve"> that </w:t>
      </w:r>
      <w:r>
        <w:rPr>
          <w:color w:val="000000" w:themeColor="text1"/>
        </w:rPr>
        <w:t xml:space="preserve">competition between </w:t>
      </w:r>
      <w:r w:rsidR="00660E3E" w:rsidRPr="00A4349C">
        <w:rPr>
          <w:color w:val="000000" w:themeColor="text1"/>
        </w:rPr>
        <w:t>industry-backed and acti</w:t>
      </w:r>
      <w:r w:rsidR="000D00A2" w:rsidRPr="00A4349C">
        <w:rPr>
          <w:color w:val="000000" w:themeColor="text1"/>
        </w:rPr>
        <w:t xml:space="preserve">vist-backed </w:t>
      </w:r>
      <w:r w:rsidR="008D2995">
        <w:rPr>
          <w:color w:val="000000" w:themeColor="text1"/>
        </w:rPr>
        <w:t xml:space="preserve">competition will lead to </w:t>
      </w:r>
      <w:r>
        <w:rPr>
          <w:color w:val="000000" w:themeColor="text1"/>
        </w:rPr>
        <w:t xml:space="preserve">a “race to the bottom” on all issues. It is also inconsistent with the prediction that activist-backed standards be more prescriptive on all issues. </w:t>
      </w:r>
      <w:r w:rsidR="000D00A2" w:rsidRPr="00A4349C">
        <w:rPr>
          <w:color w:val="000000" w:themeColor="text1"/>
        </w:rPr>
        <w:t xml:space="preserve">However, </w:t>
      </w:r>
      <w:r w:rsidR="00660E3E" w:rsidRPr="00A4349C">
        <w:rPr>
          <w:color w:val="000000" w:themeColor="text1"/>
        </w:rPr>
        <w:t xml:space="preserve">the substance of these issues suggests that this may be driven </w:t>
      </w:r>
      <w:commentRangeStart w:id="251"/>
      <w:r w:rsidR="00660E3E" w:rsidRPr="00A4349C">
        <w:rPr>
          <w:color w:val="000000" w:themeColor="text1"/>
        </w:rPr>
        <w:t xml:space="preserve">by collective action problems—like </w:t>
      </w:r>
      <w:r>
        <w:rPr>
          <w:color w:val="000000" w:themeColor="text1"/>
        </w:rPr>
        <w:t xml:space="preserve">managing </w:t>
      </w:r>
      <w:r w:rsidR="00660E3E" w:rsidRPr="00A4349C">
        <w:rPr>
          <w:color w:val="000000" w:themeColor="text1"/>
        </w:rPr>
        <w:t>sector-level reputation</w:t>
      </w:r>
      <w:commentRangeEnd w:id="251"/>
      <w:r w:rsidR="00A41D23">
        <w:rPr>
          <w:rStyle w:val="CommentReference"/>
          <w:rFonts w:asciiTheme="minorHAnsi" w:hAnsiTheme="minorHAnsi" w:cstheme="minorBidi"/>
        </w:rPr>
        <w:commentReference w:id="251"/>
      </w:r>
      <w:r>
        <w:rPr>
          <w:color w:val="000000" w:themeColor="text1"/>
        </w:rPr>
        <w:t xml:space="preserve"> or </w:t>
      </w:r>
      <w:r w:rsidRPr="00A4349C">
        <w:rPr>
          <w:color w:val="000000" w:themeColor="text1"/>
        </w:rPr>
        <w:t xml:space="preserve">building a </w:t>
      </w:r>
      <w:r>
        <w:rPr>
          <w:color w:val="000000" w:themeColor="text1"/>
        </w:rPr>
        <w:t>skilled workforce</w:t>
      </w:r>
      <w:r w:rsidR="00660E3E" w:rsidRPr="00A4349C">
        <w:rPr>
          <w:color w:val="000000" w:themeColor="text1"/>
        </w:rPr>
        <w:t>—that are unrelated to competition with the FSC.</w:t>
      </w:r>
      <w:r w:rsidR="000D00A2" w:rsidRPr="00A4349C">
        <w:rPr>
          <w:color w:val="000000" w:themeColor="text1"/>
        </w:rPr>
        <w:t xml:space="preserve"> This finding supports hypothesis 2.2.</w:t>
      </w:r>
      <w:r w:rsidR="00660E3E" w:rsidRPr="00A4349C">
        <w:rPr>
          <w:color w:val="000000" w:themeColor="text1"/>
        </w:rPr>
        <w:t xml:space="preserve"> Many of the issues where the SFI meets or exceeds the FSC-US requirements have collective benefits for the industry. These include managing harvest-area </w:t>
      </w:r>
      <w:r w:rsidR="00660E3E">
        <w:rPr>
          <w:color w:val="000000" w:themeColor="text1"/>
        </w:rPr>
        <w:t xml:space="preserve">aesthetics, public </w:t>
      </w:r>
      <w:r w:rsidR="00660E3E" w:rsidRPr="00387397">
        <w:rPr>
          <w:color w:val="000000" w:themeColor="text1"/>
        </w:rPr>
        <w:t xml:space="preserve">education, </w:t>
      </w:r>
      <w:r w:rsidR="00660E3E">
        <w:rPr>
          <w:color w:val="000000" w:themeColor="text1"/>
        </w:rPr>
        <w:t xml:space="preserve">worker </w:t>
      </w:r>
      <w:r w:rsidR="00660E3E" w:rsidRPr="00387397">
        <w:rPr>
          <w:color w:val="000000" w:themeColor="text1"/>
        </w:rPr>
        <w:t xml:space="preserve">training, and </w:t>
      </w:r>
      <w:r w:rsidR="00660E3E">
        <w:rPr>
          <w:color w:val="000000" w:themeColor="text1"/>
        </w:rPr>
        <w:t>contributing to forestry research.</w:t>
      </w:r>
      <w:r w:rsidR="00660E3E" w:rsidRPr="00A4349C">
        <w:rPr>
          <w:color w:val="000000" w:themeColor="text1"/>
        </w:rP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4587D828"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6E9C5C66" w14:textId="325757CA" w:rsidR="00660E3E" w:rsidRPr="00A4349C" w:rsidRDefault="00660E3E" w:rsidP="00044AED">
      <w:pPr>
        <w:widowControl w:val="0"/>
        <w:autoSpaceDE w:val="0"/>
        <w:autoSpaceDN w:val="0"/>
        <w:adjustRightInd w:val="0"/>
        <w:spacing w:after="240" w:line="480" w:lineRule="auto"/>
        <w:rPr>
          <w:color w:val="000000" w:themeColor="text1"/>
        </w:rPr>
      </w:pPr>
      <w:r w:rsidRPr="00A4349C">
        <w:rPr>
          <w:color w:val="000000" w:themeColor="text1"/>
        </w:rPr>
        <w:t>In sum, where the SFI has more prescriptive requirements than the FSC, it requires things that most firms might do anyway (</w:t>
      </w:r>
      <w:r w:rsidR="000D00A2" w:rsidRPr="00A4349C">
        <w:rPr>
          <w:color w:val="000000" w:themeColor="text1"/>
        </w:rPr>
        <w:t>e.g. train workers or</w:t>
      </w:r>
      <w:r w:rsidRPr="00A4349C">
        <w:rPr>
          <w:color w:val="000000" w:themeColor="text1"/>
        </w:rPr>
        <w:t xml:space="preserve"> educate the public), but have added collective benefits the more widely they are adopted. </w:t>
      </w:r>
      <w:r w:rsidR="008D748C" w:rsidRPr="00A4349C">
        <w:rPr>
          <w:color w:val="000000" w:themeColor="text1"/>
        </w:rPr>
        <w:t xml:space="preserve">While unforeseen by existing theories, the fact that the SFI is more prescriptive on some issues is not surprising when we understand these issues as fundamentally industry-driven and providing net benefits to firms regardless of activist pressures or consumer demands.  </w:t>
      </w:r>
    </w:p>
    <w:p w14:paraId="5CA85254" w14:textId="77777777" w:rsidR="00EA607B" w:rsidRPr="00A4349C" w:rsidRDefault="00EA607B" w:rsidP="00A4349C">
      <w:pPr>
        <w:widowControl w:val="0"/>
        <w:autoSpaceDE w:val="0"/>
        <w:autoSpaceDN w:val="0"/>
        <w:adjustRightInd w:val="0"/>
        <w:spacing w:after="240" w:line="480" w:lineRule="auto"/>
        <w:rPr>
          <w:color w:val="000000" w:themeColor="text1"/>
        </w:rPr>
      </w:pPr>
    </w:p>
    <w:p w14:paraId="0D554F64" w14:textId="5BCFAEC2" w:rsidR="00E821BC" w:rsidRPr="00387397" w:rsidRDefault="00776539" w:rsidP="00A4349C">
      <w:pPr>
        <w:widowControl w:val="0"/>
        <w:autoSpaceDE w:val="0"/>
        <w:autoSpaceDN w:val="0"/>
        <w:adjustRightInd w:val="0"/>
        <w:spacing w:after="240" w:line="480" w:lineRule="auto"/>
        <w:rPr>
          <w:b/>
          <w:bCs/>
          <w:color w:val="000000" w:themeColor="text1"/>
        </w:rPr>
      </w:pPr>
      <w:r>
        <w:rPr>
          <w:b/>
          <w:bCs/>
          <w:color w:val="000000" w:themeColor="text1"/>
        </w:rPr>
        <w:t xml:space="preserve"># </w:t>
      </w:r>
      <w:r w:rsidR="00E821BC"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0DAB6B90" w:rsidR="0009590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 xml:space="preserve">scope on a few issues, but their </w:t>
      </w:r>
      <w:r w:rsidR="00924CCC" w:rsidRPr="00387397">
        <w:rPr>
          <w:color w:val="000000" w:themeColor="text1"/>
        </w:rPr>
        <w:lastRenderedPageBreak/>
        <w:t>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A4349C">
      <w:pPr>
        <w:widowControl w:val="0"/>
        <w:autoSpaceDE w:val="0"/>
        <w:autoSpaceDN w:val="0"/>
        <w:adjustRightInd w:val="0"/>
        <w:spacing w:after="240" w:line="480" w:lineRule="auto"/>
        <w:rPr>
          <w:color w:val="000000" w:themeColor="text1"/>
        </w:rPr>
      </w:pPr>
    </w:p>
    <w:p w14:paraId="06835F65" w14:textId="00D44834" w:rsidR="0072371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A4349C">
        <w:rPr>
          <w:color w:val="000000" w:themeColor="text1"/>
        </w:rPr>
        <w:t>create demands by the respective ‘legitimacy communities’ for more ‘objective’ public comparisons that would resolve the debate about whose standa</w:t>
      </w:r>
      <w:r w:rsidR="002617A5" w:rsidRPr="00A4349C">
        <w:rPr>
          <w:color w:val="000000" w:themeColor="text1"/>
        </w:rPr>
        <w:t xml:space="preserve">rds were higher” </w:t>
      </w:r>
      <w:r w:rsidR="0062745D" w:rsidRPr="0062745D">
        <w:rPr>
          <w:color w:val="000000" w:themeColor="text1"/>
        </w:rPr>
        <w:t>(</w:t>
      </w:r>
      <w:proofErr w:type="spellStart"/>
      <w:r w:rsidR="0062745D" w:rsidRPr="0062745D">
        <w:rPr>
          <w:color w:val="000000" w:themeColor="text1"/>
        </w:rPr>
        <w:t>Overdevest</w:t>
      </w:r>
      <w:proofErr w:type="spellEnd"/>
      <w:r w:rsidR="0062745D" w:rsidRPr="0062745D">
        <w:rPr>
          <w:color w:val="000000" w:themeColor="text1"/>
        </w:rPr>
        <w:t>, 2010).</w:t>
      </w:r>
      <w:r w:rsidRPr="00A4349C">
        <w:rPr>
          <w:color w:val="000000" w:themeColor="text1"/>
        </w:rPr>
        <w:t xml:space="preserve"> We offer concepts to </w:t>
      </w:r>
      <w:r w:rsidR="00095902" w:rsidRPr="00A4349C">
        <w:rPr>
          <w:color w:val="000000" w:themeColor="text1"/>
        </w:rPr>
        <w:t>clarify what</w:t>
      </w:r>
      <w:r w:rsidRPr="00A4349C">
        <w:rPr>
          <w:color w:val="000000" w:themeColor="text1"/>
        </w:rPr>
        <w:t xml:space="preserve"> “higher” standards</w:t>
      </w:r>
      <w:r w:rsidR="00095902" w:rsidRPr="00A4349C">
        <w:rPr>
          <w:color w:val="000000" w:themeColor="text1"/>
        </w:rPr>
        <w:t xml:space="preserve"> </w:t>
      </w:r>
      <w:r w:rsidR="00EF6110" w:rsidRPr="00A4349C">
        <w:rPr>
          <w:color w:val="000000" w:themeColor="text1"/>
        </w:rPr>
        <w:t xml:space="preserve">may </w:t>
      </w:r>
      <w:r w:rsidR="00095902" w:rsidRPr="00A4349C">
        <w:rPr>
          <w:color w:val="000000" w:themeColor="text1"/>
        </w:rPr>
        <w:t>mean</w:t>
      </w:r>
      <w:r w:rsidRPr="00A4349C">
        <w:rPr>
          <w:color w:val="000000" w:themeColor="text1"/>
        </w:rPr>
        <w:t>.</w:t>
      </w:r>
      <w:r w:rsidRPr="00387397">
        <w:rPr>
          <w:color w:val="000000" w:themeColor="text1"/>
        </w:rPr>
        <w:t xml:space="preserve"> Second, it is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w:t>
      </w:r>
      <w:r w:rsidR="0062745D" w:rsidRPr="0062745D">
        <w:rPr>
          <w:color w:val="000000" w:themeColor="text1"/>
        </w:rPr>
        <w:t>their</w:t>
      </w:r>
      <w:r w:rsidRPr="00387397">
        <w:rPr>
          <w:color w:val="000000" w:themeColor="text1"/>
        </w:rPr>
        <w:t xml:space="preserve"> component parts.</w:t>
      </w:r>
    </w:p>
    <w:p w14:paraId="692A55AA" w14:textId="0C420F64" w:rsidR="00E821BC" w:rsidRPr="00A4349C" w:rsidRDefault="00E821BC" w:rsidP="00A4349C">
      <w:pPr>
        <w:widowControl w:val="0"/>
        <w:autoSpaceDE w:val="0"/>
        <w:autoSpaceDN w:val="0"/>
        <w:adjustRightInd w:val="0"/>
        <w:spacing w:after="240" w:line="480" w:lineRule="auto"/>
        <w:rPr>
          <w:color w:val="000000" w:themeColor="text1"/>
        </w:rPr>
      </w:pPr>
    </w:p>
    <w:p w14:paraId="1825442F" w14:textId="030A6247" w:rsidR="00E821BC"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 xml:space="preserve">(4), 641–661. </w:t>
      </w:r>
      <w:r w:rsidRPr="00387397">
        <w:rPr>
          <w:noProof/>
        </w:rPr>
        <w:lastRenderedPageBreak/>
        <w:t>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 xml:space="preserve">(1), 74–92. </w:t>
      </w:r>
      <w:r w:rsidRPr="00387397">
        <w:rPr>
          <w:noProof/>
        </w:rPr>
        <w:lastRenderedPageBreak/>
        <w:t>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 xml:space="preserve">(2), 240–260. </w:t>
      </w:r>
      <w:r w:rsidRPr="00387397">
        <w:rPr>
          <w:noProof/>
        </w:rPr>
        <w:lastRenderedPageBreak/>
        <w:t>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526003" w:rsidRDefault="00B366C2" w:rsidP="00526003">
      <w:pPr>
        <w:widowControl w:val="0"/>
        <w:autoSpaceDE w:val="0"/>
        <w:autoSpaceDN w:val="0"/>
        <w:adjustRightInd w:val="0"/>
        <w:spacing w:after="240"/>
        <w:ind w:left="480" w:hanging="480"/>
        <w:rPr>
          <w:color w:val="000000" w:themeColor="text1"/>
        </w:rPr>
      </w:pPr>
      <w:r w:rsidRPr="00387397">
        <w:rPr>
          <w:b/>
          <w:color w:val="000000" w:themeColor="text1"/>
        </w:rPr>
        <w:lastRenderedPageBreak/>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JL" w:date="2019-03-12T00:34:00Z" w:initials="D">
    <w:p w14:paraId="45462093" w14:textId="78C50516" w:rsidR="00307B8E" w:rsidRDefault="00307B8E">
      <w:pPr>
        <w:pStyle w:val="CommentText"/>
      </w:pPr>
      <w:r>
        <w:rPr>
          <w:rStyle w:val="CommentReference"/>
        </w:rPr>
        <w:annotationRef/>
      </w:r>
      <w:r>
        <w:t xml:space="preserve">Given that “ratchet up” is in the title, I think we need to name what we mean by “dynamics/patterns” of change; otherwise people are not going to know what this paper/framework is about. </w:t>
      </w:r>
    </w:p>
  </w:comment>
  <w:comment w:id="14" w:author="DJL" w:date="2019-03-12T00:11:00Z" w:initials="D">
    <w:p w14:paraId="3491D02A" w14:textId="4803F500" w:rsidR="000D72D5" w:rsidRDefault="000D72D5">
      <w:pPr>
        <w:pStyle w:val="CommentText"/>
      </w:pPr>
      <w:r>
        <w:rPr>
          <w:rStyle w:val="CommentReference"/>
        </w:rPr>
        <w:annotationRef/>
      </w:r>
      <w:r>
        <w:t>I replaced “</w:t>
      </w:r>
      <w:r w:rsidRPr="00387397">
        <w:t>theorize</w:t>
      </w:r>
      <w:ins w:id="15" w:author="Cashore, Benjamin" w:date="2019-03-10T22:36:00Z">
        <w:r>
          <w:t xml:space="preserve"> about </w:t>
        </w:r>
      </w:ins>
      <w:ins w:id="16" w:author="Cashore, Benjamin" w:date="2019-03-10T22:37:00Z">
        <w:r>
          <w:t>empirical observation</w:t>
        </w:r>
      </w:ins>
      <w:r>
        <w:t xml:space="preserve">” with this because I think it is more clear. </w:t>
      </w:r>
    </w:p>
  </w:comment>
  <w:comment w:id="35" w:author="Cashore, Benjamin" w:date="2019-03-10T22:56:00Z" w:initials="CB">
    <w:p w14:paraId="4F0AA526" w14:textId="28906478" w:rsidR="000D72D5" w:rsidRDefault="000D72D5">
      <w:pPr>
        <w:pStyle w:val="CommentText"/>
      </w:pPr>
      <w:r>
        <w:rPr>
          <w:rStyle w:val="CommentReference"/>
        </w:rPr>
        <w:annotationRef/>
      </w:r>
      <w:r>
        <w:t>Clarify doesn’t quite fit.</w:t>
      </w:r>
    </w:p>
  </w:comment>
  <w:comment w:id="68" w:author="Cashore, Benjamin" w:date="2019-03-10T23:03:00Z" w:initials="CB">
    <w:p w14:paraId="7F655D3A" w14:textId="399ED589" w:rsidR="000D72D5" w:rsidRDefault="000D72D5">
      <w:pPr>
        <w:pStyle w:val="CommentText"/>
      </w:pPr>
      <w:r>
        <w:rPr>
          <w:rStyle w:val="CommentReference"/>
        </w:rPr>
        <w:annotationRef/>
      </w:r>
      <w:r>
        <w:t>Again, it feels awkward to say “see for a review” as that is not relevant to our analysis.</w:t>
      </w:r>
    </w:p>
  </w:comment>
  <w:comment w:id="76" w:author="Cashore, Benjamin" w:date="2019-03-10T23:04:00Z" w:initials="CB">
    <w:p w14:paraId="48DDC670" w14:textId="24D4620B" w:rsidR="000D72D5" w:rsidRDefault="000D72D5">
      <w:pPr>
        <w:pStyle w:val="CommentText"/>
      </w:pPr>
      <w:r>
        <w:rPr>
          <w:rStyle w:val="CommentReference"/>
        </w:rPr>
        <w:annotationRef/>
      </w:r>
      <w:r>
        <w:t>This is good but up until now the article is only mentioning the dependent variable..</w:t>
      </w:r>
    </w:p>
  </w:comment>
  <w:comment w:id="94" w:author="Cashore, Benjamin" w:date="2019-03-11T18:44:00Z" w:initials="CB">
    <w:p w14:paraId="5B3D742E" w14:textId="6BDC47F9" w:rsidR="000D72D5" w:rsidRDefault="000D72D5">
      <w:pPr>
        <w:pStyle w:val="CommentText"/>
      </w:pPr>
      <w:r>
        <w:rPr>
          <w:rStyle w:val="CommentReference"/>
        </w:rPr>
        <w:annotationRef/>
      </w:r>
      <w:r>
        <w:t>Can you summarize this? The quote is multifaceted and leaves the reader a bit confused. I recommend you tease out the key points they make, and then cite the article, rather than quoting them directly.</w:t>
      </w:r>
    </w:p>
  </w:comment>
  <w:comment w:id="95" w:author="Cashore, Benjamin" w:date="2019-03-11T18:45:00Z" w:initials="CB">
    <w:p w14:paraId="64C0A180" w14:textId="488BC491" w:rsidR="000D72D5" w:rsidRDefault="000D72D5">
      <w:pPr>
        <w:pStyle w:val="CommentText"/>
      </w:pPr>
      <w:r>
        <w:rPr>
          <w:rStyle w:val="CommentReference"/>
        </w:rPr>
        <w:annotationRef/>
      </w:r>
      <w:r>
        <w:t xml:space="preserve">But again, what is </w:t>
      </w:r>
      <w:proofErr w:type="spellStart"/>
      <w:r>
        <w:t>Eberlein</w:t>
      </w:r>
      <w:proofErr w:type="spellEnd"/>
      <w:r>
        <w:t xml:space="preserve"> saying exactly? Increase up? Increase down? Not clear to me</w:t>
      </w:r>
    </w:p>
  </w:comment>
  <w:comment w:id="143" w:author="Cashore, Benjamin" w:date="2019-03-11T18:52:00Z" w:initials="CB">
    <w:p w14:paraId="378081D8" w14:textId="2773DFA6" w:rsidR="000D72D5" w:rsidRDefault="000D72D5">
      <w:pPr>
        <w:pStyle w:val="CommentText"/>
      </w:pPr>
      <w:r>
        <w:rPr>
          <w:rStyle w:val="CommentReference"/>
        </w:rPr>
        <w:annotationRef/>
      </w:r>
      <w:r>
        <w:t xml:space="preserve">We already refer to van der </w:t>
      </w:r>
      <w:proofErr w:type="spellStart"/>
      <w:r>
        <w:t>Ven</w:t>
      </w:r>
      <w:proofErr w:type="spellEnd"/>
      <w:r>
        <w:t xml:space="preserve"> above so need to decide which section to bring it in</w:t>
      </w:r>
    </w:p>
  </w:comment>
  <w:comment w:id="153" w:author="Cashore, Benjamin" w:date="2019-03-11T18:53:00Z" w:initials="CB">
    <w:p w14:paraId="78455569" w14:textId="5F477FD0" w:rsidR="000D72D5" w:rsidRDefault="000D72D5">
      <w:pPr>
        <w:pStyle w:val="CommentText"/>
      </w:pPr>
      <w:r>
        <w:rPr>
          <w:rStyle w:val="CommentReference"/>
        </w:rPr>
        <w:annotationRef/>
      </w:r>
      <w:r>
        <w:t>This is a little confusing to me</w:t>
      </w:r>
    </w:p>
  </w:comment>
  <w:comment w:id="190" w:author="Cashore, Benjamin" w:date="2019-03-11T18:59:00Z" w:initials="CB">
    <w:p w14:paraId="71A9ECA1" w14:textId="75204440" w:rsidR="000D72D5" w:rsidRDefault="000D72D5">
      <w:pPr>
        <w:pStyle w:val="CommentText"/>
      </w:pPr>
      <w:r>
        <w:rPr>
          <w:rStyle w:val="CommentReference"/>
        </w:rPr>
        <w:annotationRef/>
      </w:r>
      <w:r>
        <w:t xml:space="preserve">The use of the word “again” implies duplication </w:t>
      </w:r>
    </w:p>
  </w:comment>
  <w:comment w:id="217" w:author="Cashore, Benjamin" w:date="2019-03-11T19:04:00Z" w:initials="CB">
    <w:p w14:paraId="1C6AE1EA" w14:textId="47937C08" w:rsidR="000D72D5" w:rsidRDefault="000D72D5">
      <w:pPr>
        <w:pStyle w:val="CommentText"/>
      </w:pPr>
      <w:r>
        <w:rPr>
          <w:rStyle w:val="CommentReference"/>
        </w:rPr>
        <w:annotationRef/>
      </w:r>
      <w:r>
        <w:t>I don’t understand this</w:t>
      </w:r>
    </w:p>
  </w:comment>
  <w:comment w:id="228" w:author="Cashore, Benjamin" w:date="2019-03-11T19:06:00Z" w:initials="CB">
    <w:p w14:paraId="419E22DE" w14:textId="531D48E1" w:rsidR="000D72D5" w:rsidRDefault="000D72D5">
      <w:pPr>
        <w:pStyle w:val="CommentText"/>
      </w:pPr>
      <w:r>
        <w:rPr>
          <w:rStyle w:val="CommentReference"/>
        </w:rPr>
        <w:annotationRef/>
      </w:r>
      <w:r>
        <w:t>I see your point but presenting it here is a little awkward</w:t>
      </w:r>
    </w:p>
  </w:comment>
  <w:comment w:id="229" w:author="Cashore, Benjamin" w:date="2019-03-11T19:06:00Z" w:initials="CB">
    <w:p w14:paraId="5BCF64AE" w14:textId="58CACE5E" w:rsidR="000D72D5" w:rsidRDefault="000D72D5">
      <w:pPr>
        <w:pStyle w:val="CommentText"/>
      </w:pPr>
      <w:r>
        <w:rPr>
          <w:rStyle w:val="CommentReference"/>
        </w:rPr>
        <w:annotationRef/>
      </w:r>
      <w:r>
        <w:t>Yes this is the key point</w:t>
      </w:r>
    </w:p>
  </w:comment>
  <w:comment w:id="234" w:author="Cashore, Benjamin" w:date="2019-03-11T19:23:00Z" w:initials="CB">
    <w:p w14:paraId="588194A7" w14:textId="3F046322" w:rsidR="000D72D5" w:rsidRDefault="000D72D5">
      <w:pPr>
        <w:pStyle w:val="CommentText"/>
      </w:pPr>
      <w:r>
        <w:rPr>
          <w:rStyle w:val="CommentReference"/>
        </w:rPr>
        <w:annotationRef/>
      </w:r>
      <w:r>
        <w:t>Ok this is a key point and needs to be brought up to the beginning of the article…</w:t>
      </w:r>
    </w:p>
  </w:comment>
  <w:comment w:id="235" w:author="DJL" w:date="2019-03-12T00:04:00Z" w:initials="D">
    <w:p w14:paraId="49F42528" w14:textId="333AD075" w:rsidR="000D72D5" w:rsidRDefault="000D72D5">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236" w:author="Cashore, Benjamin" w:date="2019-03-11T19:23:00Z" w:initials="CB">
    <w:p w14:paraId="087854B1" w14:textId="03824F84" w:rsidR="000D72D5" w:rsidRDefault="000D72D5">
      <w:pPr>
        <w:pStyle w:val="CommentText"/>
      </w:pPr>
      <w:r>
        <w:rPr>
          <w:rStyle w:val="CommentReference"/>
        </w:rPr>
        <w:annotationRef/>
      </w:r>
      <w:r>
        <w:t>But what about the regulations such as reforestation that create immediate benefits but which aren’t really collective action issues?</w:t>
      </w:r>
    </w:p>
  </w:comment>
  <w:comment w:id="237" w:author="DJL" w:date="2019-03-12T00:06:00Z" w:initials="D">
    <w:p w14:paraId="0D6CD41A" w14:textId="22CAC8F1" w:rsidR="000D72D5" w:rsidRDefault="000D72D5">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 w:id="238" w:author="Cashore, Benjamin" w:date="2019-03-11T19:24:00Z" w:initials="CB">
    <w:p w14:paraId="6C67CC02" w14:textId="12BA3502" w:rsidR="000D72D5" w:rsidRDefault="000D72D5">
      <w:pPr>
        <w:pStyle w:val="CommentText"/>
      </w:pPr>
      <w:r>
        <w:rPr>
          <w:rStyle w:val="CommentReference"/>
        </w:rPr>
        <w:annotationRef/>
      </w:r>
      <w:r>
        <w:t>This is kind of p</w:t>
      </w:r>
    </w:p>
  </w:comment>
  <w:comment w:id="239" w:author="Cashore, Benjamin" w:date="2019-03-11T19:25:00Z" w:initials="CB">
    <w:p w14:paraId="23E8AB49" w14:textId="0CF99323" w:rsidR="000D72D5" w:rsidRDefault="000D72D5">
      <w:pPr>
        <w:pStyle w:val="CommentText"/>
      </w:pPr>
      <w:r>
        <w:rPr>
          <w:rStyle w:val="CommentReference"/>
        </w:rPr>
        <w:annotationRef/>
      </w:r>
      <w:r>
        <w:t>Rule of thumb: if you feel the need to present something in the middle of an article, it implies you need to go back to the beginning and organize a bit better.</w:t>
      </w:r>
    </w:p>
  </w:comment>
  <w:comment w:id="240" w:author="DJL" w:date="2019-03-11T23:49:00Z" w:initials="D">
    <w:p w14:paraId="108BBD51" w14:textId="3DF4DFE6" w:rsidR="000D72D5" w:rsidRDefault="000D72D5">
      <w:pPr>
        <w:pStyle w:val="CommentText"/>
      </w:pPr>
      <w:r>
        <w:rPr>
          <w:rStyle w:val="CommentReference"/>
        </w:rPr>
        <w:annotationRef/>
      </w:r>
      <w:r>
        <w:t xml:space="preserve">I think we do give a pretty good overview in the last paragraph of the introduction. This was just intended to signpost where we are. We have identified a gap and now we are going to offer a framework and apply it to a case. I’m happy to delete this if you think it unnecessary. </w:t>
      </w:r>
    </w:p>
  </w:comment>
  <w:comment w:id="241" w:author="Cashore, Benjamin" w:date="2019-03-11T19:26:00Z" w:initials="CB">
    <w:p w14:paraId="5AF904BE" w14:textId="46FF3DDF" w:rsidR="000D72D5" w:rsidRDefault="000D72D5">
      <w:pPr>
        <w:pStyle w:val="CommentText"/>
      </w:pPr>
      <w:r>
        <w:rPr>
          <w:rStyle w:val="CommentReference"/>
        </w:rPr>
        <w:annotationRef/>
      </w:r>
      <w:r>
        <w:t>Shouldn’t this framework section come before the discussion of the literature that is too sweeping or conflated?</w:t>
      </w:r>
    </w:p>
  </w:comment>
  <w:comment w:id="242" w:author="DJL" w:date="2019-03-11T23:46:00Z" w:initials="D">
    <w:p w14:paraId="27FDACDA" w14:textId="44FE536F" w:rsidR="000D72D5" w:rsidRDefault="000D72D5">
      <w:pPr>
        <w:pStyle w:val="CommentText"/>
      </w:pPr>
      <w:r>
        <w:rPr>
          <w:rStyle w:val="CommentReference"/>
        </w:rPr>
        <w:annotationRef/>
      </w:r>
      <w:r>
        <w:t>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243" w:author="Cashore, Benjamin" w:date="2019-03-11T19:27:00Z" w:initials="CB">
    <w:p w14:paraId="4A9B5FAD" w14:textId="25E0B1C9" w:rsidR="000D72D5" w:rsidRDefault="000D72D5">
      <w:pPr>
        <w:pStyle w:val="CommentText"/>
      </w:pPr>
      <w:r>
        <w:rPr>
          <w:rStyle w:val="CommentReference"/>
        </w:rPr>
        <w:annotationRef/>
      </w:r>
      <w:r>
        <w:t>Why not just focus on the FSC and SFI and make it more concrete?</w:t>
      </w:r>
    </w:p>
  </w:comment>
  <w:comment w:id="244" w:author="DJL" w:date="2019-03-12T00:08:00Z" w:initials="D">
    <w:p w14:paraId="13A59890" w14:textId="00ABD558" w:rsidR="000D72D5" w:rsidRDefault="000D72D5">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245" w:author="Constance McDermott" w:date="2019-03-11T16:29:00Z" w:initials="CM">
    <w:p w14:paraId="340A172A" w14:textId="1036253B" w:rsidR="000D72D5" w:rsidRDefault="000D72D5">
      <w:pPr>
        <w:pStyle w:val="CommentText"/>
      </w:pPr>
      <w:r>
        <w:rPr>
          <w:rStyle w:val="CommentReference"/>
        </w:rPr>
        <w:annotationRef/>
      </w:r>
      <w:r>
        <w:t xml:space="preserve">I removed the part about </w:t>
      </w:r>
      <w:proofErr w:type="spellStart"/>
      <w:r>
        <w:t>labour</w:t>
      </w:r>
      <w:proofErr w:type="spellEnd"/>
      <w:r>
        <w:t xml:space="preserve"> groups, as they are a type of activist and we have not yet said we are only considering environmentalists as activists (and I don’t think we would want to). There are still some hidden assumptions here that firms will be more concerned about </w:t>
      </w:r>
      <w:proofErr w:type="spellStart"/>
      <w:r>
        <w:t>labour</w:t>
      </w:r>
      <w:proofErr w:type="spellEnd"/>
      <w:r>
        <w:t xml:space="preserve"> violations costing them than environmental violations. Possibly true, but not tested. Anyway, I think this simpler wording is less problematic.</w:t>
      </w:r>
    </w:p>
  </w:comment>
  <w:comment w:id="246" w:author="DJL" w:date="2019-03-11T16:32:00Z" w:initials="D">
    <w:p w14:paraId="2A6BAEA7" w14:textId="700D2C2E" w:rsidR="000D72D5" w:rsidRDefault="000D72D5">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251" w:author="Cashore, Benjamin" w:date="2019-03-11T19:34:00Z" w:initials="CB">
    <w:p w14:paraId="719BAE34" w14:textId="09F7753B" w:rsidR="000D72D5" w:rsidRDefault="000D72D5">
      <w:pPr>
        <w:pStyle w:val="CommentText"/>
      </w:pPr>
      <w:r>
        <w:rPr>
          <w:rStyle w:val="CommentReference"/>
        </w:rPr>
        <w:annotationRef/>
      </w:r>
      <w:r>
        <w:t>Again is this really a collective action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ECBDF2" w15:done="0"/>
  <w15:commentEx w15:paraId="620A3163" w15:done="0"/>
  <w15:commentEx w15:paraId="517A9AE5" w15:paraIdParent="620A3163" w15:done="0"/>
  <w15:commentEx w15:paraId="73ABDC4A" w15:done="0"/>
  <w15:commentEx w15:paraId="58A1CB84" w15:done="0"/>
  <w15:commentEx w15:paraId="26E0AF6A" w15:done="0"/>
  <w15:commentEx w15:paraId="4F0AA526" w15:done="0"/>
  <w15:commentEx w15:paraId="7F655D3A" w15:done="0"/>
  <w15:commentEx w15:paraId="48DDC670" w15:done="0"/>
  <w15:commentEx w15:paraId="5B3D742E" w15:done="0"/>
  <w15:commentEx w15:paraId="64C0A180" w15:done="0"/>
  <w15:commentEx w15:paraId="378081D8" w15:done="0"/>
  <w15:commentEx w15:paraId="78455569" w15:done="0"/>
  <w15:commentEx w15:paraId="71A9ECA1" w15:done="0"/>
  <w15:commentEx w15:paraId="1C6AE1EA" w15:done="0"/>
  <w15:commentEx w15:paraId="419E22DE" w15:done="0"/>
  <w15:commentEx w15:paraId="5BCF64AE" w15:done="0"/>
  <w15:commentEx w15:paraId="41C3EAF7" w15:done="0"/>
  <w15:commentEx w15:paraId="78B44A82" w15:done="0"/>
  <w15:commentEx w15:paraId="588194A7" w15:done="0"/>
  <w15:commentEx w15:paraId="087854B1" w15:done="0"/>
  <w15:commentEx w15:paraId="6C67CC02" w15:done="0"/>
  <w15:commentEx w15:paraId="396947B2" w15:done="0"/>
  <w15:commentEx w15:paraId="23E8AB49" w15:done="0"/>
  <w15:commentEx w15:paraId="5AF904BE" w15:done="0"/>
  <w15:commentEx w15:paraId="4A9B5FAD" w15:done="0"/>
  <w15:commentEx w15:paraId="340A172A" w15:done="0"/>
  <w15:commentEx w15:paraId="2A6BAEA7" w15:done="0"/>
  <w15:commentEx w15:paraId="7D46F0F0" w15:done="0"/>
  <w15:commentEx w15:paraId="13615891" w15:done="0"/>
  <w15:commentEx w15:paraId="10A80919" w15:done="0"/>
  <w15:commentEx w15:paraId="1829D3EA" w15:done="0"/>
  <w15:commentEx w15:paraId="6EC1DA46" w15:done="0"/>
  <w15:commentEx w15:paraId="00D347D9" w15:done="0"/>
  <w15:commentEx w15:paraId="7CD2E0BF" w15:done="0"/>
  <w15:commentEx w15:paraId="719BAE34" w15:done="0"/>
  <w15:commentEx w15:paraId="6B6FCB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ECBDF2" w16cid:durableId="20311272"/>
  <w16cid:commentId w16cid:paraId="620A3163" w16cid:durableId="20312751"/>
  <w16cid:commentId w16cid:paraId="517A9AE5" w16cid:durableId="2031275C"/>
  <w16cid:commentId w16cid:paraId="73ABDC4A" w16cid:durableId="20301057"/>
  <w16cid:commentId w16cid:paraId="58A1CB84" w16cid:durableId="20312976"/>
  <w16cid:commentId w16cid:paraId="4F0AA526" w16cid:durableId="203014B6"/>
  <w16cid:commentId w16cid:paraId="7F655D3A" w16cid:durableId="20301638"/>
  <w16cid:commentId w16cid:paraId="48DDC670" w16cid:durableId="2030167F"/>
  <w16cid:commentId w16cid:paraId="5B3D742E" w16cid:durableId="20312AF9"/>
  <w16cid:commentId w16cid:paraId="64C0A180" w16cid:durableId="20312B2C"/>
  <w16cid:commentId w16cid:paraId="378081D8" w16cid:durableId="20312CD7"/>
  <w16cid:commentId w16cid:paraId="78455569" w16cid:durableId="20312D0E"/>
  <w16cid:commentId w16cid:paraId="71A9ECA1" w16cid:durableId="20312E7C"/>
  <w16cid:commentId w16cid:paraId="1C6AE1EA" w16cid:durableId="20312FB1"/>
  <w16cid:commentId w16cid:paraId="419E22DE" w16cid:durableId="2031302E"/>
  <w16cid:commentId w16cid:paraId="5BCF64AE" w16cid:durableId="20313046"/>
  <w16cid:commentId w16cid:paraId="78B44A82" w16cid:durableId="203133B8"/>
  <w16cid:commentId w16cid:paraId="588194A7" w16cid:durableId="2031341F"/>
  <w16cid:commentId w16cid:paraId="087854B1" w16cid:durableId="20313449"/>
  <w16cid:commentId w16cid:paraId="6C67CC02" w16cid:durableId="20313467"/>
  <w16cid:commentId w16cid:paraId="396947B2" w16cid:durableId="2031349C"/>
  <w16cid:commentId w16cid:paraId="23E8AB49" w16cid:durableId="203134A9"/>
  <w16cid:commentId w16cid:paraId="5AF904BE" w16cid:durableId="203134D1"/>
  <w16cid:commentId w16cid:paraId="4A9B5FAD" w16cid:durableId="2031350A"/>
  <w16cid:commentId w16cid:paraId="340A172A" w16cid:durableId="20310B77"/>
  <w16cid:commentId w16cid:paraId="2A6BAEA7" w16cid:durableId="20311C61"/>
  <w16cid:commentId w16cid:paraId="7D46F0F0" w16cid:durableId="20310D60"/>
  <w16cid:commentId w16cid:paraId="13615891" w16cid:durableId="20310D7F"/>
  <w16cid:commentId w16cid:paraId="10A80919" w16cid:durableId="2031355F"/>
  <w16cid:commentId w16cid:paraId="1829D3EA" w16cid:durableId="2031359D"/>
  <w16cid:commentId w16cid:paraId="6EC1DA46" w16cid:durableId="20313604"/>
  <w16cid:commentId w16cid:paraId="00D347D9" w16cid:durableId="20311075"/>
  <w16cid:commentId w16cid:paraId="7CD2E0BF" w16cid:durableId="2031362F"/>
  <w16cid:commentId w16cid:paraId="719BAE34" w16cid:durableId="203136B7"/>
  <w16cid:commentId w16cid:paraId="6B6FCB63" w16cid:durableId="203110B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35670F" w14:textId="77777777" w:rsidR="000D72D5" w:rsidRDefault="000D72D5" w:rsidP="002E5C5B">
      <w:r>
        <w:separator/>
      </w:r>
    </w:p>
  </w:endnote>
  <w:endnote w:type="continuationSeparator" w:id="0">
    <w:p w14:paraId="36D67B05" w14:textId="77777777" w:rsidR="000D72D5" w:rsidRDefault="000D72D5" w:rsidP="002E5C5B">
      <w:r>
        <w:continuationSeparator/>
      </w:r>
    </w:p>
  </w:endnote>
  <w:endnote w:type="continuationNotice" w:id="1">
    <w:p w14:paraId="1F474F1D" w14:textId="77777777" w:rsidR="000D72D5" w:rsidRDefault="000D72D5"/>
  </w:endnote>
  <w:endnote w:id="2">
    <w:p w14:paraId="3C880C61" w14:textId="0D40DE26" w:rsidR="000D72D5" w:rsidRPr="00372401" w:rsidRDefault="000D72D5"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r>
        <w:rPr>
          <w:rFonts w:ascii="Times New Roman" w:hAnsi="Times New Roman" w:cs="Times New Roman"/>
          <w:color w:val="000000" w:themeColor="text1"/>
          <w:sz w:val="20"/>
          <w:szCs w:val="20"/>
        </w:rPr>
        <w:t>,</w:t>
      </w:r>
      <w:r w:rsidRPr="00372401">
        <w:rPr>
          <w:rFonts w:ascii="Times New Roman" w:hAnsi="Times New Roman" w:cs="Times New Roman"/>
          <w:color w:val="000000" w:themeColor="text1"/>
          <w:sz w:val="20"/>
          <w:szCs w:val="20"/>
        </w:rPr>
        <w:t xml:space="preserve"> which is also endorsed by PEFC but focuses on small-scale producers.</w:t>
      </w:r>
    </w:p>
  </w:endnote>
  <w:endnote w:id="3">
    <w:p w14:paraId="4739E99C" w14:textId="78A112BC" w:rsidR="000D72D5" w:rsidRPr="00C40547" w:rsidRDefault="000D72D5" w:rsidP="00C40547">
      <w:pPr>
        <w:rPr>
          <w:sz w:val="20"/>
          <w:szCs w:val="20"/>
        </w:rPr>
      </w:pPr>
      <w:r w:rsidRPr="00C40547">
        <w:rPr>
          <w:rStyle w:val="EndnoteReference"/>
          <w:sz w:val="20"/>
          <w:szCs w:val="20"/>
        </w:rPr>
        <w:endnoteRef/>
      </w:r>
      <w:r w:rsidRPr="00C40547">
        <w:rPr>
          <w:sz w:val="20"/>
          <w:szCs w:val="20"/>
        </w:rPr>
        <w:t xml:space="preserve"> </w:t>
      </w:r>
      <w:r>
        <w:rPr>
          <w:sz w:val="20"/>
          <w:szCs w:val="20"/>
        </w:rPr>
        <w:t xml:space="preserve">The </w:t>
      </w:r>
      <w:r w:rsidRPr="00C40547">
        <w:rPr>
          <w:color w:val="000000" w:themeColor="text1"/>
          <w:sz w:val="20"/>
          <w:szCs w:val="20"/>
        </w:rPr>
        <w:t xml:space="preserve">FSC-US initially had nine regional working groups, which each produced </w:t>
      </w:r>
      <w:r>
        <w:rPr>
          <w:color w:val="000000" w:themeColor="text1"/>
          <w:sz w:val="20"/>
          <w:szCs w:val="20"/>
        </w:rPr>
        <w:t xml:space="preserve">separate </w:t>
      </w:r>
      <w:r w:rsidRPr="00C40547">
        <w:rPr>
          <w:color w:val="000000" w:themeColor="text1"/>
          <w:sz w:val="20"/>
          <w:szCs w:val="20"/>
        </w:rPr>
        <w:t xml:space="preserve">regional indicators. These sub-national documents have since been merged into a single national standard, retaining </w:t>
      </w:r>
      <w:r>
        <w:rPr>
          <w:color w:val="000000" w:themeColor="text1"/>
          <w:sz w:val="20"/>
          <w:szCs w:val="20"/>
        </w:rPr>
        <w:t>some</w:t>
      </w:r>
      <w:r w:rsidRPr="00C40547">
        <w:rPr>
          <w:color w:val="000000" w:themeColor="text1"/>
          <w:sz w:val="20"/>
          <w:szCs w:val="20"/>
        </w:rPr>
        <w:t xml:space="preserve"> region-specific </w:t>
      </w:r>
      <w:r>
        <w:rPr>
          <w:color w:val="000000" w:themeColor="text1"/>
          <w:sz w:val="20"/>
          <w:szCs w:val="20"/>
        </w:rPr>
        <w:t>requirements</w:t>
      </w:r>
      <w:r w:rsidRPr="00C40547">
        <w:rPr>
          <w:color w:val="000000" w:themeColor="text1"/>
          <w:sz w:val="20"/>
          <w:szCs w:val="20"/>
        </w:rPr>
        <w:t>.</w:t>
      </w:r>
      <w:r>
        <w:rPr>
          <w:color w:val="000000" w:themeColor="text1"/>
          <w:sz w:val="20"/>
          <w:szCs w:val="20"/>
        </w:rPr>
        <w:t xml:space="preserve"> </w:t>
      </w:r>
      <w:r w:rsidRPr="004D1C57">
        <w:rPr>
          <w:color w:val="000000" w:themeColor="text1"/>
          <w:sz w:val="20"/>
          <w:szCs w:val="20"/>
        </w:rPr>
        <w:t xml:space="preserve">Substantive differences between regions in the FSC-US standards </w:t>
      </w:r>
      <w:r>
        <w:rPr>
          <w:color w:val="000000" w:themeColor="text1"/>
          <w:sz w:val="20"/>
          <w:szCs w:val="20"/>
        </w:rPr>
        <w:t xml:space="preserve">thus </w:t>
      </w:r>
      <w:r w:rsidRPr="004D1C57">
        <w:rPr>
          <w:color w:val="000000" w:themeColor="text1"/>
          <w:sz w:val="20"/>
          <w:szCs w:val="20"/>
        </w:rPr>
        <w:t xml:space="preserve">complicated national analysis. In such cases, we coded </w:t>
      </w:r>
      <w:r>
        <w:rPr>
          <w:color w:val="000000" w:themeColor="text1"/>
          <w:sz w:val="20"/>
          <w:szCs w:val="20"/>
        </w:rPr>
        <w:t xml:space="preserve">prescriptiveness </w:t>
      </w:r>
      <w:r w:rsidRPr="004D1C57">
        <w:rPr>
          <w:color w:val="000000" w:themeColor="text1"/>
          <w:sz w:val="20"/>
          <w:szCs w:val="20"/>
        </w:rPr>
        <w:t xml:space="preserve">based on the </w:t>
      </w:r>
      <w:r>
        <w:rPr>
          <w:color w:val="000000" w:themeColor="text1"/>
          <w:sz w:val="20"/>
          <w:szCs w:val="20"/>
        </w:rPr>
        <w:t>requirements</w:t>
      </w:r>
      <w:r w:rsidRPr="004D1C57">
        <w:rPr>
          <w:color w:val="000000" w:themeColor="text1"/>
          <w:sz w:val="20"/>
          <w:szCs w:val="20"/>
        </w:rPr>
        <w:t xml:space="preserve"> that bound at least a majority of regions.</w:t>
      </w:r>
    </w:p>
  </w:endnote>
  <w:endnote w:id="4">
    <w:p w14:paraId="67157B28" w14:textId="61095FF5" w:rsidR="000D72D5" w:rsidRPr="00372401" w:rsidRDefault="000D72D5"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w:t>
      </w:r>
      <w:r>
        <w:rPr>
          <w:iCs/>
          <w:color w:val="000000" w:themeColor="text1"/>
          <w:sz w:val="20"/>
          <w:szCs w:val="20"/>
        </w:rPr>
        <w:t>art of the complex casual chains that shape</w:t>
      </w:r>
      <w:r w:rsidRPr="00372401">
        <w:rPr>
          <w:iCs/>
          <w:color w:val="000000" w:themeColor="text1"/>
          <w:sz w:val="20"/>
          <w:szCs w:val="20"/>
        </w:rPr>
        <w:t xml:space="preserve"> </w:t>
      </w:r>
      <w:r>
        <w:rPr>
          <w:iCs/>
          <w:color w:val="000000" w:themeColor="text1"/>
          <w:sz w:val="20"/>
          <w:szCs w:val="20"/>
        </w:rPr>
        <w:t>operations on the ground</w:t>
      </w:r>
      <w:r w:rsidRPr="00372401">
        <w:rPr>
          <w:sz w:val="20"/>
          <w:szCs w:val="20"/>
        </w:rPr>
        <w:t xml:space="preserve">. </w:t>
      </w:r>
      <w:r w:rsidRPr="00372401">
        <w:rPr>
          <w:iCs/>
          <w:color w:val="000000" w:themeColor="text1"/>
          <w:sz w:val="20"/>
          <w:szCs w:val="20"/>
        </w:rPr>
        <w:t>Just as with public policy, some written rules may take on more importance than others</w:t>
      </w:r>
      <w:r>
        <w:rPr>
          <w:iCs/>
          <w:color w:val="000000" w:themeColor="text1"/>
          <w:sz w:val="20"/>
          <w:szCs w:val="20"/>
        </w:rPr>
        <w:t xml:space="preserve"> in practice</w:t>
      </w:r>
      <w:r w:rsidRPr="00372401">
        <w:rPr>
          <w:iCs/>
          <w:color w:val="000000" w:themeColor="text1"/>
          <w:sz w:val="20"/>
          <w:szCs w:val="20"/>
        </w:rPr>
        <w:t xml:space="preserve">.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w:t>
      </w:r>
      <w:r>
        <w:rPr>
          <w:color w:val="000000" w:themeColor="text1"/>
          <w:sz w:val="20"/>
          <w:szCs w:val="20"/>
        </w:rPr>
        <w:t>,</w:t>
      </w:r>
      <w:r w:rsidRPr="00372401">
        <w:rPr>
          <w:color w:val="000000" w:themeColor="text1"/>
          <w:sz w:val="20"/>
          <w:szCs w:val="20"/>
        </w:rPr>
        <w:t xml:space="preserve">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 xml:space="preserve">not have </w:t>
      </w:r>
      <w:r>
        <w:rPr>
          <w:sz w:val="20"/>
          <w:szCs w:val="20"/>
        </w:rPr>
        <w:t>numeric riparian buffer zones</w:t>
      </w:r>
      <w:r w:rsidRPr="002624A3">
        <w:rPr>
          <w:sz w:val="20"/>
          <w:szCs w:val="20"/>
        </w:rPr>
        <w:t>, states like Oregon, California, and Washington have highly prescriptive laws on buffer zones to which any SFI or FSC certified operation in these states may be audited for compliance</w:t>
      </w:r>
      <w:r>
        <w:rPr>
          <w:sz w:val="20"/>
          <w:szCs w:val="20"/>
        </w:rPr>
        <w:t>.</w:t>
      </w:r>
    </w:p>
  </w:endnote>
  <w:endnote w:id="5">
    <w:p w14:paraId="057C4426" w14:textId="0FF8A6AE" w:rsidR="000D72D5" w:rsidRPr="00CA4AE5" w:rsidRDefault="000D72D5"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Pr>
          <w:rFonts w:ascii="Times New Roman" w:hAnsi="Times New Roman" w:cs="Times New Roman"/>
          <w:sz w:val="20"/>
        </w:rPr>
        <w:t xml:space="preserve"> We combine</w:t>
      </w:r>
      <w:r w:rsidRPr="00C40547">
        <w:rPr>
          <w:rFonts w:ascii="Times New Roman" w:hAnsi="Times New Roman" w:cs="Times New Roman"/>
          <w:sz w:val="20"/>
        </w:rPr>
        <w:t xml:space="preserve"> public disclosure and reporting requirements with consultation requirements under a key issue called “pu</w:t>
      </w:r>
      <w:r>
        <w:rPr>
          <w:rFonts w:ascii="Times New Roman" w:hAnsi="Times New Roman" w:cs="Times New Roman"/>
          <w:sz w:val="20"/>
        </w:rPr>
        <w:t>blic reporting and consultation” as p</w:t>
      </w:r>
      <w:r w:rsidRPr="00C40547">
        <w:rPr>
          <w:rFonts w:ascii="Times New Roman" w:hAnsi="Times New Roman" w:cs="Times New Roman"/>
          <w:sz w:val="20"/>
        </w:rPr>
        <w:t xml:space="preserve">ublic information is a first and necessary step for meaningful consultation of all forms, including informal and legal processes </w:t>
      </w:r>
      <w:r>
        <w:rPr>
          <w:rFonts w:ascii="Times New Roman" w:hAnsi="Times New Roman" w:cs="Times New Roman"/>
          <w:sz w:val="20"/>
        </w:rPr>
        <w:t>beyond certification processes.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merican Typewriter Light">
    <w:panose1 w:val="02090304020004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0D72D5" w:rsidRDefault="000D72D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0D72D5" w:rsidRDefault="000D72D5"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0D72D5" w:rsidRDefault="000D72D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3C0C">
      <w:rPr>
        <w:rStyle w:val="PageNumber"/>
        <w:noProof/>
      </w:rPr>
      <w:t>51</w:t>
    </w:r>
    <w:r>
      <w:rPr>
        <w:rStyle w:val="PageNumber"/>
      </w:rPr>
      <w:fldChar w:fldCharType="end"/>
    </w:r>
  </w:p>
  <w:p w14:paraId="63C7F481" w14:textId="77777777" w:rsidR="000D72D5" w:rsidRDefault="000D72D5"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80686" w14:textId="77777777" w:rsidR="000D72D5" w:rsidRDefault="000D72D5" w:rsidP="002E5C5B">
      <w:r>
        <w:separator/>
      </w:r>
    </w:p>
  </w:footnote>
  <w:footnote w:type="continuationSeparator" w:id="0">
    <w:p w14:paraId="6147D75A" w14:textId="77777777" w:rsidR="000D72D5" w:rsidRDefault="000D72D5" w:rsidP="002E5C5B">
      <w:r>
        <w:continuationSeparator/>
      </w:r>
    </w:p>
  </w:footnote>
  <w:footnote w:type="continuationNotice" w:id="1">
    <w:p w14:paraId="322334BA" w14:textId="77777777" w:rsidR="000D72D5" w:rsidRDefault="000D72D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0D72D5" w:rsidRDefault="000D72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rson w15:author="Constance McDermott">
    <w15:presenceInfo w15:providerId="None" w15:userId="Constance McDerm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A3"/>
    <w:rsid w:val="00492D97"/>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4F4"/>
    <w:rsid w:val="00606606"/>
    <w:rsid w:val="00606CA8"/>
    <w:rsid w:val="0060717D"/>
    <w:rsid w:val="00610857"/>
    <w:rsid w:val="00610E25"/>
    <w:rsid w:val="0061120D"/>
    <w:rsid w:val="00611469"/>
    <w:rsid w:val="006118CB"/>
    <w:rsid w:val="0061196E"/>
    <w:rsid w:val="006120F2"/>
    <w:rsid w:val="00612422"/>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3161"/>
    <w:rsid w:val="00A233E3"/>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0" Type="http://schemas.microsoft.com/office/2011/relationships/people" Target="people.xml"/><Relationship Id="rId91" Type="http://schemas.microsoft.com/office/2011/relationships/commentsExtended" Target="commentsExtended.xml"/><Relationship Id="rId92" Type="http://schemas.microsoft.com/office/2016/09/relationships/commentsIds" Target="commentsId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comments" Target="comments.xm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oter" Target="footer2.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791620-70AB-6746-A9F3-17F500610FDF}">
  <ds:schemaRefs>
    <ds:schemaRef ds:uri="http://schemas.openxmlformats.org/officeDocument/2006/bibliography"/>
  </ds:schemaRefs>
</ds:datastoreItem>
</file>

<file path=customXml/itemProps10.xml><?xml version="1.0" encoding="utf-8"?>
<ds:datastoreItem xmlns:ds="http://schemas.openxmlformats.org/officeDocument/2006/customXml" ds:itemID="{B842EDA8-33EA-8348-ADED-309B4202D62A}">
  <ds:schemaRefs>
    <ds:schemaRef ds:uri="http://schemas.openxmlformats.org/officeDocument/2006/bibliography"/>
  </ds:schemaRefs>
</ds:datastoreItem>
</file>

<file path=customXml/itemProps11.xml><?xml version="1.0" encoding="utf-8"?>
<ds:datastoreItem xmlns:ds="http://schemas.openxmlformats.org/officeDocument/2006/customXml" ds:itemID="{AC151ECE-6856-FB4F-A051-AF69EC3D246D}">
  <ds:schemaRefs>
    <ds:schemaRef ds:uri="http://schemas.openxmlformats.org/officeDocument/2006/bibliography"/>
  </ds:schemaRefs>
</ds:datastoreItem>
</file>

<file path=customXml/itemProps12.xml><?xml version="1.0" encoding="utf-8"?>
<ds:datastoreItem xmlns:ds="http://schemas.openxmlformats.org/officeDocument/2006/customXml" ds:itemID="{E575AE40-987F-4641-88BF-91E1D2575A20}">
  <ds:schemaRefs>
    <ds:schemaRef ds:uri="http://schemas.openxmlformats.org/officeDocument/2006/bibliography"/>
  </ds:schemaRefs>
</ds:datastoreItem>
</file>

<file path=customXml/itemProps13.xml><?xml version="1.0" encoding="utf-8"?>
<ds:datastoreItem xmlns:ds="http://schemas.openxmlformats.org/officeDocument/2006/customXml" ds:itemID="{2D8312B0-04E2-1D4D-8883-8038C4DDFCEB}">
  <ds:schemaRefs>
    <ds:schemaRef ds:uri="http://schemas.openxmlformats.org/officeDocument/2006/bibliography"/>
  </ds:schemaRefs>
</ds:datastoreItem>
</file>

<file path=customXml/itemProps14.xml><?xml version="1.0" encoding="utf-8"?>
<ds:datastoreItem xmlns:ds="http://schemas.openxmlformats.org/officeDocument/2006/customXml" ds:itemID="{6880FC15-7DB3-444E-AD76-F9970B4EA28B}">
  <ds:schemaRefs>
    <ds:schemaRef ds:uri="http://schemas.openxmlformats.org/officeDocument/2006/bibliography"/>
  </ds:schemaRefs>
</ds:datastoreItem>
</file>

<file path=customXml/itemProps15.xml><?xml version="1.0" encoding="utf-8"?>
<ds:datastoreItem xmlns:ds="http://schemas.openxmlformats.org/officeDocument/2006/customXml" ds:itemID="{7AD5CE64-56DB-A641-AC31-E5F4002DEC1F}">
  <ds:schemaRefs>
    <ds:schemaRef ds:uri="http://schemas.openxmlformats.org/officeDocument/2006/bibliography"/>
  </ds:schemaRefs>
</ds:datastoreItem>
</file>

<file path=customXml/itemProps16.xml><?xml version="1.0" encoding="utf-8"?>
<ds:datastoreItem xmlns:ds="http://schemas.openxmlformats.org/officeDocument/2006/customXml" ds:itemID="{6D475A35-A3DF-DB48-97D9-3C81DC09582F}">
  <ds:schemaRefs>
    <ds:schemaRef ds:uri="http://schemas.openxmlformats.org/officeDocument/2006/bibliography"/>
  </ds:schemaRefs>
</ds:datastoreItem>
</file>

<file path=customXml/itemProps17.xml><?xml version="1.0" encoding="utf-8"?>
<ds:datastoreItem xmlns:ds="http://schemas.openxmlformats.org/officeDocument/2006/customXml" ds:itemID="{6102A524-9BDF-044E-980E-DD3006737C9B}">
  <ds:schemaRefs>
    <ds:schemaRef ds:uri="http://schemas.openxmlformats.org/officeDocument/2006/bibliography"/>
  </ds:schemaRefs>
</ds:datastoreItem>
</file>

<file path=customXml/itemProps18.xml><?xml version="1.0" encoding="utf-8"?>
<ds:datastoreItem xmlns:ds="http://schemas.openxmlformats.org/officeDocument/2006/customXml" ds:itemID="{A8366C52-A141-0142-B93B-81EC17389CC9}">
  <ds:schemaRefs>
    <ds:schemaRef ds:uri="http://schemas.openxmlformats.org/officeDocument/2006/bibliography"/>
  </ds:schemaRefs>
</ds:datastoreItem>
</file>

<file path=customXml/itemProps19.xml><?xml version="1.0" encoding="utf-8"?>
<ds:datastoreItem xmlns:ds="http://schemas.openxmlformats.org/officeDocument/2006/customXml" ds:itemID="{C78E91E4-646B-BC4A-A3B5-D24F32093517}">
  <ds:schemaRefs>
    <ds:schemaRef ds:uri="http://schemas.openxmlformats.org/officeDocument/2006/bibliography"/>
  </ds:schemaRefs>
</ds:datastoreItem>
</file>

<file path=customXml/itemProps2.xml><?xml version="1.0" encoding="utf-8"?>
<ds:datastoreItem xmlns:ds="http://schemas.openxmlformats.org/officeDocument/2006/customXml" ds:itemID="{52F48A87-093D-2246-80BF-363B63E1E107}">
  <ds:schemaRefs>
    <ds:schemaRef ds:uri="http://schemas.openxmlformats.org/officeDocument/2006/bibliography"/>
  </ds:schemaRefs>
</ds:datastoreItem>
</file>

<file path=customXml/itemProps20.xml><?xml version="1.0" encoding="utf-8"?>
<ds:datastoreItem xmlns:ds="http://schemas.openxmlformats.org/officeDocument/2006/customXml" ds:itemID="{2DFE82C7-170D-DB44-92BE-57E67258236A}">
  <ds:schemaRefs>
    <ds:schemaRef ds:uri="http://schemas.openxmlformats.org/officeDocument/2006/bibliography"/>
  </ds:schemaRefs>
</ds:datastoreItem>
</file>

<file path=customXml/itemProps21.xml><?xml version="1.0" encoding="utf-8"?>
<ds:datastoreItem xmlns:ds="http://schemas.openxmlformats.org/officeDocument/2006/customXml" ds:itemID="{816ED32A-5D30-AB4E-BEE7-838436E87278}">
  <ds:schemaRefs>
    <ds:schemaRef ds:uri="http://schemas.openxmlformats.org/officeDocument/2006/bibliography"/>
  </ds:schemaRefs>
</ds:datastoreItem>
</file>

<file path=customXml/itemProps22.xml><?xml version="1.0" encoding="utf-8"?>
<ds:datastoreItem xmlns:ds="http://schemas.openxmlformats.org/officeDocument/2006/customXml" ds:itemID="{59274C02-D642-AA40-842E-1854D8D76F7C}">
  <ds:schemaRefs>
    <ds:schemaRef ds:uri="http://schemas.openxmlformats.org/officeDocument/2006/bibliography"/>
  </ds:schemaRefs>
</ds:datastoreItem>
</file>

<file path=customXml/itemProps23.xml><?xml version="1.0" encoding="utf-8"?>
<ds:datastoreItem xmlns:ds="http://schemas.openxmlformats.org/officeDocument/2006/customXml" ds:itemID="{0032254E-3D5F-134A-B512-40B202BAD9AC}">
  <ds:schemaRefs>
    <ds:schemaRef ds:uri="http://schemas.openxmlformats.org/officeDocument/2006/bibliography"/>
  </ds:schemaRefs>
</ds:datastoreItem>
</file>

<file path=customXml/itemProps24.xml><?xml version="1.0" encoding="utf-8"?>
<ds:datastoreItem xmlns:ds="http://schemas.openxmlformats.org/officeDocument/2006/customXml" ds:itemID="{072E96D4-B378-734B-95B9-6679C37E1757}">
  <ds:schemaRefs>
    <ds:schemaRef ds:uri="http://schemas.openxmlformats.org/officeDocument/2006/bibliography"/>
  </ds:schemaRefs>
</ds:datastoreItem>
</file>

<file path=customXml/itemProps25.xml><?xml version="1.0" encoding="utf-8"?>
<ds:datastoreItem xmlns:ds="http://schemas.openxmlformats.org/officeDocument/2006/customXml" ds:itemID="{D4F9CC77-3181-4948-9E38-3E5436C1C89A}">
  <ds:schemaRefs>
    <ds:schemaRef ds:uri="http://schemas.openxmlformats.org/officeDocument/2006/bibliography"/>
  </ds:schemaRefs>
</ds:datastoreItem>
</file>

<file path=customXml/itemProps26.xml><?xml version="1.0" encoding="utf-8"?>
<ds:datastoreItem xmlns:ds="http://schemas.openxmlformats.org/officeDocument/2006/customXml" ds:itemID="{8DD8B4CD-939F-D246-8D85-E290E6470A7E}">
  <ds:schemaRefs>
    <ds:schemaRef ds:uri="http://schemas.openxmlformats.org/officeDocument/2006/bibliography"/>
  </ds:schemaRefs>
</ds:datastoreItem>
</file>

<file path=customXml/itemProps27.xml><?xml version="1.0" encoding="utf-8"?>
<ds:datastoreItem xmlns:ds="http://schemas.openxmlformats.org/officeDocument/2006/customXml" ds:itemID="{E3173E81-BD95-DA41-9AB2-BD891E7A0F7D}">
  <ds:schemaRefs>
    <ds:schemaRef ds:uri="http://schemas.openxmlformats.org/officeDocument/2006/bibliography"/>
  </ds:schemaRefs>
</ds:datastoreItem>
</file>

<file path=customXml/itemProps28.xml><?xml version="1.0" encoding="utf-8"?>
<ds:datastoreItem xmlns:ds="http://schemas.openxmlformats.org/officeDocument/2006/customXml" ds:itemID="{4F867057-CB05-5D4B-87B6-B85B211970C9}">
  <ds:schemaRefs>
    <ds:schemaRef ds:uri="http://schemas.openxmlformats.org/officeDocument/2006/bibliography"/>
  </ds:schemaRefs>
</ds:datastoreItem>
</file>

<file path=customXml/itemProps29.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3.xml><?xml version="1.0" encoding="utf-8"?>
<ds:datastoreItem xmlns:ds="http://schemas.openxmlformats.org/officeDocument/2006/customXml" ds:itemID="{AB4DC6F7-4060-3C4B-A1DE-39AFB48C0A16}">
  <ds:schemaRefs>
    <ds:schemaRef ds:uri="http://schemas.openxmlformats.org/officeDocument/2006/bibliography"/>
  </ds:schemaRefs>
</ds:datastoreItem>
</file>

<file path=customXml/itemProps30.xml><?xml version="1.0" encoding="utf-8"?>
<ds:datastoreItem xmlns:ds="http://schemas.openxmlformats.org/officeDocument/2006/customXml" ds:itemID="{335086EC-8138-4448-A971-A125257129CF}">
  <ds:schemaRefs>
    <ds:schemaRef ds:uri="http://schemas.openxmlformats.org/officeDocument/2006/bibliography"/>
  </ds:schemaRefs>
</ds:datastoreItem>
</file>

<file path=customXml/itemProps31.xml><?xml version="1.0" encoding="utf-8"?>
<ds:datastoreItem xmlns:ds="http://schemas.openxmlformats.org/officeDocument/2006/customXml" ds:itemID="{F6A5BED8-CD17-A946-BBFA-27EF79CD1EBB}">
  <ds:schemaRefs>
    <ds:schemaRef ds:uri="http://schemas.openxmlformats.org/officeDocument/2006/bibliography"/>
  </ds:schemaRefs>
</ds:datastoreItem>
</file>

<file path=customXml/itemProps32.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33.xml><?xml version="1.0" encoding="utf-8"?>
<ds:datastoreItem xmlns:ds="http://schemas.openxmlformats.org/officeDocument/2006/customXml" ds:itemID="{0AC1015D-DADA-DA45-BD14-B75FBA6DE780}">
  <ds:schemaRefs>
    <ds:schemaRef ds:uri="http://schemas.openxmlformats.org/officeDocument/2006/bibliography"/>
  </ds:schemaRefs>
</ds:datastoreItem>
</file>

<file path=customXml/itemProps34.xml><?xml version="1.0" encoding="utf-8"?>
<ds:datastoreItem xmlns:ds="http://schemas.openxmlformats.org/officeDocument/2006/customXml" ds:itemID="{63AA36FF-FE7E-014C-B2C3-15BE59086E4F}">
  <ds:schemaRefs>
    <ds:schemaRef ds:uri="http://schemas.openxmlformats.org/officeDocument/2006/bibliography"/>
  </ds:schemaRefs>
</ds:datastoreItem>
</file>

<file path=customXml/itemProps35.xml><?xml version="1.0" encoding="utf-8"?>
<ds:datastoreItem xmlns:ds="http://schemas.openxmlformats.org/officeDocument/2006/customXml" ds:itemID="{BA5FCDB7-69A8-594B-9348-6C6BCEDD1A9B}">
  <ds:schemaRefs>
    <ds:schemaRef ds:uri="http://schemas.openxmlformats.org/officeDocument/2006/bibliography"/>
  </ds:schemaRefs>
</ds:datastoreItem>
</file>

<file path=customXml/itemProps36.xml><?xml version="1.0" encoding="utf-8"?>
<ds:datastoreItem xmlns:ds="http://schemas.openxmlformats.org/officeDocument/2006/customXml" ds:itemID="{12D9E1E1-B9B8-D148-BC19-91F86C7D5A6C}">
  <ds:schemaRefs>
    <ds:schemaRef ds:uri="http://schemas.openxmlformats.org/officeDocument/2006/bibliography"/>
  </ds:schemaRefs>
</ds:datastoreItem>
</file>

<file path=customXml/itemProps37.xml><?xml version="1.0" encoding="utf-8"?>
<ds:datastoreItem xmlns:ds="http://schemas.openxmlformats.org/officeDocument/2006/customXml" ds:itemID="{C1BB7491-AA57-6E40-A5AD-9561FA152616}">
  <ds:schemaRefs>
    <ds:schemaRef ds:uri="http://schemas.openxmlformats.org/officeDocument/2006/bibliography"/>
  </ds:schemaRefs>
</ds:datastoreItem>
</file>

<file path=customXml/itemProps38.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39.xml><?xml version="1.0" encoding="utf-8"?>
<ds:datastoreItem xmlns:ds="http://schemas.openxmlformats.org/officeDocument/2006/customXml" ds:itemID="{3AC7CC8B-3BE6-214A-9A9B-8EE598761AC4}">
  <ds:schemaRefs>
    <ds:schemaRef ds:uri="http://schemas.openxmlformats.org/officeDocument/2006/bibliography"/>
  </ds:schemaRefs>
</ds:datastoreItem>
</file>

<file path=customXml/itemProps4.xml><?xml version="1.0" encoding="utf-8"?>
<ds:datastoreItem xmlns:ds="http://schemas.openxmlformats.org/officeDocument/2006/customXml" ds:itemID="{DA04783E-9853-BA43-999F-4617E969BD8B}">
  <ds:schemaRefs>
    <ds:schemaRef ds:uri="http://schemas.openxmlformats.org/officeDocument/2006/bibliography"/>
  </ds:schemaRefs>
</ds:datastoreItem>
</file>

<file path=customXml/itemProps40.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41.xml><?xml version="1.0" encoding="utf-8"?>
<ds:datastoreItem xmlns:ds="http://schemas.openxmlformats.org/officeDocument/2006/customXml" ds:itemID="{D54FB790-87AE-C740-9C06-0811621F8F17}">
  <ds:schemaRefs>
    <ds:schemaRef ds:uri="http://schemas.openxmlformats.org/officeDocument/2006/bibliography"/>
  </ds:schemaRefs>
</ds:datastoreItem>
</file>

<file path=customXml/itemProps42.xml><?xml version="1.0" encoding="utf-8"?>
<ds:datastoreItem xmlns:ds="http://schemas.openxmlformats.org/officeDocument/2006/customXml" ds:itemID="{F9FB5E5D-E5A5-CB4A-8E7D-7557C5DA4292}">
  <ds:schemaRefs>
    <ds:schemaRef ds:uri="http://schemas.openxmlformats.org/officeDocument/2006/bibliography"/>
  </ds:schemaRefs>
</ds:datastoreItem>
</file>

<file path=customXml/itemProps43.xml><?xml version="1.0" encoding="utf-8"?>
<ds:datastoreItem xmlns:ds="http://schemas.openxmlformats.org/officeDocument/2006/customXml" ds:itemID="{53B95E47-8858-1F47-8B71-FC0CDA399245}">
  <ds:schemaRefs>
    <ds:schemaRef ds:uri="http://schemas.openxmlformats.org/officeDocument/2006/bibliography"/>
  </ds:schemaRefs>
</ds:datastoreItem>
</file>

<file path=customXml/itemProps44.xml><?xml version="1.0" encoding="utf-8"?>
<ds:datastoreItem xmlns:ds="http://schemas.openxmlformats.org/officeDocument/2006/customXml" ds:itemID="{E0BA2BDA-07A0-6C48-8ED1-403DF02E90E0}">
  <ds:schemaRefs>
    <ds:schemaRef ds:uri="http://schemas.openxmlformats.org/officeDocument/2006/bibliography"/>
  </ds:schemaRefs>
</ds:datastoreItem>
</file>

<file path=customXml/itemProps45.xml><?xml version="1.0" encoding="utf-8"?>
<ds:datastoreItem xmlns:ds="http://schemas.openxmlformats.org/officeDocument/2006/customXml" ds:itemID="{902380E3-ECE0-6644-AD46-C25B82A0039E}">
  <ds:schemaRefs>
    <ds:schemaRef ds:uri="http://schemas.openxmlformats.org/officeDocument/2006/bibliography"/>
  </ds:schemaRefs>
</ds:datastoreItem>
</file>

<file path=customXml/itemProps46.xml><?xml version="1.0" encoding="utf-8"?>
<ds:datastoreItem xmlns:ds="http://schemas.openxmlformats.org/officeDocument/2006/customXml" ds:itemID="{FD5E6C5F-A9B4-C64E-9175-B6C562B33BC4}">
  <ds:schemaRefs>
    <ds:schemaRef ds:uri="http://schemas.openxmlformats.org/officeDocument/2006/bibliography"/>
  </ds:schemaRefs>
</ds:datastoreItem>
</file>

<file path=customXml/itemProps47.xml><?xml version="1.0" encoding="utf-8"?>
<ds:datastoreItem xmlns:ds="http://schemas.openxmlformats.org/officeDocument/2006/customXml" ds:itemID="{3DB6989B-3E4E-6E4E-8D5B-628125084D43}">
  <ds:schemaRefs>
    <ds:schemaRef ds:uri="http://schemas.openxmlformats.org/officeDocument/2006/bibliography"/>
  </ds:schemaRefs>
</ds:datastoreItem>
</file>

<file path=customXml/itemProps48.xml><?xml version="1.0" encoding="utf-8"?>
<ds:datastoreItem xmlns:ds="http://schemas.openxmlformats.org/officeDocument/2006/customXml" ds:itemID="{B8A396F3-1468-5C4A-B78A-CF4976CFD2F6}">
  <ds:schemaRefs>
    <ds:schemaRef ds:uri="http://schemas.openxmlformats.org/officeDocument/2006/bibliography"/>
  </ds:schemaRefs>
</ds:datastoreItem>
</file>

<file path=customXml/itemProps49.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5.xml><?xml version="1.0" encoding="utf-8"?>
<ds:datastoreItem xmlns:ds="http://schemas.openxmlformats.org/officeDocument/2006/customXml" ds:itemID="{E8D1912C-885B-294C-B44C-1C2AE6EF80F5}">
  <ds:schemaRefs>
    <ds:schemaRef ds:uri="http://schemas.openxmlformats.org/officeDocument/2006/bibliography"/>
  </ds:schemaRefs>
</ds:datastoreItem>
</file>

<file path=customXml/itemProps50.xml><?xml version="1.0" encoding="utf-8"?>
<ds:datastoreItem xmlns:ds="http://schemas.openxmlformats.org/officeDocument/2006/customXml" ds:itemID="{A5D845DD-FA66-DF46-A11B-413E408750C9}">
  <ds:schemaRefs>
    <ds:schemaRef ds:uri="http://schemas.openxmlformats.org/officeDocument/2006/bibliography"/>
  </ds:schemaRefs>
</ds:datastoreItem>
</file>

<file path=customXml/itemProps51.xml><?xml version="1.0" encoding="utf-8"?>
<ds:datastoreItem xmlns:ds="http://schemas.openxmlformats.org/officeDocument/2006/customXml" ds:itemID="{ECBE8523-A571-6140-A2DB-373FD5784AFB}">
  <ds:schemaRefs>
    <ds:schemaRef ds:uri="http://schemas.openxmlformats.org/officeDocument/2006/bibliography"/>
  </ds:schemaRefs>
</ds:datastoreItem>
</file>

<file path=customXml/itemProps52.xml><?xml version="1.0" encoding="utf-8"?>
<ds:datastoreItem xmlns:ds="http://schemas.openxmlformats.org/officeDocument/2006/customXml" ds:itemID="{E96E8CBB-42D2-9245-9E9F-69144FE6A237}">
  <ds:schemaRefs>
    <ds:schemaRef ds:uri="http://schemas.openxmlformats.org/officeDocument/2006/bibliography"/>
  </ds:schemaRefs>
</ds:datastoreItem>
</file>

<file path=customXml/itemProps53.xml><?xml version="1.0" encoding="utf-8"?>
<ds:datastoreItem xmlns:ds="http://schemas.openxmlformats.org/officeDocument/2006/customXml" ds:itemID="{9D29D1E9-E2E9-BD45-8E01-6D2245368CF8}">
  <ds:schemaRefs>
    <ds:schemaRef ds:uri="http://schemas.openxmlformats.org/officeDocument/2006/bibliography"/>
  </ds:schemaRefs>
</ds:datastoreItem>
</file>

<file path=customXml/itemProps54.xml><?xml version="1.0" encoding="utf-8"?>
<ds:datastoreItem xmlns:ds="http://schemas.openxmlformats.org/officeDocument/2006/customXml" ds:itemID="{D43ADB4A-E8EF-4143-9BFE-BD2742B7A3EE}">
  <ds:schemaRefs>
    <ds:schemaRef ds:uri="http://schemas.openxmlformats.org/officeDocument/2006/bibliography"/>
  </ds:schemaRefs>
</ds:datastoreItem>
</file>

<file path=customXml/itemProps55.xml><?xml version="1.0" encoding="utf-8"?>
<ds:datastoreItem xmlns:ds="http://schemas.openxmlformats.org/officeDocument/2006/customXml" ds:itemID="{C075DD66-6ADF-CC48-8AAD-9879E1734629}">
  <ds:schemaRefs>
    <ds:schemaRef ds:uri="http://schemas.openxmlformats.org/officeDocument/2006/bibliography"/>
  </ds:schemaRefs>
</ds:datastoreItem>
</file>

<file path=customXml/itemProps56.xml><?xml version="1.0" encoding="utf-8"?>
<ds:datastoreItem xmlns:ds="http://schemas.openxmlformats.org/officeDocument/2006/customXml" ds:itemID="{EECE37DA-516A-3F4C-83A7-B2921170E518}">
  <ds:schemaRefs>
    <ds:schemaRef ds:uri="http://schemas.openxmlformats.org/officeDocument/2006/bibliography"/>
  </ds:schemaRefs>
</ds:datastoreItem>
</file>

<file path=customXml/itemProps57.xml><?xml version="1.0" encoding="utf-8"?>
<ds:datastoreItem xmlns:ds="http://schemas.openxmlformats.org/officeDocument/2006/customXml" ds:itemID="{378EEA97-6751-3D4F-A53C-379840EE4CDC}">
  <ds:schemaRefs>
    <ds:schemaRef ds:uri="http://schemas.openxmlformats.org/officeDocument/2006/bibliography"/>
  </ds:schemaRefs>
</ds:datastoreItem>
</file>

<file path=customXml/itemProps58.xml><?xml version="1.0" encoding="utf-8"?>
<ds:datastoreItem xmlns:ds="http://schemas.openxmlformats.org/officeDocument/2006/customXml" ds:itemID="{08841442-4FCE-464E-B0D5-9964147F7D42}">
  <ds:schemaRefs>
    <ds:schemaRef ds:uri="http://schemas.openxmlformats.org/officeDocument/2006/bibliography"/>
  </ds:schemaRefs>
</ds:datastoreItem>
</file>

<file path=customXml/itemProps59.xml><?xml version="1.0" encoding="utf-8"?>
<ds:datastoreItem xmlns:ds="http://schemas.openxmlformats.org/officeDocument/2006/customXml" ds:itemID="{CAEA1E81-84C8-A64B-B6AE-A9C4ABB43086}">
  <ds:schemaRefs>
    <ds:schemaRef ds:uri="http://schemas.openxmlformats.org/officeDocument/2006/bibliography"/>
  </ds:schemaRefs>
</ds:datastoreItem>
</file>

<file path=customXml/itemProps6.xml><?xml version="1.0" encoding="utf-8"?>
<ds:datastoreItem xmlns:ds="http://schemas.openxmlformats.org/officeDocument/2006/customXml" ds:itemID="{B23FF4AB-9977-8E46-995C-F49EBFE15A31}">
  <ds:schemaRefs>
    <ds:schemaRef ds:uri="http://schemas.openxmlformats.org/officeDocument/2006/bibliography"/>
  </ds:schemaRefs>
</ds:datastoreItem>
</file>

<file path=customXml/itemProps60.xml><?xml version="1.0" encoding="utf-8"?>
<ds:datastoreItem xmlns:ds="http://schemas.openxmlformats.org/officeDocument/2006/customXml" ds:itemID="{8FEE398A-FB12-D545-8F11-D440DE08B35F}">
  <ds:schemaRefs>
    <ds:schemaRef ds:uri="http://schemas.openxmlformats.org/officeDocument/2006/bibliography"/>
  </ds:schemaRefs>
</ds:datastoreItem>
</file>

<file path=customXml/itemProps61.xml><?xml version="1.0" encoding="utf-8"?>
<ds:datastoreItem xmlns:ds="http://schemas.openxmlformats.org/officeDocument/2006/customXml" ds:itemID="{2BD4B2FE-0412-8141-BDB5-B99D1400EE33}">
  <ds:schemaRefs>
    <ds:schemaRef ds:uri="http://schemas.openxmlformats.org/officeDocument/2006/bibliography"/>
  </ds:schemaRefs>
</ds:datastoreItem>
</file>

<file path=customXml/itemProps62.xml><?xml version="1.0" encoding="utf-8"?>
<ds:datastoreItem xmlns:ds="http://schemas.openxmlformats.org/officeDocument/2006/customXml" ds:itemID="{22C9AFDA-6A89-6D44-BF51-9CAB3591605F}">
  <ds:schemaRefs>
    <ds:schemaRef ds:uri="http://schemas.openxmlformats.org/officeDocument/2006/bibliography"/>
  </ds:schemaRefs>
</ds:datastoreItem>
</file>

<file path=customXml/itemProps63.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64.xml><?xml version="1.0" encoding="utf-8"?>
<ds:datastoreItem xmlns:ds="http://schemas.openxmlformats.org/officeDocument/2006/customXml" ds:itemID="{5794B76B-4213-CD43-8A7F-E83BB3340EC1}">
  <ds:schemaRefs>
    <ds:schemaRef ds:uri="http://schemas.openxmlformats.org/officeDocument/2006/bibliography"/>
  </ds:schemaRefs>
</ds:datastoreItem>
</file>

<file path=customXml/itemProps65.xml><?xml version="1.0" encoding="utf-8"?>
<ds:datastoreItem xmlns:ds="http://schemas.openxmlformats.org/officeDocument/2006/customXml" ds:itemID="{079AAC53-5514-F741-9777-3789518E5903}">
  <ds:schemaRefs>
    <ds:schemaRef ds:uri="http://schemas.openxmlformats.org/officeDocument/2006/bibliography"/>
  </ds:schemaRefs>
</ds:datastoreItem>
</file>

<file path=customXml/itemProps66.xml><?xml version="1.0" encoding="utf-8"?>
<ds:datastoreItem xmlns:ds="http://schemas.openxmlformats.org/officeDocument/2006/customXml" ds:itemID="{0EA7EDB9-E36B-4D40-B24A-465064190FBC}">
  <ds:schemaRefs>
    <ds:schemaRef ds:uri="http://schemas.openxmlformats.org/officeDocument/2006/bibliography"/>
  </ds:schemaRefs>
</ds:datastoreItem>
</file>

<file path=customXml/itemProps67.xml><?xml version="1.0" encoding="utf-8"?>
<ds:datastoreItem xmlns:ds="http://schemas.openxmlformats.org/officeDocument/2006/customXml" ds:itemID="{DDED9F63-9D28-9A46-83F7-B7A206079E56}">
  <ds:schemaRefs>
    <ds:schemaRef ds:uri="http://schemas.openxmlformats.org/officeDocument/2006/bibliography"/>
  </ds:schemaRefs>
</ds:datastoreItem>
</file>

<file path=customXml/itemProps68.xml><?xml version="1.0" encoding="utf-8"?>
<ds:datastoreItem xmlns:ds="http://schemas.openxmlformats.org/officeDocument/2006/customXml" ds:itemID="{98179E47-FB5C-1F41-BECB-50FFA5C2995D}">
  <ds:schemaRefs>
    <ds:schemaRef ds:uri="http://schemas.openxmlformats.org/officeDocument/2006/bibliography"/>
  </ds:schemaRefs>
</ds:datastoreItem>
</file>

<file path=customXml/itemProps69.xml><?xml version="1.0" encoding="utf-8"?>
<ds:datastoreItem xmlns:ds="http://schemas.openxmlformats.org/officeDocument/2006/customXml" ds:itemID="{C12D0C39-CE7E-034B-8FF4-B07AA287D971}">
  <ds:schemaRefs>
    <ds:schemaRef ds:uri="http://schemas.openxmlformats.org/officeDocument/2006/bibliography"/>
  </ds:schemaRefs>
</ds:datastoreItem>
</file>

<file path=customXml/itemProps7.xml><?xml version="1.0" encoding="utf-8"?>
<ds:datastoreItem xmlns:ds="http://schemas.openxmlformats.org/officeDocument/2006/customXml" ds:itemID="{E1EE2724-1E2E-3A4F-B395-81DE3DE5134B}">
  <ds:schemaRefs>
    <ds:schemaRef ds:uri="http://schemas.openxmlformats.org/officeDocument/2006/bibliography"/>
  </ds:schemaRefs>
</ds:datastoreItem>
</file>

<file path=customXml/itemProps70.xml><?xml version="1.0" encoding="utf-8"?>
<ds:datastoreItem xmlns:ds="http://schemas.openxmlformats.org/officeDocument/2006/customXml" ds:itemID="{95CFB6C4-770B-1645-8CE8-2B257510A5A8}">
  <ds:schemaRefs>
    <ds:schemaRef ds:uri="http://schemas.openxmlformats.org/officeDocument/2006/bibliography"/>
  </ds:schemaRefs>
</ds:datastoreItem>
</file>

<file path=customXml/itemProps71.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72.xml><?xml version="1.0" encoding="utf-8"?>
<ds:datastoreItem xmlns:ds="http://schemas.openxmlformats.org/officeDocument/2006/customXml" ds:itemID="{4B96A1BF-52B1-764F-BA4D-B4ACC810E249}">
  <ds:schemaRefs>
    <ds:schemaRef ds:uri="http://schemas.openxmlformats.org/officeDocument/2006/bibliography"/>
  </ds:schemaRefs>
</ds:datastoreItem>
</file>

<file path=customXml/itemProps73.xml><?xml version="1.0" encoding="utf-8"?>
<ds:datastoreItem xmlns:ds="http://schemas.openxmlformats.org/officeDocument/2006/customXml" ds:itemID="{68CE5E4C-A610-6347-84BA-040398D94B16}">
  <ds:schemaRefs>
    <ds:schemaRef ds:uri="http://schemas.openxmlformats.org/officeDocument/2006/bibliography"/>
  </ds:schemaRefs>
</ds:datastoreItem>
</file>

<file path=customXml/itemProps74.xml><?xml version="1.0" encoding="utf-8"?>
<ds:datastoreItem xmlns:ds="http://schemas.openxmlformats.org/officeDocument/2006/customXml" ds:itemID="{CB99D667-6413-D843-8D76-294DF41EDCBD}">
  <ds:schemaRefs>
    <ds:schemaRef ds:uri="http://schemas.openxmlformats.org/officeDocument/2006/bibliography"/>
  </ds:schemaRefs>
</ds:datastoreItem>
</file>

<file path=customXml/itemProps75.xml><?xml version="1.0" encoding="utf-8"?>
<ds:datastoreItem xmlns:ds="http://schemas.openxmlformats.org/officeDocument/2006/customXml" ds:itemID="{589193D8-674D-E84E-94BD-BF363839F524}">
  <ds:schemaRefs>
    <ds:schemaRef ds:uri="http://schemas.openxmlformats.org/officeDocument/2006/bibliography"/>
  </ds:schemaRefs>
</ds:datastoreItem>
</file>

<file path=customXml/itemProps76.xml><?xml version="1.0" encoding="utf-8"?>
<ds:datastoreItem xmlns:ds="http://schemas.openxmlformats.org/officeDocument/2006/customXml" ds:itemID="{544C4676-BF2A-824F-8013-8AFAE5D245E6}">
  <ds:schemaRefs>
    <ds:schemaRef ds:uri="http://schemas.openxmlformats.org/officeDocument/2006/bibliography"/>
  </ds:schemaRefs>
</ds:datastoreItem>
</file>

<file path=customXml/itemProps8.xml><?xml version="1.0" encoding="utf-8"?>
<ds:datastoreItem xmlns:ds="http://schemas.openxmlformats.org/officeDocument/2006/customXml" ds:itemID="{7ECEFE85-AEF1-1B4F-A4D2-2E714097AEBE}">
  <ds:schemaRefs>
    <ds:schemaRef ds:uri="http://schemas.openxmlformats.org/officeDocument/2006/bibliography"/>
  </ds:schemaRefs>
</ds:datastoreItem>
</file>

<file path=customXml/itemProps9.xml><?xml version="1.0" encoding="utf-8"?>
<ds:datastoreItem xmlns:ds="http://schemas.openxmlformats.org/officeDocument/2006/customXml" ds:itemID="{267EC47E-CBF9-EB4E-862D-A1D25FCCB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51</Pages>
  <Words>36053</Words>
  <Characters>205506</Characters>
  <Application>Microsoft Macintosh Word</Application>
  <DocSecurity>0</DocSecurity>
  <Lines>1712</Lines>
  <Paragraphs>482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241077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9</cp:revision>
  <cp:lastPrinted>2018-09-07T15:16:00Z</cp:lastPrinted>
  <dcterms:created xsi:type="dcterms:W3CDTF">2019-03-12T02:22:00Z</dcterms:created>
  <dcterms:modified xsi:type="dcterms:W3CDTF">2019-03-12T12:43:00Z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