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7D7C27">
        <w:rPr>
          <w:bCs/>
          <w:color w:val="000000" w:themeColor="text1"/>
        </w:rPr>
        <w:t>Bozzi</w:t>
      </w:r>
      <w:proofErr w:type="spellEnd"/>
      <w:r w:rsidRPr="007D7C27">
        <w:rPr>
          <w:bCs/>
          <w:color w:val="000000" w:themeColor="text1"/>
        </w:rPr>
        <w:t xml:space="preserve">, </w:t>
      </w:r>
      <w:proofErr w:type="spellStart"/>
      <w:r w:rsidRPr="007D7C27">
        <w:rPr>
          <w:bCs/>
          <w:color w:val="000000" w:themeColor="text1"/>
        </w:rPr>
        <w:t>Cashore</w:t>
      </w:r>
      <w:proofErr w:type="spellEnd"/>
      <w:r w:rsidRPr="007D7C27">
        <w:rPr>
          <w:bCs/>
          <w:color w:val="000000" w:themeColor="text1"/>
        </w:rPr>
        <w:t xml:space="preserve">, Levin, &amp; McDermott, 2012; Hudson &amp; Hudson, 2003; van der </w:t>
      </w:r>
      <w:proofErr w:type="spellStart"/>
      <w:r w:rsidRPr="007D7C27">
        <w:rPr>
          <w:bCs/>
          <w:color w:val="000000" w:themeColor="text1"/>
        </w:rPr>
        <w:t>Ven</w:t>
      </w:r>
      <w:proofErr w:type="spellEnd"/>
      <w:r w:rsidRPr="007D7C27">
        <w:rPr>
          <w:bCs/>
          <w:color w:val="000000" w:themeColor="text1"/>
        </w:rPr>
        <w:t xml:space="preserve">, 2015; Vince &amp; </w:t>
      </w:r>
      <w:proofErr w:type="spellStart"/>
      <w:r w:rsidRPr="007D7C27">
        <w:rPr>
          <w:bCs/>
          <w:color w:val="000000" w:themeColor="text1"/>
        </w:rPr>
        <w:t>Haward</w:t>
      </w:r>
      <w:proofErr w:type="spellEnd"/>
      <w:r w:rsidRPr="007D7C27">
        <w:rPr>
          <w:bCs/>
          <w:color w:val="000000" w:themeColor="text1"/>
        </w:rPr>
        <w:t xml:space="preserve">,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w:t>
      </w:r>
      <w:proofErr w:type="spellStart"/>
      <w:r w:rsidRPr="007D7C27">
        <w:rPr>
          <w:bCs/>
          <w:color w:val="000000" w:themeColor="text1"/>
        </w:rPr>
        <w:t>Cashore</w:t>
      </w:r>
      <w:proofErr w:type="spellEnd"/>
      <w:r w:rsidRPr="007D7C27">
        <w:rPr>
          <w:bCs/>
          <w:color w:val="000000" w:themeColor="text1"/>
        </w:rPr>
        <w:t xml:space="preserv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 xml:space="preserve">requirements across jurisdictions (e.g., Berger &amp; Dore, 1996; </w:t>
      </w:r>
      <w:proofErr w:type="spellStart"/>
      <w:r w:rsidRPr="007D7C27">
        <w:rPr>
          <w:bCs/>
          <w:color w:val="000000" w:themeColor="text1"/>
        </w:rPr>
        <w:t>Rodrik</w:t>
      </w:r>
      <w:proofErr w:type="spellEnd"/>
      <w:r w:rsidRPr="007D7C27">
        <w:rPr>
          <w:bCs/>
          <w:color w:val="000000" w:themeColor="text1"/>
        </w:rPr>
        <w:t xml:space="preserve">, Subramanian, &amp; </w:t>
      </w:r>
      <w:proofErr w:type="spellStart"/>
      <w:r w:rsidRPr="007D7C27">
        <w:rPr>
          <w:bCs/>
          <w:color w:val="000000" w:themeColor="text1"/>
        </w:rPr>
        <w:t>Trebbi</w:t>
      </w:r>
      <w:proofErr w:type="spellEnd"/>
      <w:r w:rsidRPr="007D7C27">
        <w:rPr>
          <w:bCs/>
          <w:color w:val="000000" w:themeColor="text1"/>
        </w:rPr>
        <w:t>,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w:t>
      </w:r>
      <w:proofErr w:type="spellStart"/>
      <w:r w:rsidRPr="007D7C27">
        <w:rPr>
          <w:bCs/>
          <w:color w:val="000000" w:themeColor="text1"/>
        </w:rPr>
        <w:t>Howlett</w:t>
      </w:r>
      <w:proofErr w:type="spellEnd"/>
      <w:r w:rsidRPr="007D7C27">
        <w:rPr>
          <w:bCs/>
          <w:color w:val="000000" w:themeColor="text1"/>
        </w:rPr>
        <w:t xml:space="preserve"> &amp; </w:t>
      </w:r>
      <w:proofErr w:type="spellStart"/>
      <w:r w:rsidRPr="007D7C27">
        <w:rPr>
          <w:bCs/>
          <w:color w:val="000000" w:themeColor="text1"/>
        </w:rPr>
        <w:t>Cashore</w:t>
      </w:r>
      <w:proofErr w:type="spellEnd"/>
      <w:r w:rsidRPr="007D7C27">
        <w:rPr>
          <w:bCs/>
          <w:color w:val="000000" w:themeColor="text1"/>
        </w:rPr>
        <w:t>,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5"/>
      <w:commentRangeStart w:id="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FSC:</w:t>
      </w:r>
      <w:r w:rsidRPr="004A1418">
        <w:rPr>
          <w:color w:val="000000" w:themeColor="text1"/>
        </w:rP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SFI:</w:t>
      </w:r>
      <w:r w:rsidRPr="004A1418">
        <w:rPr>
          <w:color w:val="000000" w:themeColor="text1"/>
        </w:rP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“Sustainable” Forestry:</w:t>
      </w:r>
      <w:r w:rsidRPr="004A1418">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0581BAF5" w:rsidR="004A1418" w:rsidRPr="004A1418" w:rsidRDefault="00DB5823" w:rsidP="004A1418">
      <w:pPr>
        <w:widowControl w:val="0"/>
        <w:autoSpaceDE w:val="0"/>
        <w:autoSpaceDN w:val="0"/>
        <w:adjustRightInd w:val="0"/>
        <w:spacing w:after="240" w:line="480" w:lineRule="auto"/>
        <w:rPr>
          <w:color w:val="000000" w:themeColor="text1"/>
        </w:rPr>
      </w:pPr>
      <w:r>
        <w:rPr>
          <w:color w:val="000000" w:themeColor="text1"/>
        </w:rPr>
        <w:t xml:space="preserve">Here </w:t>
      </w:r>
      <w:r w:rsidR="004A1418" w:rsidRPr="004A1418">
        <w:rPr>
          <w:color w:val="000000" w:themeColor="text1"/>
        </w:rPr>
        <w:t xml:space="preserve">we compare each standard to its previous version and the contemporary version from its </w:t>
      </w:r>
      <w:r w:rsidR="004A1418" w:rsidRPr="004A1418">
        <w:rPr>
          <w:color w:val="000000" w:themeColor="text1"/>
        </w:rPr>
        <w:lastRenderedPageBreak/>
        <w:t>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786DE644"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2B27ACD9"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2C1EDB46"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Prescriptiveness: Overall, the FSC maintained more prescriptive requirements in its Principles &amp; </w:t>
      </w:r>
      <w:r w:rsidRPr="001278EA">
        <w:rPr>
          <w:color w:val="000000" w:themeColor="text1"/>
        </w:rPr>
        <w:lastRenderedPageBreak/>
        <w:t xml:space="preserve">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36CEC91F"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3606890C"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[FIGURE 3]</w:t>
      </w:r>
    </w:p>
    <w:p w14:paraId="33C46295"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06C41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w:t>
      </w:r>
      <w:r w:rsidRPr="001278EA">
        <w:rPr>
          <w:color w:val="000000" w:themeColor="text1"/>
        </w:rPr>
        <w:lastRenderedPageBreak/>
        <w:t xml:space="preserve">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1278EA">
        <w:rPr>
          <w:color w:val="000000" w:themeColor="text1"/>
        </w:rPr>
        <w:t>PEFC</w:t>
      </w:r>
      <w:proofErr w:type="gramEnd"/>
      <w:r w:rsidRPr="001278EA">
        <w:rPr>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E9CCD7D"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842448"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1278EA">
        <w:rPr>
          <w:color w:val="000000" w:themeColor="text1"/>
        </w:rPr>
        <w:t>takes</w:t>
      </w:r>
      <w:proofErr w:type="gramEnd"/>
      <w:r w:rsidRPr="001278EA">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1278EA">
        <w:rPr>
          <w:color w:val="000000" w:themeColor="text1"/>
        </w:rPr>
        <w:t>same.</w:t>
      </w:r>
      <w:proofErr w:type="gramEnd"/>
    </w:p>
    <w:p w14:paraId="387098FA"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52A978D9"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programs cover similar ecological issues, with some qualitative differences. Both FSC–P&amp;C and PEFC requirements prohibited the use of GMOs in the area being certified, with some </w:t>
      </w:r>
      <w:r w:rsidRPr="001278EA">
        <w:rPr>
          <w:color w:val="000000" w:themeColor="text1"/>
        </w:rPr>
        <w:lastRenderedPageBreak/>
        <w:t xml:space="preserve">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A8E085B"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45E357A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0998C31D"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Scope: Consistent with the international level, the activist-backed FSC-US program and </w:t>
      </w:r>
      <w:r w:rsidRPr="0011378B">
        <w:rPr>
          <w:color w:val="000000" w:themeColor="text1"/>
        </w:rPr>
        <w:lastRenderedPageBreak/>
        <w:t>industry-backed SFI program in the United States address a similar scope of issues, but the FSC-US is more prescriptive on most (the top panel of Figure 4).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4481D945"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44790C93"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4).  </w:t>
      </w:r>
    </w:p>
    <w:p w14:paraId="72E43B71"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38C9484D"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Counting changes made to the FSC-US and SFI standards between 2008 and 2016 reveals an “upward diverging” pattern, where the FSC-US became more prescriptive than did the SFI  (the bottom panel of figure 4). Of 48 key issues, the FSC-US became more prescriptive in 20, whereas SFI became more prescriptive in 12, eight in 2010, one more in 2013, and three more in 2015.</w:t>
      </w:r>
    </w:p>
    <w:p w14:paraId="1CE77B54"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77318AF"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[FIGURE 4]</w:t>
      </w:r>
    </w:p>
    <w:p w14:paraId="1586E33E"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2C88A20"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Policy Settings: Issues such as </w:t>
      </w:r>
      <w:proofErr w:type="spellStart"/>
      <w:r w:rsidRPr="0011378B">
        <w:rPr>
          <w:color w:val="000000" w:themeColor="text1"/>
        </w:rPr>
        <w:t>clearcuts</w:t>
      </w:r>
      <w:proofErr w:type="spellEnd"/>
      <w:r w:rsidRPr="0011378B">
        <w:rPr>
          <w:color w:val="000000" w:themeColor="text1"/>
        </w:rP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rsidRPr="0011378B">
        <w:rPr>
          <w:color w:val="000000" w:themeColor="text1"/>
        </w:rPr>
        <w:t>clearcuts</w:t>
      </w:r>
      <w:proofErr w:type="spellEnd"/>
      <w:r w:rsidRPr="0011378B">
        <w:rPr>
          <w:color w:val="000000" w:themeColor="text1"/>
        </w:rPr>
        <w:t xml:space="preserve"> to reflect "natural disturbance" and maintain ecological functions regardless of how it looks, whereas the SFI emphasizes "the visual impacts of forestry" and requires rapid site “green-up.” Quantitatively, the SFI limited </w:t>
      </w:r>
      <w:proofErr w:type="spellStart"/>
      <w:r w:rsidRPr="0011378B">
        <w:rPr>
          <w:color w:val="000000" w:themeColor="text1"/>
        </w:rPr>
        <w:t>clearcuts</w:t>
      </w:r>
      <w:proofErr w:type="spellEnd"/>
      <w:r w:rsidRPr="0011378B">
        <w:rPr>
          <w:color w:val="000000" w:themeColor="text1"/>
        </w:rPr>
        <w:t xml:space="preserve"> for all forest types to an average of 120 acres with no maximum and no limits for harvesting with 20 percent tree retention (i.e., intensive but not </w:t>
      </w:r>
      <w:proofErr w:type="spellStart"/>
      <w:r w:rsidRPr="0011378B">
        <w:rPr>
          <w:color w:val="000000" w:themeColor="text1"/>
        </w:rPr>
        <w:t>clearcut</w:t>
      </w:r>
      <w:proofErr w:type="spellEnd"/>
      <w:r w:rsidRPr="0011378B">
        <w:rPr>
          <w:color w:val="000000" w:themeColor="text1"/>
        </w:rPr>
        <w:t xml:space="preserve"> harvesting). In contrast, the FSC-US limits </w:t>
      </w:r>
      <w:proofErr w:type="spellStart"/>
      <w:r w:rsidRPr="0011378B">
        <w:rPr>
          <w:color w:val="000000" w:themeColor="text1"/>
        </w:rPr>
        <w:t>clearcuts</w:t>
      </w:r>
      <w:proofErr w:type="spellEnd"/>
      <w:r w:rsidRPr="0011378B">
        <w:rPr>
          <w:color w:val="000000" w:themeColor="text1"/>
        </w:rP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5). For harvesting near streams, the FSC-US lists specific requirements for water quality, </w:t>
      </w:r>
      <w:r w:rsidRPr="0011378B">
        <w:rPr>
          <w:color w:val="000000" w:themeColor="text1"/>
        </w:rPr>
        <w:lastRenderedPageBreak/>
        <w:t>habitat, and other objectives with a focus on restoration. Additionally, most FSC-US regions have numeric minimum riparian buffer zones (figure 6). In 2015, SFI expanded its definitions of riparian areas but continued to allow more discretion regarding what managers include in plans to protect water resources with no numerical minimums beyond those in state laws and best management practices.</w:t>
      </w:r>
    </w:p>
    <w:p w14:paraId="1267EE34"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382A0F0B"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408FDDC8"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6A3C11C1"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w:t>
      </w:r>
      <w:r w:rsidRPr="0011378B">
        <w:rPr>
          <w:color w:val="000000" w:themeColor="text1"/>
        </w:rPr>
        <w:lastRenderedPageBreak/>
        <w:t>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1D81F9A0"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1E5220CE"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w:t>
      </w:r>
    </w:p>
    <w:p w14:paraId="4FC142B8"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44297C69"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11378B">
        <w:rPr>
          <w:color w:val="000000" w:themeColor="text1"/>
        </w:rPr>
        <w:t>clearcutting</w:t>
      </w:r>
      <w:proofErr w:type="spellEnd"/>
      <w:r w:rsidRPr="0011378B">
        <w:rPr>
          <w:color w:val="000000" w:themeColor="text1"/>
        </w:rPr>
        <w:t xml:space="preserve">,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0696B3BF"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A3203F7" w14:textId="06058595" w:rsidR="004334A5" w:rsidRDefault="0011378B" w:rsidP="004A1418">
      <w:pPr>
        <w:widowControl w:val="0"/>
        <w:autoSpaceDE w:val="0"/>
        <w:autoSpaceDN w:val="0"/>
        <w:adjustRightInd w:val="0"/>
        <w:spacing w:after="240" w:line="480" w:lineRule="auto"/>
        <w:rPr>
          <w:color w:val="000000" w:themeColor="text1"/>
        </w:rPr>
      </w:pPr>
      <w:r w:rsidRPr="0011378B">
        <w:rPr>
          <w:color w:val="000000" w:themeColor="text1"/>
        </w:rP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w:t>
      </w:r>
      <w:r>
        <w:rPr>
          <w:color w:val="000000" w:themeColor="text1"/>
        </w:rPr>
        <w:t xml:space="preserve">and respect indigenous rights. </w:t>
      </w:r>
    </w:p>
    <w:p w14:paraId="1CE253E3" w14:textId="77777777" w:rsidR="0011378B" w:rsidRPr="004A1418" w:rsidRDefault="0011378B"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lastRenderedPageBreak/>
        <w:t xml:space="preserve">## </w:t>
      </w:r>
      <w:r w:rsidR="004A1418" w:rsidRPr="00A24B5F">
        <w:rPr>
          <w:b/>
          <w:color w:val="000000" w:themeColor="text1"/>
        </w:rPr>
        <w:t>5.1 Overall comparison</w:t>
      </w:r>
    </w:p>
    <w:p w14:paraId="1A0F03DE"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4D14120C"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16052B42" w14:textId="77777777" w:rsidR="0017576D" w:rsidRPr="0017576D" w:rsidRDefault="0017576D" w:rsidP="0017576D">
      <w:pPr>
        <w:widowControl w:val="0"/>
        <w:autoSpaceDE w:val="0"/>
        <w:autoSpaceDN w:val="0"/>
        <w:adjustRightInd w:val="0"/>
        <w:spacing w:after="240" w:line="480" w:lineRule="auto"/>
        <w:rPr>
          <w:color w:val="000000" w:themeColor="text1"/>
        </w:rPr>
      </w:pPr>
      <w:proofErr w:type="gramStart"/>
      <w:r w:rsidRPr="0017576D">
        <w:rPr>
          <w:color w:val="000000" w:themeColor="text1"/>
        </w:rPr>
        <w:t>One way</w:t>
      </w:r>
      <w:proofErr w:type="gramEnd"/>
      <w:r w:rsidRPr="0017576D">
        <w:rPr>
          <w:color w:val="000000" w:themeColor="text1"/>
        </w:rPr>
        <w:t xml:space="preserve">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aims. </w:t>
      </w:r>
    </w:p>
    <w:p w14:paraId="5F592EBC"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7B62BF21"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rsidRPr="0017576D">
        <w:rPr>
          <w:color w:val="000000" w:themeColor="text1"/>
        </w:rPr>
        <w:t>more stark</w:t>
      </w:r>
      <w:proofErr w:type="gramEnd"/>
      <w:r w:rsidRPr="0017576D">
        <w:rPr>
          <w:color w:val="000000" w:themeColor="text1"/>
        </w:rP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w:t>
      </w:r>
      <w:r w:rsidRPr="0017576D">
        <w:rPr>
          <w:color w:val="000000" w:themeColor="text1"/>
        </w:rPr>
        <w:lastRenderedPageBreak/>
        <w:t xml:space="preserve">definitions of what counts as a social issue, by most qualitative comparisons, and certainly in terms of prescriptiveness, the FSC-US standard is more stringent than the SFI standard on social issues. </w:t>
      </w:r>
    </w:p>
    <w:p w14:paraId="164B5737"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635DA721"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1AE18823"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593076D0"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5.2 Patterns of change</w:t>
      </w:r>
    </w:p>
    <w:p w14:paraId="334AEA12"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w:t>
      </w:r>
    </w:p>
    <w:p w14:paraId="5C028C94"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68D7F403"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lastRenderedPageBreak/>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3FB906A9"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384146A1"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[Figure 7]</w:t>
      </w:r>
    </w:p>
    <w:p w14:paraId="3B3F6209"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09A0BB0E"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17576D">
        <w:rPr>
          <w:color w:val="000000" w:themeColor="text1"/>
        </w:rPr>
        <w:t>operations,</w:t>
      </w:r>
      <w:proofErr w:type="gramEnd"/>
      <w:r w:rsidRPr="0017576D">
        <w:rPr>
          <w:color w:val="000000" w:themeColor="text1"/>
        </w:rPr>
        <w:t xml:space="preserve"> an issue usually associated more with the SFI. This outcome is interesting because scholars generally predict that private regulations that are less stringent overall will converge toward “benchmark” standards like FSC’s (</w:t>
      </w:r>
      <w:proofErr w:type="spellStart"/>
      <w:r w:rsidRPr="0017576D">
        <w:rPr>
          <w:color w:val="000000" w:themeColor="text1"/>
        </w:rPr>
        <w:t>Overdevest</w:t>
      </w:r>
      <w:proofErr w:type="spellEnd"/>
      <w:r w:rsidRPr="0017576D">
        <w:rPr>
          <w:color w:val="000000" w:themeColor="text1"/>
        </w:rPr>
        <w:t xml:space="preserve"> 2005, 2010). Instead, we find the FSC ratcheting up on an issue where its </w:t>
      </w:r>
      <w:r w:rsidRPr="0017576D">
        <w:rPr>
          <w:color w:val="000000" w:themeColor="text1"/>
        </w:rPr>
        <w:lastRenderedPageBreak/>
        <w:t xml:space="preserve">industry-backed competitor had more stringent requirements. Indeed, most studies overlook the </w:t>
      </w:r>
      <w:proofErr w:type="spellStart"/>
      <w:r w:rsidRPr="0017576D">
        <w:rPr>
          <w:color w:val="000000" w:themeColor="text1"/>
        </w:rPr>
        <w:t>possiblity</w:t>
      </w:r>
      <w:proofErr w:type="spellEnd"/>
      <w:r w:rsidRPr="0017576D">
        <w:rPr>
          <w:color w:val="000000" w:themeColor="text1"/>
        </w:rPr>
        <w:t xml:space="preserve">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7634BC02"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601D9435"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69CB9C47"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433746A1"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w:t>
      </w:r>
      <w:proofErr w:type="spellStart"/>
      <w:r w:rsidRPr="0017576D">
        <w:rPr>
          <w:color w:val="000000" w:themeColor="text1"/>
        </w:rPr>
        <w:t>foresty</w:t>
      </w:r>
      <w:proofErr w:type="spellEnd"/>
      <w:r w:rsidRPr="0017576D">
        <w:rPr>
          <w:color w:val="000000" w:themeColor="text1"/>
        </w:rPr>
        <w:t xml:space="preserve"> sector. These results in hand, we can compare them to the hypotheses presented in section 2.3.</w:t>
      </w:r>
    </w:p>
    <w:p w14:paraId="3A9D6B7A"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4430EAC1"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5.3 Implications for theory testing</w:t>
      </w:r>
    </w:p>
    <w:p w14:paraId="23AADA3D"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lastRenderedPageBreak/>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6C830DC1"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7AB39CC5"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579234EA" w14:textId="77777777" w:rsidR="0017576D" w:rsidRPr="0017576D" w:rsidRDefault="0017576D" w:rsidP="0017576D">
      <w:pPr>
        <w:widowControl w:val="0"/>
        <w:autoSpaceDE w:val="0"/>
        <w:autoSpaceDN w:val="0"/>
        <w:adjustRightInd w:val="0"/>
        <w:spacing w:after="240" w:line="480" w:lineRule="auto"/>
        <w:rPr>
          <w:color w:val="000000" w:themeColor="text1"/>
        </w:rPr>
      </w:pPr>
      <w:bookmarkStart w:id="28" w:name="_GoBack"/>
      <w:bookmarkEnd w:id="28"/>
    </w:p>
    <w:p w14:paraId="1F04DEE2" w14:textId="58515FA2"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Assuming that changes in scope are less costly than changes in prescriptiveness, our findings are somewhat consistent with Example Hypothesis 1.1. Across social, ecological, and business issues, the </w:t>
      </w:r>
      <w:r w:rsidR="00B928C4" w:rsidRPr="0017576D">
        <w:rPr>
          <w:color w:val="000000" w:themeColor="text1"/>
        </w:rPr>
        <w:t>activist</w:t>
      </w:r>
      <w:r w:rsidRPr="0017576D">
        <w:rPr>
          <w:color w:val="000000" w:themeColor="text1"/>
        </w:rPr>
        <w:t xml:space="preserve">-backed program and industry-backed program slightly converged on scope and clearly did not converge on prescriptiveness. If “talk is cheap,” but prescriptive requirements are costly, it makes sense that an industry-backed program would add language similar to that of </w:t>
      </w:r>
      <w:r w:rsidRPr="0017576D">
        <w:rPr>
          <w:color w:val="000000" w:themeColor="text1"/>
        </w:rPr>
        <w:lastRenderedPageBreak/>
        <w:t xml:space="preserve">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18E750D5"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7D14AEDA"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1D84D93C"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0C8E85FA"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52B67D9E"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3DFE0046"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5.4 Industry-backed certification programs as a form of collective action.</w:t>
      </w:r>
    </w:p>
    <w:p w14:paraId="545D4A28"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lastRenderedPageBreak/>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19F2BA5F"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0FE4A030"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 xml:space="preserve">Regarding the first, </w:t>
      </w:r>
      <w:proofErr w:type="spellStart"/>
      <w:r w:rsidRPr="0017576D">
        <w:rPr>
          <w:color w:val="000000" w:themeColor="text1"/>
        </w:rPr>
        <w:t>Cashore</w:t>
      </w:r>
      <w:proofErr w:type="spellEnd"/>
      <w:r w:rsidRPr="0017576D">
        <w:rPr>
          <w:color w:val="000000" w:themeColor="text1"/>
        </w:rPr>
        <w:t xml:space="preserve"> et al. (2004)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17576D">
        <w:rPr>
          <w:color w:val="000000" w:themeColor="text1"/>
        </w:rPr>
        <w:t>greenwashing</w:t>
      </w:r>
      <w:proofErr w:type="spellEnd"/>
      <w:r w:rsidRPr="0017576D">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w:t>
      </w:r>
      <w:r w:rsidRPr="0017576D">
        <w:rPr>
          <w:color w:val="000000" w:themeColor="text1"/>
        </w:rPr>
        <w:lastRenderedPageBreak/>
        <w:t xml:space="preserve">supporting alternative programs, firms collectively create institutions that help them maximize the impression of stringency while minimizing the costs of doing so. This dynamic describes most key issues in our study.  </w:t>
      </w:r>
    </w:p>
    <w:p w14:paraId="50E20477"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09D21776" w14:textId="77777777" w:rsidR="0017576D" w:rsidRPr="0017576D" w:rsidRDefault="0017576D" w:rsidP="0017576D">
      <w:pPr>
        <w:widowControl w:val="0"/>
        <w:autoSpaceDE w:val="0"/>
        <w:autoSpaceDN w:val="0"/>
        <w:adjustRightInd w:val="0"/>
        <w:spacing w:after="240" w:line="480" w:lineRule="auto"/>
        <w:rPr>
          <w:color w:val="000000" w:themeColor="text1"/>
        </w:rPr>
      </w:pPr>
      <w:r w:rsidRPr="0017576D">
        <w:rPr>
          <w:color w:val="000000" w:themeColor="text1"/>
        </w:rP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5BDAAF41" w14:textId="77777777" w:rsidR="0017576D" w:rsidRPr="0017576D" w:rsidRDefault="0017576D" w:rsidP="0017576D">
      <w:pPr>
        <w:widowControl w:val="0"/>
        <w:autoSpaceDE w:val="0"/>
        <w:autoSpaceDN w:val="0"/>
        <w:adjustRightInd w:val="0"/>
        <w:spacing w:after="240" w:line="480" w:lineRule="auto"/>
        <w:rPr>
          <w:color w:val="000000" w:themeColor="text1"/>
        </w:rPr>
      </w:pPr>
    </w:p>
    <w:p w14:paraId="1A40DF8A" w14:textId="48DCC846" w:rsidR="004A1418" w:rsidRDefault="0017576D" w:rsidP="004A1418">
      <w:pPr>
        <w:widowControl w:val="0"/>
        <w:autoSpaceDE w:val="0"/>
        <w:autoSpaceDN w:val="0"/>
        <w:adjustRightInd w:val="0"/>
        <w:spacing w:after="240" w:line="480" w:lineRule="auto"/>
        <w:rPr>
          <w:color w:val="000000" w:themeColor="text1"/>
        </w:rPr>
      </w:pPr>
      <w:r w:rsidRPr="0017576D">
        <w:rPr>
          <w:color w:val="000000" w:themeColor="text1"/>
        </w:rPr>
        <w:t>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w:t>
      </w:r>
      <w:r>
        <w:rPr>
          <w:color w:val="000000" w:themeColor="text1"/>
        </w:rPr>
        <w:t xml:space="preserve">ressures or consumer demands.  </w:t>
      </w:r>
    </w:p>
    <w:p w14:paraId="58FC021D" w14:textId="77777777" w:rsidR="0017576D" w:rsidRPr="004A1418" w:rsidRDefault="0017576D"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w:t>
      </w:r>
      <w:r w:rsidRPr="004A1418">
        <w:rPr>
          <w:color w:val="000000" w:themeColor="text1"/>
        </w:rPr>
        <w:lastRenderedPageBreak/>
        <w:t xml:space="preserve">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lastRenderedPageBreak/>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w:t>
      </w:r>
      <w:r w:rsidRPr="00387397">
        <w:rPr>
          <w:noProof/>
        </w:rPr>
        <w:lastRenderedPageBreak/>
        <w:t>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 xml:space="preserve">Forest Certification: A Status </w:t>
      </w:r>
      <w:r w:rsidRPr="00387397">
        <w:rPr>
          <w:i/>
          <w:iCs/>
          <w:noProof/>
        </w:rPr>
        <w:lastRenderedPageBreak/>
        <w:t>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w:t>
      </w:r>
      <w:r w:rsidRPr="00387397">
        <w:rPr>
          <w:noProof/>
        </w:rPr>
        <w:lastRenderedPageBreak/>
        <w:t xml:space="preserve">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xml:space="preserve">, 17–33. </w:t>
      </w:r>
      <w:r w:rsidRPr="00387397">
        <w:rPr>
          <w:noProof/>
        </w:rPr>
        <w:lastRenderedPageBreak/>
        <w:t>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lastRenderedPageBreak/>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xml:space="preserve">. </w:t>
      </w:r>
      <w:r w:rsidRPr="00387397">
        <w:rPr>
          <w:noProof/>
        </w:rPr>
        <w:lastRenderedPageBreak/>
        <w:t>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xml:space="preserve">. </w:t>
      </w:r>
      <w:r w:rsidRPr="00387397">
        <w:rPr>
          <w:noProof/>
        </w:rPr>
        <w:lastRenderedPageBreak/>
        <w:t>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CA0E0F" w:rsidRDefault="00CA0E0F" w:rsidP="000A2C8A">
      <w:pPr>
        <w:pStyle w:val="CommentText"/>
      </w:pPr>
      <w:r>
        <w:rPr>
          <w:rStyle w:val="CommentReference"/>
        </w:rPr>
        <w:annotationRef/>
      </w:r>
      <w:r>
        <w:t>Yes this is the key point</w:t>
      </w:r>
    </w:p>
  </w:comment>
  <w:comment w:id="1" w:author="Cashore, Benjamin" w:date="2019-03-10T23:03:00Z" w:initials="CB">
    <w:p w14:paraId="7F655D3A" w14:textId="399ED589" w:rsidR="00CA0E0F" w:rsidRDefault="00CA0E0F">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CA0E0F" w:rsidRDefault="00CA0E0F">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3" w:author="Cashore, Benjamin" w:date="2019-03-10T23:04:00Z" w:initials="CB">
    <w:p w14:paraId="48DDC670" w14:textId="24D4620B" w:rsidR="00CA0E0F" w:rsidRDefault="00CA0E0F">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CA0E0F" w:rsidRDefault="00CA0E0F">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CA0E0F" w:rsidRDefault="00CA0E0F">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6" w:author="DJL" w:date="2019-03-12T08:32:00Z" w:initials="D">
    <w:p w14:paraId="77C6036C" w14:textId="29807405" w:rsidR="00CA0E0F" w:rsidRDefault="00CA0E0F">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CA0E0F" w:rsidRDefault="00CA0E0F">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CA0E0F" w:rsidRDefault="00CA0E0F">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CA0E0F" w:rsidRDefault="00CA0E0F"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CA0E0F" w:rsidRDefault="00CA0E0F">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CA0E0F" w:rsidRDefault="00CA0E0F">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CA0E0F" w:rsidRDefault="00CA0E0F">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CA0E0F" w:rsidRDefault="00CA0E0F">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CA0E0F" w:rsidRDefault="00CA0E0F">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 w:author="DJL" w:date="2019-03-11T16:32:00Z" w:initials="D">
    <w:p w14:paraId="2A6BAEA7" w14:textId="700D2C2E" w:rsidR="00CA0E0F" w:rsidRDefault="00CA0E0F">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CA0E0F" w:rsidRDefault="00CA0E0F"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CA0E0F" w:rsidRDefault="00CA0E0F"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CA0E0F" w:rsidRDefault="00CA0E0F"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CA0E0F" w:rsidRDefault="00CA0E0F"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CA0E0F" w:rsidRDefault="00CA0E0F"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CA0E0F" w:rsidRDefault="00CA0E0F"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CA0E0F" w:rsidRDefault="00CA0E0F" w:rsidP="002E5C5B">
      <w:r>
        <w:separator/>
      </w:r>
    </w:p>
  </w:endnote>
  <w:endnote w:type="continuationSeparator" w:id="0">
    <w:p w14:paraId="75634233" w14:textId="77777777" w:rsidR="00CA0E0F" w:rsidRDefault="00CA0E0F" w:rsidP="002E5C5B">
      <w:r>
        <w:continuationSeparator/>
      </w:r>
    </w:p>
  </w:endnote>
  <w:endnote w:type="continuationNotice" w:id="1">
    <w:p w14:paraId="302DFA56" w14:textId="77777777" w:rsidR="00CA0E0F" w:rsidRDefault="00CA0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CA0E0F" w:rsidRDefault="00CA0E0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CA0E0F" w:rsidRDefault="00CA0E0F"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CA0E0F" w:rsidRDefault="00CA0E0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28C4">
      <w:rPr>
        <w:rStyle w:val="PageNumber"/>
        <w:noProof/>
      </w:rPr>
      <w:t>1</w:t>
    </w:r>
    <w:r>
      <w:rPr>
        <w:rStyle w:val="PageNumber"/>
      </w:rPr>
      <w:fldChar w:fldCharType="end"/>
    </w:r>
  </w:p>
  <w:p w14:paraId="63C7F481" w14:textId="77777777" w:rsidR="00CA0E0F" w:rsidRDefault="00CA0E0F"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CA0E0F" w:rsidRDefault="00CA0E0F" w:rsidP="002E5C5B">
      <w:r>
        <w:separator/>
      </w:r>
    </w:p>
  </w:footnote>
  <w:footnote w:type="continuationSeparator" w:id="0">
    <w:p w14:paraId="6DB8ED4E" w14:textId="77777777" w:rsidR="00CA0E0F" w:rsidRDefault="00CA0E0F" w:rsidP="002E5C5B">
      <w:r>
        <w:continuationSeparator/>
      </w:r>
    </w:p>
  </w:footnote>
  <w:footnote w:type="continuationNotice" w:id="1">
    <w:p w14:paraId="1C5930FC" w14:textId="77777777" w:rsidR="00CA0E0F" w:rsidRDefault="00CA0E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CA0E0F" w:rsidRDefault="00CA0E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78B"/>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576D"/>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34A5"/>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1BB"/>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0F65"/>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8C4"/>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0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10.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11.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12.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13.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14.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15.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1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17.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18.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19.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2.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20.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21.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22.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23.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24.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25.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26.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27.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28.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29.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3.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30.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31.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32.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33.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34.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35.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36.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37.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38.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39.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4.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40.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41.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42.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43.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44.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45.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46.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47.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48.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49.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5.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50.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51.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52.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53.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54.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55.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56.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57.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58.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59.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6.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60.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61.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62.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63.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64.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65.xml><?xml version="1.0" encoding="utf-8"?>
<ds:datastoreItem xmlns:ds="http://schemas.openxmlformats.org/officeDocument/2006/customXml" ds:itemID="{FDB94793-7133-0B44-AEA0-996696B66B87}">
  <ds:schemaRefs>
    <ds:schemaRef ds:uri="http://schemas.openxmlformats.org/officeDocument/2006/bibliography"/>
  </ds:schemaRefs>
</ds:datastoreItem>
</file>

<file path=customXml/itemProps66.xml><?xml version="1.0" encoding="utf-8"?>
<ds:datastoreItem xmlns:ds="http://schemas.openxmlformats.org/officeDocument/2006/customXml" ds:itemID="{06F570AE-5BDD-F443-9CCF-A2F235CFD9E7}">
  <ds:schemaRefs>
    <ds:schemaRef ds:uri="http://schemas.openxmlformats.org/officeDocument/2006/bibliography"/>
  </ds:schemaRefs>
</ds:datastoreItem>
</file>

<file path=customXml/itemProps67.xml><?xml version="1.0" encoding="utf-8"?>
<ds:datastoreItem xmlns:ds="http://schemas.openxmlformats.org/officeDocument/2006/customXml" ds:itemID="{077AE513-93FD-554D-8421-57E9011C254A}">
  <ds:schemaRefs>
    <ds:schemaRef ds:uri="http://schemas.openxmlformats.org/officeDocument/2006/bibliography"/>
  </ds:schemaRefs>
</ds:datastoreItem>
</file>

<file path=customXml/itemProps68.xml><?xml version="1.0" encoding="utf-8"?>
<ds:datastoreItem xmlns:ds="http://schemas.openxmlformats.org/officeDocument/2006/customXml" ds:itemID="{C5712BF1-26E2-7E4B-BC58-58EF5343D0D3}">
  <ds:schemaRefs>
    <ds:schemaRef ds:uri="http://schemas.openxmlformats.org/officeDocument/2006/bibliography"/>
  </ds:schemaRefs>
</ds:datastoreItem>
</file>

<file path=customXml/itemProps69.xml><?xml version="1.0" encoding="utf-8"?>
<ds:datastoreItem xmlns:ds="http://schemas.openxmlformats.org/officeDocument/2006/customXml" ds:itemID="{3A301DFD-DF22-0249-A30A-B89F42087396}">
  <ds:schemaRefs>
    <ds:schemaRef ds:uri="http://schemas.openxmlformats.org/officeDocument/2006/bibliography"/>
  </ds:schemaRefs>
</ds:datastoreItem>
</file>

<file path=customXml/itemProps7.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70.xml><?xml version="1.0" encoding="utf-8"?>
<ds:datastoreItem xmlns:ds="http://schemas.openxmlformats.org/officeDocument/2006/customXml" ds:itemID="{F5A41EBB-DEF3-2840-833E-861CD2FFD8F4}">
  <ds:schemaRefs>
    <ds:schemaRef ds:uri="http://schemas.openxmlformats.org/officeDocument/2006/bibliography"/>
  </ds:schemaRefs>
</ds:datastoreItem>
</file>

<file path=customXml/itemProps71.xml><?xml version="1.0" encoding="utf-8"?>
<ds:datastoreItem xmlns:ds="http://schemas.openxmlformats.org/officeDocument/2006/customXml" ds:itemID="{F4CA8B14-0CA2-874A-AF6B-D5C7D33F238A}">
  <ds:schemaRefs>
    <ds:schemaRef ds:uri="http://schemas.openxmlformats.org/officeDocument/2006/bibliography"/>
  </ds:schemaRefs>
</ds:datastoreItem>
</file>

<file path=customXml/itemProps72.xml><?xml version="1.0" encoding="utf-8"?>
<ds:datastoreItem xmlns:ds="http://schemas.openxmlformats.org/officeDocument/2006/customXml" ds:itemID="{8176377E-F879-BF47-88CC-F845B36C3CEC}">
  <ds:schemaRefs>
    <ds:schemaRef ds:uri="http://schemas.openxmlformats.org/officeDocument/2006/bibliography"/>
  </ds:schemaRefs>
</ds:datastoreItem>
</file>

<file path=customXml/itemProps73.xml><?xml version="1.0" encoding="utf-8"?>
<ds:datastoreItem xmlns:ds="http://schemas.openxmlformats.org/officeDocument/2006/customXml" ds:itemID="{0B12878A-A31D-124D-8DE0-CCD7E33ADDC1}">
  <ds:schemaRefs>
    <ds:schemaRef ds:uri="http://schemas.openxmlformats.org/officeDocument/2006/bibliography"/>
  </ds:schemaRefs>
</ds:datastoreItem>
</file>

<file path=customXml/itemProps74.xml><?xml version="1.0" encoding="utf-8"?>
<ds:datastoreItem xmlns:ds="http://schemas.openxmlformats.org/officeDocument/2006/customXml" ds:itemID="{4683F1E7-AF6A-F940-9A1D-37A8E0DD9094}">
  <ds:schemaRefs>
    <ds:schemaRef ds:uri="http://schemas.openxmlformats.org/officeDocument/2006/bibliography"/>
  </ds:schemaRefs>
</ds:datastoreItem>
</file>

<file path=customXml/itemProps75.xml><?xml version="1.0" encoding="utf-8"?>
<ds:datastoreItem xmlns:ds="http://schemas.openxmlformats.org/officeDocument/2006/customXml" ds:itemID="{C64C47E5-BF6F-C047-9D42-B62777242B20}">
  <ds:schemaRefs>
    <ds:schemaRef ds:uri="http://schemas.openxmlformats.org/officeDocument/2006/bibliography"/>
  </ds:schemaRefs>
</ds:datastoreItem>
</file>

<file path=customXml/itemProps76.xml><?xml version="1.0" encoding="utf-8"?>
<ds:datastoreItem xmlns:ds="http://schemas.openxmlformats.org/officeDocument/2006/customXml" ds:itemID="{DF865848-64B4-284E-BDA6-472EC6B39B0D}">
  <ds:schemaRefs>
    <ds:schemaRef ds:uri="http://schemas.openxmlformats.org/officeDocument/2006/bibliography"/>
  </ds:schemaRefs>
</ds:datastoreItem>
</file>

<file path=customXml/itemProps8.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9.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55</Pages>
  <Words>14475</Words>
  <Characters>82509</Characters>
  <Application>Microsoft Macintosh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31</cp:revision>
  <cp:lastPrinted>2018-09-07T15:16:00Z</cp:lastPrinted>
  <dcterms:created xsi:type="dcterms:W3CDTF">2019-03-13T21:17:00Z</dcterms:created>
  <dcterms:modified xsi:type="dcterms:W3CDTF">2019-03-14T19:03:00Z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