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17E981B0" w:rsidR="00491F88"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w:t>
      </w:r>
      <w:r w:rsidR="00FC3928">
        <w:rPr>
          <w:bCs/>
          <w:color w:val="000000" w:themeColor="text1"/>
        </w:rPr>
        <w:t xml:space="preserve">policy </w:t>
      </w:r>
      <w:r w:rsidRPr="00C90A60">
        <w:rPr>
          <w:bCs/>
          <w:color w:val="000000" w:themeColor="text1"/>
        </w:rPr>
        <w:t xml:space="preserve">scope, prescriptiveness, and performance levels. Using our framework, we compare two </w:t>
      </w:r>
      <w:r w:rsidR="00FC3928">
        <w:rPr>
          <w:bCs/>
          <w:color w:val="000000" w:themeColor="text1"/>
        </w:rPr>
        <w:t xml:space="preserve">leading </w:t>
      </w:r>
      <w:r w:rsidRPr="00C90A60">
        <w:rPr>
          <w:bCs/>
          <w:color w:val="000000" w:themeColor="text1"/>
        </w:rPr>
        <w:t>U</w:t>
      </w:r>
      <w:r w:rsidR="00F66C48">
        <w:rPr>
          <w:bCs/>
          <w:color w:val="000000" w:themeColor="text1"/>
        </w:rPr>
        <w:t>.</w:t>
      </w:r>
      <w:r w:rsidRPr="00C90A60">
        <w:rPr>
          <w:bCs/>
          <w:color w:val="000000" w:themeColor="text1"/>
        </w:rPr>
        <w:t>S</w:t>
      </w:r>
      <w:r w:rsidR="00F66C48">
        <w:rPr>
          <w:bCs/>
          <w:color w:val="000000" w:themeColor="text1"/>
        </w:rPr>
        <w:t>.</w:t>
      </w:r>
      <w:r w:rsidRPr="00C90A60">
        <w:rPr>
          <w:bCs/>
          <w:color w:val="000000" w:themeColor="text1"/>
        </w:rPr>
        <w:t xml:space="preserve"> forestry certification programs, revealing an upward but divergent pattern in policy prescriptiveness. The program founded by activists </w:t>
      </w:r>
      <w:r w:rsidR="00F66C48">
        <w:rPr>
          <w:bCs/>
          <w:color w:val="000000" w:themeColor="text1"/>
        </w:rPr>
        <w:t xml:space="preserve">generally </w:t>
      </w:r>
      <w:r w:rsidRPr="00C90A60">
        <w:rPr>
          <w:bCs/>
          <w:color w:val="000000" w:themeColor="text1"/>
        </w:rPr>
        <w:t>added requirements that impose costs on firms, while the program established by the American Forest &amp; Paper Association</w:t>
      </w:r>
      <w:r w:rsidR="00F66C48">
        <w:rPr>
          <w:bCs/>
          <w:color w:val="000000" w:themeColor="text1"/>
        </w:rPr>
        <w:t xml:space="preserve"> generally</w:t>
      </w:r>
      <w:r w:rsidRPr="00C90A60">
        <w:rPr>
          <w:bCs/>
          <w:color w:val="000000" w:themeColor="text1"/>
        </w:rPr>
        <w:t xml:space="preserve"> added requirements that benefit the sector</w:t>
      </w:r>
      <w:r w:rsidR="00F66C48">
        <w:rPr>
          <w:bCs/>
          <w:color w:val="000000" w:themeColor="text1"/>
        </w:rPr>
        <w:t xml:space="preserve">. This is </w:t>
      </w:r>
      <w:r w:rsidRPr="00C90A60">
        <w:rPr>
          <w:bCs/>
          <w:color w:val="000000" w:themeColor="text1"/>
        </w:rPr>
        <w:t>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w:t>
      </w:r>
      <w:proofErr w:type="spellStart"/>
      <w:r w:rsidRPr="007D7C27">
        <w:rPr>
          <w:bCs/>
          <w:color w:val="000000" w:themeColor="text1"/>
        </w:rPr>
        <w:t>Bozzi</w:t>
      </w:r>
      <w:proofErr w:type="spellEnd"/>
      <w:r w:rsidRPr="007D7C27">
        <w:rPr>
          <w:bCs/>
          <w:color w:val="000000" w:themeColor="text1"/>
        </w:rPr>
        <w:t xml:space="preserve">, </w:t>
      </w:r>
      <w:proofErr w:type="spellStart"/>
      <w:r w:rsidRPr="007D7C27">
        <w:rPr>
          <w:bCs/>
          <w:color w:val="000000" w:themeColor="text1"/>
        </w:rPr>
        <w:t>Cashore</w:t>
      </w:r>
      <w:proofErr w:type="spellEnd"/>
      <w:r w:rsidRPr="007D7C27">
        <w:rPr>
          <w:bCs/>
          <w:color w:val="000000" w:themeColor="text1"/>
        </w:rPr>
        <w:t xml:space="preserve">, Levin, &amp; McDermott, 2012; Hudson &amp; Hudson, 2003; van der </w:t>
      </w:r>
      <w:proofErr w:type="spellStart"/>
      <w:r w:rsidRPr="007D7C27">
        <w:rPr>
          <w:bCs/>
          <w:color w:val="000000" w:themeColor="text1"/>
        </w:rPr>
        <w:t>Ven</w:t>
      </w:r>
      <w:proofErr w:type="spellEnd"/>
      <w:r w:rsidRPr="007D7C27">
        <w:rPr>
          <w:bCs/>
          <w:color w:val="000000" w:themeColor="text1"/>
        </w:rPr>
        <w:t xml:space="preserve">, 2015; Vince &amp; </w:t>
      </w:r>
      <w:proofErr w:type="spellStart"/>
      <w:r w:rsidRPr="007D7C27">
        <w:rPr>
          <w:bCs/>
          <w:color w:val="000000" w:themeColor="text1"/>
        </w:rPr>
        <w:t>Haward</w:t>
      </w:r>
      <w:proofErr w:type="spellEnd"/>
      <w:r w:rsidRPr="007D7C27">
        <w:rPr>
          <w:bCs/>
          <w:color w:val="000000" w:themeColor="text1"/>
        </w:rPr>
        <w:t xml:space="preserve">, 2017; Vogel, 2008). </w:t>
      </w:r>
      <w:proofErr w:type="gramStart"/>
      <w:r w:rsidRPr="007D7C27">
        <w:rPr>
          <w:bCs/>
          <w:color w:val="000000" w:themeColor="text1"/>
        </w:rPr>
        <w:t>Many of these initiatives were founded by activists who were dissatisfied with public regulations</w:t>
      </w:r>
      <w:proofErr w:type="gramEnd"/>
      <w:r w:rsidRPr="007D7C27">
        <w:rPr>
          <w:bCs/>
          <w:color w:val="000000" w:themeColor="text1"/>
        </w:rPr>
        <w:t>.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w:t>
      </w:r>
      <w:proofErr w:type="spellStart"/>
      <w:r w:rsidRPr="007D7C27">
        <w:rPr>
          <w:bCs/>
          <w:color w:val="000000" w:themeColor="text1"/>
        </w:rPr>
        <w:t>Cashore</w:t>
      </w:r>
      <w:proofErr w:type="spellEnd"/>
      <w:r w:rsidRPr="007D7C27">
        <w:rPr>
          <w:bCs/>
          <w:color w:val="000000" w:themeColor="text1"/>
        </w:rPr>
        <w:t xml:space="preserv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 xml:space="preserve">requirements across jurisdictions (e.g., Berger &amp; Dore, 1996; </w:t>
      </w:r>
      <w:proofErr w:type="spellStart"/>
      <w:r w:rsidRPr="007D7C27">
        <w:rPr>
          <w:bCs/>
          <w:color w:val="000000" w:themeColor="text1"/>
        </w:rPr>
        <w:t>Rodrik</w:t>
      </w:r>
      <w:proofErr w:type="spellEnd"/>
      <w:r w:rsidRPr="007D7C27">
        <w:rPr>
          <w:bCs/>
          <w:color w:val="000000" w:themeColor="text1"/>
        </w:rPr>
        <w:t xml:space="preserve">, Subramanian, &amp; </w:t>
      </w:r>
      <w:proofErr w:type="spellStart"/>
      <w:r w:rsidRPr="007D7C27">
        <w:rPr>
          <w:bCs/>
          <w:color w:val="000000" w:themeColor="text1"/>
        </w:rPr>
        <w:t>Trebbi</w:t>
      </w:r>
      <w:proofErr w:type="spellEnd"/>
      <w:r w:rsidRPr="007D7C27">
        <w:rPr>
          <w:bCs/>
          <w:color w:val="000000" w:themeColor="text1"/>
        </w:rPr>
        <w:t>,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w:t>
      </w:r>
      <w:proofErr w:type="spellStart"/>
      <w:r w:rsidRPr="007D7C27">
        <w:rPr>
          <w:bCs/>
          <w:color w:val="000000" w:themeColor="text1"/>
        </w:rPr>
        <w:t>Howlett</w:t>
      </w:r>
      <w:proofErr w:type="spellEnd"/>
      <w:r w:rsidRPr="007D7C27">
        <w:rPr>
          <w:bCs/>
          <w:color w:val="000000" w:themeColor="text1"/>
        </w:rPr>
        <w:t xml:space="preserve"> &amp; </w:t>
      </w:r>
      <w:proofErr w:type="spellStart"/>
      <w:r w:rsidRPr="007D7C27">
        <w:rPr>
          <w:bCs/>
          <w:color w:val="000000" w:themeColor="text1"/>
        </w:rPr>
        <w:t>Cashore</w:t>
      </w:r>
      <w:proofErr w:type="spellEnd"/>
      <w:r w:rsidRPr="007D7C27">
        <w:rPr>
          <w:bCs/>
          <w:color w:val="000000" w:themeColor="text1"/>
        </w:rPr>
        <w:t>,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0"/>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1"/>
      <w:commentRangeStart w:id="2"/>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1"/>
      <w:r w:rsidR="00527EFD">
        <w:rPr>
          <w:rStyle w:val="CommentReference"/>
          <w:rFonts w:asciiTheme="minorHAnsi" w:hAnsiTheme="minorHAnsi" w:cstheme="minorBidi"/>
        </w:rPr>
        <w:commentReference w:id="1"/>
      </w:r>
      <w:commentRangeEnd w:id="2"/>
      <w:r w:rsidR="00432103">
        <w:rPr>
          <w:rStyle w:val="CommentReference"/>
          <w:rFonts w:asciiTheme="minorHAnsi" w:hAnsiTheme="minorHAnsi" w:cstheme="minorBidi"/>
        </w:rPr>
        <w:commentReference w:id="2"/>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3"/>
      <w:commentRangeStart w:id="4"/>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3"/>
      <w:r w:rsidR="006F3194">
        <w:rPr>
          <w:rStyle w:val="CommentReference"/>
          <w:rFonts w:asciiTheme="minorHAnsi" w:hAnsiTheme="minorHAnsi" w:cstheme="minorBidi"/>
        </w:rPr>
        <w:commentReference w:id="3"/>
      </w:r>
      <w:commentRangeEnd w:id="4"/>
      <w:r w:rsidR="00C31FF7">
        <w:rPr>
          <w:rStyle w:val="CommentReference"/>
          <w:rFonts w:asciiTheme="minorHAnsi" w:hAnsiTheme="minorHAnsi" w:cstheme="minorBidi"/>
        </w:rPr>
        <w:commentReference w:id="4"/>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w:t>
      </w:r>
      <w:proofErr w:type="spellStart"/>
      <w:r w:rsidR="00722696" w:rsidRPr="00722696">
        <w:rPr>
          <w:color w:val="000000" w:themeColor="text1"/>
        </w:rPr>
        <w:t>Meidinger</w:t>
      </w:r>
      <w:proofErr w:type="spellEnd"/>
      <w:r w:rsidR="00722696" w:rsidRPr="00722696">
        <w:rPr>
          <w:color w:val="000000" w:themeColor="text1"/>
        </w:rPr>
        <w:t xml:space="preserve">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w:t>
      </w:r>
      <w:proofErr w:type="spellStart"/>
      <w:r w:rsidR="00722696" w:rsidRPr="00722696">
        <w:rPr>
          <w:color w:val="000000" w:themeColor="text1"/>
        </w:rPr>
        <w:t>Delmas</w:t>
      </w:r>
      <w:proofErr w:type="spellEnd"/>
      <w:r w:rsidR="00722696" w:rsidRPr="00722696">
        <w:rPr>
          <w:color w:val="000000" w:themeColor="text1"/>
        </w:rPr>
        <w:t xml:space="preserve"> &amp; </w:t>
      </w:r>
      <w:proofErr w:type="spellStart"/>
      <w:r w:rsidR="00722696" w:rsidRPr="00722696">
        <w:rPr>
          <w:color w:val="000000" w:themeColor="text1"/>
        </w:rPr>
        <w:t>Montiel</w:t>
      </w:r>
      <w:proofErr w:type="spellEnd"/>
      <w:r w:rsidR="00722696" w:rsidRPr="00722696">
        <w:rPr>
          <w:color w:val="000000" w:themeColor="text1"/>
        </w:rPr>
        <w:t xml:space="preserve">, 2008; </w:t>
      </w:r>
      <w:proofErr w:type="spellStart"/>
      <w:r w:rsidR="00722696" w:rsidRPr="00722696">
        <w:rPr>
          <w:color w:val="000000" w:themeColor="text1"/>
        </w:rPr>
        <w:t>Kollman</w:t>
      </w:r>
      <w:proofErr w:type="spellEnd"/>
      <w:r w:rsidR="00722696" w:rsidRPr="00722696">
        <w:rPr>
          <w:color w:val="000000" w:themeColor="text1"/>
        </w:rPr>
        <w:t xml:space="preserve"> &amp; </w:t>
      </w:r>
      <w:proofErr w:type="spellStart"/>
      <w:r w:rsidR="00722696" w:rsidRPr="00722696">
        <w:rPr>
          <w:color w:val="000000" w:themeColor="text1"/>
        </w:rPr>
        <w:t>Prakash</w:t>
      </w:r>
      <w:proofErr w:type="spellEnd"/>
      <w:r w:rsidR="00722696" w:rsidRPr="00722696">
        <w:rPr>
          <w:color w:val="000000" w:themeColor="text1"/>
        </w:rPr>
        <w:t xml:space="preserve">,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w:t>
      </w:r>
      <w:proofErr w:type="spellStart"/>
      <w:r w:rsidRPr="00722696">
        <w:rPr>
          <w:color w:val="000000" w:themeColor="text1"/>
        </w:rPr>
        <w:t>Ven</w:t>
      </w:r>
      <w:proofErr w:type="spellEnd"/>
      <w:r w:rsidRPr="00722696">
        <w:rPr>
          <w:color w:val="000000" w:themeColor="text1"/>
        </w:rPr>
        <w:t xml:space="preserve"> and </w:t>
      </w:r>
      <w:proofErr w:type="spellStart"/>
      <w:r w:rsidRPr="00722696">
        <w:rPr>
          <w:color w:val="000000" w:themeColor="text1"/>
        </w:rPr>
        <w:t>Cashore</w:t>
      </w:r>
      <w:proofErr w:type="spellEnd"/>
      <w:r w:rsidRPr="00722696">
        <w:rPr>
          <w:color w:val="000000" w:themeColor="text1"/>
        </w:rPr>
        <w:t xml:space="preserve">, 2018). Even activist-backed programs that establish stringent requirements on one issue at one point in time may not </w:t>
      </w:r>
      <w:r w:rsidRPr="00722696">
        <w:rPr>
          <w:color w:val="000000" w:themeColor="text1"/>
        </w:rPr>
        <w:lastRenderedPageBreak/>
        <w:t>do so on other issues and at other times (</w:t>
      </w:r>
      <w:proofErr w:type="spellStart"/>
      <w:r w:rsidRPr="00722696">
        <w:rPr>
          <w:color w:val="000000" w:themeColor="text1"/>
        </w:rPr>
        <w:t>LeBaron</w:t>
      </w:r>
      <w:proofErr w:type="spellEnd"/>
      <w:r w:rsidRPr="00722696">
        <w:rPr>
          <w:color w:val="000000" w:themeColor="text1"/>
        </w:rPr>
        <w:t xml:space="preserve"> and </w:t>
      </w:r>
      <w:proofErr w:type="spellStart"/>
      <w:r w:rsidRPr="00722696">
        <w:rPr>
          <w:color w:val="000000" w:themeColor="text1"/>
        </w:rPr>
        <w:t>Burgoon</w:t>
      </w:r>
      <w:proofErr w:type="spellEnd"/>
      <w:r w:rsidRPr="00722696">
        <w:rPr>
          <w:color w:val="000000" w:themeColor="text1"/>
        </w:rPr>
        <w:t xml:space="preserve">, 2018). Nuanced gaps in otherwise stringent private regulations—“regulatory loopholes”—may also explain their lack of success in addressing problems like deforestation (van der </w:t>
      </w:r>
      <w:proofErr w:type="spellStart"/>
      <w:r w:rsidRPr="00722696">
        <w:rPr>
          <w:color w:val="000000" w:themeColor="text1"/>
        </w:rPr>
        <w:t>Ven</w:t>
      </w:r>
      <w:proofErr w:type="spellEnd"/>
      <w:r w:rsidRPr="00722696">
        <w:rPr>
          <w:color w:val="000000" w:themeColor="text1"/>
        </w:rPr>
        <w:t xml:space="preserve">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w:t>
      </w:r>
      <w:proofErr w:type="spellStart"/>
      <w:r w:rsidR="00343B6E" w:rsidRPr="00343B6E">
        <w:rPr>
          <w:color w:val="000000" w:themeColor="text1"/>
        </w:rPr>
        <w:t>Cashore</w:t>
      </w:r>
      <w:proofErr w:type="spellEnd"/>
      <w:r w:rsidR="00343B6E" w:rsidRPr="00343B6E">
        <w:rPr>
          <w:color w:val="000000" w:themeColor="text1"/>
        </w:rPr>
        <w:t xml:space="preserv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w:t>
      </w:r>
      <w:proofErr w:type="spellStart"/>
      <w:r w:rsidR="00343B6E" w:rsidRPr="00343B6E">
        <w:rPr>
          <w:color w:val="000000" w:themeColor="text1"/>
        </w:rPr>
        <w:t>Bodansky</w:t>
      </w:r>
      <w:proofErr w:type="spellEnd"/>
      <w:r w:rsidR="00343B6E" w:rsidRPr="00343B6E">
        <w:rPr>
          <w:color w:val="000000" w:themeColor="text1"/>
        </w:rPr>
        <w:t xml:space="preserve">, 1999; </w:t>
      </w:r>
      <w:proofErr w:type="spellStart"/>
      <w:r w:rsidR="00343B6E" w:rsidRPr="00343B6E">
        <w:rPr>
          <w:color w:val="000000" w:themeColor="text1"/>
        </w:rPr>
        <w:t>Cashore</w:t>
      </w:r>
      <w:proofErr w:type="spellEnd"/>
      <w:r w:rsidR="00343B6E" w:rsidRPr="00343B6E">
        <w:rPr>
          <w:color w:val="000000" w:themeColor="text1"/>
        </w:rPr>
        <w:t xml:space="preserv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w:t>
      </w:r>
      <w:proofErr w:type="spellStart"/>
      <w:r w:rsidRPr="00343B6E">
        <w:rPr>
          <w:color w:val="000000" w:themeColor="text1"/>
        </w:rPr>
        <w:t>Djelic</w:t>
      </w:r>
      <w:proofErr w:type="spellEnd"/>
      <w:r w:rsidRPr="00343B6E">
        <w:rPr>
          <w:color w:val="000000" w:themeColor="text1"/>
        </w:rPr>
        <w:t xml:space="preserve"> &amp; </w:t>
      </w:r>
      <w:proofErr w:type="spellStart"/>
      <w:r w:rsidRPr="00343B6E">
        <w:rPr>
          <w:color w:val="000000" w:themeColor="text1"/>
        </w:rPr>
        <w:t>Etchanchu</w:t>
      </w:r>
      <w:proofErr w:type="spellEnd"/>
      <w:r w:rsidRPr="00343B6E">
        <w:rPr>
          <w:color w:val="000000" w:themeColor="text1"/>
        </w:rPr>
        <w:t>, 2017). These different ideas are then embodied in more or less stringent policies depending on which coalitions gain rulemaking authority (</w:t>
      </w:r>
      <w:proofErr w:type="spellStart"/>
      <w:r w:rsidRPr="00343B6E">
        <w:rPr>
          <w:color w:val="000000" w:themeColor="text1"/>
        </w:rPr>
        <w:t>Botzem</w:t>
      </w:r>
      <w:proofErr w:type="spellEnd"/>
      <w:r w:rsidRPr="00343B6E">
        <w:rPr>
          <w:color w:val="000000" w:themeColor="text1"/>
        </w:rPr>
        <w:t xml:space="preserve"> &amp; </w:t>
      </w:r>
      <w:proofErr w:type="spellStart"/>
      <w:r w:rsidRPr="00343B6E">
        <w:rPr>
          <w:color w:val="000000" w:themeColor="text1"/>
        </w:rPr>
        <w:t>Dobusch</w:t>
      </w:r>
      <w:proofErr w:type="spellEnd"/>
      <w:r w:rsidRPr="00343B6E">
        <w:rPr>
          <w:color w:val="000000" w:themeColor="text1"/>
        </w:rPr>
        <w:t xml:space="preserve">, 2012; </w:t>
      </w:r>
      <w:proofErr w:type="spellStart"/>
      <w:r w:rsidRPr="00343B6E">
        <w:rPr>
          <w:color w:val="000000" w:themeColor="text1"/>
        </w:rPr>
        <w:t>Hsueh</w:t>
      </w:r>
      <w:proofErr w:type="spellEnd"/>
      <w:r w:rsidRPr="00343B6E">
        <w:rPr>
          <w:color w:val="000000" w:themeColor="text1"/>
        </w:rPr>
        <w:t xml:space="preserve"> and </w:t>
      </w:r>
      <w:proofErr w:type="spellStart"/>
      <w:r w:rsidRPr="00343B6E">
        <w:rPr>
          <w:color w:val="000000" w:themeColor="text1"/>
        </w:rPr>
        <w:t>Prakash</w:t>
      </w:r>
      <w:proofErr w:type="spellEnd"/>
      <w:r w:rsidRPr="00343B6E">
        <w:rPr>
          <w:color w:val="000000" w:themeColor="text1"/>
        </w:rPr>
        <w:t xml:space="preserve">,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w:t>
      </w:r>
      <w:proofErr w:type="spellStart"/>
      <w:r w:rsidRPr="00343B6E">
        <w:rPr>
          <w:color w:val="000000" w:themeColor="text1"/>
        </w:rPr>
        <w:t>Cashore</w:t>
      </w:r>
      <w:proofErr w:type="spellEnd"/>
      <w:r w:rsidRPr="00343B6E">
        <w:rPr>
          <w:color w:val="000000" w:themeColor="text1"/>
        </w:rPr>
        <w:t xml:space="preserve">, 2002; </w:t>
      </w:r>
      <w:proofErr w:type="spellStart"/>
      <w:r w:rsidRPr="00343B6E">
        <w:rPr>
          <w:color w:val="000000" w:themeColor="text1"/>
        </w:rPr>
        <w:t>Grabosky</w:t>
      </w:r>
      <w:proofErr w:type="spellEnd"/>
      <w:r w:rsidRPr="00343B6E">
        <w:rPr>
          <w:color w:val="000000" w:themeColor="text1"/>
        </w:rPr>
        <w:t xml:space="preserve">, 2013; Green, 2013; </w:t>
      </w:r>
      <w:proofErr w:type="spellStart"/>
      <w:r w:rsidRPr="00343B6E">
        <w:rPr>
          <w:color w:val="000000" w:themeColor="text1"/>
        </w:rPr>
        <w:t>Loconto</w:t>
      </w:r>
      <w:proofErr w:type="spellEnd"/>
      <w:r w:rsidRPr="00343B6E">
        <w:rPr>
          <w:color w:val="000000" w:themeColor="text1"/>
        </w:rPr>
        <w:t xml:space="preserve"> &amp; </w:t>
      </w:r>
      <w:proofErr w:type="spellStart"/>
      <w:r w:rsidRPr="00343B6E">
        <w:rPr>
          <w:color w:val="000000" w:themeColor="text1"/>
        </w:rPr>
        <w:t>Fouilleux</w:t>
      </w:r>
      <w:proofErr w:type="spellEnd"/>
      <w:r w:rsidRPr="00343B6E">
        <w:rPr>
          <w:color w:val="000000" w:themeColor="text1"/>
        </w:rPr>
        <w:t xml:space="preserve">, 2014; Lyon &amp; Maxwell, 2008; Maxwell, Lyon, &amp; Hackett, 2000; </w:t>
      </w:r>
      <w:proofErr w:type="spellStart"/>
      <w:r w:rsidRPr="00343B6E">
        <w:rPr>
          <w:color w:val="000000" w:themeColor="text1"/>
        </w:rPr>
        <w:t>Prakash</w:t>
      </w:r>
      <w:proofErr w:type="spellEnd"/>
      <w:r w:rsidRPr="00343B6E">
        <w:rPr>
          <w:color w:val="000000" w:themeColor="text1"/>
        </w:rPr>
        <w:t xml:space="preserve">,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Others seek to explain variation in regulatory stringency as a result of endogenous interactions among private authorities (</w:t>
      </w:r>
      <w:proofErr w:type="spellStart"/>
      <w:r w:rsidRPr="00343B6E">
        <w:rPr>
          <w:color w:val="000000" w:themeColor="text1"/>
        </w:rPr>
        <w:t>DeLeon</w:t>
      </w:r>
      <w:proofErr w:type="spellEnd"/>
      <w:r w:rsidRPr="00343B6E">
        <w:rPr>
          <w:color w:val="000000" w:themeColor="text1"/>
        </w:rPr>
        <w:t xml:space="preserve"> &amp; Rivera, 2009; </w:t>
      </w:r>
      <w:proofErr w:type="spellStart"/>
      <w:r w:rsidRPr="00343B6E">
        <w:rPr>
          <w:color w:val="000000" w:themeColor="text1"/>
        </w:rPr>
        <w:t>Eberlein</w:t>
      </w:r>
      <w:proofErr w:type="spellEnd"/>
      <w:r w:rsidRPr="00343B6E">
        <w:rPr>
          <w:color w:val="000000" w:themeColor="text1"/>
        </w:rPr>
        <w:t xml:space="preserve">, Abbott, Black, </w:t>
      </w:r>
      <w:proofErr w:type="spellStart"/>
      <w:r w:rsidRPr="00343B6E">
        <w:rPr>
          <w:color w:val="000000" w:themeColor="text1"/>
        </w:rPr>
        <w:t>Meidinger</w:t>
      </w:r>
      <w:proofErr w:type="spellEnd"/>
      <w:r w:rsidRPr="00343B6E">
        <w:rPr>
          <w:color w:val="000000" w:themeColor="text1"/>
        </w:rPr>
        <w:t xml:space="preserve">, &amp; Wood, 2014; Green &amp; Auld, 2017; </w:t>
      </w:r>
      <w:proofErr w:type="spellStart"/>
      <w:r w:rsidRPr="00343B6E">
        <w:rPr>
          <w:color w:val="000000" w:themeColor="text1"/>
        </w:rPr>
        <w:t>Gulbrandsen</w:t>
      </w:r>
      <w:proofErr w:type="spellEnd"/>
      <w:r w:rsidRPr="00343B6E">
        <w:rPr>
          <w:color w:val="000000" w:themeColor="text1"/>
        </w:rPr>
        <w:t xml:space="preserve">, 2014; Howard-Grenville, Nash, &amp; </w:t>
      </w:r>
      <w:proofErr w:type="spellStart"/>
      <w:r w:rsidRPr="00343B6E">
        <w:rPr>
          <w:color w:val="000000" w:themeColor="text1"/>
        </w:rPr>
        <w:t>Coglianese</w:t>
      </w:r>
      <w:proofErr w:type="spellEnd"/>
      <w:r w:rsidRPr="00343B6E">
        <w:rPr>
          <w:color w:val="000000" w:themeColor="text1"/>
        </w:rPr>
        <w:t xml:space="preserve">, 2008; Li &amp; van ’t Veld, 2015; Mills, 2016). For example, Smith and </w:t>
      </w:r>
      <w:proofErr w:type="spellStart"/>
      <w:r w:rsidRPr="00343B6E">
        <w:rPr>
          <w:color w:val="000000" w:themeColor="text1"/>
        </w:rPr>
        <w:t>Fischlein</w:t>
      </w:r>
      <w:proofErr w:type="spellEnd"/>
      <w:r w:rsidRPr="00343B6E">
        <w:rPr>
          <w:color w:val="000000" w:themeColor="text1"/>
        </w:rPr>
        <w:t xml:space="preserve"> (2010, p. 520) suggest that competing private regulations change frequently and often imitate each other. </w:t>
      </w:r>
      <w:commentRangeStart w:id="5"/>
      <w:commentRangeStart w:id="6"/>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5"/>
      <w:r w:rsidR="001F354C">
        <w:rPr>
          <w:rStyle w:val="CommentReference"/>
          <w:rFonts w:asciiTheme="minorHAnsi" w:hAnsiTheme="minorHAnsi" w:cstheme="minorBidi"/>
        </w:rPr>
        <w:commentReference w:id="5"/>
      </w:r>
      <w:commentRangeEnd w:id="6"/>
      <w:r w:rsidR="001E44F7">
        <w:rPr>
          <w:rStyle w:val="CommentReference"/>
          <w:rFonts w:asciiTheme="minorHAnsi" w:hAnsiTheme="minorHAnsi" w:cstheme="minorBidi"/>
        </w:rPr>
        <w:commentReference w:id="6"/>
      </w:r>
      <w:commentRangeStart w:id="7"/>
      <w:del w:id="8"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7"/>
      <w:r w:rsidR="001E44F7">
        <w:rPr>
          <w:rStyle w:val="CommentReference"/>
          <w:rFonts w:asciiTheme="minorHAnsi" w:hAnsiTheme="minorHAnsi" w:cstheme="minorBidi"/>
        </w:rPr>
        <w:commentReference w:id="7"/>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w:t>
      </w:r>
      <w:proofErr w:type="spellStart"/>
      <w:r w:rsidRPr="00343B6E">
        <w:rPr>
          <w:rFonts w:eastAsia="Times New Roman"/>
          <w:color w:val="000000" w:themeColor="text1"/>
        </w:rPr>
        <w:t>Snidal</w:t>
      </w:r>
      <w:proofErr w:type="spellEnd"/>
      <w:r w:rsidRPr="00343B6E">
        <w:rPr>
          <w:rFonts w:eastAsia="Times New Roman"/>
          <w:color w:val="000000" w:themeColor="text1"/>
        </w:rPr>
        <w:t xml:space="preserve">, 2010; </w:t>
      </w:r>
      <w:proofErr w:type="spellStart"/>
      <w:r w:rsidRPr="00343B6E">
        <w:rPr>
          <w:rFonts w:eastAsia="Times New Roman"/>
          <w:color w:val="000000" w:themeColor="text1"/>
        </w:rPr>
        <w:t>Fransen</w:t>
      </w:r>
      <w:proofErr w:type="spellEnd"/>
      <w:r w:rsidRPr="00343B6E">
        <w:rPr>
          <w:rFonts w:eastAsia="Times New Roman"/>
          <w:color w:val="000000" w:themeColor="text1"/>
        </w:rPr>
        <w:t xml:space="preserve">, 2011; </w:t>
      </w:r>
      <w:proofErr w:type="spellStart"/>
      <w:r w:rsidRPr="00343B6E">
        <w:rPr>
          <w:rFonts w:eastAsia="Times New Roman"/>
          <w:color w:val="000000" w:themeColor="text1"/>
        </w:rPr>
        <w:t>Gulbrandsen</w:t>
      </w:r>
      <w:proofErr w:type="spellEnd"/>
      <w:r w:rsidRPr="00343B6E">
        <w:rPr>
          <w:rFonts w:eastAsia="Times New Roman"/>
          <w:color w:val="000000" w:themeColor="text1"/>
        </w:rPr>
        <w:t>, 2004). In contrast, others find competition causing “weak” regulations to be “revised upwards” as activists invite public comparisons with the requirements of “higher” regulations (</w:t>
      </w:r>
      <w:proofErr w:type="spellStart"/>
      <w:r w:rsidRPr="00343B6E">
        <w:rPr>
          <w:rFonts w:eastAsia="Times New Roman"/>
          <w:color w:val="000000" w:themeColor="text1"/>
        </w:rPr>
        <w:t>Overdevest</w:t>
      </w:r>
      <w:proofErr w:type="spellEnd"/>
      <w:r w:rsidRPr="00343B6E">
        <w:rPr>
          <w:rFonts w:eastAsia="Times New Roman"/>
          <w:color w:val="000000" w:themeColor="text1"/>
        </w:rPr>
        <w:t>, 2005, 2010). And still others find both patterns occurring, depending on market and industry structures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Hassel, 2008; van der </w:t>
      </w:r>
      <w:proofErr w:type="spellStart"/>
      <w:r w:rsidRPr="00343B6E">
        <w:rPr>
          <w:rFonts w:eastAsia="Times New Roman"/>
          <w:color w:val="000000" w:themeColor="text1"/>
        </w:rPr>
        <w:t>Ven</w:t>
      </w:r>
      <w:proofErr w:type="spellEnd"/>
      <w:r w:rsidRPr="00343B6E">
        <w:rPr>
          <w:rFonts w:eastAsia="Times New Roman"/>
          <w:color w:val="000000" w:themeColor="text1"/>
        </w:rPr>
        <w:t xml:space="preserve">, 2015).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Concepts of regulatory stringency are also at the core of formal models of private governance. Models by Youssef and </w:t>
      </w:r>
      <w:proofErr w:type="spellStart"/>
      <w:r w:rsidRPr="00343B6E">
        <w:rPr>
          <w:rFonts w:eastAsia="Times New Roman"/>
          <w:color w:val="000000" w:themeColor="text1"/>
        </w:rPr>
        <w:t>Abderrazak</w:t>
      </w:r>
      <w:proofErr w:type="spellEnd"/>
      <w:r w:rsidRPr="00343B6E">
        <w:rPr>
          <w:rFonts w:eastAsia="Times New Roman"/>
          <w:color w:val="000000" w:themeColor="text1"/>
        </w:rPr>
        <w:t xml:space="preserve"> (2009) and Fisher and Lyon (2014) suggest that standards may increase or decrease stringency under different conditions, such as increases or decreases in compliance costs or market demand. Game-theoretic models (Fischer &amp; Lyon, 2014; Li &amp; van ’t Veld, 2015; </w:t>
      </w:r>
      <w:proofErr w:type="spellStart"/>
      <w:r w:rsidRPr="00343B6E">
        <w:rPr>
          <w:rFonts w:eastAsia="Times New Roman"/>
          <w:color w:val="000000" w:themeColor="text1"/>
        </w:rPr>
        <w:t>Poret</w:t>
      </w:r>
      <w:proofErr w:type="spellEnd"/>
      <w:r w:rsidRPr="00343B6E">
        <w:rPr>
          <w:rFonts w:eastAsia="Times New Roman"/>
          <w:color w:val="000000" w:themeColor="text1"/>
        </w:rPr>
        <w:t>, 2016) and empirical research (</w:t>
      </w:r>
      <w:proofErr w:type="spellStart"/>
      <w:r w:rsidRPr="00343B6E">
        <w:rPr>
          <w:rFonts w:eastAsia="Times New Roman"/>
          <w:color w:val="000000" w:themeColor="text1"/>
        </w:rPr>
        <w:t>Cashore</w:t>
      </w:r>
      <w:proofErr w:type="spellEnd"/>
      <w:r w:rsidRPr="00343B6E">
        <w:rPr>
          <w:rFonts w:eastAsia="Times New Roman"/>
          <w:color w:val="000000" w:themeColor="text1"/>
        </w:rPr>
        <w:t xml:space="preserv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9"/>
      <w:r w:rsidR="00D00707" w:rsidRPr="00387397">
        <w:rPr>
          <w:color w:val="000000" w:themeColor="text1"/>
        </w:rPr>
        <w:t>.</w:t>
      </w:r>
      <w:del w:id="10"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9"/>
      <w:r w:rsidR="00876BF6">
        <w:rPr>
          <w:rStyle w:val="CommentReference"/>
          <w:rFonts w:asciiTheme="minorHAnsi" w:hAnsiTheme="minorHAnsi" w:cstheme="minorBidi"/>
        </w:rPr>
        <w:commentReference w:id="9"/>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1"/>
      <w:r w:rsidR="00E44A0D" w:rsidRPr="00387397">
        <w:t xml:space="preserve">and find </w:t>
      </w:r>
      <w:r w:rsidR="00E44A0D">
        <w:t>evidence</w:t>
      </w:r>
      <w:r w:rsidR="00E44A0D" w:rsidRPr="00387397">
        <w:t xml:space="preserve"> for</w:t>
      </w:r>
      <w:commentRangeEnd w:id="11"/>
      <w:r w:rsidR="00E44A0D">
        <w:rPr>
          <w:rStyle w:val="CommentReference"/>
          <w:rFonts w:asciiTheme="minorHAnsi" w:hAnsiTheme="minorHAnsi" w:cstheme="minorBidi"/>
        </w:rPr>
        <w:commentReference w:id="11"/>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w:t>
      </w:r>
      <w:proofErr w:type="spellStart"/>
      <w:r w:rsidR="004C6146">
        <w:t>Snidal</w:t>
      </w:r>
      <w:proofErr w:type="spellEnd"/>
      <w:r w:rsidR="004C6146">
        <w:t xml:space="preserve">, 2010; </w:t>
      </w:r>
      <w:proofErr w:type="spellStart"/>
      <w:r w:rsidR="004C6146">
        <w:t>Fransen</w:t>
      </w:r>
      <w:proofErr w:type="spellEnd"/>
      <w:r w:rsidR="004C6146">
        <w:t xml:space="preserve">, 2011; </w:t>
      </w:r>
      <w:proofErr w:type="spellStart"/>
      <w:r w:rsidR="004C6146">
        <w:t>Gulbrandsen</w:t>
      </w:r>
      <w:proofErr w:type="spellEnd"/>
      <w:r w:rsidR="004C6146">
        <w:t xml:space="preserve">, 2004). Still others posit—and find evidence for—yet another pattern where programs maintain different levels of stringency, i.e., they remain distinct, neither converging to the “top” nor the “bottom” (Fischer &amp; Lyon, 2014; Li &amp; van ’t Veld, 2015; </w:t>
      </w:r>
      <w:proofErr w:type="spellStart"/>
      <w:r w:rsidR="004C6146">
        <w:t>Poret</w:t>
      </w:r>
      <w:proofErr w:type="spellEnd"/>
      <w:r w:rsidR="004C6146">
        <w:t xml:space="preserve">, </w:t>
      </w:r>
      <w:r w:rsidR="004C6146">
        <w:lastRenderedPageBreak/>
        <w:t xml:space="preserve">2016; </w:t>
      </w:r>
      <w:proofErr w:type="spellStart"/>
      <w:r w:rsidR="004C6146">
        <w:t>Cashore</w:t>
      </w:r>
      <w:proofErr w:type="spellEnd"/>
      <w:r w:rsidR="004C6146">
        <w:t xml:space="preserv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w:t>
      </w:r>
      <w:proofErr w:type="spellStart"/>
      <w:r>
        <w:t>Heyes</w:t>
      </w:r>
      <w:proofErr w:type="spellEnd"/>
      <w:r>
        <w:t xml:space="preserve"> &amp; Martin, 2017). </w:t>
      </w:r>
      <w:proofErr w:type="spellStart"/>
      <w:r>
        <w:t>Cashore</w:t>
      </w:r>
      <w:proofErr w:type="spellEnd"/>
      <w:r>
        <w:t xml:space="preserv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w:t>
      </w:r>
      <w:proofErr w:type="spellStart"/>
      <w:r>
        <w:t>Fransen</w:t>
      </w:r>
      <w:proofErr w:type="spellEnd"/>
      <w:r>
        <w:t>, 2011). Some measure height in a relative sense, defining the “benchmark” as the higher standard (</w:t>
      </w:r>
      <w:proofErr w:type="spellStart"/>
      <w:r>
        <w:t>Overdevest</w:t>
      </w:r>
      <w:proofErr w:type="spellEnd"/>
      <w:r>
        <w:t xml:space="preserve">,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 xml:space="preserve">In the absence of consistent measures of regulatory stringency, scholars have turned to proxy measures that can be more easily compared across programs. For example, </w:t>
      </w:r>
      <w:proofErr w:type="spellStart"/>
      <w:r>
        <w:t>Darnall</w:t>
      </w:r>
      <w:proofErr w:type="spellEnd"/>
      <w:r>
        <w:t xml:space="preserve">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w:t>
      </w:r>
      <w:proofErr w:type="spellStart"/>
      <w:r>
        <w:t>Ven</w:t>
      </w:r>
      <w:proofErr w:type="spellEnd"/>
      <w:r>
        <w:t xml:space="preserve">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w:t>
      </w:r>
      <w:proofErr w:type="spellStart"/>
      <w:r>
        <w:t>Cashore</w:t>
      </w:r>
      <w:proofErr w:type="spellEnd"/>
      <w:r>
        <w:t xml:space="preserve"> et al. (2004) that industry-backed programs set less stringent requirements. This is due to differences in </w:t>
      </w:r>
      <w:r>
        <w:lastRenderedPageBreak/>
        <w:t xml:space="preserve">measurement; </w:t>
      </w:r>
      <w:proofErr w:type="spellStart"/>
      <w:r>
        <w:t>Cashore</w:t>
      </w:r>
      <w:proofErr w:type="spellEnd"/>
      <w:r>
        <w:t xml:space="preserv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w:t>
      </w:r>
      <w:proofErr w:type="spellStart"/>
      <w:r>
        <w:t>Cashore</w:t>
      </w:r>
      <w:proofErr w:type="spellEnd"/>
      <w:r>
        <w:t xml:space="preserve"> et al. (2004) examine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regulations. In contrast, </w:t>
      </w:r>
      <w:proofErr w:type="spellStart"/>
      <w:r>
        <w:t>Overdevest</w:t>
      </w:r>
      <w:proofErr w:type="spellEnd"/>
      <w:r>
        <w:t xml:space="preserve"> and </w:t>
      </w:r>
      <w:proofErr w:type="spellStart"/>
      <w:r>
        <w:t>Zeitlin</w:t>
      </w:r>
      <w:proofErr w:type="spellEnd"/>
      <w:r>
        <w:t xml:space="preserve">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w:t>
      </w:r>
      <w:proofErr w:type="spellStart"/>
      <w:r>
        <w:t>Overdevest</w:t>
      </w:r>
      <w:proofErr w:type="spellEnd"/>
      <w:r>
        <w:t xml:space="preserve"> and </w:t>
      </w:r>
      <w:proofErr w:type="spellStart"/>
      <w:r>
        <w:t>Zeitlin</w:t>
      </w:r>
      <w:proofErr w:type="spellEnd"/>
      <w:r>
        <w:t xml:space="preserve"> (2014) assert that the industry-backed program moved in the direction of the activist-backed program within the scope of issues related to public reporting and consultation, while </w:t>
      </w:r>
      <w:proofErr w:type="spellStart"/>
      <w:r>
        <w:t>Cashore</w:t>
      </w:r>
      <w:proofErr w:type="spellEnd"/>
      <w:r>
        <w:t xml:space="preserve"> et al. (2004) found that these competing programs did not converge in prescriptiveness on issues related to ecological protection. We can thus resolve the apparent conflict between </w:t>
      </w:r>
      <w:proofErr w:type="spellStart"/>
      <w:r>
        <w:t>Overdivest</w:t>
      </w:r>
      <w:proofErr w:type="spellEnd"/>
      <w:r>
        <w:t xml:space="preserve"> and </w:t>
      </w:r>
      <w:proofErr w:type="spellStart"/>
      <w:r>
        <w:t>Zeitlin’s</w:t>
      </w:r>
      <w:proofErr w:type="spellEnd"/>
      <w:r>
        <w:t xml:space="preserve"> study and </w:t>
      </w:r>
      <w:proofErr w:type="spellStart"/>
      <w:r>
        <w:t>Cashore</w:t>
      </w:r>
      <w:proofErr w:type="spellEnd"/>
      <w:r>
        <w:t xml:space="preserv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Students of public policy have long recognized the need to break policies into their component parts, finding different explanations for change for different policy goals and means to achieve them (</w:t>
      </w:r>
      <w:proofErr w:type="spellStart"/>
      <w:r>
        <w:t>Cashore</w:t>
      </w:r>
      <w:proofErr w:type="spellEnd"/>
      <w:r>
        <w:t xml:space="preserve">, 1997; Hall, 1993; Weimer &amp; Vining, 2005). While private governance scholars </w:t>
      </w:r>
      <w:r>
        <w:lastRenderedPageBreak/>
        <w:t>have shown that private regulations resemble public laws (</w:t>
      </w:r>
      <w:proofErr w:type="spellStart"/>
      <w:r>
        <w:t>Meidinger</w:t>
      </w:r>
      <w:proofErr w:type="spellEnd"/>
      <w:r>
        <w:t xml:space="preserve">,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2"/>
      <w:commentRangeStart w:id="13"/>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2"/>
      <w:r w:rsidR="00956FFD">
        <w:rPr>
          <w:rStyle w:val="CommentReference"/>
          <w:rFonts w:asciiTheme="minorHAnsi" w:hAnsiTheme="minorHAnsi" w:cstheme="minorBidi"/>
        </w:rPr>
        <w:commentReference w:id="12"/>
      </w:r>
      <w:commentRangeEnd w:id="13"/>
      <w:r w:rsidR="00791462">
        <w:rPr>
          <w:rStyle w:val="CommentReference"/>
          <w:rFonts w:asciiTheme="minorHAnsi" w:hAnsiTheme="minorHAnsi" w:cstheme="minorBidi"/>
        </w:rPr>
        <w:commentReference w:id="13"/>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proofErr w:type="gramStart"/>
      <w:r w:rsidRPr="004C6146">
        <w:rPr>
          <w:color w:val="000000" w:themeColor="text1"/>
        </w:rPr>
        <w:t>![</w:t>
      </w:r>
      <w:proofErr w:type="gramEnd"/>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w:t>
      </w:r>
      <w:proofErr w:type="spellStart"/>
      <w:r w:rsidRPr="004C6146">
        <w:rPr>
          <w:color w:val="000000" w:themeColor="text1"/>
        </w:rPr>
        <w:t>Cashore</w:t>
      </w:r>
      <w:proofErr w:type="spellEnd"/>
      <w:r w:rsidRPr="004C6146">
        <w:rPr>
          <w:color w:val="000000" w:themeColor="text1"/>
        </w:rPr>
        <w:t xml:space="preserv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w:t>
      </w:r>
      <w:proofErr w:type="gramStart"/>
      <w:r w:rsidRPr="004C6146">
        <w:rPr>
          <w:color w:val="000000" w:themeColor="text1"/>
        </w:rPr>
        <w:t>type of stringency—specific performance levels (what policy scholars call “policy settings”)—allow</w:t>
      </w:r>
      <w:proofErr w:type="gramEnd"/>
      <w:r w:rsidRPr="004C6146">
        <w:rPr>
          <w:color w:val="000000" w:themeColor="text1"/>
        </w:rPr>
        <w:t xml:space="preserve">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4"/>
      <w:commentRangeStart w:id="15"/>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4"/>
      <w:r w:rsidR="00956FFD">
        <w:rPr>
          <w:rStyle w:val="CommentReference"/>
          <w:rFonts w:asciiTheme="minorHAnsi" w:hAnsiTheme="minorHAnsi" w:cstheme="minorBidi"/>
        </w:rPr>
        <w:commentReference w:id="14"/>
      </w:r>
      <w:commentRangeEnd w:id="15"/>
      <w:r w:rsidR="00F63F63">
        <w:rPr>
          <w:rStyle w:val="CommentReference"/>
          <w:rFonts w:asciiTheme="minorHAnsi" w:hAnsiTheme="minorHAnsi" w:cstheme="minorBidi"/>
        </w:rPr>
        <w:commentReference w:id="15"/>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6"/>
      <w:commentRangeStart w:id="17"/>
      <w:r w:rsidR="00CD1E1C" w:rsidRPr="00387397">
        <w:rPr>
          <w:rFonts w:eastAsia="Times New Roman"/>
          <w:color w:val="000000" w:themeColor="text1"/>
        </w:rPr>
        <w:t xml:space="preserve"> possibly </w:t>
      </w:r>
      <w:commentRangeEnd w:id="16"/>
      <w:r w:rsidR="00C001AE">
        <w:rPr>
          <w:rStyle w:val="CommentReference"/>
          <w:rFonts w:asciiTheme="minorHAnsi" w:hAnsiTheme="minorHAnsi" w:cstheme="minorBidi"/>
        </w:rPr>
        <w:commentReference w:id="16"/>
      </w:r>
      <w:commentRangeEnd w:id="17"/>
      <w:r w:rsidR="000E0724">
        <w:rPr>
          <w:rStyle w:val="CommentReference"/>
          <w:rFonts w:asciiTheme="minorHAnsi" w:hAnsiTheme="minorHAnsi" w:cstheme="minorBidi"/>
        </w:rPr>
        <w:commentReference w:id="17"/>
      </w:r>
      <w:del w:id="18"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 xml:space="preserve">Drawing on Baumgartner and Jones (2002) and </w:t>
      </w:r>
      <w:proofErr w:type="spellStart"/>
      <w:r w:rsidRPr="004C6146">
        <w:rPr>
          <w:rFonts w:eastAsia="Times New Roman"/>
          <w:color w:val="000000" w:themeColor="text1"/>
        </w:rPr>
        <w:t>Howlett</w:t>
      </w:r>
      <w:proofErr w:type="spellEnd"/>
      <w:r w:rsidRPr="004C6146">
        <w:rPr>
          <w:rFonts w:eastAsia="Times New Roman"/>
          <w:color w:val="000000" w:themeColor="text1"/>
        </w:rPr>
        <w:t xml:space="preserve"> and </w:t>
      </w:r>
      <w:proofErr w:type="spellStart"/>
      <w:r w:rsidRPr="004C6146">
        <w:rPr>
          <w:rFonts w:eastAsia="Times New Roman"/>
          <w:color w:val="000000" w:themeColor="text1"/>
        </w:rPr>
        <w:t>Cashore</w:t>
      </w:r>
      <w:proofErr w:type="spellEnd"/>
      <w:r w:rsidRPr="004C6146">
        <w:rPr>
          <w:rFonts w:eastAsia="Times New Roman"/>
          <w:color w:val="000000" w:themeColor="text1"/>
        </w:rPr>
        <w:t xml:space="preserve"> (2007), we also note the importance of the direction of change. Assessing patterns of change like punctuation or equilibrium requires measuring change on each dimension because there may be </w:t>
      </w:r>
      <w:proofErr w:type="gramStart"/>
      <w:r w:rsidRPr="004C6146">
        <w:rPr>
          <w:rFonts w:eastAsia="Times New Roman"/>
          <w:color w:val="000000" w:themeColor="text1"/>
        </w:rPr>
        <w:t>an equilibrium</w:t>
      </w:r>
      <w:proofErr w:type="gramEnd"/>
      <w:r w:rsidRPr="004C6146">
        <w:rPr>
          <w:rFonts w:eastAsia="Times New Roman"/>
          <w:color w:val="000000" w:themeColor="text1"/>
        </w:rPr>
        <w:t xml:space="preserve">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proofErr w:type="gramStart"/>
      <w:r>
        <w:rPr>
          <w:color w:val="000000" w:themeColor="text1"/>
        </w:rPr>
        <w:t>!</w:t>
      </w:r>
      <w:r w:rsidR="00B15838" w:rsidRPr="00387397">
        <w:rPr>
          <w:color w:val="000000" w:themeColor="text1"/>
        </w:rPr>
        <w:t>[</w:t>
      </w:r>
      <w:proofErr w:type="gramEnd"/>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19"/>
      <w:commentRangeStart w:id="20"/>
      <w:r w:rsidR="00984DC4">
        <w:rPr>
          <w:rFonts w:eastAsia="Times New Roman"/>
          <w:color w:val="000000" w:themeColor="text1"/>
        </w:rPr>
        <w:t>it can be theoretically related to compliance costs</w:t>
      </w:r>
      <w:commentRangeEnd w:id="19"/>
      <w:r w:rsidR="00984DC4">
        <w:rPr>
          <w:rStyle w:val="CommentReference"/>
          <w:rFonts w:asciiTheme="minorHAnsi" w:hAnsiTheme="minorHAnsi" w:cstheme="minorBidi"/>
        </w:rPr>
        <w:commentReference w:id="19"/>
      </w:r>
      <w:commentRangeEnd w:id="20"/>
      <w:r w:rsidR="00984DC4">
        <w:rPr>
          <w:rStyle w:val="CommentReference"/>
          <w:rFonts w:asciiTheme="minorHAnsi" w:hAnsiTheme="minorHAnsi" w:cstheme="minorBidi"/>
        </w:rPr>
        <w:commentReference w:id="20"/>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w:t>
      </w:r>
      <w:proofErr w:type="spellStart"/>
      <w:r w:rsidRPr="00387397">
        <w:rPr>
          <w:color w:val="000000" w:themeColor="text1"/>
        </w:rPr>
        <w:t>Cashore</w:t>
      </w:r>
      <w:proofErr w:type="spellEnd"/>
      <w:r w:rsidRPr="00387397">
        <w:rPr>
          <w:color w:val="000000" w:themeColor="text1"/>
        </w:rPr>
        <w:t xml:space="preserv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w:t>
      </w:r>
      <w:proofErr w:type="spellStart"/>
      <w:r w:rsidRPr="00387397">
        <w:rPr>
          <w:color w:val="000000" w:themeColor="text1"/>
        </w:rPr>
        <w:t>Fischlein</w:t>
      </w:r>
      <w:proofErr w:type="spellEnd"/>
      <w:r w:rsidRPr="00387397">
        <w:rPr>
          <w:color w:val="000000" w:themeColor="text1"/>
        </w:rPr>
        <w:t xml:space="preserve">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1"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w:t>
      </w:r>
      <w:proofErr w:type="spellStart"/>
      <w:r w:rsidRPr="0062745D">
        <w:rPr>
          <w:color w:val="000000" w:themeColor="text1"/>
        </w:rPr>
        <w:t>Botzem</w:t>
      </w:r>
      <w:proofErr w:type="spellEnd"/>
      <w:r w:rsidRPr="0062745D">
        <w:rPr>
          <w:color w:val="000000" w:themeColor="text1"/>
        </w:rPr>
        <w:t xml:space="preserve"> &amp; </w:t>
      </w:r>
      <w:proofErr w:type="spellStart"/>
      <w:r w:rsidRPr="0062745D">
        <w:rPr>
          <w:color w:val="000000" w:themeColor="text1"/>
        </w:rPr>
        <w:t>Dobusch</w:t>
      </w:r>
      <w:proofErr w:type="spellEnd"/>
      <w:r w:rsidRPr="0062745D">
        <w:rPr>
          <w:color w:val="000000" w:themeColor="text1"/>
        </w:rPr>
        <w:t xml:space="preserve">, 2012; </w:t>
      </w:r>
      <w:proofErr w:type="spellStart"/>
      <w:r w:rsidRPr="0062745D">
        <w:rPr>
          <w:color w:val="000000" w:themeColor="text1"/>
        </w:rPr>
        <w:t>Hsueh</w:t>
      </w:r>
      <w:proofErr w:type="spellEnd"/>
      <w:r w:rsidRPr="0062745D">
        <w:rPr>
          <w:color w:val="000000" w:themeColor="text1"/>
        </w:rPr>
        <w:t xml:space="preserve"> and </w:t>
      </w:r>
      <w:proofErr w:type="spellStart"/>
      <w:r w:rsidRPr="0062745D">
        <w:rPr>
          <w:color w:val="000000" w:themeColor="text1"/>
        </w:rPr>
        <w:t>Prakash</w:t>
      </w:r>
      <w:proofErr w:type="spellEnd"/>
      <w:r w:rsidRPr="0062745D">
        <w:rPr>
          <w:color w:val="000000" w:themeColor="text1"/>
        </w:rPr>
        <w:t>,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2" w:author="Cashore, Benjamin" w:date="2019-03-11T19:22:00Z"/>
          <w:color w:val="000000" w:themeColor="text1"/>
        </w:rPr>
      </w:pPr>
      <w:del w:id="23"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4"/>
      <w:commentRangeStart w:id="25"/>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6"/>
      <w:commentRangeStart w:id="27"/>
      <w:r>
        <w:rPr>
          <w:color w:val="000000" w:themeColor="text1"/>
        </w:rPr>
        <w:t>workforce</w:t>
      </w:r>
      <w:commentRangeEnd w:id="26"/>
      <w:r>
        <w:rPr>
          <w:rStyle w:val="CommentReference"/>
          <w:rFonts w:asciiTheme="minorHAnsi" w:hAnsiTheme="minorHAnsi" w:cstheme="minorBidi"/>
        </w:rPr>
        <w:commentReference w:id="26"/>
      </w:r>
      <w:commentRangeEnd w:id="27"/>
      <w:r>
        <w:rPr>
          <w:rStyle w:val="CommentReference"/>
          <w:rFonts w:asciiTheme="minorHAnsi" w:hAnsiTheme="minorHAnsi" w:cstheme="minorBidi"/>
        </w:rPr>
        <w:commentReference w:id="27"/>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w:t>
      </w:r>
      <w:proofErr w:type="gramStart"/>
      <w:r w:rsidRPr="004A1418">
        <w:rPr>
          <w:color w:val="000000" w:themeColor="text1"/>
        </w:rPr>
        <w:t>,  more</w:t>
      </w:r>
      <w:proofErr w:type="gramEnd"/>
      <w:r w:rsidRPr="004A1418">
        <w:rPr>
          <w:color w:val="000000" w:themeColor="text1"/>
        </w:rPr>
        <w:t xml:space="preserv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w:t>
      </w:r>
      <w:proofErr w:type="gramStart"/>
      <w:r w:rsidRPr="004A1418">
        <w:rPr>
          <w:color w:val="000000" w:themeColor="text1"/>
        </w:rPr>
        <w:t>as legal compliance is part of their FSC audit</w:t>
      </w:r>
      <w:proofErr w:type="gramEnd"/>
      <w:r w:rsidRPr="004A1418">
        <w:rPr>
          <w:color w:val="000000" w:themeColor="text1"/>
        </w:rPr>
        <w:t xml:space="preserve">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FSC:</w:t>
      </w:r>
      <w:r w:rsidRPr="004A1418">
        <w:rPr>
          <w:color w:val="000000" w:themeColor="text1"/>
        </w:rP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w:t>
      </w:r>
      <w:proofErr w:type="spellStart"/>
      <w:r w:rsidRPr="004A1418">
        <w:rPr>
          <w:color w:val="000000" w:themeColor="text1"/>
        </w:rPr>
        <w:t>Meidinger</w:t>
      </w:r>
      <w:proofErr w:type="spellEnd"/>
      <w:r w:rsidRPr="004A1418">
        <w:rPr>
          <w:color w:val="000000" w:themeColor="text1"/>
        </w:rPr>
        <w:t xml:space="preserve">,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Origin of the SFI:</w:t>
      </w:r>
      <w:r w:rsidRPr="004A1418">
        <w:rPr>
          <w:color w:val="000000" w:themeColor="text1"/>
        </w:rP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rsidRPr="004A1418">
        <w:rPr>
          <w:color w:val="000000" w:themeColor="text1"/>
        </w:rPr>
        <w:t>third-party</w:t>
      </w:r>
      <w:proofErr w:type="gramEnd"/>
      <w:r w:rsidRPr="004A1418">
        <w:rPr>
          <w:color w:val="000000" w:themeColor="text1"/>
        </w:rP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rsidRPr="004A1418">
        <w:rPr>
          <w:color w:val="000000" w:themeColor="text1"/>
        </w:rPr>
        <w:t>SFI has since been endorsed by the global Program</w:t>
      </w:r>
      <w:proofErr w:type="gramEnd"/>
      <w:r w:rsidRPr="004A1418">
        <w:rPr>
          <w:color w:val="000000" w:themeColor="text1"/>
        </w:rPr>
        <w:t xml:space="preserve">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A30589">
        <w:rPr>
          <w:b/>
          <w:color w:val="000000" w:themeColor="text1"/>
        </w:rPr>
        <w:t>“Sustainable” Forestry:</w:t>
      </w:r>
      <w:r w:rsidRPr="004A1418">
        <w:rPr>
          <w:color w:val="000000" w:themeColor="text1"/>
        </w:rPr>
        <w:t xml:space="preserve">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rsidRPr="004A1418">
        <w:rPr>
          <w:color w:val="000000" w:themeColor="text1"/>
        </w:rPr>
        <w:t>quality,</w:t>
      </w:r>
      <w:proofErr w:type="gramEnd"/>
      <w:r w:rsidRPr="004A1418">
        <w:rPr>
          <w:color w:val="000000" w:themeColor="text1"/>
        </w:rPr>
        <w:t xml:space="preserve">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0581BAF5" w:rsidR="004A1418" w:rsidRPr="004A1418" w:rsidRDefault="00DB5823" w:rsidP="004A1418">
      <w:pPr>
        <w:widowControl w:val="0"/>
        <w:autoSpaceDE w:val="0"/>
        <w:autoSpaceDN w:val="0"/>
        <w:adjustRightInd w:val="0"/>
        <w:spacing w:after="240" w:line="480" w:lineRule="auto"/>
        <w:rPr>
          <w:color w:val="000000" w:themeColor="text1"/>
        </w:rPr>
      </w:pPr>
      <w:r>
        <w:rPr>
          <w:color w:val="000000" w:themeColor="text1"/>
        </w:rPr>
        <w:t xml:space="preserve">Here </w:t>
      </w:r>
      <w:r w:rsidR="004A1418" w:rsidRPr="004A1418">
        <w:rPr>
          <w:color w:val="000000" w:themeColor="text1"/>
        </w:rPr>
        <w:t xml:space="preserve">we compare each standard to its previous version and the contemporary version from its </w:t>
      </w:r>
      <w:r w:rsidR="004A1418" w:rsidRPr="004A1418">
        <w:rPr>
          <w:color w:val="000000" w:themeColor="text1"/>
        </w:rPr>
        <w:lastRenderedPageBreak/>
        <w:t>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786DE644"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Scope: The FSC-P&amp;C and PEFC maintained a similar scope of issues covered (see the top panel of figure 3).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the aesthetic impacts of forestry and allowing public access. </w:t>
      </w:r>
    </w:p>
    <w:p w14:paraId="2B27ACD9"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2C1EDB46"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Prescriptiveness: Overall, the FSC maintained more prescriptive requirements in its Principles &amp; </w:t>
      </w:r>
      <w:r w:rsidRPr="001278EA">
        <w:rPr>
          <w:color w:val="000000" w:themeColor="text1"/>
        </w:rPr>
        <w:lastRenderedPageBreak/>
        <w:t xml:space="preserve">Criteria than the PEFC benchmarks (the top panel of figure 3), but the PEFC moved closer to the FSC-P&amp;C in some key areas (the middle panel of figure 3).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3). </w:t>
      </w:r>
    </w:p>
    <w:p w14:paraId="36CEC91F"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3606890C"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[FIGURE 3]</w:t>
      </w:r>
    </w:p>
    <w:p w14:paraId="33C46295"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06C41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w:t>
      </w:r>
      <w:r w:rsidRPr="001278EA">
        <w:rPr>
          <w:color w:val="000000" w:themeColor="text1"/>
        </w:rPr>
        <w:lastRenderedPageBreak/>
        <w:t xml:space="preserve">benefits.” For the PEFC it means that conversion must have “long-term conservation, economic, and social benefits.” They also differ regarding the extent of forest conversion allowed. The FSC-P&amp;C allow companies to convert “limited areas” while the </w:t>
      </w:r>
      <w:proofErr w:type="gramStart"/>
      <w:r w:rsidRPr="001278EA">
        <w:rPr>
          <w:color w:val="000000" w:themeColor="text1"/>
        </w:rPr>
        <w:t>PEFC</w:t>
      </w:r>
      <w:proofErr w:type="gramEnd"/>
      <w:r w:rsidRPr="001278EA">
        <w:rPr>
          <w:color w:val="000000" w:themeColor="text1"/>
        </w:rP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6E9CCD7D"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10842448"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w:t>
      </w:r>
      <w:proofErr w:type="gramStart"/>
      <w:r w:rsidRPr="001278EA">
        <w:rPr>
          <w:color w:val="000000" w:themeColor="text1"/>
        </w:rPr>
        <w:t>takes</w:t>
      </w:r>
      <w:proofErr w:type="gramEnd"/>
      <w:r w:rsidRPr="001278EA">
        <w:rPr>
          <w:color w:val="000000" w:themeColor="text1"/>
        </w:rPr>
        <w:t xml:space="preserve"> place. The FSC’s criteria regarding public consultation include special obligations to “affected stakeholders” compared to “interested stakeholders” while PEFC requirements for “local people and other stakeholders” are the </w:t>
      </w:r>
      <w:proofErr w:type="gramStart"/>
      <w:r w:rsidRPr="001278EA">
        <w:rPr>
          <w:color w:val="000000" w:themeColor="text1"/>
        </w:rPr>
        <w:t>same.</w:t>
      </w:r>
      <w:proofErr w:type="gramEnd"/>
    </w:p>
    <w:p w14:paraId="387098FA"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52A978D9"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 xml:space="preserve">Both programs cover similar ecological issues, with some qualitative differences. Both FSC–P&amp;C and PEFC requirements prohibited the use of GMOs in the area being certified, with some </w:t>
      </w:r>
      <w:r w:rsidRPr="001278EA">
        <w:rPr>
          <w:color w:val="000000" w:themeColor="text1"/>
        </w:rPr>
        <w:lastRenderedPageBreak/>
        <w:t xml:space="preserve">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4A8E085B" w14:textId="77777777" w:rsidR="001278EA" w:rsidRPr="001278EA" w:rsidRDefault="001278EA" w:rsidP="001278EA">
      <w:pPr>
        <w:widowControl w:val="0"/>
        <w:autoSpaceDE w:val="0"/>
        <w:autoSpaceDN w:val="0"/>
        <w:adjustRightInd w:val="0"/>
        <w:spacing w:after="240" w:line="480" w:lineRule="auto"/>
        <w:rPr>
          <w:color w:val="000000" w:themeColor="text1"/>
        </w:rPr>
      </w:pPr>
    </w:p>
    <w:p w14:paraId="45E357A3" w14:textId="77777777" w:rsidR="001278EA" w:rsidRPr="001278EA" w:rsidRDefault="001278EA" w:rsidP="001278EA">
      <w:pPr>
        <w:widowControl w:val="0"/>
        <w:autoSpaceDE w:val="0"/>
        <w:autoSpaceDN w:val="0"/>
        <w:adjustRightInd w:val="0"/>
        <w:spacing w:after="240" w:line="480" w:lineRule="auto"/>
        <w:rPr>
          <w:color w:val="000000" w:themeColor="text1"/>
        </w:rPr>
      </w:pPr>
      <w:r w:rsidRPr="001278EA">
        <w:rPr>
          <w:color w:val="000000" w:themeColor="text1"/>
        </w:rP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0998C31D"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Scope: Consistent with the international level, the activist-backed FSC-US program and </w:t>
      </w:r>
      <w:r w:rsidRPr="0011378B">
        <w:rPr>
          <w:color w:val="000000" w:themeColor="text1"/>
        </w:rPr>
        <w:lastRenderedPageBreak/>
        <w:t>industry-backed SFI program in the United States address a similar scope of issues, but the FSC-US is more prescriptive on most (the top panel of Figure 4).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4481D945"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44790C93"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4).  </w:t>
      </w:r>
    </w:p>
    <w:p w14:paraId="72E43B71"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38C9484D"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Counting changes made to the FSC-US and SFI standards between 2008 and 2016 reveals an “upward diverging” pattern, where the FSC-US became more prescriptive than did the SFI  (the bottom panel of figure 4). Of 48 key issues, the FSC-US became more prescriptive in 20, whereas SFI became more prescriptive in 12, eight in 2010, one more in 2013, and three more in 2015.</w:t>
      </w:r>
    </w:p>
    <w:p w14:paraId="1CE77B54"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777318AF"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[FIGURE 4]</w:t>
      </w:r>
    </w:p>
    <w:p w14:paraId="1586E33E"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72C88A20"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Policy Settings: Issues such as </w:t>
      </w:r>
      <w:proofErr w:type="spellStart"/>
      <w:r w:rsidRPr="0011378B">
        <w:rPr>
          <w:color w:val="000000" w:themeColor="text1"/>
        </w:rPr>
        <w:t>clearcuts</w:t>
      </w:r>
      <w:proofErr w:type="spellEnd"/>
      <w:r w:rsidRPr="0011378B">
        <w:rPr>
          <w:color w:val="000000" w:themeColor="text1"/>
        </w:rP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rsidRPr="0011378B">
        <w:rPr>
          <w:color w:val="000000" w:themeColor="text1"/>
        </w:rPr>
        <w:t>clearcuts</w:t>
      </w:r>
      <w:proofErr w:type="spellEnd"/>
      <w:r w:rsidRPr="0011378B">
        <w:rPr>
          <w:color w:val="000000" w:themeColor="text1"/>
        </w:rPr>
        <w:t xml:space="preserve"> to reflect "natural disturbance" and maintain ecological functions regardless of how it looks, whereas the SFI emphasizes "the visual impacts of forestry" and requires rapid site “green-up.” Quantitatively, the SFI limited </w:t>
      </w:r>
      <w:proofErr w:type="spellStart"/>
      <w:r w:rsidRPr="0011378B">
        <w:rPr>
          <w:color w:val="000000" w:themeColor="text1"/>
        </w:rPr>
        <w:t>clearcuts</w:t>
      </w:r>
      <w:proofErr w:type="spellEnd"/>
      <w:r w:rsidRPr="0011378B">
        <w:rPr>
          <w:color w:val="000000" w:themeColor="text1"/>
        </w:rPr>
        <w:t xml:space="preserve"> for all forest types to an average of 120 acres with no maximum and no limits for harvesting with 20 percent tree retention (i.e., intensive but not </w:t>
      </w:r>
      <w:proofErr w:type="spellStart"/>
      <w:r w:rsidRPr="0011378B">
        <w:rPr>
          <w:color w:val="000000" w:themeColor="text1"/>
        </w:rPr>
        <w:t>clearcut</w:t>
      </w:r>
      <w:proofErr w:type="spellEnd"/>
      <w:r w:rsidRPr="0011378B">
        <w:rPr>
          <w:color w:val="000000" w:themeColor="text1"/>
        </w:rPr>
        <w:t xml:space="preserve"> harvesting). In contrast, the FSC-US limits </w:t>
      </w:r>
      <w:proofErr w:type="spellStart"/>
      <w:r w:rsidRPr="0011378B">
        <w:rPr>
          <w:color w:val="000000" w:themeColor="text1"/>
        </w:rPr>
        <w:t>clearcuts</w:t>
      </w:r>
      <w:proofErr w:type="spellEnd"/>
      <w:r w:rsidRPr="0011378B">
        <w:rPr>
          <w:color w:val="000000" w:themeColor="text1"/>
        </w:rP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5). For harvesting near streams, the FSC-US lists specific requirements for water quality, </w:t>
      </w:r>
      <w:r w:rsidRPr="0011378B">
        <w:rPr>
          <w:color w:val="000000" w:themeColor="text1"/>
        </w:rPr>
        <w:lastRenderedPageBreak/>
        <w:t>habitat, and other objectives with a focus on restoration. Additionally, most FSC-US regions have numeric minimum riparian buffer zones (figure 6). In 2015, SFI expanded its definitions of riparian areas but continued to allow more discretion regarding what managers include in plans to protect water resources with no numerical minimums beyond those in state laws and best management practices.</w:t>
      </w:r>
    </w:p>
    <w:p w14:paraId="1267EE34"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382A0F0B"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408FDDC8"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6A3C11C1"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w:t>
      </w:r>
      <w:r w:rsidRPr="0011378B">
        <w:rPr>
          <w:color w:val="000000" w:themeColor="text1"/>
        </w:rPr>
        <w:lastRenderedPageBreak/>
        <w:t>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1D81F9A0"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1E5220CE"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w:t>
      </w:r>
    </w:p>
    <w:p w14:paraId="4FC142B8"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44297C69" w14:textId="77777777" w:rsidR="0011378B" w:rsidRPr="0011378B" w:rsidRDefault="0011378B" w:rsidP="0011378B">
      <w:pPr>
        <w:widowControl w:val="0"/>
        <w:autoSpaceDE w:val="0"/>
        <w:autoSpaceDN w:val="0"/>
        <w:adjustRightInd w:val="0"/>
        <w:spacing w:after="240" w:line="480" w:lineRule="auto"/>
        <w:rPr>
          <w:color w:val="000000" w:themeColor="text1"/>
        </w:rPr>
      </w:pPr>
      <w:r w:rsidRPr="0011378B">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w:t>
      </w:r>
      <w:proofErr w:type="spellStart"/>
      <w:r w:rsidRPr="0011378B">
        <w:rPr>
          <w:color w:val="000000" w:themeColor="text1"/>
        </w:rPr>
        <w:t>clearcutting</w:t>
      </w:r>
      <w:proofErr w:type="spellEnd"/>
      <w:r w:rsidRPr="0011378B">
        <w:rPr>
          <w:color w:val="000000" w:themeColor="text1"/>
        </w:rPr>
        <w:t xml:space="preserve">,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0696B3BF" w14:textId="77777777" w:rsidR="0011378B" w:rsidRPr="0011378B" w:rsidRDefault="0011378B" w:rsidP="0011378B">
      <w:pPr>
        <w:widowControl w:val="0"/>
        <w:autoSpaceDE w:val="0"/>
        <w:autoSpaceDN w:val="0"/>
        <w:adjustRightInd w:val="0"/>
        <w:spacing w:after="240" w:line="480" w:lineRule="auto"/>
        <w:rPr>
          <w:color w:val="000000" w:themeColor="text1"/>
        </w:rPr>
      </w:pPr>
    </w:p>
    <w:p w14:paraId="7A3203F7" w14:textId="06058595" w:rsidR="004334A5" w:rsidRDefault="0011378B" w:rsidP="004A1418">
      <w:pPr>
        <w:widowControl w:val="0"/>
        <w:autoSpaceDE w:val="0"/>
        <w:autoSpaceDN w:val="0"/>
        <w:adjustRightInd w:val="0"/>
        <w:spacing w:after="240" w:line="480" w:lineRule="auto"/>
        <w:rPr>
          <w:color w:val="000000" w:themeColor="text1"/>
        </w:rPr>
      </w:pPr>
      <w:r w:rsidRPr="0011378B">
        <w:rPr>
          <w:color w:val="000000" w:themeColor="text1"/>
        </w:rP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w:t>
      </w:r>
      <w:r>
        <w:rPr>
          <w:color w:val="000000" w:themeColor="text1"/>
        </w:rPr>
        <w:t xml:space="preserve">and respect indigenous rights. </w:t>
      </w:r>
    </w:p>
    <w:p w14:paraId="1CE253E3" w14:textId="77777777" w:rsidR="0011378B" w:rsidRPr="004A1418" w:rsidRDefault="0011378B"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lastRenderedPageBreak/>
        <w:t xml:space="preserve">## </w:t>
      </w:r>
      <w:r w:rsidR="004A1418" w:rsidRPr="00A24B5F">
        <w:rPr>
          <w:b/>
          <w:color w:val="000000" w:themeColor="text1"/>
        </w:rPr>
        <w:t>5.1 Overall comparison</w:t>
      </w:r>
    </w:p>
    <w:p w14:paraId="270C0613" w14:textId="20114E69" w:rsidR="004A1418" w:rsidRPr="004A1418" w:rsidRDefault="004A1418" w:rsidP="004A1418">
      <w:pPr>
        <w:widowControl w:val="0"/>
        <w:autoSpaceDE w:val="0"/>
        <w:autoSpaceDN w:val="0"/>
        <w:adjustRightInd w:val="0"/>
        <w:spacing w:after="240" w:line="480" w:lineRule="auto"/>
        <w:rPr>
          <w:color w:val="000000" w:themeColor="text1"/>
        </w:rPr>
      </w:pPr>
      <w:bookmarkStart w:id="28" w:name="_GoBack"/>
      <w:r w:rsidRPr="004A1418">
        <w:rPr>
          <w:color w:val="000000" w:themeColor="text1"/>
        </w:rPr>
        <w:t xml:space="preserve">Our framework improves upon </w:t>
      </w:r>
      <w:r w:rsidR="00CA0E0F">
        <w:rPr>
          <w:color w:val="000000" w:themeColor="text1"/>
        </w:rPr>
        <w:t>previous</w:t>
      </w:r>
      <w:r w:rsidRPr="004A1418">
        <w:rPr>
          <w:color w:val="000000" w:themeColor="text1"/>
        </w:rPr>
        <w:t xml:space="preserve"> blunt </w:t>
      </w:r>
      <w:r w:rsidR="00CA0E0F">
        <w:rPr>
          <w:color w:val="000000" w:themeColor="text1"/>
        </w:rPr>
        <w:t>measures</w:t>
      </w:r>
      <w:r w:rsidRPr="004A1418">
        <w:rPr>
          <w:color w:val="000000" w:themeColor="text1"/>
        </w:rPr>
        <w:t xml:space="preserve"> of “high” or “low” stringency, by disaggregating policy substance to allow more nuanced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lastRenderedPageBreak/>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w:t>
      </w:r>
      <w:proofErr w:type="gramStart"/>
      <w:r w:rsidRPr="004A1418">
        <w:rPr>
          <w:color w:val="000000" w:themeColor="text1"/>
        </w:rPr>
        <w:t>operations,</w:t>
      </w:r>
      <w:proofErr w:type="gramEnd"/>
      <w:r w:rsidRPr="004A1418">
        <w:rPr>
          <w:color w:val="000000" w:themeColor="text1"/>
        </w:rPr>
        <w:t xml:space="preserve"> an issue usually associated more with the SFI. This outcome is interesting because scholars often assume that private regulations that are less stringent overall will converge toward “benchmark” standards like FSC’s (</w:t>
      </w:r>
      <w:proofErr w:type="spellStart"/>
      <w:r w:rsidRPr="004A1418">
        <w:rPr>
          <w:color w:val="000000" w:themeColor="text1"/>
        </w:rPr>
        <w:t>Overdevest</w:t>
      </w:r>
      <w:proofErr w:type="spellEnd"/>
      <w:r w:rsidRPr="004A1418">
        <w:rPr>
          <w:color w:val="000000" w:themeColor="text1"/>
        </w:rPr>
        <w:t xml:space="preserve">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Since the significant revisions of both programs in 2010, only SFI has updated its national-level requirements, mostly in 2015. In contrast to the 2010 changes, the pattern in 2015 is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w:t>
      </w:r>
      <w:r w:rsidRPr="004A1418">
        <w:rPr>
          <w:color w:val="000000" w:themeColor="text1"/>
        </w:rPr>
        <w:lastRenderedPageBreak/>
        <w:t>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Overall our findings are also somewhat consistent with Hypothesis 1.2, again more clearly for prescriptiveness than scope. We observe overall divergence on prescriptiveness, most clearly on 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depends on competition among standards, but on business-friendly issues, it does not. Indeed, firms often collaborate on the latter type of issues (e.g., industry standards, reputation, and 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w:t>
      </w:r>
      <w:proofErr w:type="spellStart"/>
      <w:r w:rsidRPr="004A1418">
        <w:rPr>
          <w:color w:val="000000" w:themeColor="text1"/>
        </w:rPr>
        <w:t>Cashore</w:t>
      </w:r>
      <w:proofErr w:type="spellEnd"/>
      <w:r w:rsidRPr="004A1418">
        <w:rPr>
          <w:color w:val="000000" w:themeColor="text1"/>
        </w:rPr>
        <w:t xml:space="preserve"> et al. (2004) point </w:t>
      </w:r>
      <w:proofErr w:type="gramStart"/>
      <w:r w:rsidRPr="004A1418">
        <w:rPr>
          <w:color w:val="000000" w:themeColor="text1"/>
        </w:rPr>
        <w:t>out,</w:t>
      </w:r>
      <w:proofErr w:type="gramEnd"/>
      <w:r w:rsidRPr="004A1418">
        <w:rPr>
          <w:color w:val="000000" w:themeColor="text1"/>
        </w:rPr>
        <w:t xml:space="preserve"> industry-backed alternatives aim to save firms money by offering a label that sends a “green” or “socially responsible” signal in the market without some of the more costly demands of activist-backed programs. Credible signals are often based, in </w:t>
      </w:r>
      <w:r w:rsidRPr="004A1418">
        <w:rPr>
          <w:color w:val="000000" w:themeColor="text1"/>
        </w:rPr>
        <w:lastRenderedPageBreak/>
        <w:t>part, on perceived stringency, but because perceived and actual stringency may differ, industry-backed programs can send “credible” signals while maintaining lower compliance costs. Labels like SFI are not necessarily “meaningless” or pure “</w:t>
      </w:r>
      <w:proofErr w:type="spellStart"/>
      <w:r w:rsidRPr="004A1418">
        <w:rPr>
          <w:color w:val="000000" w:themeColor="text1"/>
        </w:rPr>
        <w:t>greenwashing</w:t>
      </w:r>
      <w:proofErr w:type="spellEnd"/>
      <w:r w:rsidRPr="004A1418">
        <w:rPr>
          <w:color w:val="000000" w:themeColor="text1"/>
        </w:rPr>
        <w:t xml:space="preserve">”—indeed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t>
      </w:r>
      <w:proofErr w:type="gramStart"/>
      <w:r w:rsidRPr="004A1418">
        <w:rPr>
          <w:color w:val="000000" w:themeColor="text1"/>
        </w:rPr>
        <w:lastRenderedPageBreak/>
        <w:t>worker</w:t>
      </w:r>
      <w:proofErr w:type="gramEnd"/>
      <w:r w:rsidRPr="004A1418">
        <w:rPr>
          <w:color w:val="000000" w:themeColor="text1"/>
        </w:rPr>
        <w:t xml:space="preserve">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bookmarkEnd w:id="28"/>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w:t>
      </w:r>
      <w:r w:rsidRPr="004A1418">
        <w:rPr>
          <w:color w:val="000000" w:themeColor="text1"/>
        </w:rPr>
        <w:lastRenderedPageBreak/>
        <w:t xml:space="preserve">evolve, and why. There is no perfect way to compare </w:t>
      </w:r>
      <w:proofErr w:type="gramStart"/>
      <w:r w:rsidRPr="004A1418">
        <w:rPr>
          <w:color w:val="000000" w:themeColor="text1"/>
        </w:rPr>
        <w:t>incommensurate</w:t>
      </w:r>
      <w:proofErr w:type="gramEnd"/>
      <w:r w:rsidRPr="004A1418">
        <w:rPr>
          <w:color w:val="000000" w:themeColor="text1"/>
        </w:rPr>
        <w:t xml:space="preserv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This approach also has practical value. First, the power dynamics among groups that promote programs like the FSC or the SFI have created an environment in which competing claims about </w:t>
      </w:r>
      <w:r w:rsidRPr="004A1418">
        <w:rPr>
          <w:color w:val="000000" w:themeColor="text1"/>
        </w:rPr>
        <w:lastRenderedPageBreak/>
        <w:t>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w:t>
      </w:r>
      <w:proofErr w:type="spellStart"/>
      <w:r w:rsidRPr="004A1418">
        <w:rPr>
          <w:color w:val="000000" w:themeColor="text1"/>
        </w:rPr>
        <w:t>Overdevest</w:t>
      </w:r>
      <w:proofErr w:type="spellEnd"/>
      <w:r w:rsidRPr="004A1418">
        <w:rPr>
          <w:color w:val="000000" w:themeColor="text1"/>
        </w:rPr>
        <w: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 xml:space="preserve">The Review of International </w:t>
      </w:r>
      <w:r w:rsidRPr="00387397">
        <w:rPr>
          <w:i/>
          <w:iCs/>
          <w:noProof/>
        </w:rPr>
        <w:lastRenderedPageBreak/>
        <w:t>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xml:space="preserve">. Cornell University </w:t>
      </w:r>
      <w:r w:rsidRPr="00387397">
        <w:rPr>
          <w:noProof/>
        </w:rPr>
        <w:lastRenderedPageBreak/>
        <w:t>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lastRenderedPageBreak/>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lastRenderedPageBreak/>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Fransen, L. (2011). Why Do Private Governance Organizations Not Converge? A Political-</w:t>
      </w:r>
      <w:r w:rsidRPr="00387397">
        <w:rPr>
          <w:noProof/>
        </w:rPr>
        <w:lastRenderedPageBreak/>
        <w:t xml:space="preserve">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w:t>
      </w:r>
      <w:r w:rsidRPr="00387397">
        <w:rPr>
          <w:noProof/>
        </w:rPr>
        <w:lastRenderedPageBreak/>
        <w:t xml:space="preserve">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 xml:space="preserve">Judge-Lord, D. (2013). Mechanisms of Policy Feedback: Interactions among Regulations and Public Investments in US Farm and Forest Politics. Masters Thesis: Yale School of Forestry </w:t>
      </w:r>
      <w:r w:rsidRPr="00387397">
        <w:rPr>
          <w:rFonts w:eastAsia="Times New Roman"/>
        </w:rPr>
        <w:lastRenderedPageBreak/>
        <w:t>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xml:space="preserve">. Cambridge, MA. </w:t>
      </w:r>
      <w:r w:rsidRPr="00387397">
        <w:rPr>
          <w:noProof/>
        </w:rPr>
        <w:lastRenderedPageBreak/>
        <w:t>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hore, Benjamin" w:date="2019-03-11T19:06:00Z" w:initials="CB">
    <w:p w14:paraId="32ADCB1F" w14:textId="77777777" w:rsidR="00CA0E0F" w:rsidRDefault="00CA0E0F" w:rsidP="000A2C8A">
      <w:pPr>
        <w:pStyle w:val="CommentText"/>
      </w:pPr>
      <w:r>
        <w:rPr>
          <w:rStyle w:val="CommentReference"/>
        </w:rPr>
        <w:annotationRef/>
      </w:r>
      <w:r>
        <w:t>Yes this is the key point</w:t>
      </w:r>
    </w:p>
  </w:comment>
  <w:comment w:id="1" w:author="Cashore, Benjamin" w:date="2019-03-10T23:03:00Z" w:initials="CB">
    <w:p w14:paraId="7F655D3A" w14:textId="399ED589" w:rsidR="00CA0E0F" w:rsidRDefault="00CA0E0F">
      <w:pPr>
        <w:pStyle w:val="CommentText"/>
      </w:pPr>
      <w:r>
        <w:rPr>
          <w:rStyle w:val="CommentReference"/>
        </w:rPr>
        <w:annotationRef/>
      </w:r>
      <w:r>
        <w:t>Again, it feels awkward to say “see for a review” as that is not relevant to our analysis.</w:t>
      </w:r>
    </w:p>
  </w:comment>
  <w:comment w:id="2" w:author="DJL" w:date="2019-03-12T07:59:00Z" w:initials="D">
    <w:p w14:paraId="1A86CD67" w14:textId="71C5C173" w:rsidR="00CA0E0F" w:rsidRDefault="00CA0E0F">
      <w:pPr>
        <w:pStyle w:val="CommentText"/>
      </w:pPr>
      <w:r>
        <w:rPr>
          <w:rStyle w:val="CommentReference"/>
        </w:rPr>
        <w:annotationRef/>
      </w:r>
      <w:r>
        <w:t xml:space="preserve">We are not reviewing all of the public policy scholarship on stringency, so we refer to a review </w:t>
      </w:r>
      <w:proofErr w:type="spellStart"/>
      <w:r>
        <w:t>peice</w:t>
      </w:r>
      <w:proofErr w:type="spellEnd"/>
      <w:r>
        <w:t>, no?</w:t>
      </w:r>
    </w:p>
  </w:comment>
  <w:comment w:id="3" w:author="Cashore, Benjamin" w:date="2019-03-10T23:04:00Z" w:initials="CB">
    <w:p w14:paraId="48DDC670" w14:textId="24D4620B" w:rsidR="00CA0E0F" w:rsidRDefault="00CA0E0F">
      <w:pPr>
        <w:pStyle w:val="CommentText"/>
      </w:pPr>
      <w:r>
        <w:rPr>
          <w:rStyle w:val="CommentReference"/>
        </w:rPr>
        <w:annotationRef/>
      </w:r>
      <w:r>
        <w:t>This is good but up until now the article is only mentioning the dependent variable</w:t>
      </w:r>
      <w:proofErr w:type="gramStart"/>
      <w:r>
        <w:t>..</w:t>
      </w:r>
      <w:proofErr w:type="gramEnd"/>
    </w:p>
  </w:comment>
  <w:comment w:id="4" w:author="DJL" w:date="2019-03-12T08:17:00Z" w:initials="D">
    <w:p w14:paraId="349F9D14" w14:textId="7CE343C2" w:rsidR="00CA0E0F" w:rsidRDefault="00CA0E0F">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5" w:author="Cashore, Benjamin" w:date="2019-03-11T18:45:00Z" w:initials="CB">
    <w:p w14:paraId="64C0A180" w14:textId="488BC491" w:rsidR="00CA0E0F" w:rsidRDefault="00CA0E0F">
      <w:pPr>
        <w:pStyle w:val="CommentText"/>
      </w:pPr>
      <w:r>
        <w:rPr>
          <w:rStyle w:val="CommentReference"/>
        </w:rPr>
        <w:annotationRef/>
      </w:r>
      <w:r>
        <w:t xml:space="preserve">But again, what is </w:t>
      </w:r>
      <w:proofErr w:type="spellStart"/>
      <w:r>
        <w:t>Eberlein</w:t>
      </w:r>
      <w:proofErr w:type="spellEnd"/>
      <w:r>
        <w:t xml:space="preserve"> saying exactly? Increase up? Increase down? Not clear to me</w:t>
      </w:r>
    </w:p>
  </w:comment>
  <w:comment w:id="6" w:author="DJL" w:date="2019-03-12T08:32:00Z" w:initials="D">
    <w:p w14:paraId="77C6036C" w14:textId="29807405" w:rsidR="00CA0E0F" w:rsidRDefault="00CA0E0F">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7" w:author="DJL" w:date="2019-03-12T08:26:00Z" w:initials="D">
    <w:p w14:paraId="0941CF0F" w14:textId="16A4CD40" w:rsidR="00CA0E0F" w:rsidRDefault="00CA0E0F">
      <w:pPr>
        <w:pStyle w:val="CommentText"/>
      </w:pPr>
      <w:r>
        <w:rPr>
          <w:rStyle w:val="CommentReference"/>
        </w:rPr>
        <w:annotationRef/>
      </w:r>
      <w:r>
        <w:t>This is the sentence that sets up our hypothesis 2. It connects existing scholarship on differentiation explicitly to stringency</w:t>
      </w:r>
    </w:p>
  </w:comment>
  <w:comment w:id="9" w:author="DJL" w:date="2019-03-12T08:37:00Z" w:initials="D">
    <w:p w14:paraId="6BC1FE1A" w14:textId="391D7ABC" w:rsidR="00CA0E0F" w:rsidRDefault="00CA0E0F">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1" w:author="DJL" w:date="2019-03-12T00:11:00Z" w:initials="D">
    <w:p w14:paraId="0542508F" w14:textId="77777777" w:rsidR="00CA0E0F" w:rsidRDefault="00CA0E0F"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2" w:author="Cashore, Benjamin" w:date="2019-03-11T19:26:00Z" w:initials="CB">
    <w:p w14:paraId="5AF904BE" w14:textId="46FF3DDF" w:rsidR="00CA0E0F" w:rsidRDefault="00CA0E0F">
      <w:pPr>
        <w:pStyle w:val="CommentText"/>
      </w:pPr>
      <w:r>
        <w:rPr>
          <w:rStyle w:val="CommentReference"/>
        </w:rPr>
        <w:annotationRef/>
      </w:r>
      <w:r>
        <w:t>Shouldn’t this framework section come before the discussion of the literature that is too sweeping or conflated?</w:t>
      </w:r>
    </w:p>
  </w:comment>
  <w:comment w:id="13" w:author="DJL" w:date="2019-03-11T23:46:00Z" w:initials="D">
    <w:p w14:paraId="27FDACDA" w14:textId="42D027EA" w:rsidR="00CA0E0F" w:rsidRDefault="00CA0E0F">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4" w:author="Cashore, Benjamin" w:date="2019-03-11T19:27:00Z" w:initials="CB">
    <w:p w14:paraId="4A9B5FAD" w14:textId="25E0B1C9" w:rsidR="00CA0E0F" w:rsidRDefault="00CA0E0F">
      <w:pPr>
        <w:pStyle w:val="CommentText"/>
      </w:pPr>
      <w:r>
        <w:rPr>
          <w:rStyle w:val="CommentReference"/>
        </w:rPr>
        <w:annotationRef/>
      </w:r>
      <w:r>
        <w:t>Why not just focus on the FSC and SFI and make it more concrete?</w:t>
      </w:r>
    </w:p>
  </w:comment>
  <w:comment w:id="15" w:author="DJL" w:date="2019-03-12T00:08:00Z" w:initials="D">
    <w:p w14:paraId="13A59890" w14:textId="00ABD558" w:rsidR="00CA0E0F" w:rsidRDefault="00CA0E0F">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6" w:author="Constance McDermott" w:date="2019-03-11T16:29:00Z" w:initials="CM">
    <w:p w14:paraId="340A172A" w14:textId="1036253B" w:rsidR="00CA0E0F" w:rsidRDefault="00CA0E0F">
      <w:pPr>
        <w:pStyle w:val="CommentText"/>
      </w:pPr>
      <w:r>
        <w:rPr>
          <w:rStyle w:val="CommentReference"/>
        </w:rPr>
        <w:annotationRef/>
      </w:r>
      <w:r>
        <w:t xml:space="preserve">I removed the part about </w:t>
      </w:r>
      <w:proofErr w:type="spellStart"/>
      <w:r>
        <w:t>labour</w:t>
      </w:r>
      <w:proofErr w:type="spellEnd"/>
      <w:r>
        <w:t xml:space="preserve"> groups, as they are a type of activist and we have not yet said we are only considering environmentalists as activists (and I don’t think we would want to). There are still some hidden assumptions here that firms will be more concerned about </w:t>
      </w:r>
      <w:proofErr w:type="spellStart"/>
      <w:r>
        <w:t>labour</w:t>
      </w:r>
      <w:proofErr w:type="spellEnd"/>
      <w:r>
        <w:t xml:space="preserve"> violations costing them than environmental violations. Possibly true, but not tested. Anyway, I think this simpler wording is less problematic.</w:t>
      </w:r>
    </w:p>
  </w:comment>
  <w:comment w:id="17" w:author="DJL" w:date="2019-03-11T16:32:00Z" w:initials="D">
    <w:p w14:paraId="2A6BAEA7" w14:textId="700D2C2E" w:rsidR="00CA0E0F" w:rsidRDefault="00CA0E0F">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19" w:author="Cashore, Benjamin" w:date="2019-03-11T19:06:00Z" w:initials="CB">
    <w:p w14:paraId="43FCDF82" w14:textId="77777777" w:rsidR="00CA0E0F" w:rsidRDefault="00CA0E0F" w:rsidP="00984DC4">
      <w:pPr>
        <w:pStyle w:val="CommentText"/>
      </w:pPr>
      <w:r>
        <w:rPr>
          <w:rStyle w:val="CommentReference"/>
        </w:rPr>
        <w:annotationRef/>
      </w:r>
      <w:r>
        <w:t>I see your point but presenting it here is a little awkward</w:t>
      </w:r>
    </w:p>
  </w:comment>
  <w:comment w:id="20" w:author="Microsoft Office User" w:date="2019-03-13T11:03:00Z" w:initials="MOU">
    <w:p w14:paraId="57175CB6" w14:textId="1A1CB789" w:rsidR="00CA0E0F" w:rsidRDefault="00CA0E0F"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4" w:author="Cashore, Benjamin" w:date="2019-03-11T19:23:00Z" w:initials="CB">
    <w:p w14:paraId="31E9E472" w14:textId="77777777" w:rsidR="00CA0E0F" w:rsidRDefault="00CA0E0F" w:rsidP="00984DC4">
      <w:pPr>
        <w:pStyle w:val="CommentText"/>
      </w:pPr>
      <w:r>
        <w:rPr>
          <w:rStyle w:val="CommentReference"/>
        </w:rPr>
        <w:annotationRef/>
      </w:r>
      <w:r>
        <w:t>Ok this is a key point and needs to be brought up to the beginning of the article…</w:t>
      </w:r>
    </w:p>
  </w:comment>
  <w:comment w:id="25" w:author="DJL" w:date="2019-03-12T00:04:00Z" w:initials="D">
    <w:p w14:paraId="74EDA880" w14:textId="77777777" w:rsidR="00CA0E0F" w:rsidRDefault="00CA0E0F"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6" w:author="Cashore, Benjamin" w:date="2019-03-11T19:23:00Z" w:initials="CB">
    <w:p w14:paraId="5C663474" w14:textId="77777777" w:rsidR="00CA0E0F" w:rsidRDefault="00CA0E0F" w:rsidP="00984DC4">
      <w:pPr>
        <w:pStyle w:val="CommentText"/>
      </w:pPr>
      <w:r>
        <w:rPr>
          <w:rStyle w:val="CommentReference"/>
        </w:rPr>
        <w:annotationRef/>
      </w:r>
      <w:r>
        <w:t>But what about the regulations such as reforestation that create immediate benefits but which aren’t really collective action issues?</w:t>
      </w:r>
    </w:p>
  </w:comment>
  <w:comment w:id="27" w:author="DJL" w:date="2019-03-12T00:06:00Z" w:initials="D">
    <w:p w14:paraId="57F72D04" w14:textId="77777777" w:rsidR="00CA0E0F" w:rsidRDefault="00CA0E0F"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CA0E0F" w:rsidRDefault="00CA0E0F" w:rsidP="002E5C5B">
      <w:r>
        <w:separator/>
      </w:r>
    </w:p>
  </w:endnote>
  <w:endnote w:type="continuationSeparator" w:id="0">
    <w:p w14:paraId="75634233" w14:textId="77777777" w:rsidR="00CA0E0F" w:rsidRDefault="00CA0E0F" w:rsidP="002E5C5B">
      <w:r>
        <w:continuationSeparator/>
      </w:r>
    </w:p>
  </w:endnote>
  <w:endnote w:type="continuationNotice" w:id="1">
    <w:p w14:paraId="302DFA56" w14:textId="77777777" w:rsidR="00CA0E0F" w:rsidRDefault="00CA0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CA0E0F" w:rsidRDefault="00CA0E0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CA0E0F" w:rsidRDefault="00CA0E0F"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CA0E0F" w:rsidRDefault="00CA0E0F"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40F65">
      <w:rPr>
        <w:rStyle w:val="PageNumber"/>
        <w:noProof/>
      </w:rPr>
      <w:t>42</w:t>
    </w:r>
    <w:r>
      <w:rPr>
        <w:rStyle w:val="PageNumber"/>
      </w:rPr>
      <w:fldChar w:fldCharType="end"/>
    </w:r>
  </w:p>
  <w:p w14:paraId="63C7F481" w14:textId="77777777" w:rsidR="00CA0E0F" w:rsidRDefault="00CA0E0F"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CA0E0F" w:rsidRDefault="00CA0E0F" w:rsidP="002E5C5B">
      <w:r>
        <w:separator/>
      </w:r>
    </w:p>
  </w:footnote>
  <w:footnote w:type="continuationSeparator" w:id="0">
    <w:p w14:paraId="6DB8ED4E" w14:textId="77777777" w:rsidR="00CA0E0F" w:rsidRDefault="00CA0E0F" w:rsidP="002E5C5B">
      <w:r>
        <w:continuationSeparator/>
      </w:r>
    </w:p>
  </w:footnote>
  <w:footnote w:type="continuationNotice" w:id="1">
    <w:p w14:paraId="1C5930FC" w14:textId="77777777" w:rsidR="00CA0E0F" w:rsidRDefault="00CA0E0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CA0E0F" w:rsidRDefault="00CA0E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78B"/>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8EA"/>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34A5"/>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B7E0F"/>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DD5"/>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0589"/>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0F65"/>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0E0F"/>
    <w:rsid w:val="00CA0E7C"/>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823"/>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10.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11.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12.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13.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14.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15.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16.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17.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18.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19.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2.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20.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21.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22.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23.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24.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25.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26.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27.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28.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29.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3.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30.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31.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32.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33.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34.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35.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36.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37.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38.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39.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4.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40.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41.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42.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43.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44.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45.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46.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47.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48.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49.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5.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50.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51.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52.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53.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54.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55.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56.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57.xml><?xml version="1.0" encoding="utf-8"?>
<ds:datastoreItem xmlns:ds="http://schemas.openxmlformats.org/officeDocument/2006/customXml" ds:itemID="{B889EB9C-4003-DC4F-8A33-25B94B744B6C}">
  <ds:schemaRefs>
    <ds:schemaRef ds:uri="http://schemas.openxmlformats.org/officeDocument/2006/bibliography"/>
  </ds:schemaRefs>
</ds:datastoreItem>
</file>

<file path=customXml/itemProps58.xml><?xml version="1.0" encoding="utf-8"?>
<ds:datastoreItem xmlns:ds="http://schemas.openxmlformats.org/officeDocument/2006/customXml" ds:itemID="{41DB6539-54ED-3940-B0D7-585412638737}">
  <ds:schemaRefs>
    <ds:schemaRef ds:uri="http://schemas.openxmlformats.org/officeDocument/2006/bibliography"/>
  </ds:schemaRefs>
</ds:datastoreItem>
</file>

<file path=customXml/itemProps59.xml><?xml version="1.0" encoding="utf-8"?>
<ds:datastoreItem xmlns:ds="http://schemas.openxmlformats.org/officeDocument/2006/customXml" ds:itemID="{377C622D-4DAB-D949-84AA-9F6B34786ED9}">
  <ds:schemaRefs>
    <ds:schemaRef ds:uri="http://schemas.openxmlformats.org/officeDocument/2006/bibliography"/>
  </ds:schemaRefs>
</ds:datastoreItem>
</file>

<file path=customXml/itemProps6.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60.xml><?xml version="1.0" encoding="utf-8"?>
<ds:datastoreItem xmlns:ds="http://schemas.openxmlformats.org/officeDocument/2006/customXml" ds:itemID="{B83D0CBB-4DFA-EB4A-A568-4F76045F7A71}">
  <ds:schemaRefs>
    <ds:schemaRef ds:uri="http://schemas.openxmlformats.org/officeDocument/2006/bibliography"/>
  </ds:schemaRefs>
</ds:datastoreItem>
</file>

<file path=customXml/itemProps61.xml><?xml version="1.0" encoding="utf-8"?>
<ds:datastoreItem xmlns:ds="http://schemas.openxmlformats.org/officeDocument/2006/customXml" ds:itemID="{391555F4-1C69-344D-B074-77A5655D7878}">
  <ds:schemaRefs>
    <ds:schemaRef ds:uri="http://schemas.openxmlformats.org/officeDocument/2006/bibliography"/>
  </ds:schemaRefs>
</ds:datastoreItem>
</file>

<file path=customXml/itemProps62.xml><?xml version="1.0" encoding="utf-8"?>
<ds:datastoreItem xmlns:ds="http://schemas.openxmlformats.org/officeDocument/2006/customXml" ds:itemID="{52CDD735-98FB-A14C-9D56-BEF89AE45CBC}">
  <ds:schemaRefs>
    <ds:schemaRef ds:uri="http://schemas.openxmlformats.org/officeDocument/2006/bibliography"/>
  </ds:schemaRefs>
</ds:datastoreItem>
</file>

<file path=customXml/itemProps63.xml><?xml version="1.0" encoding="utf-8"?>
<ds:datastoreItem xmlns:ds="http://schemas.openxmlformats.org/officeDocument/2006/customXml" ds:itemID="{57043ADD-CDEC-D543-8221-FF4BFC0F3FD0}">
  <ds:schemaRefs>
    <ds:schemaRef ds:uri="http://schemas.openxmlformats.org/officeDocument/2006/bibliography"/>
  </ds:schemaRefs>
</ds:datastoreItem>
</file>

<file path=customXml/itemProps64.xml><?xml version="1.0" encoding="utf-8"?>
<ds:datastoreItem xmlns:ds="http://schemas.openxmlformats.org/officeDocument/2006/customXml" ds:itemID="{48438DD3-20D1-FB48-82D2-9E76A8B73576}">
  <ds:schemaRefs>
    <ds:schemaRef ds:uri="http://schemas.openxmlformats.org/officeDocument/2006/bibliography"/>
  </ds:schemaRefs>
</ds:datastoreItem>
</file>

<file path=customXml/itemProps65.xml><?xml version="1.0" encoding="utf-8"?>
<ds:datastoreItem xmlns:ds="http://schemas.openxmlformats.org/officeDocument/2006/customXml" ds:itemID="{FAA8648A-3296-8049-B5DB-E0A5CDC00822}">
  <ds:schemaRefs>
    <ds:schemaRef ds:uri="http://schemas.openxmlformats.org/officeDocument/2006/bibliography"/>
  </ds:schemaRefs>
</ds:datastoreItem>
</file>

<file path=customXml/itemProps66.xml><?xml version="1.0" encoding="utf-8"?>
<ds:datastoreItem xmlns:ds="http://schemas.openxmlformats.org/officeDocument/2006/customXml" ds:itemID="{22846CBD-340B-9648-8C54-D5570CF16A6B}">
  <ds:schemaRefs>
    <ds:schemaRef ds:uri="http://schemas.openxmlformats.org/officeDocument/2006/bibliography"/>
  </ds:schemaRefs>
</ds:datastoreItem>
</file>

<file path=customXml/itemProps67.xml><?xml version="1.0" encoding="utf-8"?>
<ds:datastoreItem xmlns:ds="http://schemas.openxmlformats.org/officeDocument/2006/customXml" ds:itemID="{ED15CCA7-3E21-544A-AAB9-8C1882CFE138}">
  <ds:schemaRefs>
    <ds:schemaRef ds:uri="http://schemas.openxmlformats.org/officeDocument/2006/bibliography"/>
  </ds:schemaRefs>
</ds:datastoreItem>
</file>

<file path=customXml/itemProps68.xml><?xml version="1.0" encoding="utf-8"?>
<ds:datastoreItem xmlns:ds="http://schemas.openxmlformats.org/officeDocument/2006/customXml" ds:itemID="{AF8CCD32-EF3F-F943-BA0D-73753B28A6B7}">
  <ds:schemaRefs>
    <ds:schemaRef ds:uri="http://schemas.openxmlformats.org/officeDocument/2006/bibliography"/>
  </ds:schemaRefs>
</ds:datastoreItem>
</file>

<file path=customXml/itemProps69.xml><?xml version="1.0" encoding="utf-8"?>
<ds:datastoreItem xmlns:ds="http://schemas.openxmlformats.org/officeDocument/2006/customXml" ds:itemID="{FDB94793-7133-0B44-AEA0-996696B66B87}">
  <ds:schemaRefs>
    <ds:schemaRef ds:uri="http://schemas.openxmlformats.org/officeDocument/2006/bibliography"/>
  </ds:schemaRefs>
</ds:datastoreItem>
</file>

<file path=customXml/itemProps7.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70.xml><?xml version="1.0" encoding="utf-8"?>
<ds:datastoreItem xmlns:ds="http://schemas.openxmlformats.org/officeDocument/2006/customXml" ds:itemID="{06F570AE-5BDD-F443-9CCF-A2F235CFD9E7}">
  <ds:schemaRefs>
    <ds:schemaRef ds:uri="http://schemas.openxmlformats.org/officeDocument/2006/bibliography"/>
  </ds:schemaRefs>
</ds:datastoreItem>
</file>

<file path=customXml/itemProps71.xml><?xml version="1.0" encoding="utf-8"?>
<ds:datastoreItem xmlns:ds="http://schemas.openxmlformats.org/officeDocument/2006/customXml" ds:itemID="{077AE513-93FD-554D-8421-57E9011C254A}">
  <ds:schemaRefs>
    <ds:schemaRef ds:uri="http://schemas.openxmlformats.org/officeDocument/2006/bibliography"/>
  </ds:schemaRefs>
</ds:datastoreItem>
</file>

<file path=customXml/itemProps72.xml><?xml version="1.0" encoding="utf-8"?>
<ds:datastoreItem xmlns:ds="http://schemas.openxmlformats.org/officeDocument/2006/customXml" ds:itemID="{C5712BF1-26E2-7E4B-BC58-58EF5343D0D3}">
  <ds:schemaRefs>
    <ds:schemaRef ds:uri="http://schemas.openxmlformats.org/officeDocument/2006/bibliography"/>
  </ds:schemaRefs>
</ds:datastoreItem>
</file>

<file path=customXml/itemProps73.xml><?xml version="1.0" encoding="utf-8"?>
<ds:datastoreItem xmlns:ds="http://schemas.openxmlformats.org/officeDocument/2006/customXml" ds:itemID="{3A301DFD-DF22-0249-A30A-B89F42087396}">
  <ds:schemaRefs>
    <ds:schemaRef ds:uri="http://schemas.openxmlformats.org/officeDocument/2006/bibliography"/>
  </ds:schemaRefs>
</ds:datastoreItem>
</file>

<file path=customXml/itemProps74.xml><?xml version="1.0" encoding="utf-8"?>
<ds:datastoreItem xmlns:ds="http://schemas.openxmlformats.org/officeDocument/2006/customXml" ds:itemID="{F5A41EBB-DEF3-2840-833E-861CD2FFD8F4}">
  <ds:schemaRefs>
    <ds:schemaRef ds:uri="http://schemas.openxmlformats.org/officeDocument/2006/bibliography"/>
  </ds:schemaRefs>
</ds:datastoreItem>
</file>

<file path=customXml/itemProps75.xml><?xml version="1.0" encoding="utf-8"?>
<ds:datastoreItem xmlns:ds="http://schemas.openxmlformats.org/officeDocument/2006/customXml" ds:itemID="{F4CA8B14-0CA2-874A-AF6B-D5C7D33F238A}">
  <ds:schemaRefs>
    <ds:schemaRef ds:uri="http://schemas.openxmlformats.org/officeDocument/2006/bibliography"/>
  </ds:schemaRefs>
</ds:datastoreItem>
</file>

<file path=customXml/itemProps76.xml><?xml version="1.0" encoding="utf-8"?>
<ds:datastoreItem xmlns:ds="http://schemas.openxmlformats.org/officeDocument/2006/customXml" ds:itemID="{8176377E-F879-BF47-88CC-F845B36C3CEC}">
  <ds:schemaRefs>
    <ds:schemaRef ds:uri="http://schemas.openxmlformats.org/officeDocument/2006/bibliography"/>
  </ds:schemaRefs>
</ds:datastoreItem>
</file>

<file path=customXml/itemProps8.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9.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55</Pages>
  <Words>14519</Words>
  <Characters>82763</Characters>
  <Application>Microsoft Macintosh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28</cp:revision>
  <cp:lastPrinted>2018-09-07T15:16:00Z</cp:lastPrinted>
  <dcterms:created xsi:type="dcterms:W3CDTF">2019-03-13T21:17:00Z</dcterms:created>
  <dcterms:modified xsi:type="dcterms:W3CDTF">2019-03-14T17:38:00Z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