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73B20" w14:textId="77777777" w:rsidR="00D43D79" w:rsidRDefault="00D43D79"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4B5DE6DE" w:rsidR="00074887" w:rsidRDefault="007A035C" w:rsidP="004A1418">
      <w:pPr>
        <w:spacing w:line="480" w:lineRule="auto"/>
        <w:outlineLvl w:val="0"/>
        <w:rPr>
          <w:bCs/>
          <w:color w:val="000000" w:themeColor="text1"/>
        </w:rPr>
      </w:pPr>
      <w:r>
        <w:rPr>
          <w:bCs/>
          <w:color w:val="000000" w:themeColor="text1"/>
        </w:rPr>
        <w:t>Scholar</w:t>
      </w:r>
      <w:r w:rsidR="00DF61A1">
        <w:rPr>
          <w:bCs/>
          <w:color w:val="000000" w:themeColor="text1"/>
        </w:rPr>
        <w:t xml:space="preserve">s </w:t>
      </w:r>
      <w:r w:rsidR="00FF273B">
        <w:rPr>
          <w:bCs/>
          <w:color w:val="000000" w:themeColor="text1"/>
        </w:rPr>
        <w:t>present</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FF273B">
        <w:rPr>
          <w:bCs/>
          <w:color w:val="000000" w:themeColor="text1"/>
        </w:rPr>
        <w:t>change in private regulations, including whether are “racing to the bottom,” “ratcheting up,” “converging,” or “diverging.”</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FF273B">
        <w:rPr>
          <w:bCs/>
          <w:color w:val="000000" w:themeColor="text1"/>
        </w:rPr>
        <w:t xml:space="preserve"> levels</w:t>
      </w:r>
      <w:ins w:id="0" w:author="DJL" w:date="2019-03-13T21:02:00Z">
        <w:r w:rsidR="00FF273B">
          <w:rPr>
            <w:bCs/>
            <w:color w:val="000000" w:themeColor="text1"/>
          </w:rPr>
          <w:t xml:space="preserve">. </w:t>
        </w:r>
      </w:ins>
      <w:del w:id="1" w:author="DJL" w:date="2019-03-13T21:02:00Z">
        <w:r w:rsidR="00044AE2" w:rsidDel="00FF273B">
          <w:rPr>
            <w:bCs/>
            <w:color w:val="000000" w:themeColor="text1"/>
          </w:rPr>
          <w:delText>.</w:delText>
        </w:r>
        <w:r w:rsidR="00D30B29" w:rsidDel="00FF273B">
          <w:rPr>
            <w:bCs/>
            <w:color w:val="000000" w:themeColor="text1"/>
          </w:rPr>
          <w:delText xml:space="preserve"> </w:delText>
        </w:r>
        <w:commentRangeStart w:id="2"/>
        <w:r w:rsidR="00D30B29" w:rsidDel="00FF273B">
          <w:rPr>
            <w:bCs/>
            <w:color w:val="000000" w:themeColor="text1"/>
          </w:rPr>
          <w:delText>[</w:delText>
        </w:r>
        <w:r w:rsidR="000832D0" w:rsidDel="00FF273B">
          <w:rPr>
            <w:bCs/>
            <w:color w:val="000000" w:themeColor="text1"/>
          </w:rPr>
          <w:delText>This framework</w:delText>
        </w:r>
        <w:r w:rsidR="00143AB6" w:rsidDel="00FF273B">
          <w:rPr>
            <w:bCs/>
            <w:color w:val="000000" w:themeColor="text1"/>
          </w:rPr>
          <w:delText xml:space="preserve"> allows </w:delText>
        </w:r>
        <w:r w:rsidDel="00FF273B">
          <w:rPr>
            <w:bCs/>
            <w:color w:val="000000" w:themeColor="text1"/>
          </w:rPr>
          <w:delText>scholars</w:delText>
        </w:r>
        <w:r w:rsidR="00143AB6" w:rsidDel="00FF273B">
          <w:rPr>
            <w:bCs/>
            <w:color w:val="000000" w:themeColor="text1"/>
          </w:rPr>
          <w:delText xml:space="preserve"> to </w:delText>
        </w:r>
        <w:r w:rsidDel="00FF273B">
          <w:rPr>
            <w:bCs/>
            <w:color w:val="000000" w:themeColor="text1"/>
          </w:rPr>
          <w:delText>better assess</w:delText>
        </w:r>
        <w:r w:rsidR="00143AB6" w:rsidDel="00FF273B">
          <w:rPr>
            <w:bCs/>
            <w:color w:val="000000" w:themeColor="text1"/>
          </w:rPr>
          <w:delText xml:space="preserve"> </w:delText>
        </w:r>
        <w:r w:rsidDel="00FF273B">
          <w:rPr>
            <w:bCs/>
            <w:color w:val="000000" w:themeColor="text1"/>
          </w:rPr>
          <w:delText xml:space="preserve">patterns </w:delText>
        </w:r>
        <w:r w:rsidR="00143AB6" w:rsidDel="00FF273B">
          <w:rPr>
            <w:bCs/>
            <w:color w:val="000000" w:themeColor="text1"/>
          </w:rPr>
          <w:delText>policy change, including “racing to the bottom”, “ratcheting up”, “converging”, or “diverging.”</w:delText>
        </w:r>
        <w:r w:rsidR="00D30B29" w:rsidDel="00FF273B">
          <w:rPr>
            <w:bCs/>
            <w:color w:val="000000" w:themeColor="text1"/>
          </w:rPr>
          <w:delText>]</w:delText>
        </w:r>
        <w:r w:rsidR="00F232DC" w:rsidDel="00FF273B">
          <w:rPr>
            <w:bCs/>
            <w:color w:val="000000" w:themeColor="text1"/>
          </w:rPr>
          <w:delText xml:space="preserve"> </w:delText>
        </w:r>
        <w:commentRangeEnd w:id="2"/>
        <w:r w:rsidR="00307B8E" w:rsidDel="00FF273B">
          <w:rPr>
            <w:rStyle w:val="CommentReference"/>
            <w:rFonts w:asciiTheme="minorHAnsi" w:hAnsiTheme="minorHAnsi" w:cstheme="minorBidi"/>
          </w:rPr>
          <w:commentReference w:id="2"/>
        </w:r>
      </w:del>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 xml:space="preserve">program </w:t>
      </w:r>
      <w:r w:rsidR="00517E92">
        <w:rPr>
          <w:bCs/>
          <w:color w:val="000000" w:themeColor="text1"/>
        </w:rPr>
        <w:t>founded</w:t>
      </w:r>
      <w:r w:rsidR="00D30B29">
        <w:rPr>
          <w:bCs/>
          <w:color w:val="000000" w:themeColor="text1"/>
        </w:rPr>
        <w:t xml:space="preserve"> by</w:t>
      </w:r>
      <w:r w:rsidR="00517E92">
        <w:rPr>
          <w:bCs/>
          <w:color w:val="000000" w:themeColor="text1"/>
        </w:rPr>
        <w:t xml:space="preserve"> social and environmental</w:t>
      </w:r>
      <w:r w:rsidR="001C40B2">
        <w:rPr>
          <w:bCs/>
          <w:color w:val="000000" w:themeColor="text1"/>
        </w:rPr>
        <w:t xml:space="preserve">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w:t>
      </w:r>
      <w:r w:rsidR="00517E92">
        <w:rPr>
          <w:bCs/>
          <w:color w:val="000000" w:themeColor="text1"/>
        </w:rPr>
        <w:t>have</w:t>
      </w:r>
      <w:r w:rsidR="008E5713">
        <w:rPr>
          <w:bCs/>
          <w:color w:val="000000" w:themeColor="text1"/>
        </w:rPr>
        <w:t xml:space="preserve"> </w:t>
      </w:r>
      <w:r w:rsidR="00517E92">
        <w:rPr>
          <w:bCs/>
          <w:color w:val="000000" w:themeColor="text1"/>
        </w:rPr>
        <w:t>net</w:t>
      </w:r>
      <w:r w:rsidR="008E5713">
        <w:rPr>
          <w:bCs/>
          <w:color w:val="000000" w:themeColor="text1"/>
        </w:rPr>
        <w:t xml:space="preserve"> </w:t>
      </w:r>
      <w:r w:rsidR="00413B64">
        <w:rPr>
          <w:bCs/>
          <w:color w:val="000000" w:themeColor="text1"/>
        </w:rPr>
        <w:t>benefits</w:t>
      </w:r>
      <w:r w:rsidR="00517E92">
        <w:rPr>
          <w:bCs/>
          <w:color w:val="000000" w:themeColor="text1"/>
        </w:rPr>
        <w:t xml:space="preserve"> for the sector regardless of activist pressure</w:t>
      </w:r>
      <w:del w:id="3" w:author="Cashore, Benjamin" w:date="2019-03-11T17:47:00Z">
        <w:r w:rsidR="00C709E6" w:rsidDel="00756050">
          <w:rPr>
            <w:bCs/>
            <w:color w:val="000000" w:themeColor="text1"/>
          </w:rPr>
          <w:delText xml:space="preserve">that </w:delText>
        </w:r>
      </w:del>
      <w:del w:id="4" w:author="Cashore, Benjamin" w:date="2019-03-11T17:46:00Z">
        <w:r w:rsidR="00C709E6" w:rsidDel="008C793B">
          <w:rPr>
            <w:bCs/>
            <w:color w:val="000000" w:themeColor="text1"/>
          </w:rPr>
          <w:delText xml:space="preserve">solved </w:delText>
        </w:r>
      </w:del>
      <w:del w:id="5" w:author="Cashore, Benjamin" w:date="2019-03-11T17:47:00Z">
        <w:r w:rsidR="00C709E6" w:rsidDel="00756050">
          <w:rPr>
            <w:bCs/>
            <w:color w:val="000000" w:themeColor="text1"/>
          </w:rPr>
          <w:delText>industry collective action problems related to reputation and risk</w:delText>
        </w:r>
      </w:del>
      <w:del w:id="6"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7" w:author="Cashore, Benjamin" w:date="2019-03-10T21:54:00Z">
        <w:r w:rsidR="005E5AAC" w:rsidDel="00413B64">
          <w:rPr>
            <w:bCs/>
            <w:color w:val="000000" w:themeColor="text1"/>
          </w:rPr>
          <w:delText xml:space="preserve">benefit </w:delText>
        </w:r>
      </w:del>
      <w:del w:id="8"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w:t>
      </w:r>
      <w:r w:rsidR="00517E92">
        <w:rPr>
          <w:bCs/>
          <w:color w:val="000000" w:themeColor="text1"/>
        </w:rPr>
        <w:t>target</w:t>
      </w:r>
      <w:r w:rsidR="00074887">
        <w:rPr>
          <w:bCs/>
          <w:color w:val="000000" w:themeColor="text1"/>
        </w:rPr>
        <w:t xml:space="preserve">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9"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1713C895" w:rsidR="001A65DD" w:rsidRDefault="00074887" w:rsidP="004A1418">
      <w:pPr>
        <w:spacing w:line="480" w:lineRule="auto"/>
        <w:outlineLvl w:val="0"/>
        <w:rPr>
          <w:bCs/>
          <w:color w:val="000000" w:themeColor="text1"/>
        </w:rPr>
      </w:pPr>
      <w:r w:rsidDel="00074887">
        <w:rPr>
          <w:bCs/>
          <w:color w:val="000000" w:themeColor="text1"/>
        </w:rPr>
        <w:t xml:space="preserve"> </w:t>
      </w:r>
      <w:r w:rsidR="007D7A1D">
        <w:rPr>
          <w:bCs/>
          <w:color w:val="000000" w:themeColor="text1"/>
        </w:rPr>
        <w:t>[15</w:t>
      </w:r>
      <w:r w:rsidR="00A24B5F">
        <w:rPr>
          <w:bCs/>
          <w:color w:val="000000" w:themeColor="text1"/>
        </w:rPr>
        <w:t>1</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260968A7"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Private governance initiatives such as product certification programs have targeted farm and factory working conditions, greenhouse gas emissions, and fishery, mine, and forest management (Auld, 2014; Bartley, 2003; </w:t>
      </w:r>
      <w:proofErr w:type="spellStart"/>
      <w:r w:rsidRPr="00A8487A">
        <w:rPr>
          <w:bCs/>
          <w:color w:val="000000" w:themeColor="text1"/>
        </w:rPr>
        <w:t>Bozzi</w:t>
      </w:r>
      <w:proofErr w:type="spellEnd"/>
      <w:r w:rsidRPr="00A8487A">
        <w:rPr>
          <w:bCs/>
          <w:color w:val="000000" w:themeColor="text1"/>
        </w:rPr>
        <w:t xml:space="preserve">, </w:t>
      </w:r>
      <w:proofErr w:type="spellStart"/>
      <w:r w:rsidRPr="00A8487A">
        <w:rPr>
          <w:bCs/>
          <w:color w:val="000000" w:themeColor="text1"/>
        </w:rPr>
        <w:t>Cashore</w:t>
      </w:r>
      <w:proofErr w:type="spellEnd"/>
      <w:r w:rsidRPr="00A8487A">
        <w:rPr>
          <w:bCs/>
          <w:color w:val="000000" w:themeColor="text1"/>
        </w:rPr>
        <w:t xml:space="preserve">, Levin, &amp; McDermott, 2012; Hudson &amp; Hudson, 2003; van der </w:t>
      </w:r>
      <w:proofErr w:type="spellStart"/>
      <w:r w:rsidRPr="00A8487A">
        <w:rPr>
          <w:bCs/>
          <w:color w:val="000000" w:themeColor="text1"/>
        </w:rPr>
        <w:t>Ven</w:t>
      </w:r>
      <w:proofErr w:type="spellEnd"/>
      <w:r w:rsidRPr="00A8487A">
        <w:rPr>
          <w:bCs/>
          <w:color w:val="000000" w:themeColor="text1"/>
        </w:rPr>
        <w:t xml:space="preserve">, 2015; Vince &amp; </w:t>
      </w:r>
      <w:proofErr w:type="spellStart"/>
      <w:r w:rsidRPr="00A8487A">
        <w:rPr>
          <w:bCs/>
          <w:color w:val="000000" w:themeColor="text1"/>
        </w:rPr>
        <w:t>Haward</w:t>
      </w:r>
      <w:proofErr w:type="spellEnd"/>
      <w:r w:rsidRPr="00A8487A">
        <w:rPr>
          <w:bCs/>
          <w:color w:val="000000" w:themeColor="text1"/>
        </w:rPr>
        <w:t xml:space="preserve">, 2017; Vogel, 2008). </w:t>
      </w:r>
      <w:proofErr w:type="gramStart"/>
      <w:r w:rsidRPr="00A8487A">
        <w:rPr>
          <w:bCs/>
          <w:color w:val="000000" w:themeColor="text1"/>
        </w:rPr>
        <w:t>Many of these initiatives were founded by activists who were dissatisfied with public regulations</w:t>
      </w:r>
      <w:proofErr w:type="gramEnd"/>
      <w:r w:rsidRPr="00A8487A">
        <w:rPr>
          <w:bCs/>
          <w:color w:val="000000" w:themeColor="text1"/>
        </w:rPr>
        <w:t xml:space="preserve">. With tactics like boycotts as </w:t>
      </w:r>
      <w:r w:rsidRPr="00A8487A">
        <w:rPr>
          <w:bCs/>
          <w:color w:val="000000" w:themeColor="text1"/>
        </w:rPr>
        <w:lastRenderedPageBreak/>
        <w:t>“sticks” and brand-boosting praise as “carrots,” activists create incentives for companies to comply with private regulations thereby giving their preferred certification programs rulemaking authority rooted in market power rather than state-based authority (</w:t>
      </w:r>
      <w:proofErr w:type="spellStart"/>
      <w:r w:rsidRPr="00A8487A">
        <w:rPr>
          <w:bCs/>
          <w:color w:val="000000" w:themeColor="text1"/>
        </w:rPr>
        <w:t>Cashore</w:t>
      </w:r>
      <w:proofErr w:type="spellEnd"/>
      <w:r w:rsidRPr="00A8487A">
        <w:rPr>
          <w:bCs/>
          <w:color w:val="000000" w:themeColor="text1"/>
        </w:rPr>
        <w:t xml:space="preserve">, 2002). In some sectors, such as forestry, activist-backed programs met resistance from industry groups that launched competing certification programs designed to offer more “business-friendly” alternatives. The result has been hotly contested debates between supporters of programs initiated by activists and their allies and supporters of industry-backed alternatives. These debates center on the relative stringency of each program’s requirements. </w:t>
      </w:r>
    </w:p>
    <w:p w14:paraId="52008A76" w14:textId="77777777" w:rsidR="00A8487A" w:rsidRPr="00A8487A" w:rsidRDefault="00A8487A" w:rsidP="004A1418">
      <w:pPr>
        <w:pStyle w:val="NormalWeb"/>
        <w:spacing w:line="480" w:lineRule="auto"/>
        <w:rPr>
          <w:bCs/>
          <w:color w:val="000000" w:themeColor="text1"/>
        </w:rPr>
      </w:pPr>
    </w:p>
    <w:p w14:paraId="79CCA8C1"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In response to these emerging forms of regulation and ensuing public debates, scholars across political science, public administration,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places with more stringent regulations lobby to equalize requirements across jurisdictions (e.g., Berger &amp; Dore, 1996; </w:t>
      </w:r>
      <w:proofErr w:type="spellStart"/>
      <w:r w:rsidRPr="00A8487A">
        <w:rPr>
          <w:bCs/>
          <w:color w:val="000000" w:themeColor="text1"/>
        </w:rPr>
        <w:t>Rodrik</w:t>
      </w:r>
      <w:proofErr w:type="spellEnd"/>
      <w:r w:rsidRPr="00A8487A">
        <w:rPr>
          <w:bCs/>
          <w:color w:val="000000" w:themeColor="text1"/>
        </w:rPr>
        <w:t xml:space="preserve">, Subramanian, &amp; </w:t>
      </w:r>
      <w:proofErr w:type="spellStart"/>
      <w:r w:rsidRPr="00A8487A">
        <w:rPr>
          <w:bCs/>
          <w:color w:val="000000" w:themeColor="text1"/>
        </w:rPr>
        <w:t>Trebbi</w:t>
      </w:r>
      <w:proofErr w:type="spellEnd"/>
      <w:r w:rsidRPr="00A8487A">
        <w:rPr>
          <w:bCs/>
          <w:color w:val="000000" w:themeColor="text1"/>
        </w:rPr>
        <w:t>, 2002; Vogel, 1995).</w:t>
      </w:r>
    </w:p>
    <w:p w14:paraId="3B72F6CA" w14:textId="77777777" w:rsidR="00A8487A" w:rsidRPr="00A8487A" w:rsidRDefault="00A8487A" w:rsidP="004A1418">
      <w:pPr>
        <w:pStyle w:val="NormalWeb"/>
        <w:spacing w:line="480" w:lineRule="auto"/>
        <w:rPr>
          <w:bCs/>
          <w:color w:val="000000" w:themeColor="text1"/>
        </w:rPr>
      </w:pPr>
    </w:p>
    <w:p w14:paraId="447274D4"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While this scholarship has made great strides, it lacks consistent concepts of regulatory stringency and methods to compare requirements over time. Some scholars rely on broad </w:t>
      </w:r>
      <w:r w:rsidRPr="00A8487A">
        <w:rPr>
          <w:bCs/>
          <w:color w:val="000000" w:themeColor="text1"/>
        </w:rPr>
        <w:lastRenderedPageBreak/>
        <w:t>characterizations of regulatory stringency without offering a precise definition. Others base their characterizations on only a small subset of the issues.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dependent variable policy change as a dependent variable (Green-</w:t>
      </w:r>
      <w:proofErr w:type="spellStart"/>
      <w:r w:rsidRPr="00A8487A">
        <w:rPr>
          <w:bCs/>
          <w:color w:val="000000" w:themeColor="text1"/>
        </w:rPr>
        <w:t>Pedderson</w:t>
      </w:r>
      <w:proofErr w:type="spellEnd"/>
      <w:r w:rsidRPr="00A8487A">
        <w:rPr>
          <w:bCs/>
          <w:color w:val="000000" w:themeColor="text1"/>
        </w:rPr>
        <w:t xml:space="preserve"> 2007; Hall, 1992; </w:t>
      </w:r>
      <w:proofErr w:type="spellStart"/>
      <w:r w:rsidRPr="00A8487A">
        <w:rPr>
          <w:bCs/>
          <w:color w:val="000000" w:themeColor="text1"/>
        </w:rPr>
        <w:t>Howlett</w:t>
      </w:r>
      <w:proofErr w:type="spellEnd"/>
      <w:r w:rsidRPr="00A8487A">
        <w:rPr>
          <w:bCs/>
          <w:color w:val="000000" w:themeColor="text1"/>
        </w:rPr>
        <w:t xml:space="preserve"> &amp; </w:t>
      </w:r>
      <w:proofErr w:type="spellStart"/>
      <w:r w:rsidRPr="00A8487A">
        <w:rPr>
          <w:bCs/>
          <w:color w:val="000000" w:themeColor="text1"/>
        </w:rPr>
        <w:t>Cashore</w:t>
      </w:r>
      <w:proofErr w:type="spellEnd"/>
      <w:r w:rsidRPr="00A8487A">
        <w:rPr>
          <w:bCs/>
          <w:color w:val="000000" w:themeColor="text1"/>
        </w:rPr>
        <w:t>, 2014), students of private governance have given much less attention to the concept of policy change.</w:t>
      </w:r>
    </w:p>
    <w:p w14:paraId="75F8D3DC" w14:textId="77777777" w:rsidR="00A8487A" w:rsidRPr="00A8487A" w:rsidRDefault="00A8487A" w:rsidP="004A1418">
      <w:pPr>
        <w:pStyle w:val="NormalWeb"/>
        <w:spacing w:line="480" w:lineRule="auto"/>
        <w:rPr>
          <w:bCs/>
          <w:color w:val="000000" w:themeColor="text1"/>
        </w:rPr>
      </w:pPr>
      <w:r w:rsidRPr="00A8487A">
        <w:rPr>
          <w:bCs/>
          <w:color w:val="000000" w:themeColor="text1"/>
        </w:rPr>
        <w:t xml:space="preserve"> </w:t>
      </w:r>
    </w:p>
    <w:p w14:paraId="33E4E4EF" w14:textId="0ED61F15" w:rsidR="001F6B43" w:rsidRPr="00A8487A" w:rsidRDefault="00A8487A" w:rsidP="004A1418">
      <w:pPr>
        <w:pStyle w:val="NormalWeb"/>
        <w:spacing w:line="480" w:lineRule="auto"/>
        <w:rPr>
          <w:b/>
          <w:bCs/>
          <w:color w:val="000000" w:themeColor="text1"/>
        </w:rPr>
      </w:pPr>
      <w:r w:rsidRPr="00A8487A">
        <w:rPr>
          <w:bCs/>
          <w:color w:val="000000" w:themeColor="text1"/>
        </w:rPr>
        <w:t>To address this gap, we build on public policy concepts to offer a two-part approach for describing and comparing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over time, yielding nine possible patterns describing relative and absolute directions of policy change. We thus provide a common language to describe how various regulations in the same policy space may change over time. Such research questions are especially important where multiple programs, backed by different coalitions, compete to exercise regulatory authority. By distinguishing among types of regulatory stringency,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10"/>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lastRenderedPageBreak/>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1"/>
      <w:commentRangeStart w:id="12"/>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1"/>
      <w:r w:rsidR="00527EFD">
        <w:rPr>
          <w:rStyle w:val="CommentReference"/>
          <w:rFonts w:asciiTheme="minorHAnsi" w:hAnsiTheme="minorHAnsi" w:cstheme="minorBidi"/>
        </w:rPr>
        <w:commentReference w:id="11"/>
      </w:r>
      <w:commentRangeEnd w:id="12"/>
      <w:r w:rsidR="00432103">
        <w:rPr>
          <w:rStyle w:val="CommentReference"/>
          <w:rFonts w:asciiTheme="minorHAnsi" w:hAnsiTheme="minorHAnsi" w:cstheme="minorBidi"/>
        </w:rPr>
        <w:commentReference w:id="12"/>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13"/>
      <w:commentRangeStart w:id="1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13"/>
      <w:r w:rsidR="006F3194">
        <w:rPr>
          <w:rStyle w:val="CommentReference"/>
          <w:rFonts w:asciiTheme="minorHAnsi" w:hAnsiTheme="minorHAnsi" w:cstheme="minorBidi"/>
        </w:rPr>
        <w:commentReference w:id="13"/>
      </w:r>
      <w:commentRangeEnd w:id="14"/>
      <w:r w:rsidR="00C31FF7">
        <w:rPr>
          <w:rStyle w:val="CommentReference"/>
          <w:rFonts w:asciiTheme="minorHAnsi" w:hAnsiTheme="minorHAnsi" w:cstheme="minorBidi"/>
        </w:rPr>
        <w:commentReference w:id="1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lastRenderedPageBreak/>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2018). Even activist-backed programs that establish stringent requirements on one issue at one point in time may not 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w:t>
      </w:r>
      <w:r w:rsidRPr="00722696">
        <w:rPr>
          <w:color w:val="000000" w:themeColor="text1"/>
        </w:rPr>
        <w:lastRenderedPageBreak/>
        <w:t>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w:t>
      </w:r>
      <w:r w:rsidRPr="00343B6E">
        <w:rPr>
          <w:color w:val="000000" w:themeColor="text1"/>
        </w:rPr>
        <w:lastRenderedPageBreak/>
        <w:t xml:space="preserve">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15"/>
      <w:commentRangeStart w:id="16"/>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15"/>
      <w:r w:rsidR="001F354C">
        <w:rPr>
          <w:rStyle w:val="CommentReference"/>
          <w:rFonts w:asciiTheme="minorHAnsi" w:hAnsiTheme="minorHAnsi" w:cstheme="minorBidi"/>
        </w:rPr>
        <w:commentReference w:id="15"/>
      </w:r>
      <w:commentRangeEnd w:id="16"/>
      <w:r w:rsidR="001E44F7">
        <w:rPr>
          <w:rStyle w:val="CommentReference"/>
          <w:rFonts w:asciiTheme="minorHAnsi" w:hAnsiTheme="minorHAnsi" w:cstheme="minorBidi"/>
        </w:rPr>
        <w:commentReference w:id="16"/>
      </w:r>
      <w:commentRangeStart w:id="17"/>
      <w:del w:id="18"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17"/>
      <w:r w:rsidR="001E44F7">
        <w:rPr>
          <w:rStyle w:val="CommentReference"/>
          <w:rFonts w:asciiTheme="minorHAnsi" w:hAnsiTheme="minorHAnsi" w:cstheme="minorBidi"/>
        </w:rPr>
        <w:commentReference w:id="17"/>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lastRenderedPageBreak/>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19"/>
      <w:r w:rsidR="00D00707" w:rsidRPr="00387397">
        <w:rPr>
          <w:color w:val="000000" w:themeColor="text1"/>
        </w:rPr>
        <w:t>.</w:t>
      </w:r>
      <w:del w:id="20"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19"/>
      <w:r w:rsidR="00876BF6">
        <w:rPr>
          <w:rStyle w:val="CommentReference"/>
          <w:rFonts w:asciiTheme="minorHAnsi" w:hAnsiTheme="minorHAnsi" w:cstheme="minorBidi"/>
        </w:rPr>
        <w:commentReference w:id="19"/>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21"/>
      <w:r w:rsidR="00E44A0D" w:rsidRPr="00387397">
        <w:t xml:space="preserve">and find </w:t>
      </w:r>
      <w:r w:rsidR="00E44A0D">
        <w:t>evidence</w:t>
      </w:r>
      <w:r w:rsidR="00E44A0D" w:rsidRPr="00387397">
        <w:t xml:space="preserve"> for</w:t>
      </w:r>
      <w:commentRangeEnd w:id="21"/>
      <w:r w:rsidR="00E44A0D">
        <w:rPr>
          <w:rStyle w:val="CommentReference"/>
          <w:rFonts w:asciiTheme="minorHAnsi" w:hAnsiTheme="minorHAnsi" w:cstheme="minorBidi"/>
        </w:rPr>
        <w:commentReference w:id="21"/>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lastRenderedPageBreak/>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lastRenderedPageBreak/>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w:t>
      </w:r>
      <w:r>
        <w:lastRenderedPageBreak/>
        <w:t xml:space="preserve">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77777777"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1997; Hall, 1993; Weimer &amp; Vining, 2005). While private governance scholars have shown that private regulations resemble public laws (</w:t>
      </w:r>
      <w:proofErr w:type="spellStart"/>
      <w:r>
        <w:t>Meidinger</w:t>
      </w:r>
      <w:proofErr w:type="spellEnd"/>
      <w:r>
        <w:t xml:space="preserve">, 2003, 2006), they have paid less attention to distinctions between policy means and ends. Similarly, policy change, a </w:t>
      </w:r>
      <w:r>
        <w:lastRenderedPageBreak/>
        <w:t>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22"/>
      <w:commentRangeStart w:id="23"/>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22"/>
      <w:r w:rsidR="00956FFD">
        <w:rPr>
          <w:rStyle w:val="CommentReference"/>
          <w:rFonts w:asciiTheme="minorHAnsi" w:hAnsiTheme="minorHAnsi" w:cstheme="minorBidi"/>
        </w:rPr>
        <w:commentReference w:id="22"/>
      </w:r>
      <w:commentRangeEnd w:id="23"/>
      <w:r w:rsidR="00791462">
        <w:rPr>
          <w:rStyle w:val="CommentReference"/>
          <w:rFonts w:asciiTheme="minorHAnsi" w:hAnsiTheme="minorHAnsi" w:cstheme="minorBidi"/>
        </w:rPr>
        <w:commentReference w:id="23"/>
      </w:r>
    </w:p>
    <w:p w14:paraId="6C2B833D"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(see Table 2).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overall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 Comparing across programs requires a second step: measuring relative stringency and change on each dimension (see Table 2).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lastRenderedPageBreak/>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w:t>
      </w:r>
      <w:r w:rsidRPr="004C6146">
        <w:rPr>
          <w:color w:val="000000" w:themeColor="text1"/>
        </w:rPr>
        <w:lastRenderedPageBreak/>
        <w:t>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4 in section 4). Measurement strategies that allow program-level aggregation cannot replace issue-specific qualitative comparison. It is crucial to </w:t>
      </w:r>
      <w:r w:rsidRPr="004C6146">
        <w:rPr>
          <w:color w:val="000000" w:themeColor="text1"/>
        </w:rPr>
        <w:lastRenderedPageBreak/>
        <w:t>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24"/>
      <w:commentRangeStart w:id="25"/>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24"/>
      <w:r w:rsidR="00956FFD">
        <w:rPr>
          <w:rStyle w:val="CommentReference"/>
          <w:rFonts w:asciiTheme="minorHAnsi" w:hAnsiTheme="minorHAnsi" w:cstheme="minorBidi"/>
        </w:rPr>
        <w:commentReference w:id="24"/>
      </w:r>
      <w:commentRangeEnd w:id="25"/>
      <w:r w:rsidR="00F63F63">
        <w:rPr>
          <w:rStyle w:val="CommentReference"/>
          <w:rFonts w:asciiTheme="minorHAnsi" w:hAnsiTheme="minorHAnsi" w:cstheme="minorBidi"/>
        </w:rPr>
        <w:commentReference w:id="25"/>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26"/>
      <w:commentRangeStart w:id="27"/>
      <w:r w:rsidR="00CD1E1C" w:rsidRPr="00387397">
        <w:rPr>
          <w:rFonts w:eastAsia="Times New Roman"/>
          <w:color w:val="000000" w:themeColor="text1"/>
        </w:rPr>
        <w:t xml:space="preserve"> possibly </w:t>
      </w:r>
      <w:commentRangeEnd w:id="26"/>
      <w:r w:rsidR="00C001AE">
        <w:rPr>
          <w:rStyle w:val="CommentReference"/>
          <w:rFonts w:asciiTheme="minorHAnsi" w:hAnsiTheme="minorHAnsi" w:cstheme="minorBidi"/>
        </w:rPr>
        <w:commentReference w:id="26"/>
      </w:r>
      <w:commentRangeEnd w:id="27"/>
      <w:r w:rsidR="000E0724">
        <w:rPr>
          <w:rStyle w:val="CommentReference"/>
          <w:rFonts w:asciiTheme="minorHAnsi" w:hAnsiTheme="minorHAnsi" w:cstheme="minorBidi"/>
        </w:rPr>
        <w:commentReference w:id="27"/>
      </w:r>
      <w:del w:id="28"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29"/>
      <w:commentRangeStart w:id="30"/>
      <w:r w:rsidR="00984DC4">
        <w:rPr>
          <w:rFonts w:eastAsia="Times New Roman"/>
          <w:color w:val="000000" w:themeColor="text1"/>
        </w:rPr>
        <w:t>it can be theoretically related to compliance costs</w:t>
      </w:r>
      <w:commentRangeEnd w:id="29"/>
      <w:r w:rsidR="00984DC4">
        <w:rPr>
          <w:rStyle w:val="CommentReference"/>
          <w:rFonts w:asciiTheme="minorHAnsi" w:hAnsiTheme="minorHAnsi" w:cstheme="minorBidi"/>
        </w:rPr>
        <w:commentReference w:id="29"/>
      </w:r>
      <w:commentRangeEnd w:id="30"/>
      <w:r w:rsidR="00984DC4">
        <w:rPr>
          <w:rStyle w:val="CommentReference"/>
          <w:rFonts w:asciiTheme="minorHAnsi" w:hAnsiTheme="minorHAnsi" w:cstheme="minorBidi"/>
        </w:rPr>
        <w:commentReference w:id="30"/>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 xml:space="preserve">ndustry-backed </w:t>
      </w:r>
      <w:r w:rsidRPr="00387397">
        <w:rPr>
          <w:color w:val="000000" w:themeColor="text1"/>
        </w:rPr>
        <w:lastRenderedPageBreak/>
        <w:t>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31"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w:t>
      </w:r>
      <w:r>
        <w:rPr>
          <w:color w:val="000000" w:themeColor="text1"/>
        </w:rPr>
        <w:lastRenderedPageBreak/>
        <w:t>across programs.</w:t>
      </w:r>
    </w:p>
    <w:p w14:paraId="498A0A7B" w14:textId="77777777" w:rsidR="00984DC4" w:rsidDel="00291F94" w:rsidRDefault="00984DC4" w:rsidP="004A1418">
      <w:pPr>
        <w:widowControl w:val="0"/>
        <w:autoSpaceDE w:val="0"/>
        <w:autoSpaceDN w:val="0"/>
        <w:adjustRightInd w:val="0"/>
        <w:spacing w:after="240" w:line="480" w:lineRule="auto"/>
        <w:rPr>
          <w:del w:id="32" w:author="Cashore, Benjamin" w:date="2019-03-11T19:22:00Z"/>
          <w:color w:val="000000" w:themeColor="text1"/>
        </w:rPr>
      </w:pPr>
      <w:del w:id="33"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34"/>
      <w:commentRangeStart w:id="35"/>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34"/>
      <w:r>
        <w:rPr>
          <w:rStyle w:val="CommentReference"/>
          <w:rFonts w:asciiTheme="minorHAnsi" w:hAnsiTheme="minorHAnsi" w:cstheme="minorBidi"/>
        </w:rPr>
        <w:commentReference w:id="34"/>
      </w:r>
      <w:commentRangeEnd w:id="35"/>
      <w:r>
        <w:rPr>
          <w:rStyle w:val="CommentReference"/>
          <w:rFonts w:asciiTheme="minorHAnsi" w:hAnsiTheme="minorHAnsi" w:cstheme="minorBidi"/>
        </w:rPr>
        <w:commentReference w:id="35"/>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36"/>
      <w:commentRangeStart w:id="37"/>
      <w:r>
        <w:rPr>
          <w:color w:val="000000" w:themeColor="text1"/>
        </w:rPr>
        <w:t>workforce</w:t>
      </w:r>
      <w:commentRangeEnd w:id="36"/>
      <w:r>
        <w:rPr>
          <w:rStyle w:val="CommentReference"/>
          <w:rFonts w:asciiTheme="minorHAnsi" w:hAnsiTheme="minorHAnsi" w:cstheme="minorBidi"/>
        </w:rPr>
        <w:commentReference w:id="36"/>
      </w:r>
      <w:commentRangeEnd w:id="37"/>
      <w:r>
        <w:rPr>
          <w:rStyle w:val="CommentReference"/>
          <w:rFonts w:asciiTheme="minorHAnsi" w:hAnsiTheme="minorHAnsi" w:cstheme="minorBidi"/>
        </w:rPr>
        <w:commentReference w:id="37"/>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lastRenderedPageBreak/>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We illustrate our methods for measuring stringency through an analysis of forestry certification in the United States, one of the most advanced cases of private regulation. Like many substantive </w:t>
      </w:r>
      <w:r w:rsidRPr="004A1418">
        <w:rPr>
          <w:color w:val="000000" w:themeColor="text1"/>
        </w:rPr>
        <w:lastRenderedPageBreak/>
        <w:t xml:space="preserve">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states support certification as a compliment or alternative to public regulation. For example some state regulators forgo inspections of FSC-certified forests </w:t>
      </w:r>
      <w:proofErr w:type="gramStart"/>
      <w:r w:rsidRPr="004A1418">
        <w:rPr>
          <w:color w:val="000000" w:themeColor="text1"/>
        </w:rPr>
        <w:t xml:space="preserve">as legal compliance is part of their FSC </w:t>
      </w:r>
      <w:r w:rsidRPr="004A1418">
        <w:rPr>
          <w:color w:val="000000" w:themeColor="text1"/>
        </w:rPr>
        <w:lastRenderedPageBreak/>
        <w:t>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(PEFC). The PEFC maintains a set of Sustainable Forest Management Benchmarks intended to guide participating programs, many of which are industry-backed alternatives to the FSC. Unlike </w:t>
      </w:r>
      <w:r w:rsidRPr="004A1418">
        <w:rPr>
          <w:color w:val="000000" w:themeColor="text1"/>
        </w:rPr>
        <w:lastRenderedPageBreak/>
        <w:t>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effect between 2008 and 2016 to assess their coverage across 48 distinct “key issues” covering a broad scope of forestry requirements, from employee wages and resource utilization to </w:t>
      </w:r>
      <w:proofErr w:type="gramStart"/>
      <w:r w:rsidRPr="004A1418">
        <w:rPr>
          <w:color w:val="000000" w:themeColor="text1"/>
        </w:rPr>
        <w:lastRenderedPageBreak/>
        <w:t>protections</w:t>
      </w:r>
      <w:proofErr w:type="gramEnd"/>
      <w:r w:rsidRPr="004A1418">
        <w:rPr>
          <w:color w:val="000000" w:themeColor="text1"/>
        </w:rPr>
        <w:t xml:space="preserve"> for endangered species and indigenous peoples’ rights. These issues were selected in 2008 using an iterative process (see McDermott et al., 2010), disaggregating forestry policies to capture all of the major issues addressed by FSC, PEFC, and SFI requirements.</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this section, we compare each standard to its previous version and the contemporary version from its competitor. We assess revisions in the FSC- International’s 2012 Revised Principles and Criteria 01-001 Version 5-0 (FSC–P&amp;C), and we compare them to the PEFC’s Sustainable </w:t>
      </w:r>
      <w:r w:rsidRPr="004A1418">
        <w:rPr>
          <w:color w:val="000000" w:themeColor="text1"/>
        </w:rPr>
        <w:lastRenderedPageBreak/>
        <w:t>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0E10F4A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At the international level, the industry-backed PEFC started at a </w:t>
      </w:r>
      <w:proofErr w:type="gramStart"/>
      <w:r w:rsidRPr="004A1418">
        <w:rPr>
          <w:color w:val="000000" w:themeColor="text1"/>
        </w:rPr>
        <w:t>lower</w:t>
      </w:r>
      <w:proofErr w:type="gramEnd"/>
      <w:r w:rsidRPr="004A1418">
        <w:rPr>
          <w:color w:val="000000" w:themeColor="text1"/>
        </w:rPr>
        <w:t xml:space="preserve"> level but increased prescriptiveness on more key issues, leading to “upward convergence” with the activist-backed FSC P&amp;C (the bottom panel of figure 3). Overall, we find that FSC maintains more prescriptive requirements in its Principles &amp; Criteria than the PEFC benchmarks, but that the PEFC has moved closer to the FSC-P&amp;C in some key areas (the top panel of figure 3). These include additional requirements on issues such as indigenous rights, community benefits, and public reporting and consultation (see the middle pane of figure three and the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requirements than substantive requirements (i.e., they are more focused on process than outcomes). Despite convergence in the PEFC’s revised requirements, the FSC-P&amp;C remained </w:t>
      </w:r>
      <w:r w:rsidRPr="004A1418">
        <w:rPr>
          <w:color w:val="000000" w:themeColor="text1"/>
        </w:rPr>
        <w:lastRenderedPageBreak/>
        <w:t xml:space="preserve">more prescriptive than PEFC requirements on 17 of the 48 key issues whereas PEFC requirements are more prescriptive on 9 of the key issues, with both programs being equally prescriptive on 19 key issues (see Figure 3). </w:t>
      </w:r>
    </w:p>
    <w:p w14:paraId="3B8626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47EC33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3]</w:t>
      </w:r>
    </w:p>
    <w:p w14:paraId="2E13742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B5C33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FSC-P&amp;C and PEFC maintained a similar scope of issues covered over time (see the top panel of figure 3). The PEFC once covered slightly fewer issues than did the FSC-P&amp;C, but its 2010 revisions make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aesthetics and allowing public access. The PEFC increased in prescriptiveness on more issues than the FSC-P&amp;C, yielding an “upwardly converging” pattern in overall prescriptiveness (see the bottom panel of figure 3). </w:t>
      </w:r>
    </w:p>
    <w:p w14:paraId="5B36FAB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73E19C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One particularly controversial issue is the conversion of natural forests to timber plantations. Both systems only allow conversion of natural forest to plantation under “justifiable circumstances,” which each program defines differently. For the FSC this means that conversion has “clear, substantial, additional, secure, long-term conservation benefits.” For the PEFC it means that conversion must have “long-term conservation, economic, and social benefits.” They </w:t>
      </w:r>
      <w:r w:rsidRPr="004A1418">
        <w:rPr>
          <w:color w:val="000000" w:themeColor="text1"/>
        </w:rPr>
        <w:lastRenderedPageBreak/>
        <w:t xml:space="preserve">also differ regarding the extent of forest conversion allowed. The FSC-P&amp;C allow companies to convert “limited areas” while the </w:t>
      </w:r>
      <w:proofErr w:type="gramStart"/>
      <w:r w:rsidRPr="004A1418">
        <w:rPr>
          <w:color w:val="000000" w:themeColor="text1"/>
        </w:rPr>
        <w:t>PEFC</w:t>
      </w:r>
      <w:proofErr w:type="gramEnd"/>
      <w:r w:rsidRPr="004A1418">
        <w:rPr>
          <w:color w:val="000000" w:themeColor="text1"/>
        </w:rPr>
        <w:t xml:space="preserve">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only be certified if the conversion occurred before 2011, while FSC-P&amp;C require that conversion occurred before 1994.</w:t>
      </w:r>
    </w:p>
    <w:p w14:paraId="546F971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46F9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FSC-P&amp;C and PEFC incorporated new language on socio-economic issues, land tenure rights, and stakeholder consultations. Besides explicitly recognizing UNDRIP, both include criteria that require free, prior and informed consent of indigenous peoples and local communities. The FSC-P&amp;C referenced “free and informed consent” concerning control over forest operations and compensation for the use of traditional knowledge. Both standards also recognize legal, traditional, and customary rights. However, the FSC-P&amp;C are more prescriptive, defining the topics that require consultation with indigenous peoples, while the PEFC standards are more procedural, requiring only that engagement </w:t>
      </w:r>
      <w:proofErr w:type="gramStart"/>
      <w:r w:rsidRPr="004A1418">
        <w:rPr>
          <w:color w:val="000000" w:themeColor="text1"/>
        </w:rPr>
        <w:t>takes</w:t>
      </w:r>
      <w:proofErr w:type="gramEnd"/>
      <w:r w:rsidRPr="004A1418">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4A1418">
        <w:rPr>
          <w:color w:val="000000" w:themeColor="text1"/>
        </w:rPr>
        <w:t>same.</w:t>
      </w:r>
      <w:proofErr w:type="gramEnd"/>
    </w:p>
    <w:p w14:paraId="3D393DE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8CF8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programs cover similar ecological issues, with a few nuanced differences. Both FSC–P&amp;C and PEFC requirements prohibit the use of GMOs in the area being certified, with some possible flexibility should scientific evidence affirm the safety of GMO trees. FSC–P&amp;C allow </w:t>
      </w:r>
      <w:r w:rsidRPr="004A1418">
        <w:rPr>
          <w:color w:val="000000" w:themeColor="text1"/>
        </w:rPr>
        <w:lastRenderedPageBreak/>
        <w:t xml:space="preserve">documented and monitored use of biological control methods but prohibit a specific list of “Highly Hazardous Chemicals.” The PEFC added prohibitions on pesticides that remain biologically active and highly toxic pesticides where viable alternatives are available. The PEFC explicitly states that managers should avoid chemicals where they threaten water quality, while FSC–P&amp;C water protection criteria are less explicit. </w:t>
      </w:r>
      <w:proofErr w:type="gramStart"/>
      <w:r w:rsidRPr="004A1418">
        <w:rPr>
          <w:color w:val="000000" w:themeColor="text1"/>
        </w:rPr>
        <w:t>The FSC–P&amp;C and PEFC have similar requirements for sustainable production of timber and non-timber forest products (NTFPs), but less similar on protecting habitat.</w:t>
      </w:r>
      <w:proofErr w:type="gramEnd"/>
      <w:r w:rsidRPr="004A1418">
        <w:rPr>
          <w:color w:val="000000" w:themeColor="text1"/>
        </w:rPr>
        <w:t xml:space="preserve"> While the FSC–P&amp;C require protection of rare and threatened species and their habitats, the PEFC only requires that protected and endangered species not be exploited for commercial purposes and that managers take measures for their protection “where necessary,” without defining these conditions. </w:t>
      </w:r>
    </w:p>
    <w:p w14:paraId="650DB37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9AA1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while the PEFC added more requirements concerning indigenous rights and labor standards and covers a similar scope of issues to the FSC P&amp;C, the FSC-P&amp;C remain more prescriptive on social issues and significantly more prescriptive on ecological issues. The PEFC added new requirements for eight key issues it previously did not address and became at least as prescriptive as the FSC–P&amp;C on over half of key issues. In absolute terms, the PEFC increased prescriptiveness on 19 key issues and decreased on none, whereas the FSC–P&amp;C increased on 13 and decreased on four.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Scope and prescriptiveness: Consistent with the international level, in the United States, the 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in HCFV management. SFI allows more flexibility in FECV </w:t>
      </w:r>
      <w:r w:rsidRPr="004A1418">
        <w:rPr>
          <w:color w:val="000000" w:themeColor="text1"/>
        </w:rPr>
        <w:lastRenderedPageBreak/>
        <w:t xml:space="preserve">management. HCVFs under the FSC-US require significantly more than baseline practices (Newsom et al., 2006), while SFI’s FECV requirements have been criticized as not significantly exceeding legal baselines which already protect threatened and endangered species. The two programs' </w:t>
      </w:r>
      <w:proofErr w:type="gramStart"/>
      <w:r w:rsidRPr="004A1418">
        <w:rPr>
          <w:color w:val="000000" w:themeColor="text1"/>
        </w:rPr>
        <w:t>changes on this issue exemplifies</w:t>
      </w:r>
      <w:proofErr w:type="gramEnd"/>
      <w:r w:rsidRPr="004A1418">
        <w:rPr>
          <w:color w:val="000000" w:themeColor="text1"/>
        </w:rPr>
        <w:t xml:space="preserve">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w:t>
      </w:r>
      <w:proofErr w:type="gramStart"/>
      <w:r w:rsidRPr="004A1418">
        <w:rPr>
          <w:color w:val="000000" w:themeColor="text1"/>
        </w:rPr>
        <w:t>Enduring differences between the SFI and the FSC-US can be illustrated by issues such as harvest area</w:t>
      </w:r>
      <w:proofErr w:type="gramEnd"/>
      <w:r w:rsidRPr="004A1418">
        <w:rPr>
          <w:color w:val="000000" w:themeColor="text1"/>
        </w:rPr>
        <w:t xml:space="preserve"> and </w:t>
      </w:r>
      <w:proofErr w:type="spellStart"/>
      <w:r w:rsidRPr="004A1418">
        <w:rPr>
          <w:color w:val="000000" w:themeColor="text1"/>
        </w:rPr>
        <w:t>clearcuts</w:t>
      </w:r>
      <w:proofErr w:type="spellEnd"/>
      <w:r w:rsidRPr="004A1418">
        <w:rPr>
          <w:color w:val="000000" w:themeColor="text1"/>
        </w:rPr>
        <w:t xml:space="preserve"> size limits and limits on harvesting near streams, where, unlike most issues, policy settings are sufficiently analogous to allow comparison. SFI limits </w:t>
      </w:r>
      <w:proofErr w:type="spellStart"/>
      <w:r w:rsidRPr="004A1418">
        <w:rPr>
          <w:color w:val="000000" w:themeColor="text1"/>
        </w:rPr>
        <w:t>clearcuts</w:t>
      </w:r>
      <w:proofErr w:type="spellEnd"/>
      <w:r w:rsidRPr="004A1418">
        <w:rPr>
          <w:color w:val="000000" w:themeColor="text1"/>
        </w:rPr>
        <w:t xml:space="preserve"> for all forest types to an average of 120 acres with no maximum and has no average limit for harvesting with 20 percent tree retention (i.e., non-</w:t>
      </w:r>
      <w:proofErr w:type="spellStart"/>
      <w:r w:rsidRPr="004A1418">
        <w:rPr>
          <w:color w:val="000000" w:themeColor="text1"/>
        </w:rPr>
        <w:t>clearcuts</w:t>
      </w:r>
      <w:proofErr w:type="spellEnd"/>
      <w:r w:rsidRPr="004A1418">
        <w:rPr>
          <w:color w:val="000000" w:themeColor="text1"/>
        </w:rPr>
        <w:t xml:space="preserve">). In contrast, the FSC-US requires that cutting resemble natural disturbance and limits </w:t>
      </w:r>
      <w:proofErr w:type="spellStart"/>
      <w:r w:rsidRPr="004A1418">
        <w:rPr>
          <w:color w:val="000000" w:themeColor="text1"/>
        </w:rPr>
        <w:t>clearcuts</w:t>
      </w:r>
      <w:proofErr w:type="spellEnd"/>
      <w:r w:rsidRPr="004A1418">
        <w:rPr>
          <w:color w:val="000000" w:themeColor="text1"/>
        </w:rPr>
        <w:t xml:space="preserve">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w:t>
      </w:r>
      <w:r w:rsidRPr="004A1418">
        <w:rPr>
          <w:color w:val="000000" w:themeColor="text1"/>
        </w:rPr>
        <w:lastRenderedPageBreak/>
        <w:t>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w:t>
      </w:r>
      <w:proofErr w:type="spellStart"/>
      <w:r w:rsidRPr="004A1418">
        <w:rPr>
          <w:color w:val="000000" w:themeColor="text1"/>
        </w:rPr>
        <w:t>clearcutting</w:t>
      </w:r>
      <w:proofErr w:type="spellEnd"/>
      <w:r w:rsidRPr="004A1418">
        <w:rPr>
          <w:color w:val="000000" w:themeColor="text1"/>
        </w:rPr>
        <w:t xml:space="preserve">, riparian management, HCVFs, protected areas, old-growth forests, snags and downed wood, residual trees, genetic diversity, plantations, restoration, natural disturbance, non-timber forest products, soil protection, </w:t>
      </w:r>
      <w:r w:rsidRPr="004A1418">
        <w:rPr>
          <w:color w:val="000000" w:themeColor="text1"/>
        </w:rPr>
        <w:lastRenderedPageBreak/>
        <w:t xml:space="preserve">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w:t>
      </w:r>
      <w:proofErr w:type="spellStart"/>
      <w:r w:rsidRPr="004A1418">
        <w:rPr>
          <w:color w:val="000000" w:themeColor="text1"/>
        </w:rPr>
        <w:t>clearcuts</w:t>
      </w:r>
      <w:proofErr w:type="spellEnd"/>
      <w:r w:rsidRPr="004A1418">
        <w:rPr>
          <w:color w:val="000000" w:themeColor="text1"/>
        </w:rPr>
        <w:t xml:space="preserve"> to reflect natural disturbance and maintain ecological functions regardless of how it looks, the SFI puts more emphasis on rapid site “green-up.” Green-up implies active planting to get tree crops growing quickly and to “manage the visual impact” of </w:t>
      </w:r>
      <w:proofErr w:type="spellStart"/>
      <w:r w:rsidRPr="004A1418">
        <w:rPr>
          <w:color w:val="000000" w:themeColor="text1"/>
        </w:rPr>
        <w:t>clearcuts</w:t>
      </w:r>
      <w:proofErr w:type="spellEnd"/>
      <w:r w:rsidRPr="004A1418">
        <w:rPr>
          <w:color w:val="000000" w:themeColor="text1"/>
        </w:rPr>
        <w:t>,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w:t>
      </w:r>
      <w:r w:rsidRPr="004A1418">
        <w:rPr>
          <w:color w:val="000000" w:themeColor="text1"/>
        </w:rPr>
        <w:lastRenderedPageBreak/>
        <w:t xml:space="preserve">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w:t>
      </w:r>
      <w:proofErr w:type="spellStart"/>
      <w:r w:rsidRPr="004A1418">
        <w:rPr>
          <w:color w:val="000000" w:themeColor="text1"/>
        </w:rPr>
        <w:t>Overdevest</w:t>
      </w:r>
      <w:proofErr w:type="spellEnd"/>
      <w:r w:rsidRPr="004A1418">
        <w:rPr>
          <w:color w:val="000000" w:themeColor="text1"/>
        </w:rPr>
        <w:t xml:space="preserve">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w:t>
      </w:r>
      <w:r w:rsidRPr="004A1418">
        <w:rPr>
          <w:color w:val="000000" w:themeColor="text1"/>
        </w:rPr>
        <w:lastRenderedPageBreak/>
        <w:t xml:space="preserve">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bookmarkStart w:id="38" w:name="_GoBack"/>
      <w:bookmarkEnd w:id="38"/>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w:t>
      </w:r>
      <w:r w:rsidRPr="004A1418">
        <w:rPr>
          <w:color w:val="000000" w:themeColor="text1"/>
        </w:rPr>
        <w:lastRenderedPageBreak/>
        <w:t xml:space="preserve">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w:t>
      </w:r>
      <w:r w:rsidRPr="004A1418">
        <w:rPr>
          <w:color w:val="000000" w:themeColor="text1"/>
        </w:rPr>
        <w:lastRenderedPageBreak/>
        <w:t>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w:t>
      </w:r>
      <w:proofErr w:type="spellStart"/>
      <w:r w:rsidRPr="004A1418">
        <w:rPr>
          <w:color w:val="000000" w:themeColor="text1"/>
        </w:rPr>
        <w:t>Cashore</w:t>
      </w:r>
      <w:proofErr w:type="spellEnd"/>
      <w:r w:rsidRPr="004A1418">
        <w:rPr>
          <w:color w:val="000000" w:themeColor="text1"/>
        </w:rPr>
        <w:t xml:space="preserv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w:t>
      </w:r>
      <w:proofErr w:type="spellStart"/>
      <w:r w:rsidRPr="004A1418">
        <w:rPr>
          <w:color w:val="000000" w:themeColor="text1"/>
        </w:rPr>
        <w:t>greenwashing</w:t>
      </w:r>
      <w:proofErr w:type="spellEnd"/>
      <w:r w:rsidRPr="004A1418">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w:t>
      </w:r>
      <w:r w:rsidRPr="004A1418">
        <w:rPr>
          <w:color w:val="000000" w:themeColor="text1"/>
        </w:rPr>
        <w:lastRenderedPageBreak/>
        <w:t xml:space="preserve">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w:t>
      </w:r>
      <w:r w:rsidRPr="004A1418">
        <w:rPr>
          <w:color w:val="000000" w:themeColor="text1"/>
        </w:rPr>
        <w:lastRenderedPageBreak/>
        <w:t xml:space="preserve">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w:t>
      </w:r>
      <w:r w:rsidRPr="004A1418">
        <w:rPr>
          <w:color w:val="000000" w:themeColor="text1"/>
        </w:rPr>
        <w:lastRenderedPageBreak/>
        <w:t xml:space="preserve">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w:t>
      </w:r>
      <w:r w:rsidRPr="00387397">
        <w:rPr>
          <w:noProof/>
        </w:rPr>
        <w:lastRenderedPageBreak/>
        <w:t xml:space="preserve">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lastRenderedPageBreak/>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 xml:space="preserve">(2), 75–99. </w:t>
      </w:r>
      <w:r w:rsidRPr="00387397">
        <w:rPr>
          <w:noProof/>
        </w:rPr>
        <w:lastRenderedPageBreak/>
        <w:t>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w:t>
      </w:r>
      <w:r w:rsidRPr="00387397">
        <w:rPr>
          <w:noProof/>
        </w:rPr>
        <w:lastRenderedPageBreak/>
        <w:t xml:space="preserve">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w:t>
      </w:r>
      <w:r w:rsidRPr="00387397">
        <w:rPr>
          <w:noProof/>
        </w:rPr>
        <w:lastRenderedPageBreak/>
        <w:t xml:space="preserve">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JL" w:date="2019-03-12T00:34:00Z" w:initials="D">
    <w:p w14:paraId="45462093" w14:textId="78C50516" w:rsidR="004A1418" w:rsidRDefault="004A1418">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0" w:author="Cashore, Benjamin" w:date="2019-03-11T19:06:00Z" w:initials="CB">
    <w:p w14:paraId="32ADCB1F" w14:textId="77777777" w:rsidR="004A1418" w:rsidRDefault="004A1418" w:rsidP="000A2C8A">
      <w:pPr>
        <w:pStyle w:val="CommentText"/>
      </w:pPr>
      <w:r>
        <w:rPr>
          <w:rStyle w:val="CommentReference"/>
        </w:rPr>
        <w:annotationRef/>
      </w:r>
      <w:r>
        <w:t>Yes this is the key point</w:t>
      </w:r>
    </w:p>
  </w:comment>
  <w:comment w:id="11" w:author="Cashore, Benjamin" w:date="2019-03-10T23:03:00Z" w:initials="CB">
    <w:p w14:paraId="7F655D3A" w14:textId="399ED589" w:rsidR="004A1418" w:rsidRDefault="004A1418">
      <w:pPr>
        <w:pStyle w:val="CommentText"/>
      </w:pPr>
      <w:r>
        <w:rPr>
          <w:rStyle w:val="CommentReference"/>
        </w:rPr>
        <w:annotationRef/>
      </w:r>
      <w:r>
        <w:t>Again, it feels awkward to say “see for a review” as that is not relevant to our analysis.</w:t>
      </w:r>
    </w:p>
  </w:comment>
  <w:comment w:id="12" w:author="DJL" w:date="2019-03-12T07:59:00Z" w:initials="D">
    <w:p w14:paraId="1A86CD67" w14:textId="71C5C173" w:rsidR="004A1418" w:rsidRDefault="004A1418">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13" w:author="Cashore, Benjamin" w:date="2019-03-10T23:04:00Z" w:initials="CB">
    <w:p w14:paraId="48DDC670" w14:textId="24D4620B" w:rsidR="004A1418" w:rsidRDefault="004A1418">
      <w:pPr>
        <w:pStyle w:val="CommentText"/>
      </w:pPr>
      <w:r>
        <w:rPr>
          <w:rStyle w:val="CommentReference"/>
        </w:rPr>
        <w:annotationRef/>
      </w:r>
      <w:r>
        <w:t>This is good but up until now the article is only mentioning the dependent variable</w:t>
      </w:r>
      <w:proofErr w:type="gramStart"/>
      <w:r>
        <w:t>..</w:t>
      </w:r>
      <w:proofErr w:type="gramEnd"/>
    </w:p>
  </w:comment>
  <w:comment w:id="14" w:author="DJL" w:date="2019-03-12T08:17:00Z" w:initials="D">
    <w:p w14:paraId="349F9D14" w14:textId="7CE343C2" w:rsidR="004A1418" w:rsidRDefault="004A1418">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15" w:author="Cashore, Benjamin" w:date="2019-03-11T18:45:00Z" w:initials="CB">
    <w:p w14:paraId="64C0A180" w14:textId="488BC491" w:rsidR="004A1418" w:rsidRDefault="004A1418">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16" w:author="DJL" w:date="2019-03-12T08:32:00Z" w:initials="D">
    <w:p w14:paraId="77C6036C" w14:textId="29807405" w:rsidR="004A1418" w:rsidRDefault="004A1418">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17" w:author="DJL" w:date="2019-03-12T08:26:00Z" w:initials="D">
    <w:p w14:paraId="0941CF0F" w14:textId="16A4CD40" w:rsidR="004A1418" w:rsidRDefault="004A1418">
      <w:pPr>
        <w:pStyle w:val="CommentText"/>
      </w:pPr>
      <w:r>
        <w:rPr>
          <w:rStyle w:val="CommentReference"/>
        </w:rPr>
        <w:annotationRef/>
      </w:r>
      <w:r>
        <w:t>This is the sentence that sets up our hypothesis 2. It connects existing scholarship on differentiation explicitly to stringency</w:t>
      </w:r>
    </w:p>
  </w:comment>
  <w:comment w:id="19" w:author="DJL" w:date="2019-03-12T08:37:00Z" w:initials="D">
    <w:p w14:paraId="6BC1FE1A" w14:textId="391D7ABC" w:rsidR="004A1418" w:rsidRDefault="004A1418">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21" w:author="DJL" w:date="2019-03-12T00:11:00Z" w:initials="D">
    <w:p w14:paraId="0542508F" w14:textId="77777777" w:rsidR="004A1418" w:rsidRDefault="004A1418"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22" w:author="Cashore, Benjamin" w:date="2019-03-11T19:26:00Z" w:initials="CB">
    <w:p w14:paraId="5AF904BE" w14:textId="46FF3DDF" w:rsidR="004A1418" w:rsidRDefault="004A1418">
      <w:pPr>
        <w:pStyle w:val="CommentText"/>
      </w:pPr>
      <w:r>
        <w:rPr>
          <w:rStyle w:val="CommentReference"/>
        </w:rPr>
        <w:annotationRef/>
      </w:r>
      <w:r>
        <w:t>Shouldn’t this framework section come before the discussion of the literature that is too sweeping or conflated?</w:t>
      </w:r>
    </w:p>
  </w:comment>
  <w:comment w:id="23" w:author="DJL" w:date="2019-03-11T23:46:00Z" w:initials="D">
    <w:p w14:paraId="27FDACDA" w14:textId="42D027EA" w:rsidR="004A1418" w:rsidRDefault="004A1418">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24" w:author="Cashore, Benjamin" w:date="2019-03-11T19:27:00Z" w:initials="CB">
    <w:p w14:paraId="4A9B5FAD" w14:textId="25E0B1C9" w:rsidR="004A1418" w:rsidRDefault="004A1418">
      <w:pPr>
        <w:pStyle w:val="CommentText"/>
      </w:pPr>
      <w:r>
        <w:rPr>
          <w:rStyle w:val="CommentReference"/>
        </w:rPr>
        <w:annotationRef/>
      </w:r>
      <w:r>
        <w:t>Why not just focus on the FSC and SFI and make it more concrete?</w:t>
      </w:r>
    </w:p>
  </w:comment>
  <w:comment w:id="25" w:author="DJL" w:date="2019-03-12T00:08:00Z" w:initials="D">
    <w:p w14:paraId="13A59890" w14:textId="00ABD558" w:rsidR="004A1418" w:rsidRDefault="004A1418">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26" w:author="Constance McDermott" w:date="2019-03-11T16:29:00Z" w:initials="CM">
    <w:p w14:paraId="340A172A" w14:textId="1036253B" w:rsidR="004A1418" w:rsidRDefault="004A1418">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27" w:author="DJL" w:date="2019-03-11T16:32:00Z" w:initials="D">
    <w:p w14:paraId="2A6BAEA7" w14:textId="700D2C2E" w:rsidR="004A1418" w:rsidRDefault="004A1418">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29" w:author="Cashore, Benjamin" w:date="2019-03-11T19:06:00Z" w:initials="CB">
    <w:p w14:paraId="43FCDF82" w14:textId="77777777" w:rsidR="004A1418" w:rsidRDefault="004A1418" w:rsidP="00984DC4">
      <w:pPr>
        <w:pStyle w:val="CommentText"/>
      </w:pPr>
      <w:r>
        <w:rPr>
          <w:rStyle w:val="CommentReference"/>
        </w:rPr>
        <w:annotationRef/>
      </w:r>
      <w:r>
        <w:t>I see your point but presenting it here is a little awkward</w:t>
      </w:r>
    </w:p>
  </w:comment>
  <w:comment w:id="30" w:author="Microsoft Office User" w:date="2019-03-13T11:03:00Z" w:initials="MOU">
    <w:p w14:paraId="57175CB6" w14:textId="1A1CB789" w:rsidR="004A1418" w:rsidRDefault="004A1418"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34" w:author="Cashore, Benjamin" w:date="2019-03-11T19:23:00Z" w:initials="CB">
    <w:p w14:paraId="31E9E472" w14:textId="77777777" w:rsidR="004A1418" w:rsidRDefault="004A1418" w:rsidP="00984DC4">
      <w:pPr>
        <w:pStyle w:val="CommentText"/>
      </w:pPr>
      <w:r>
        <w:rPr>
          <w:rStyle w:val="CommentReference"/>
        </w:rPr>
        <w:annotationRef/>
      </w:r>
      <w:r>
        <w:t>Ok this is a key point and needs to be brought up to the beginning of the article…</w:t>
      </w:r>
    </w:p>
  </w:comment>
  <w:comment w:id="35" w:author="DJL" w:date="2019-03-12T00:04:00Z" w:initials="D">
    <w:p w14:paraId="74EDA880" w14:textId="77777777" w:rsidR="004A1418" w:rsidRDefault="004A1418"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36" w:author="Cashore, Benjamin" w:date="2019-03-11T19:23:00Z" w:initials="CB">
    <w:p w14:paraId="5C663474" w14:textId="77777777" w:rsidR="004A1418" w:rsidRDefault="004A1418" w:rsidP="00984DC4">
      <w:pPr>
        <w:pStyle w:val="CommentText"/>
      </w:pPr>
      <w:r>
        <w:rPr>
          <w:rStyle w:val="CommentReference"/>
        </w:rPr>
        <w:annotationRef/>
      </w:r>
      <w:r>
        <w:t>But what about the regulations such as reforestation that create immediate benefits but which aren’t really collective action issues?</w:t>
      </w:r>
    </w:p>
  </w:comment>
  <w:comment w:id="37" w:author="DJL" w:date="2019-03-12T00:06:00Z" w:initials="D">
    <w:p w14:paraId="57F72D04" w14:textId="77777777" w:rsidR="004A1418" w:rsidRDefault="004A1418"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4A1418" w:rsidRDefault="004A1418" w:rsidP="002E5C5B">
      <w:r>
        <w:separator/>
      </w:r>
    </w:p>
  </w:endnote>
  <w:endnote w:type="continuationSeparator" w:id="0">
    <w:p w14:paraId="75634233" w14:textId="77777777" w:rsidR="004A1418" w:rsidRDefault="004A1418" w:rsidP="002E5C5B">
      <w:r>
        <w:continuationSeparator/>
      </w:r>
    </w:p>
  </w:endnote>
  <w:endnote w:type="continuationNotice" w:id="1">
    <w:p w14:paraId="302DFA56" w14:textId="77777777" w:rsidR="004A1418" w:rsidRDefault="004A1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A1418" w:rsidRDefault="004A1418"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4A1418" w:rsidRDefault="004A1418"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4E6D">
      <w:rPr>
        <w:rStyle w:val="PageNumber"/>
        <w:noProof/>
      </w:rPr>
      <w:t>20</w:t>
    </w:r>
    <w:r>
      <w:rPr>
        <w:rStyle w:val="PageNumber"/>
      </w:rPr>
      <w:fldChar w:fldCharType="end"/>
    </w:r>
  </w:p>
  <w:p w14:paraId="63C7F481" w14:textId="77777777" w:rsidR="004A1418" w:rsidRDefault="004A1418"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4A1418" w:rsidRDefault="004A1418" w:rsidP="002E5C5B">
      <w:r>
        <w:separator/>
      </w:r>
    </w:p>
  </w:footnote>
  <w:footnote w:type="continuationSeparator" w:id="0">
    <w:p w14:paraId="6DB8ED4E" w14:textId="77777777" w:rsidR="004A1418" w:rsidRDefault="004A1418" w:rsidP="002E5C5B">
      <w:r>
        <w:continuationSeparator/>
      </w:r>
    </w:p>
  </w:footnote>
  <w:footnote w:type="continuationNotice" w:id="1">
    <w:p w14:paraId="1C5930FC" w14:textId="77777777" w:rsidR="004A1418" w:rsidRDefault="004A14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4A1418" w:rsidRDefault="004A14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10.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11.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12.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13.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14.xml><?xml version="1.0" encoding="utf-8"?>
<ds:datastoreItem xmlns:ds="http://schemas.openxmlformats.org/officeDocument/2006/customXml" ds:itemID="{95650A4A-7642-4C63-86F3-9E059EDD23A1}">
  <ds:schemaRefs>
    <ds:schemaRef ds:uri="http://schemas.openxmlformats.org/officeDocument/2006/bibliography"/>
  </ds:schemaRefs>
</ds:datastoreItem>
</file>

<file path=customXml/itemProps15.xml><?xml version="1.0" encoding="utf-8"?>
<ds:datastoreItem xmlns:ds="http://schemas.openxmlformats.org/officeDocument/2006/customXml" ds:itemID="{41DAB0C4-1938-424C-ABB3-8A9569C0BD05}">
  <ds:schemaRefs>
    <ds:schemaRef ds:uri="http://schemas.openxmlformats.org/officeDocument/2006/bibliography"/>
  </ds:schemaRefs>
</ds:datastoreItem>
</file>

<file path=customXml/itemProps16.xml><?xml version="1.0" encoding="utf-8"?>
<ds:datastoreItem xmlns:ds="http://schemas.openxmlformats.org/officeDocument/2006/customXml" ds:itemID="{D104EC06-A88F-4B90-9BDC-BF46F73D9D7A}">
  <ds:schemaRefs>
    <ds:schemaRef ds:uri="http://schemas.openxmlformats.org/officeDocument/2006/bibliography"/>
  </ds:schemaRefs>
</ds:datastoreItem>
</file>

<file path=customXml/itemProps17.xml><?xml version="1.0" encoding="utf-8"?>
<ds:datastoreItem xmlns:ds="http://schemas.openxmlformats.org/officeDocument/2006/customXml" ds:itemID="{0C264C55-BD35-4C7B-9880-1A5125892E9E}">
  <ds:schemaRefs>
    <ds:schemaRef ds:uri="http://schemas.openxmlformats.org/officeDocument/2006/bibliography"/>
  </ds:schemaRefs>
</ds:datastoreItem>
</file>

<file path=customXml/itemProps18.xml><?xml version="1.0" encoding="utf-8"?>
<ds:datastoreItem xmlns:ds="http://schemas.openxmlformats.org/officeDocument/2006/customXml" ds:itemID="{5C5D5FFA-9F30-4EC4-B26A-6306AC2499E7}">
  <ds:schemaRefs>
    <ds:schemaRef ds:uri="http://schemas.openxmlformats.org/officeDocument/2006/bibliography"/>
  </ds:schemaRefs>
</ds:datastoreItem>
</file>

<file path=customXml/itemProps19.xml><?xml version="1.0" encoding="utf-8"?>
<ds:datastoreItem xmlns:ds="http://schemas.openxmlformats.org/officeDocument/2006/customXml" ds:itemID="{2A882CD3-3891-43B5-919A-95E0192E1609}">
  <ds:schemaRefs>
    <ds:schemaRef ds:uri="http://schemas.openxmlformats.org/officeDocument/2006/bibliography"/>
  </ds:schemaRefs>
</ds:datastoreItem>
</file>

<file path=customXml/itemProps2.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20.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21.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22.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3.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4.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25.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26.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27.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28.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29.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3.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30.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31.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32.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33.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34.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35.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36.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37.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38.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39.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4.xml><?xml version="1.0" encoding="utf-8"?>
<ds:datastoreItem xmlns:ds="http://schemas.openxmlformats.org/officeDocument/2006/customXml" ds:itemID="{2D3981A2-3F2C-7C49-8847-DEE5F7F132F7}">
  <ds:schemaRefs>
    <ds:schemaRef ds:uri="http://schemas.openxmlformats.org/officeDocument/2006/bibliography"/>
  </ds:schemaRefs>
</ds:datastoreItem>
</file>

<file path=customXml/itemProps40.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41.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42.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43.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44.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45.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46.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47.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48.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49.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5.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50.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51.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52.xml><?xml version="1.0" encoding="utf-8"?>
<ds:datastoreItem xmlns:ds="http://schemas.openxmlformats.org/officeDocument/2006/customXml" ds:itemID="{1E2A24DE-1E74-A341-B10D-9EE87EC5B48E}">
  <ds:schemaRefs>
    <ds:schemaRef ds:uri="http://schemas.openxmlformats.org/officeDocument/2006/bibliography"/>
  </ds:schemaRefs>
</ds:datastoreItem>
</file>

<file path=customXml/itemProps53.xml><?xml version="1.0" encoding="utf-8"?>
<ds:datastoreItem xmlns:ds="http://schemas.openxmlformats.org/officeDocument/2006/customXml" ds:itemID="{5578C10F-DD02-6349-B3F5-44D46C411EFD}">
  <ds:schemaRefs>
    <ds:schemaRef ds:uri="http://schemas.openxmlformats.org/officeDocument/2006/bibliography"/>
  </ds:schemaRefs>
</ds:datastoreItem>
</file>

<file path=customXml/itemProps54.xml><?xml version="1.0" encoding="utf-8"?>
<ds:datastoreItem xmlns:ds="http://schemas.openxmlformats.org/officeDocument/2006/customXml" ds:itemID="{62DE21A9-0CA0-1445-AF07-9F8BC4240B84}">
  <ds:schemaRefs>
    <ds:schemaRef ds:uri="http://schemas.openxmlformats.org/officeDocument/2006/bibliography"/>
  </ds:schemaRefs>
</ds:datastoreItem>
</file>

<file path=customXml/itemProps55.xml><?xml version="1.0" encoding="utf-8"?>
<ds:datastoreItem xmlns:ds="http://schemas.openxmlformats.org/officeDocument/2006/customXml" ds:itemID="{117E8CB1-8AA9-1349-94FA-FF36895F80C1}">
  <ds:schemaRefs>
    <ds:schemaRef ds:uri="http://schemas.openxmlformats.org/officeDocument/2006/bibliography"/>
  </ds:schemaRefs>
</ds:datastoreItem>
</file>

<file path=customXml/itemProps56.xml><?xml version="1.0" encoding="utf-8"?>
<ds:datastoreItem xmlns:ds="http://schemas.openxmlformats.org/officeDocument/2006/customXml" ds:itemID="{945501E6-C480-0541-9B72-2218C6100B5B}">
  <ds:schemaRefs>
    <ds:schemaRef ds:uri="http://schemas.openxmlformats.org/officeDocument/2006/bibliography"/>
  </ds:schemaRefs>
</ds:datastoreItem>
</file>

<file path=customXml/itemProps57.xml><?xml version="1.0" encoding="utf-8"?>
<ds:datastoreItem xmlns:ds="http://schemas.openxmlformats.org/officeDocument/2006/customXml" ds:itemID="{7B3E6E17-AEA1-2546-BC92-0AD7398DF04F}">
  <ds:schemaRefs>
    <ds:schemaRef ds:uri="http://schemas.openxmlformats.org/officeDocument/2006/bibliography"/>
  </ds:schemaRefs>
</ds:datastoreItem>
</file>

<file path=customXml/itemProps58.xml><?xml version="1.0" encoding="utf-8"?>
<ds:datastoreItem xmlns:ds="http://schemas.openxmlformats.org/officeDocument/2006/customXml" ds:itemID="{5BB44D26-492E-E94B-91B0-2DE69884C67C}">
  <ds:schemaRefs>
    <ds:schemaRef ds:uri="http://schemas.openxmlformats.org/officeDocument/2006/bibliography"/>
  </ds:schemaRefs>
</ds:datastoreItem>
</file>

<file path=customXml/itemProps59.xml><?xml version="1.0" encoding="utf-8"?>
<ds:datastoreItem xmlns:ds="http://schemas.openxmlformats.org/officeDocument/2006/customXml" ds:itemID="{67400601-93F5-1F47-AC22-17E856BC8908}">
  <ds:schemaRefs>
    <ds:schemaRef ds:uri="http://schemas.openxmlformats.org/officeDocument/2006/bibliography"/>
  </ds:schemaRefs>
</ds:datastoreItem>
</file>

<file path=customXml/itemProps6.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60.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61.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62.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63.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64.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65.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66.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67.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68.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69.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7.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70.xml><?xml version="1.0" encoding="utf-8"?>
<ds:datastoreItem xmlns:ds="http://schemas.openxmlformats.org/officeDocument/2006/customXml" ds:itemID="{B2C4878E-E7C1-AE45-9041-7BDB9B64748A}">
  <ds:schemaRefs>
    <ds:schemaRef ds:uri="http://schemas.openxmlformats.org/officeDocument/2006/bibliography"/>
  </ds:schemaRefs>
</ds:datastoreItem>
</file>

<file path=customXml/itemProps71.xml><?xml version="1.0" encoding="utf-8"?>
<ds:datastoreItem xmlns:ds="http://schemas.openxmlformats.org/officeDocument/2006/customXml" ds:itemID="{DC59CF07-71A9-FC4F-92CB-CCB0BAFC7592}">
  <ds:schemaRefs>
    <ds:schemaRef ds:uri="http://schemas.openxmlformats.org/officeDocument/2006/bibliography"/>
  </ds:schemaRefs>
</ds:datastoreItem>
</file>

<file path=customXml/itemProps72.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73.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74.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75.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76.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8.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9.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55</Pages>
  <Words>14700</Words>
  <Characters>83794</Characters>
  <Application>Microsoft Macintosh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11</cp:revision>
  <cp:lastPrinted>2018-09-07T15:16:00Z</cp:lastPrinted>
  <dcterms:created xsi:type="dcterms:W3CDTF">2019-03-13T21:17:00Z</dcterms:created>
  <dcterms:modified xsi:type="dcterms:W3CDTF">2019-03-14T04:24:00Z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