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73B20" w14:textId="77777777" w:rsidR="00D43D79" w:rsidRDefault="00D43D79" w:rsidP="00143AB6">
      <w:pPr>
        <w:spacing w:line="480" w:lineRule="auto"/>
        <w:outlineLvl w:val="0"/>
        <w:rPr>
          <w:b/>
          <w:bCs/>
          <w:color w:val="000000" w:themeColor="text1"/>
        </w:rPr>
      </w:pPr>
    </w:p>
    <w:p w14:paraId="5E8D297C" w14:textId="5784E58D"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2AFF7323"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1" w:author="Cashore, Benjamin" w:date="2019-03-11T17:47:00Z">
        <w:r w:rsidR="00C709E6" w:rsidDel="00756050">
          <w:rPr>
            <w:bCs/>
            <w:color w:val="000000" w:themeColor="text1"/>
          </w:rPr>
          <w:delText xml:space="preserve">that </w:delText>
        </w:r>
      </w:del>
      <w:del w:id="2" w:author="Cashore, Benjamin" w:date="2019-03-11T17:46:00Z">
        <w:r w:rsidR="00C709E6" w:rsidDel="008C793B">
          <w:rPr>
            <w:bCs/>
            <w:color w:val="000000" w:themeColor="text1"/>
          </w:rPr>
          <w:delText xml:space="preserve">solved </w:delText>
        </w:r>
      </w:del>
      <w:del w:id="3" w:author="Cashore, Benjamin" w:date="2019-03-11T17:47:00Z">
        <w:r w:rsidR="00C709E6" w:rsidDel="00756050">
          <w:rPr>
            <w:bCs/>
            <w:color w:val="000000" w:themeColor="text1"/>
          </w:rPr>
          <w:delText>industry collective action problems related to reputation and risk</w:delText>
        </w:r>
      </w:del>
      <w:del w:id="4"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5" w:author="Cashore, Benjamin" w:date="2019-03-10T21:54:00Z">
        <w:r w:rsidR="005E5AAC" w:rsidDel="00413B64">
          <w:rPr>
            <w:bCs/>
            <w:color w:val="000000" w:themeColor="text1"/>
          </w:rPr>
          <w:delText xml:space="preserve">benefit </w:delText>
        </w:r>
      </w:del>
      <w:del w:id="6"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7"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 xml:space="preserve">(Auld, 2014; Bartley, 2003; Bozzi, Cashore, Levin, &amp; </w:t>
      </w:r>
      <w:r w:rsidR="00D20285" w:rsidRPr="00387397">
        <w:rPr>
          <w:noProof/>
          <w:color w:val="000000" w:themeColor="text1"/>
        </w:rPr>
        <w:lastRenderedPageBreak/>
        <w:t>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Activists created 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(Cashore</w:t>
      </w:r>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8"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47A06F3"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lastRenderedPageBreak/>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33E4E4EF" w14:textId="03FA482B" w:rsidR="001F6B43" w:rsidRPr="00387397" w:rsidRDefault="006E2BF5" w:rsidP="000A2C8A">
      <w:pPr>
        <w:pStyle w:val="NormalWeb"/>
        <w:spacing w:before="0" w:beforeAutospacing="0" w:after="0" w:afterAutospacing="0"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w:t>
      </w:r>
      <w:r w:rsidR="00A95CF9" w:rsidRPr="00387397">
        <w:lastRenderedPageBreak/>
        <w:t xml:space="preserve">coalitions, compete to exercise regulatory authority in the same policy space. </w:t>
      </w:r>
      <w:r w:rsidR="000A2C8A">
        <w:rPr>
          <w:color w:val="000000" w:themeColor="text1"/>
        </w:rPr>
        <w:t>P</w:t>
      </w:r>
      <w:r w:rsidR="000A2C8A" w:rsidRPr="00387397">
        <w:rPr>
          <w:color w:val="000000" w:themeColor="text1"/>
        </w:rPr>
        <w:t xml:space="preserve">arsing out three dimensions of regulatory stringency allows many </w:t>
      </w:r>
      <w:r w:rsidR="000A2C8A">
        <w:rPr>
          <w:color w:val="000000" w:themeColor="text1"/>
        </w:rPr>
        <w:t xml:space="preserve">of the </w:t>
      </w:r>
      <w:r w:rsidR="000A2C8A" w:rsidRPr="00387397">
        <w:rPr>
          <w:color w:val="000000" w:themeColor="text1"/>
        </w:rPr>
        <w:t>hypotheses advanced by the private governance literature</w:t>
      </w:r>
      <w:r w:rsidR="000A2C8A">
        <w:rPr>
          <w:color w:val="000000" w:themeColor="text1"/>
        </w:rPr>
        <w:t xml:space="preserve"> to be restated</w:t>
      </w:r>
      <w:r w:rsidR="000A2C8A" w:rsidRPr="00387397">
        <w:rPr>
          <w:color w:val="000000" w:themeColor="text1"/>
        </w:rPr>
        <w:t xml:space="preserve"> in ways that are more conceptually precise and thus more tractable for empirical testing.</w:t>
      </w:r>
      <w:r w:rsidR="000A2C8A">
        <w:rPr>
          <w:rStyle w:val="CommentReference"/>
          <w:rFonts w:asciiTheme="minorHAnsi" w:hAnsiTheme="minorHAnsi" w:cstheme="minorBidi"/>
        </w:rPr>
        <w:commentReference w:id="9"/>
      </w:r>
    </w:p>
    <w:p w14:paraId="1B8FA856" w14:textId="22246A64"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00FD16BB">
        <w:rPr>
          <w:color w:val="000000" w:themeColor="text1"/>
        </w:rPr>
        <w:t>framework to distinguish</w:t>
      </w:r>
      <w:r w:rsidR="00B63F45">
        <w:rPr>
          <w:color w:val="000000" w:themeColor="text1"/>
        </w:rPr>
        <w:t xml:space="preserve"> three types of stringency</w:t>
      </w:r>
      <w:r w:rsidR="00FD16BB">
        <w:rPr>
          <w:color w:val="000000" w:themeColor="text1"/>
        </w:rPr>
        <w:t xml:space="preserve"> and compare them across programs and over time</w:t>
      </w:r>
      <w:r w:rsidR="00F4039A" w:rsidRPr="00387397">
        <w:rPr>
          <w:color w:val="000000" w:themeColor="text1"/>
        </w:rPr>
        <w:t>.</w:t>
      </w:r>
      <w:r w:rsidR="003C5AC4" w:rsidRPr="00387397">
        <w:rPr>
          <w:color w:val="000000" w:themeColor="text1"/>
        </w:rPr>
        <w:t xml:space="preserve"> </w:t>
      </w:r>
      <w:r w:rsidR="00FD16BB">
        <w:t>In s</w:t>
      </w:r>
      <w:r w:rsidR="00737907">
        <w:t>ect</w:t>
      </w:r>
      <w:r w:rsidR="005D0B79">
        <w:t xml:space="preserve">ion </w:t>
      </w:r>
      <w:r w:rsidR="00FD16BB">
        <w:t>we</w:t>
      </w:r>
      <w:r w:rsidR="00737907">
        <w:t xml:space="preserve"> </w:t>
      </w:r>
      <w:r w:rsidR="000D72D5">
        <w:t>use</w:t>
      </w:r>
      <w:r w:rsidR="00FD16BB">
        <w:t xml:space="preserve"> our</w:t>
      </w:r>
      <w:r w:rsidR="000D72D5">
        <w:t xml:space="preserv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FD16BB">
        <w:t xml:space="preserve">, one of the most institutionalized forms of private regulation.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FD16BB">
        <w:rPr>
          <w:color w:val="000000" w:themeColor="text1"/>
        </w:rPr>
        <w:t>scholars</w:t>
      </w:r>
      <w:r w:rsidR="00C24919">
        <w:rPr>
          <w:color w:val="000000" w:themeColor="text1"/>
        </w:rPr>
        <w:t xml:space="preserve"> had not </w:t>
      </w:r>
      <w:r w:rsidR="00FD16BB">
        <w:rPr>
          <w:color w:val="000000" w:themeColor="text1"/>
        </w:rPr>
        <w:t>anticipated</w:t>
      </w:r>
      <w:r w:rsidR="00C24919">
        <w:rPr>
          <w:color w:val="000000" w:themeColor="text1"/>
        </w:rPr>
        <w:t>:</w:t>
      </w:r>
      <w:r w:rsidR="00BF70D3" w:rsidRPr="00387397">
        <w:rPr>
          <w:color w:val="000000" w:themeColor="text1"/>
        </w:rPr>
        <w:t xml:space="preserve"> </w:t>
      </w:r>
      <w:r w:rsidR="007A2368" w:rsidRPr="00387397">
        <w:rPr>
          <w:color w:val="000000" w:themeColor="text1"/>
        </w:rPr>
        <w:t>a</w:t>
      </w:r>
      <w:r w:rsidR="003F617A">
        <w:rPr>
          <w:color w:val="000000" w:themeColor="text1"/>
        </w:rPr>
        <w:t xml:space="preserve">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FD16BB">
        <w:rPr>
          <w:color w:val="000000" w:themeColor="text1"/>
        </w:rPr>
        <w:t>.</w:t>
      </w:r>
      <w:r w:rsidR="00DA13B9">
        <w:rPr>
          <w:color w:val="000000" w:themeColor="text1"/>
        </w:rPr>
        <w:t xml:space="preserve"> </w:t>
      </w:r>
      <w:r w:rsidR="00FD16BB">
        <w:rPr>
          <w:color w:val="000000" w:themeColor="text1"/>
        </w:rPr>
        <w:t>Between 2008 and 2016, e</w:t>
      </w:r>
      <w:r w:rsidR="003F2F78">
        <w:rPr>
          <w:color w:val="000000" w:themeColor="text1"/>
        </w:rPr>
        <w:t>ach</w:t>
      </w:r>
      <w:r w:rsidR="00735013" w:rsidRPr="00387397">
        <w:rPr>
          <w:color w:val="000000" w:themeColor="text1"/>
        </w:rPr>
        <w:t xml:space="preserve"> program </w:t>
      </w:r>
      <w:r w:rsidR="003F2F78">
        <w:rPr>
          <w:color w:val="000000" w:themeColor="text1"/>
        </w:rPr>
        <w:t>increase</w:t>
      </w:r>
      <w:r w:rsidR="00FD16BB">
        <w:rPr>
          <w:color w:val="000000" w:themeColor="text1"/>
        </w:rPr>
        <w:t>d</w:t>
      </w:r>
      <w:r w:rsidR="003F2F78">
        <w:rPr>
          <w:color w:val="000000" w:themeColor="text1"/>
        </w:rPr>
        <w:t xml:space="preserve"> </w:t>
      </w:r>
      <w:r w:rsidR="00FD16BB">
        <w:rPr>
          <w:color w:val="000000" w:themeColor="text1"/>
        </w:rPr>
        <w:t>prescriptiveness</w:t>
      </w:r>
      <w:r w:rsidR="00735013" w:rsidRPr="00387397">
        <w:rPr>
          <w:color w:val="000000" w:themeColor="text1"/>
        </w:rPr>
        <w:t xml:space="preserve"> on issues </w:t>
      </w:r>
      <w:r w:rsidR="00FD16BB">
        <w:rPr>
          <w:color w:val="000000" w:themeColor="text1"/>
        </w:rPr>
        <w:t>where</w:t>
      </w:r>
      <w:r w:rsidR="00333B6B">
        <w:rPr>
          <w:color w:val="000000" w:themeColor="text1"/>
        </w:rPr>
        <w:t xml:space="preserve"> it already had the most </w:t>
      </w:r>
      <w:r w:rsidR="00735013" w:rsidRPr="00387397">
        <w:rPr>
          <w:color w:val="000000" w:themeColor="text1"/>
        </w:rPr>
        <w:t>prescriptive requirements</w:t>
      </w:r>
      <w:r w:rsidR="003F617A">
        <w:rPr>
          <w:color w:val="000000" w:themeColor="text1"/>
        </w:rPr>
        <w:t xml:space="preserve">. </w:t>
      </w:r>
      <w:r w:rsidR="003F2F78">
        <w:rPr>
          <w:color w:val="000000" w:themeColor="text1"/>
        </w:rPr>
        <w:t>Overall, the activist-backed program became even more prescriptive on more issues, yielding</w:t>
      </w:r>
      <w:r w:rsidR="003F2F78" w:rsidRPr="00387397">
        <w:rPr>
          <w:color w:val="000000" w:themeColor="text1"/>
        </w:rPr>
        <w:t xml:space="preserve"> a pattern</w:t>
      </w:r>
      <w:r w:rsidR="003F2F78">
        <w:rPr>
          <w:color w:val="000000" w:themeColor="text1"/>
        </w:rPr>
        <w:t xml:space="preserve"> </w:t>
      </w:r>
      <w:r w:rsidR="003F617A">
        <w:rPr>
          <w:color w:val="000000" w:themeColor="text1"/>
        </w:rPr>
        <w:t>of</w:t>
      </w:r>
      <w:r w:rsidR="003F2F78" w:rsidRPr="00387397">
        <w:rPr>
          <w:color w:val="000000" w:themeColor="text1"/>
        </w:rPr>
        <w:t xml:space="preserve"> “ratchet</w:t>
      </w:r>
      <w:r w:rsidR="003F617A">
        <w:rPr>
          <w:color w:val="000000" w:themeColor="text1"/>
        </w:rPr>
        <w:t>ing</w:t>
      </w:r>
      <w:r w:rsidR="003F2F78" w:rsidRPr="00387397">
        <w:rPr>
          <w:color w:val="000000" w:themeColor="text1"/>
        </w:rPr>
        <w:t xml:space="preserve"> up”</w:t>
      </w:r>
      <w:r w:rsidR="003F2F78">
        <w:rPr>
          <w:color w:val="000000" w:themeColor="text1"/>
        </w:rPr>
        <w:t xml:space="preserve"> but also diverg</w:t>
      </w:r>
      <w:r w:rsidR="003F617A">
        <w:rPr>
          <w:color w:val="000000" w:themeColor="text1"/>
        </w:rPr>
        <w:t>ing</w:t>
      </w:r>
      <w:r w:rsidR="003F2F78" w:rsidRPr="00387397">
        <w:rPr>
          <w:color w:val="000000" w:themeColor="text1"/>
        </w:rPr>
        <w:t xml:space="preserve">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 xml:space="preserve">ecological </w:t>
      </w:r>
      <w:r w:rsidR="003F617A">
        <w:rPr>
          <w:color w:val="000000" w:themeColor="text1"/>
        </w:rPr>
        <w:t>protection</w:t>
      </w:r>
      <w:r w:rsidR="00C5607D">
        <w:rPr>
          <w:color w:val="000000" w:themeColor="text1"/>
        </w:rPr>
        <w:t xml:space="preserve">, while the SFI increased </w:t>
      </w:r>
      <w:r w:rsidR="003F2F78">
        <w:rPr>
          <w:color w:val="000000" w:themeColor="text1"/>
        </w:rPr>
        <w:t>requirements</w:t>
      </w:r>
      <w:r w:rsidR="00C5607D">
        <w:rPr>
          <w:color w:val="000000" w:themeColor="text1"/>
        </w:rPr>
        <w:t xml:space="preserve"> on </w:t>
      </w:r>
      <w:r w:rsidR="003F617A">
        <w:rPr>
          <w:color w:val="000000" w:themeColor="text1"/>
        </w:rPr>
        <w:t>issues relating to efficient business operations and public perceptions of forestry</w:t>
      </w:r>
      <w:r w:rsidR="003F2F78">
        <w:rPr>
          <w:color w:val="000000" w:themeColor="text1"/>
        </w:rPr>
        <w:t>. However</w:t>
      </w:r>
      <w:r w:rsidR="00C5607D">
        <w:rPr>
          <w:color w:val="000000" w:themeColor="text1"/>
        </w:rPr>
        <w:t xml:space="preserve">, </w:t>
      </w:r>
      <w:r w:rsidR="003A4075" w:rsidRPr="00387397">
        <w:rPr>
          <w:color w:val="000000" w:themeColor="text1"/>
        </w:rPr>
        <w:t>in 2015</w:t>
      </w:r>
      <w:r w:rsidR="00267F40" w:rsidRPr="00387397">
        <w:rPr>
          <w:color w:val="000000" w:themeColor="text1"/>
        </w:rPr>
        <w:t xml:space="preserve"> the </w:t>
      </w:r>
      <w:r w:rsidR="004D42C6">
        <w:rPr>
          <w:color w:val="000000" w:themeColor="text1"/>
        </w:rPr>
        <w:t xml:space="preserve">SFI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 xml:space="preserve">requirements on </w:t>
      </w:r>
      <w:r w:rsidR="003F617A">
        <w:rPr>
          <w:color w:val="000000" w:themeColor="text1"/>
        </w:rPr>
        <w:t>three</w:t>
      </w:r>
      <w:r w:rsidR="00CE3111" w:rsidRPr="00387397">
        <w:rPr>
          <w:color w:val="000000" w:themeColor="text1"/>
        </w:rPr>
        <w:t xml:space="preserve"> </w:t>
      </w:r>
      <w:commentRangeStart w:id="10"/>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10"/>
      <w:r w:rsidR="003F2F78">
        <w:rPr>
          <w:rStyle w:val="CommentReference"/>
          <w:rFonts w:asciiTheme="minorHAnsi" w:hAnsiTheme="minorHAnsi" w:cstheme="minorBidi"/>
        </w:rPr>
        <w:commentReference w:id="10"/>
      </w:r>
      <w:r w:rsidR="00ED7205">
        <w:rPr>
          <w:color w:val="000000" w:themeColor="text1"/>
        </w:rPr>
        <w:t>,</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11"/>
      <w:r w:rsidR="004D42C6">
        <w:rPr>
          <w:color w:val="000000" w:themeColor="text1"/>
        </w:rPr>
        <w:t>the FSC</w:t>
      </w:r>
      <w:commentRangeEnd w:id="11"/>
      <w:r w:rsidR="00ED7205">
        <w:rPr>
          <w:rStyle w:val="CommentReference"/>
          <w:rFonts w:asciiTheme="minorHAnsi" w:hAnsiTheme="minorHAnsi" w:cstheme="minorBidi"/>
        </w:rPr>
        <w:commentReference w:id="11"/>
      </w:r>
      <w:r w:rsidR="00267F40" w:rsidRPr="00387397">
        <w:rPr>
          <w:color w:val="000000" w:themeColor="text1"/>
        </w:rPr>
        <w:t>.</w:t>
      </w:r>
      <w:r w:rsidR="005C5C8F" w:rsidRPr="00387397">
        <w:rPr>
          <w:color w:val="000000" w:themeColor="text1"/>
        </w:rPr>
        <w:t xml:space="preserve"> </w:t>
      </w:r>
      <w:r w:rsidR="003F617A">
        <w:rPr>
          <w:color w:val="000000" w:themeColor="text1"/>
        </w:rPr>
        <w:t>These results raise questions for future research, which we outline in section 5.</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2"/>
      <w:commentRangeStart w:id="1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2"/>
      <w:r w:rsidR="00527EFD">
        <w:rPr>
          <w:rStyle w:val="CommentReference"/>
          <w:rFonts w:asciiTheme="minorHAnsi" w:hAnsiTheme="minorHAnsi" w:cstheme="minorBidi"/>
        </w:rPr>
        <w:commentReference w:id="12"/>
      </w:r>
      <w:commentRangeEnd w:id="13"/>
      <w:r w:rsidR="00432103">
        <w:rPr>
          <w:rStyle w:val="CommentReference"/>
          <w:rFonts w:asciiTheme="minorHAnsi" w:hAnsiTheme="minorHAnsi" w:cstheme="minorBidi"/>
        </w:rPr>
        <w:commentReference w:id="1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lastRenderedPageBreak/>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14"/>
      <w:commentRangeStart w:id="1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14"/>
      <w:r w:rsidR="006F3194">
        <w:rPr>
          <w:rStyle w:val="CommentReference"/>
          <w:rFonts w:asciiTheme="minorHAnsi" w:hAnsiTheme="minorHAnsi" w:cstheme="minorBidi"/>
        </w:rPr>
        <w:commentReference w:id="14"/>
      </w:r>
      <w:commentRangeEnd w:id="15"/>
      <w:r w:rsidR="00C31FF7">
        <w:rPr>
          <w:rStyle w:val="CommentReference"/>
          <w:rFonts w:asciiTheme="minorHAnsi" w:hAnsiTheme="minorHAnsi" w:cstheme="minorBidi"/>
        </w:rPr>
        <w:commentReference w:id="1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5AB73B8"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73EB42C0" w:rsidR="001D4D15" w:rsidRPr="00E44A0D" w:rsidRDefault="00AC5B95" w:rsidP="00387397">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requires understanding their evolutionary trajectories (van der Ven and Cashore, 2018).</w:t>
      </w:r>
      <w:r w:rsidR="007250CA" w:rsidRPr="00387397">
        <w:rPr>
          <w:color w:val="000000" w:themeColor="text1"/>
        </w:rPr>
        <w:t xml:space="preserve"> Even activist-</w:t>
      </w:r>
      <w:r w:rsidR="007250CA" w:rsidRPr="00387397">
        <w:rPr>
          <w:color w:val="000000" w:themeColor="text1"/>
        </w:rPr>
        <w:lastRenderedPageBreak/>
        <w:t xml:space="preserve">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w:t>
      </w:r>
      <w:r w:rsidR="009F69EA" w:rsidRPr="00387397">
        <w:rPr>
          <w:color w:val="000000" w:themeColor="text1"/>
        </w:rPr>
        <w:lastRenderedPageBreak/>
        <w:t xml:space="preserve">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16" w:name="bbib65"/>
      <w:r w:rsidR="00901C58" w:rsidRPr="00387397">
        <w:rPr>
          <w:color w:val="000000" w:themeColor="text1"/>
        </w:rPr>
        <w:t xml:space="preserve"> </w:t>
      </w:r>
      <w:r w:rsidR="00623B55" w:rsidRPr="00387397">
        <w:rPr>
          <w:color w:val="000000" w:themeColor="text1"/>
        </w:rPr>
        <w:t>Prakash, 2000</w:t>
      </w:r>
      <w:bookmarkEnd w:id="16"/>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3856795C"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17"/>
      <w:commentRangeStart w:id="18"/>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17"/>
      <w:r w:rsidR="001F354C">
        <w:rPr>
          <w:rStyle w:val="CommentReference"/>
          <w:rFonts w:asciiTheme="minorHAnsi" w:hAnsiTheme="minorHAnsi" w:cstheme="minorBidi"/>
        </w:rPr>
        <w:commentReference w:id="17"/>
      </w:r>
      <w:commentRangeEnd w:id="18"/>
      <w:r w:rsidR="001E44F7">
        <w:rPr>
          <w:rStyle w:val="CommentReference"/>
          <w:rFonts w:asciiTheme="minorHAnsi" w:hAnsiTheme="minorHAnsi" w:cstheme="minorBidi"/>
        </w:rPr>
        <w:commentReference w:id="18"/>
      </w:r>
      <w:commentRangeStart w:id="19"/>
      <w:del w:id="20"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19"/>
      <w:r w:rsidR="001E44F7">
        <w:rPr>
          <w:rStyle w:val="CommentReference"/>
          <w:rFonts w:asciiTheme="minorHAnsi" w:hAnsiTheme="minorHAnsi" w:cstheme="minorBidi"/>
        </w:rPr>
        <w:commentReference w:id="19"/>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1EB93DA1" w14:textId="655BC9FD" w:rsidR="00E44A0D"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 xml:space="preserve">(Overdevest, 2005, </w:t>
      </w:r>
      <w:r w:rsidR="004D48E8" w:rsidRPr="00387397">
        <w:rPr>
          <w:noProof/>
          <w:color w:val="000000" w:themeColor="text1"/>
        </w:rPr>
        <w:lastRenderedPageBreak/>
        <w:t>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to maintain differences.</w:t>
      </w:r>
    </w:p>
    <w:p w14:paraId="684D92E6" w14:textId="77777777" w:rsidR="00D42C0B" w:rsidRPr="00387397" w:rsidRDefault="00D42C0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21"/>
      <w:r w:rsidR="00D00707" w:rsidRPr="00387397">
        <w:rPr>
          <w:color w:val="000000" w:themeColor="text1"/>
        </w:rPr>
        <w:t>.</w:t>
      </w:r>
      <w:del w:id="22"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1"/>
      <w:r w:rsidR="00876BF6">
        <w:rPr>
          <w:rStyle w:val="CommentReference"/>
          <w:rFonts w:asciiTheme="minorHAnsi" w:hAnsiTheme="minorHAnsi" w:cstheme="minorBidi"/>
        </w:rPr>
        <w:commentReference w:id="21"/>
      </w:r>
      <w:r w:rsidR="000F3031" w:rsidRPr="00387397">
        <w:rPr>
          <w:color w:val="000000" w:themeColor="text1"/>
        </w:rPr>
        <w:t xml:space="preserve"> </w:t>
      </w:r>
    </w:p>
    <w:p w14:paraId="28568F1D" w14:textId="77777777" w:rsidR="00E44A0D" w:rsidRDefault="00E44A0D" w:rsidP="00387397">
      <w:pPr>
        <w:spacing w:line="480" w:lineRule="auto"/>
        <w:rPr>
          <w:color w:val="000000" w:themeColor="text1"/>
        </w:rPr>
      </w:pPr>
    </w:p>
    <w:p w14:paraId="4E5DF30E" w14:textId="087B19DE" w:rsidR="00E44A0D" w:rsidRPr="00387397" w:rsidRDefault="00880F93" w:rsidP="00E44A0D">
      <w:pPr>
        <w:spacing w:line="480" w:lineRule="auto"/>
        <w:rPr>
          <w:color w:val="000000" w:themeColor="text1"/>
        </w:rPr>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23"/>
      <w:r w:rsidR="00E44A0D" w:rsidRPr="00387397">
        <w:t xml:space="preserve">and find </w:t>
      </w:r>
      <w:r w:rsidR="00E44A0D">
        <w:t>evidence</w:t>
      </w:r>
      <w:r w:rsidR="00E44A0D" w:rsidRPr="00387397">
        <w:t xml:space="preserve"> for</w:t>
      </w:r>
      <w:commentRangeEnd w:id="23"/>
      <w:r w:rsidR="00E44A0D">
        <w:rPr>
          <w:rStyle w:val="CommentReference"/>
          <w:rFonts w:asciiTheme="minorHAnsi" w:hAnsiTheme="minorHAnsi" w:cstheme="minorBidi"/>
        </w:rPr>
        <w:commentReference w:id="23"/>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E44A0D" w:rsidRPr="00387397">
        <w:t xml:space="preserve">Other scholars </w:t>
      </w:r>
      <w:r w:rsidR="00E44A0D">
        <w:t xml:space="preserve">posit—and find evidence for—the exact opposite pattern, in which </w:t>
      </w:r>
      <w:r w:rsidR="00E44A0D" w:rsidRPr="00387397">
        <w:t>competit</w:t>
      </w:r>
      <w:r w:rsidR="00E44A0D">
        <w:t>ive</w:t>
      </w:r>
      <w:r w:rsidR="00E44A0D" w:rsidRPr="00387397">
        <w:t xml:space="preserve"> pressures </w:t>
      </w:r>
      <w:r w:rsidR="00E44A0D">
        <w:t>lead a “race to the bottom”</w:t>
      </w:r>
      <w:r w:rsidR="00E44A0D" w:rsidRPr="00387397">
        <w:rPr>
          <w:color w:val="000000" w:themeColor="text1"/>
        </w:rPr>
        <w:t xml:space="preserve"> </w:t>
      </w:r>
      <w:r w:rsidR="00E44A0D">
        <w:rPr>
          <w:color w:val="000000" w:themeColor="text1"/>
        </w:rPr>
        <w:t xml:space="preserve"> with </w:t>
      </w:r>
      <w:r w:rsidR="00E44A0D" w:rsidRPr="00387397">
        <w:t>more stringent</w:t>
      </w:r>
      <w:r w:rsidR="00E44A0D">
        <w:t xml:space="preserve"> </w:t>
      </w:r>
      <w:r w:rsidR="00E44A0D">
        <w:lastRenderedPageBreak/>
        <w:t xml:space="preserve">programs decreasing </w:t>
      </w:r>
      <w:r w:rsidR="00E44A0D" w:rsidRPr="00387397">
        <w:t>stringency</w:t>
      </w:r>
      <w:r w:rsidR="00E44A0D">
        <w:t xml:space="preserve"> and</w:t>
      </w:r>
      <w:r w:rsidR="00E44A0D" w:rsidRPr="00387397">
        <w:t xml:space="preserve"> converging toward less stringent ones</w:t>
      </w:r>
      <w:r w:rsidR="00E44A0D">
        <w:t xml:space="preserve"> in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(Abbott &amp; Snidal, 2010; Fransen, 2011; Gulbrandsen, 2004)</w:t>
      </w:r>
      <w:r w:rsidR="00E44A0D" w:rsidRPr="00387397">
        <w:rPr>
          <w:color w:val="000000" w:themeColor="text1"/>
        </w:rPr>
        <w:fldChar w:fldCharType="end"/>
      </w:r>
      <w:r w:rsidR="00E44A0D" w:rsidRPr="00387397">
        <w:t xml:space="preserve">. Still others </w:t>
      </w:r>
      <w:r w:rsidR="00E44A0D">
        <w:t xml:space="preserve">posit—and find evidence for—yet another pattern where </w:t>
      </w:r>
      <w:r w:rsidR="00E44A0D" w:rsidRPr="00387397">
        <w:t>programs maintain different levels of stringency, i.e.</w:t>
      </w:r>
      <w:r w:rsidR="00E44A0D">
        <w:t xml:space="preserve"> they remain distinct, neither </w:t>
      </w:r>
      <w:r w:rsidR="00E44A0D" w:rsidRPr="00387397">
        <w:t>conver</w:t>
      </w:r>
      <w:r w:rsidR="00E44A0D">
        <w:t>ging</w:t>
      </w:r>
      <w:r w:rsidR="00E44A0D" w:rsidRPr="00387397">
        <w:t xml:space="preserve"> to the “top” </w:t>
      </w:r>
      <w:r w:rsidR="00E44A0D">
        <w:t>n</w:t>
      </w:r>
      <w:r w:rsidR="00E44A0D" w:rsidRPr="00387397">
        <w:t>or</w:t>
      </w:r>
      <w:r w:rsidR="00E44A0D">
        <w:t xml:space="preserve"> the</w:t>
      </w:r>
      <w:r w:rsidR="00E44A0D" w:rsidRPr="00387397">
        <w:t xml:space="preserve"> “bottom”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(Fischer &amp; Lyon, 2014; Li &amp; van ’t Veld, 2015; Poret, 2016; </w:t>
      </w:r>
      <w:r w:rsidR="00E44A0D" w:rsidRPr="00387397">
        <w:rPr>
          <w:color w:val="000000" w:themeColor="text1"/>
        </w:rPr>
        <w:fldChar w:fldCharType="end"/>
      </w:r>
      <w:r w:rsidR="00E44A0D" w:rsidRPr="00387397">
        <w:rPr>
          <w:color w:val="000000" w:themeColor="text1"/>
        </w:rPr>
        <w:fldChar w:fldCharType="begin" w:fldLock="1"/>
      </w:r>
      <w:r w:rsidR="00E44A0D"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Cashore et al., 2004)</w:t>
      </w:r>
      <w:r w:rsidR="00E44A0D" w:rsidRPr="00387397">
        <w:rPr>
          <w:color w:val="000000" w:themeColor="text1"/>
        </w:rPr>
        <w:fldChar w:fldCharType="end"/>
      </w:r>
      <w:r w:rsidR="00E44A0D" w:rsidRPr="00387397">
        <w:t xml:space="preserve">. </w:t>
      </w:r>
      <w:r w:rsidR="00E44A0D">
        <w:t xml:space="preserve">While these three sets of findings seem incompatible, we argue that they are the result of different measurements strategies. Reconciling them thus requires a set of common concepts and measures of regulatory stringency.  </w:t>
      </w:r>
    </w:p>
    <w:p w14:paraId="120E6C50" w14:textId="77777777" w:rsidR="00E44A0D" w:rsidRDefault="00E44A0D" w:rsidP="00387397">
      <w:pPr>
        <w:spacing w:line="480" w:lineRule="auto"/>
        <w:rPr>
          <w:color w:val="000000" w:themeColor="text1"/>
        </w:rPr>
      </w:pP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2BBE5536" w:rsidR="00326B17" w:rsidRPr="00387397" w:rsidRDefault="00104A05" w:rsidP="00A44743">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These distinct dimensions of stringency are often 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w:t>
      </w:r>
      <w:r w:rsidR="007860AA">
        <w:rPr>
          <w:color w:val="000000" w:themeColor="text1"/>
        </w:rPr>
        <w:t xml:space="preserve"> And these are only a few of the many measures of stringency used in this literature, </w:t>
      </w:r>
      <w:r w:rsidR="007860AA">
        <w:rPr>
          <w:color w:val="000000" w:themeColor="text1"/>
        </w:rPr>
        <w:lastRenderedPageBreak/>
        <w:t xml:space="preserve">ranging from so broad that they conflate multiple concepts to so narrow that they measure only a few select components (see Table 1). </w:t>
      </w:r>
    </w:p>
    <w:p w14:paraId="40C54590" w14:textId="77777777" w:rsidR="00326B17" w:rsidRPr="00387397" w:rsidRDefault="00326B17" w:rsidP="00387397">
      <w:pPr>
        <w:spacing w:line="480" w:lineRule="auto"/>
        <w:rPr>
          <w:color w:val="000000" w:themeColor="text1"/>
        </w:rPr>
      </w:pPr>
    </w:p>
    <w:p w14:paraId="7EB8C3A7" w14:textId="5668DA01" w:rsidR="001F51BC" w:rsidRPr="00387397" w:rsidRDefault="000D458C" w:rsidP="00A44743">
      <w:pPr>
        <w:spacing w:line="480" w:lineRule="auto"/>
        <w:rPr>
          <w:color w:val="000000" w:themeColor="text1"/>
        </w:rPr>
      </w:pPr>
      <w:r>
        <w:rPr>
          <w:color w:val="000000" w:themeColor="text1"/>
        </w:rPr>
        <w:t>Overall,</w:t>
      </w:r>
      <w:r w:rsidR="00457C67">
        <w:rPr>
          <w:color w:val="000000" w:themeColor="text1"/>
        </w:rPr>
        <w:t xml:space="preserve"> </w:t>
      </w:r>
      <w:r w:rsidR="004B3505">
        <w:rPr>
          <w:color w:val="000000" w:themeColor="text1"/>
        </w:rPr>
        <w:t>concepts</w:t>
      </w:r>
      <w:r w:rsidR="00BD3C20" w:rsidRPr="00387397">
        <w:rPr>
          <w:color w:val="000000" w:themeColor="text1"/>
        </w:rPr>
        <w:t xml:space="preserve"> of </w:t>
      </w:r>
      <w:r w:rsidR="0038489B" w:rsidRPr="00387397">
        <w:rPr>
          <w:color w:val="000000" w:themeColor="text1"/>
        </w:rPr>
        <w:t xml:space="preserve">stringency </w:t>
      </w:r>
      <w:r w:rsidR="004B3505">
        <w:rPr>
          <w:color w:val="000000" w:themeColor="text1"/>
        </w:rPr>
        <w:t xml:space="preserve">in existing work tend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3F617A">
        <w:rPr>
          <w:color w:val="000000" w:themeColor="text1"/>
        </w:rPr>
        <w:t>.</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72993DC9" w:rsidR="00341AD2"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00F4452C">
        <w:rPr>
          <w:color w:val="000000" w:themeColor="text1"/>
        </w:rPr>
        <w:t xml:space="preserve">turned to a number of proxy measures to </w:t>
      </w:r>
      <w:r w:rsidR="009D1090" w:rsidRPr="00387397">
        <w:rPr>
          <w:color w:val="000000" w:themeColor="text1"/>
        </w:rPr>
        <w:t>compar</w:t>
      </w:r>
      <w:r w:rsidR="00F4452C">
        <w:rPr>
          <w:color w:val="000000" w:themeColor="text1"/>
        </w:rPr>
        <w:t>e</w:t>
      </w:r>
      <w:r w:rsidR="009D1090" w:rsidRPr="00387397">
        <w:rPr>
          <w:color w:val="000000" w:themeColor="text1"/>
        </w:rPr>
        <w:t xml:space="preserv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D43D79">
        <w:rPr>
          <w:color w:val="000000" w:themeColor="text1"/>
        </w:rPr>
        <w:t>. I</w:t>
      </w:r>
      <w:r w:rsidR="00D43D79" w:rsidRPr="00387397">
        <w:rPr>
          <w:color w:val="000000" w:themeColor="text1"/>
        </w:rPr>
        <w:t xml:space="preserve">n the broadest study to date, </w:t>
      </w:r>
      <w:r w:rsidRPr="00387397">
        <w:rPr>
          <w:color w:val="000000" w:themeColor="text1"/>
        </w:rPr>
        <w:t xml:space="preserve">van der Van (2015) uses </w:t>
      </w:r>
      <w:r w:rsidR="00D43D79">
        <w:rPr>
          <w:color w:val="000000" w:themeColor="text1"/>
        </w:rPr>
        <w:t>another common proxy for stringency--</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D43D79">
        <w:rPr>
          <w:color w:val="000000" w:themeColor="text1"/>
        </w:rPr>
        <w:t xml:space="preserve">.” </w:t>
      </w:r>
      <w:r w:rsidR="006B74EB">
        <w:rPr>
          <w:color w:val="000000" w:themeColor="text1"/>
        </w:rPr>
        <w:t xml:space="preserve">However, these approaches </w:t>
      </w:r>
      <w:r w:rsidR="0072282C" w:rsidRPr="00387397">
        <w:rPr>
          <w:color w:val="000000" w:themeColor="text1"/>
        </w:rPr>
        <w:t xml:space="preserve">do not </w:t>
      </w:r>
      <w:r w:rsidR="00D43D79">
        <w:rPr>
          <w:color w:val="000000" w:themeColor="text1"/>
        </w:rPr>
        <w:t xml:space="preserve">allow </w:t>
      </w:r>
      <w:r w:rsidR="00D42C0B">
        <w:rPr>
          <w:color w:val="000000" w:themeColor="text1"/>
        </w:rPr>
        <w:t xml:space="preserve">scholars </w:t>
      </w:r>
      <w:r w:rsidR="00D42C0B" w:rsidRPr="00387397">
        <w:rPr>
          <w:color w:val="000000" w:themeColor="text1"/>
        </w:rPr>
        <w:t>exami</w:t>
      </w:r>
      <w:r w:rsidR="00D42C0B">
        <w:rPr>
          <w:color w:val="000000" w:themeColor="text1"/>
        </w:rPr>
        <w:t>ne</w:t>
      </w:r>
      <w:r w:rsidR="006B74EB">
        <w:rPr>
          <w:color w:val="000000" w:themeColor="text1"/>
        </w:rPr>
        <w:t xml:space="preserve"> </w:t>
      </w:r>
      <w:r w:rsidR="0072282C" w:rsidRPr="00387397">
        <w:rPr>
          <w:color w:val="000000" w:themeColor="text1"/>
        </w:rPr>
        <w:t xml:space="preserve">relationships between stringency and </w:t>
      </w:r>
      <w:r w:rsidR="00D42C0B">
        <w:rPr>
          <w:color w:val="000000" w:themeColor="text1"/>
        </w:rPr>
        <w:t>program sponsorship or between stringency and perceived stringency</w:t>
      </w:r>
      <w:r w:rsidR="0072282C" w:rsidRPr="00387397">
        <w:rPr>
          <w:color w:val="000000" w:themeColor="text1"/>
        </w:rPr>
        <w:t>.</w:t>
      </w:r>
    </w:p>
    <w:p w14:paraId="4073ED71" w14:textId="28365F22" w:rsidR="00D42C0B" w:rsidRDefault="00D42C0B" w:rsidP="00387397">
      <w:pPr>
        <w:spacing w:line="480" w:lineRule="auto"/>
        <w:rPr>
          <w:color w:val="000000" w:themeColor="text1"/>
        </w:rPr>
      </w:pPr>
    </w:p>
    <w:p w14:paraId="7BF14553" w14:textId="018B39D8" w:rsidR="00D42C0B" w:rsidRPr="00387397" w:rsidRDefault="00D42C0B" w:rsidP="00387397">
      <w:pPr>
        <w:spacing w:line="480" w:lineRule="auto"/>
        <w:rPr>
          <w:color w:val="000000" w:themeColor="text1"/>
        </w:rPr>
      </w:pPr>
      <w:r>
        <w:rPr>
          <w:color w:val="000000" w:themeColor="text1"/>
        </w:rPr>
        <w:t xml:space="preserve">More importantly, </w:t>
      </w:r>
      <w:r w:rsidRPr="00387397">
        <w:rPr>
          <w:color w:val="000000" w:themeColor="text1"/>
        </w:rPr>
        <w:t xml:space="preserve">different </w:t>
      </w:r>
      <w:r w:rsidR="00BC3AD5">
        <w:rPr>
          <w:color w:val="000000" w:themeColor="text1"/>
        </w:rPr>
        <w:t xml:space="preserve">approaches to </w:t>
      </w:r>
      <w:r w:rsidR="00BC3AD5" w:rsidRPr="00387397">
        <w:rPr>
          <w:color w:val="000000" w:themeColor="text1"/>
        </w:rPr>
        <w:t>measuri</w:t>
      </w:r>
      <w:r w:rsidR="00BC3AD5">
        <w:rPr>
          <w:color w:val="000000" w:themeColor="text1"/>
        </w:rPr>
        <w:t>ng regulatory stringency prevent us from adjudicating between claims that competing regulatory schemes will “race to the bottom,” “ratchet up,” “converge,” or “diverge.” Indeed, different measurement strategies explain the seemly contradictory evidence in favor or each theory</w:t>
      </w:r>
      <w:r w:rsidR="00D43D79">
        <w:rPr>
          <w:color w:val="000000" w:themeColor="text1"/>
        </w:rPr>
        <w:t xml:space="preserve">. While </w:t>
      </w:r>
      <w:r w:rsidRPr="00387397">
        <w:rPr>
          <w:color w:val="000000" w:themeColor="text1"/>
        </w:rPr>
        <w:t xml:space="preserve">van der Ven </w:t>
      </w:r>
      <w:r w:rsidRPr="00387397">
        <w:rPr>
          <w:color w:val="000000" w:themeColor="text1"/>
        </w:rPr>
        <w:fldChar w:fldCharType="begin" w:fldLock="1"/>
      </w:r>
      <w:r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Pr="00387397">
        <w:rPr>
          <w:color w:val="000000" w:themeColor="text1"/>
        </w:rPr>
        <w:fldChar w:fldCharType="separate"/>
      </w:r>
      <w:r w:rsidRPr="00387397">
        <w:rPr>
          <w:noProof/>
          <w:color w:val="000000" w:themeColor="text1"/>
        </w:rPr>
        <w:t>(2015)</w:t>
      </w:r>
      <w:r w:rsidRPr="00387397">
        <w:rPr>
          <w:color w:val="000000" w:themeColor="text1"/>
        </w:rPr>
        <w:fldChar w:fldCharType="end"/>
      </w:r>
      <w:r w:rsidRPr="00387397">
        <w:rPr>
          <w:color w:val="000000" w:themeColor="text1"/>
        </w:rPr>
        <w:t xml:space="preserve"> does find support for the prediction that activist-backed private regulations are more likely to align with </w:t>
      </w:r>
      <w:r w:rsidRPr="00387397">
        <w:rPr>
          <w:color w:val="000000" w:themeColor="text1"/>
        </w:rPr>
        <w:lastRenderedPageBreak/>
        <w:t>“best practices” but does not find support for the prediction that industry-backed regulations a</w:t>
      </w:r>
      <w:r w:rsidR="00D43D79">
        <w:rPr>
          <w:color w:val="000000" w:themeColor="text1"/>
        </w:rPr>
        <w:t>re less likely to do so. T</w:t>
      </w:r>
      <w:r w:rsidRPr="00387397">
        <w:rPr>
          <w:color w:val="000000" w:themeColor="text1"/>
        </w:rPr>
        <w:t xml:space="preserve">he latter finding seems to contradict findings by Cashore et al. (2004) that industry-backed programs </w:t>
      </w:r>
      <w:r w:rsidR="00D43D79">
        <w:rPr>
          <w:color w:val="000000" w:themeColor="text1"/>
        </w:rPr>
        <w:t>set less stringent requirements. T</w:t>
      </w:r>
      <w:r>
        <w:rPr>
          <w:color w:val="000000" w:themeColor="text1"/>
        </w:rPr>
        <w:t>his is</w:t>
      </w:r>
      <w:r w:rsidRPr="00387397">
        <w:rPr>
          <w:color w:val="000000" w:themeColor="text1"/>
        </w:rPr>
        <w:t xml:space="preserve"> due to differences in measurement</w:t>
      </w:r>
      <w:r>
        <w:rPr>
          <w:color w:val="000000" w:themeColor="text1"/>
        </w:rPr>
        <w:t>;</w:t>
      </w:r>
      <w:r w:rsidRPr="00387397">
        <w:rPr>
          <w:color w:val="000000" w:themeColor="text1"/>
        </w:rPr>
        <w:t xml:space="preserve"> Cashore et al. focus on </w:t>
      </w:r>
      <w:r>
        <w:rPr>
          <w:color w:val="000000" w:themeColor="text1"/>
        </w:rPr>
        <w:t xml:space="preserve">substantive </w:t>
      </w:r>
      <w:r w:rsidRPr="00387397">
        <w:rPr>
          <w:color w:val="000000" w:themeColor="text1"/>
        </w:rPr>
        <w:t xml:space="preserve">prescriptiveness rather than </w:t>
      </w:r>
      <w:r>
        <w:rPr>
          <w:color w:val="000000" w:themeColor="text1"/>
        </w:rPr>
        <w:t xml:space="preserve">procedural </w:t>
      </w:r>
      <w:r w:rsidRPr="00387397">
        <w:rPr>
          <w:color w:val="000000" w:themeColor="text1"/>
        </w:rPr>
        <w:t>“best practices.”</w:t>
      </w:r>
    </w:p>
    <w:p w14:paraId="700425A0" w14:textId="77777777" w:rsidR="000760C3" w:rsidRPr="00387397" w:rsidRDefault="000760C3" w:rsidP="00387397">
      <w:pPr>
        <w:spacing w:line="480" w:lineRule="auto"/>
        <w:rPr>
          <w:color w:val="000000" w:themeColor="text1"/>
        </w:rPr>
      </w:pPr>
    </w:p>
    <w:p w14:paraId="74C8ED9A" w14:textId="3D5822C4" w:rsidR="00AC0AFB" w:rsidRPr="00BC3AD5" w:rsidRDefault="009A1AFE" w:rsidP="00387397">
      <w:pPr>
        <w:spacing w:line="480" w:lineRule="auto"/>
        <w:rPr>
          <w:color w:val="000000" w:themeColor="text1"/>
        </w:rPr>
      </w:pPr>
      <w:r>
        <w:rPr>
          <w:color w:val="000000" w:themeColor="text1"/>
        </w:rPr>
        <w:t>Even 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 xml:space="preserve">precise </w:t>
      </w:r>
      <w:r w:rsidR="00D43D79">
        <w:rPr>
          <w:color w:val="000000" w:themeColor="text1"/>
        </w:rPr>
        <w:t>measures of stringency (</w:t>
      </w:r>
      <w:r w:rsidR="00D43D79" w:rsidRPr="00387397">
        <w:rPr>
          <w:color w:val="000000" w:themeColor="text1"/>
        </w:rPr>
        <w:t>(</w:t>
      </w:r>
      <w:r w:rsidR="00D43D79">
        <w:rPr>
          <w:color w:val="000000" w:themeColor="text1"/>
        </w:rPr>
        <w:t xml:space="preserve">the top of </w:t>
      </w:r>
      <w:r w:rsidR="00D43D79" w:rsidRPr="00387397">
        <w:rPr>
          <w:color w:val="000000" w:themeColor="text1"/>
        </w:rPr>
        <w:t>Table 1</w:t>
      </w:r>
      <w:r w:rsidR="00D43D79">
        <w:rPr>
          <w:color w:val="000000" w:themeColor="text1"/>
        </w:rPr>
        <w:t xml:space="preserve">) </w:t>
      </w:r>
      <w:r w:rsidR="00681883" w:rsidRPr="00387397">
        <w:rPr>
          <w:color w:val="000000" w:themeColor="text1"/>
        </w:rPr>
        <w:t xml:space="preserve">tend to </w:t>
      </w:r>
      <w:r>
        <w:rPr>
          <w:color w:val="000000" w:themeColor="text1"/>
        </w:rPr>
        <w:t xml:space="preserve">fall short because they only </w:t>
      </w:r>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comparisons</w:t>
      </w:r>
      <w:r w:rsidR="000756DB">
        <w:rPr>
          <w:color w:val="000000" w:themeColor="text1"/>
        </w:rPr>
        <w:t>.</w:t>
      </w:r>
      <w:r w:rsidR="00BC3AD5">
        <w:rPr>
          <w:color w:val="000000" w:themeColor="text1"/>
        </w:rPr>
        <w:t xml:space="preserve"> This approach can lead to conflicting results if scholars select different policy components as indictors of stringency. </w:t>
      </w:r>
      <w:r w:rsidR="006C77F6">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7C297E">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AC0AFB">
        <w:rPr>
          <w:rFonts w:eastAsia="Times New Roman"/>
          <w:color w:val="000000" w:themeColor="text1"/>
        </w:rPr>
        <w:t xml:space="preserve">Hence, choices about which </w:t>
      </w:r>
      <w:r w:rsidR="004A6A03" w:rsidRPr="00387397">
        <w:rPr>
          <w:rFonts w:eastAsia="Times New Roman"/>
          <w:color w:val="000000" w:themeColor="text1"/>
        </w:rPr>
        <w:t>issue</w:t>
      </w:r>
      <w:r w:rsidR="00AC0AFB">
        <w:rPr>
          <w:rFonts w:eastAsia="Times New Roman"/>
          <w:color w:val="000000" w:themeColor="text1"/>
        </w:rPr>
        <w:t xml:space="preserve"> to measure</w:t>
      </w:r>
      <w:r w:rsidR="0009367D">
        <w:rPr>
          <w:rFonts w:eastAsia="Times New Roman"/>
          <w:color w:val="000000" w:themeColor="text1"/>
        </w:rPr>
        <w:t xml:space="preserve"> may</w:t>
      </w:r>
      <w:r w:rsidR="00AC0AFB">
        <w:rPr>
          <w:rFonts w:eastAsia="Times New Roman"/>
          <w:color w:val="000000" w:themeColor="text1"/>
        </w:rPr>
        <w:t xml:space="preserve"> lead to different conclusions and </w:t>
      </w:r>
      <w:r w:rsidR="0009367D">
        <w:rPr>
          <w:rFonts w:eastAsia="Times New Roman"/>
          <w:color w:val="000000" w:themeColor="text1"/>
        </w:rPr>
        <w:t>appear to support conflicting theories of change.</w:t>
      </w:r>
    </w:p>
    <w:p w14:paraId="3A005C49" w14:textId="77777777" w:rsidR="00E00ADD" w:rsidRPr="00387397" w:rsidRDefault="00E00ADD" w:rsidP="00387397">
      <w:pPr>
        <w:spacing w:line="480" w:lineRule="auto"/>
        <w:rPr>
          <w:rFonts w:eastAsia="Times New Roman"/>
          <w:color w:val="000000" w:themeColor="text1"/>
        </w:rPr>
      </w:pPr>
    </w:p>
    <w:p w14:paraId="7F51C550" w14:textId="48C242D9" w:rsidR="00C80933" w:rsidRPr="00387397" w:rsidRDefault="0009367D" w:rsidP="0033739D">
      <w:pPr>
        <w:spacing w:line="480" w:lineRule="auto"/>
        <w:rPr>
          <w:rFonts w:eastAsia="Times New Roman"/>
          <w:color w:val="000000" w:themeColor="text1"/>
        </w:rPr>
      </w:pPr>
      <w:r>
        <w:rPr>
          <w:rFonts w:eastAsia="Times New Roman"/>
          <w:color w:val="000000" w:themeColor="text1"/>
        </w:rPr>
        <w:t xml:space="preserve">Efforts </w:t>
      </w:r>
      <w:r w:rsidR="00AC0AFB">
        <w:rPr>
          <w:rFonts w:eastAsia="Times New Roman"/>
          <w:color w:val="000000" w:themeColor="text1"/>
        </w:rPr>
        <w:t xml:space="preserve">to </w:t>
      </w:r>
      <w:r w:rsidR="00862563" w:rsidRPr="00387397">
        <w:rPr>
          <w:rFonts w:eastAsia="Times New Roman"/>
          <w:color w:val="000000" w:themeColor="text1"/>
        </w:rPr>
        <w:t>identify</w:t>
      </w:r>
      <w:r>
        <w:rPr>
          <w:rFonts w:eastAsia="Times New Roman"/>
          <w:color w:val="000000" w:themeColor="text1"/>
        </w:rPr>
        <w:t xml:space="preserve"> </w:t>
      </w:r>
      <w:r w:rsidR="00862563" w:rsidRPr="00387397">
        <w:rPr>
          <w:rFonts w:eastAsia="Times New Roman"/>
          <w:color w:val="000000" w:themeColor="text1"/>
        </w:rPr>
        <w:t>patterns</w:t>
      </w:r>
      <w:r>
        <w:rPr>
          <w:rFonts w:eastAsia="Times New Roman"/>
          <w:color w:val="000000" w:themeColor="text1"/>
        </w:rPr>
        <w:t xml:space="preserve"> of change face two common challenges</w:t>
      </w:r>
      <w:r w:rsidR="0038489B" w:rsidRPr="00387397">
        <w:rPr>
          <w:rFonts w:eastAsia="Times New Roman"/>
          <w:color w:val="000000" w:themeColor="text1"/>
        </w:rPr>
        <w:t xml:space="preserve">. First, </w:t>
      </w:r>
      <w:r w:rsidR="0033739D">
        <w:rPr>
          <w:rFonts w:eastAsia="Times New Roman"/>
          <w:color w:val="000000" w:themeColor="text1"/>
        </w:rPr>
        <w:t>results vary</w:t>
      </w:r>
      <w:r w:rsidR="00F10DAC" w:rsidRPr="00387397">
        <w:rPr>
          <w:rFonts w:eastAsia="Times New Roman"/>
          <w:color w:val="000000" w:themeColor="text1"/>
        </w:rPr>
        <w:t xml:space="preserve"> </w:t>
      </w:r>
      <w:r w:rsidR="0033739D">
        <w:rPr>
          <w:rFonts w:eastAsia="Times New Roman"/>
          <w:color w:val="000000" w:themeColor="text1"/>
        </w:rPr>
        <w:t xml:space="preserve">depending on </w:t>
      </w:r>
      <w:r>
        <w:rPr>
          <w:rFonts w:eastAsia="Times New Roman"/>
          <w:color w:val="000000" w:themeColor="text1"/>
        </w:rPr>
        <w:t>the policy components we</w:t>
      </w:r>
      <w:r w:rsidR="0033739D">
        <w:rPr>
          <w:rFonts w:eastAsia="Times New Roman"/>
          <w:color w:val="000000" w:themeColor="text1"/>
        </w:rPr>
        <w:t xml:space="preserve"> stud</w:t>
      </w:r>
      <w:r>
        <w:rPr>
          <w:rFonts w:eastAsia="Times New Roman"/>
          <w:color w:val="000000" w:themeColor="text1"/>
        </w:rPr>
        <w:t>y</w:t>
      </w:r>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w:t>
      </w:r>
      <w:r w:rsidR="0038489B" w:rsidRPr="00387397">
        <w:rPr>
          <w:color w:val="000000" w:themeColor="text1"/>
        </w:rPr>
        <w:lastRenderedPageBreak/>
        <w:t>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p>
    <w:p w14:paraId="798016E5" w14:textId="77777777" w:rsidR="00C80933" w:rsidRPr="00387397" w:rsidRDefault="00C80933" w:rsidP="00387397">
      <w:pPr>
        <w:spacing w:line="480" w:lineRule="auto"/>
        <w:rPr>
          <w:rFonts w:eastAsia="Times New Roman"/>
          <w:bCs/>
          <w:color w:val="000000" w:themeColor="text1"/>
        </w:rPr>
      </w:pPr>
    </w:p>
    <w:p w14:paraId="7B32AD0B" w14:textId="3C58CCC3" w:rsidR="00242C3C" w:rsidRDefault="001F51BC" w:rsidP="00606EFF">
      <w:pPr>
        <w:spacing w:line="480" w:lineRule="auto"/>
        <w:rPr>
          <w:rFonts w:eastAsia="Times New Roman"/>
          <w:bCs/>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r w:rsidR="0081786F">
        <w:rPr>
          <w:rFonts w:eastAsia="Times New Roman"/>
          <w:bCs/>
          <w:color w:val="000000" w:themeColor="text1"/>
        </w:rPr>
        <w:t xml:space="preserve"> </w:t>
      </w:r>
      <w:r w:rsidR="001D5EB6">
        <w:rPr>
          <w:rFonts w:eastAsia="Times New Roman"/>
          <w:bCs/>
          <w:color w:val="000000" w:themeColor="text1"/>
        </w:rPr>
        <w:t xml:space="preserve">assert </w:t>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1D5EB6">
        <w:rPr>
          <w:rFonts w:eastAsia="Times New Roman"/>
          <w:bCs/>
          <w:color w:val="000000" w:themeColor="text1"/>
        </w:rPr>
        <w:t xml:space="preserve">found that </w:t>
      </w:r>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w:t>
      </w:r>
      <w:r w:rsidR="00FB5EF2">
        <w:rPr>
          <w:rFonts w:eastAsia="Times New Roman"/>
          <w:bCs/>
          <w:color w:val="000000" w:themeColor="text1"/>
        </w:rPr>
        <w:t xml:space="preserve"> </w:t>
      </w:r>
      <w:r w:rsidR="00606EFF">
        <w:rPr>
          <w:rFonts w:eastAsia="Times New Roman"/>
          <w:bCs/>
          <w:color w:val="000000" w:themeColor="text1"/>
        </w:rPr>
        <w:t xml:space="preserve">We can thus </w:t>
      </w:r>
      <w:r w:rsidR="00606EFF">
        <w:rPr>
          <w:rFonts w:eastAsia="Times New Roman"/>
          <w:bCs/>
          <w:color w:val="000000" w:themeColor="text1"/>
        </w:rPr>
        <w:t>resolve the apparent conflict between Overdivest and Zeitlin’s study and Cashore et al.’s study</w:t>
      </w:r>
      <w:r w:rsidR="00FB5EF2">
        <w:rPr>
          <w:rFonts w:eastAsia="Times New Roman"/>
          <w:bCs/>
          <w:color w:val="000000" w:themeColor="text1"/>
        </w:rPr>
        <w:t xml:space="preserve"> </w:t>
      </w:r>
      <w:r w:rsidR="00606EFF">
        <w:rPr>
          <w:rFonts w:eastAsia="Times New Roman"/>
          <w:bCs/>
          <w:color w:val="000000" w:themeColor="text1"/>
        </w:rPr>
        <w:t xml:space="preserve">by </w:t>
      </w:r>
      <w:r w:rsidR="00FB5EF2">
        <w:rPr>
          <w:rFonts w:eastAsia="Times New Roman"/>
          <w:bCs/>
          <w:color w:val="000000" w:themeColor="text1"/>
        </w:rPr>
        <w:t xml:space="preserve">distinguishing between the scope of issues covered and </w:t>
      </w:r>
      <w:r w:rsidR="00606EFF">
        <w:rPr>
          <w:rFonts w:eastAsia="Times New Roman"/>
          <w:bCs/>
          <w:color w:val="000000" w:themeColor="text1"/>
        </w:rPr>
        <w:t>the prescriptiveness of requirements</w:t>
      </w:r>
      <w:r w:rsidR="00FB5EF2">
        <w:rPr>
          <w:rFonts w:eastAsia="Times New Roman"/>
          <w:bCs/>
          <w:color w:val="000000" w:themeColor="text1"/>
        </w:rPr>
        <w:t xml:space="preserve"> as two distinct dimensi</w:t>
      </w:r>
      <w:r w:rsidR="00606EFF">
        <w:rPr>
          <w:rFonts w:eastAsia="Times New Roman"/>
          <w:bCs/>
          <w:color w:val="000000" w:themeColor="text1"/>
        </w:rPr>
        <w:t>ons of regulatory stringency</w:t>
      </w:r>
      <w:r w:rsidR="00FB5EF2">
        <w:rPr>
          <w:rFonts w:eastAsia="Times New Roman"/>
          <w:bCs/>
          <w:color w:val="000000" w:themeColor="text1"/>
        </w:rPr>
        <w:t xml:space="preserve">. </w:t>
      </w:r>
      <w:r w:rsidR="00A56879" w:rsidRPr="00387397">
        <w:rPr>
          <w:rFonts w:eastAsia="Times New Roman"/>
          <w:bCs/>
          <w:color w:val="000000" w:themeColor="text1"/>
        </w:rPr>
        <w:t xml:space="preserve"> </w:t>
      </w:r>
    </w:p>
    <w:p w14:paraId="701E54DD" w14:textId="22544130" w:rsidR="00501C43" w:rsidRDefault="00501C43" w:rsidP="00606EFF">
      <w:pPr>
        <w:spacing w:line="480" w:lineRule="auto"/>
        <w:rPr>
          <w:rFonts w:eastAsia="Times New Roman"/>
          <w:bCs/>
          <w:color w:val="000000" w:themeColor="text1"/>
        </w:rPr>
      </w:pPr>
    </w:p>
    <w:p w14:paraId="1555946C" w14:textId="0D744F9F" w:rsidR="00501C43" w:rsidRPr="00606EFF" w:rsidRDefault="00501C43" w:rsidP="00606EFF">
      <w:pPr>
        <w:spacing w:line="480" w:lineRule="auto"/>
        <w:rPr>
          <w:rFonts w:eastAsia="Times New Roman"/>
          <w:bCs/>
          <w:color w:val="000000" w:themeColor="text1"/>
        </w:rPr>
      </w:pPr>
      <w:r>
        <w:rPr>
          <w:rFonts w:eastAsia="Times New Roman"/>
          <w:bCs/>
          <w:color w:val="000000" w:themeColor="text1"/>
        </w:rPr>
        <w:t xml:space="preserve">To address these challenges, we distinguish three types of regulatory stringency and illustrate how doing so enables scholars to more systematically compare programs across issues and over time. </w:t>
      </w:r>
    </w:p>
    <w:p w14:paraId="6E2957ED" w14:textId="77777777" w:rsidR="00984DC4" w:rsidRPr="00984DC4" w:rsidRDefault="00984DC4" w:rsidP="00984DC4">
      <w:pPr>
        <w:spacing w:line="480" w:lineRule="auto"/>
        <w:rPr>
          <w:rFonts w:eastAsia="Times New Roman"/>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1A738CE" w:rsid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lastRenderedPageBreak/>
        <w:t>Students of public policy have long reco</w:t>
      </w:r>
      <w:r w:rsidR="00CF5EB3">
        <w:rPr>
          <w:color w:val="000000" w:themeColor="text1"/>
        </w:rPr>
        <w:t xml:space="preserve">gnized the need to break policies in to their component parts, finding </w:t>
      </w:r>
      <w:r w:rsidRPr="0062745D">
        <w:rPr>
          <w:color w:val="000000" w:themeColor="text1"/>
        </w:rPr>
        <w:t xml:space="preserve">different explanations for change </w:t>
      </w:r>
      <w:r w:rsidR="00501C43">
        <w:rPr>
          <w:color w:val="000000" w:themeColor="text1"/>
        </w:rPr>
        <w:t>for</w:t>
      </w:r>
      <w:r w:rsidRPr="0062745D">
        <w:rPr>
          <w:color w:val="000000" w:themeColor="text1"/>
        </w:rPr>
        <w:t xml:space="preserve"> different </w:t>
      </w:r>
      <w:r w:rsidR="00501C43">
        <w:rPr>
          <w:color w:val="000000" w:themeColor="text1"/>
        </w:rPr>
        <w:t>policy</w:t>
      </w:r>
      <w:r w:rsidRPr="0062745D">
        <w:rPr>
          <w:color w:val="000000" w:themeColor="text1"/>
        </w:rPr>
        <w:t xml:space="preserve"> goals and means to achieve them (Cashore, 1997; Hall, 1993; Weimer &amp; Vining, 2005). While private governance scholars have shown that private regulations resemble public laws (Meidinger,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24"/>
      <w:commentRangeStart w:id="25"/>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24"/>
      <w:r w:rsidR="00956FFD">
        <w:rPr>
          <w:rStyle w:val="CommentReference"/>
          <w:rFonts w:asciiTheme="minorHAnsi" w:hAnsiTheme="minorHAnsi" w:cstheme="minorBidi"/>
        </w:rPr>
        <w:commentReference w:id="24"/>
      </w:r>
      <w:commentRangeEnd w:id="25"/>
      <w:r w:rsidR="00791462">
        <w:rPr>
          <w:rStyle w:val="CommentReference"/>
          <w:rFonts w:asciiTheme="minorHAnsi" w:hAnsiTheme="minorHAnsi" w:cstheme="minorBidi"/>
        </w:rPr>
        <w:commentReference w:id="25"/>
      </w:r>
    </w:p>
    <w:p w14:paraId="1A8E7EA6" w14:textId="7F6BB97E" w:rsidR="000A2C8A" w:rsidRPr="0062745D" w:rsidRDefault="00CF5EB3" w:rsidP="000A2C8A">
      <w:pPr>
        <w:widowControl w:val="0"/>
        <w:autoSpaceDE w:val="0"/>
        <w:autoSpaceDN w:val="0"/>
        <w:adjustRightInd w:val="0"/>
        <w:spacing w:after="240" w:line="480" w:lineRule="auto"/>
        <w:rPr>
          <w:color w:val="000000" w:themeColor="text1"/>
        </w:rPr>
      </w:pPr>
      <w:r>
        <w:rPr>
          <w:color w:val="000000" w:themeColor="text1"/>
        </w:rPr>
        <w:t>We</w:t>
      </w:r>
      <w:r w:rsidR="0062745D" w:rsidRPr="0062745D">
        <w:rPr>
          <w:color w:val="000000" w:themeColor="text1"/>
        </w:rPr>
        <w:t xml:space="preserv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0062745D"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0062745D"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0A2C8A">
        <w:rPr>
          <w:rFonts w:eastAsia="Times New Roman"/>
          <w:color w:val="000000" w:themeColor="text1"/>
        </w:rPr>
        <w:t xml:space="preserve">Our framework thus combines </w:t>
      </w:r>
      <w:r w:rsidR="000A2C8A" w:rsidRPr="00387397">
        <w:rPr>
          <w:rFonts w:eastAsia="Times New Roman"/>
          <w:color w:val="000000" w:themeColor="text1"/>
        </w:rPr>
        <w:t>qualitative issue-by-issue comparison of policy settings</w:t>
      </w:r>
      <w:r w:rsidR="000A2C8A">
        <w:rPr>
          <w:rFonts w:eastAsia="Times New Roman"/>
          <w:color w:val="000000" w:themeColor="text1"/>
        </w:rPr>
        <w:t xml:space="preserve"> with two measurement concepts, policy scope and prescriptiveness, </w:t>
      </w:r>
      <w:r w:rsidR="000A2C8A" w:rsidRPr="00387397">
        <w:rPr>
          <w:rFonts w:eastAsia="Times New Roman"/>
          <w:color w:val="000000" w:themeColor="text1"/>
        </w:rPr>
        <w:t xml:space="preserve">that can be applied </w:t>
      </w:r>
      <w:r w:rsidR="000A2C8A">
        <w:rPr>
          <w:rFonts w:eastAsia="Times New Roman"/>
          <w:color w:val="000000" w:themeColor="text1"/>
        </w:rPr>
        <w:t xml:space="preserve">across issue areas and thus aggregated to measure overall stringency over time. </w:t>
      </w:r>
      <w:r w:rsidR="000A2C8A" w:rsidRPr="00387397">
        <w:rPr>
          <w:rFonts w:eastAsia="Times New Roman"/>
          <w:color w:val="000000" w:themeColor="text1"/>
        </w:rPr>
        <w:t xml:space="preserve"> </w:t>
      </w:r>
      <w:r w:rsidR="000A2C8A">
        <w:rPr>
          <w:rFonts w:eastAsia="Times New Roman"/>
          <w:color w:val="000000" w:themeColor="text1"/>
        </w:rPr>
        <w:t>By comparing the number of issues covered by a regulation and the number of prescriptive requirements on those issues, scholars can assess overall trends.</w:t>
      </w:r>
    </w:p>
    <w:p w14:paraId="2AEEC0E1" w14:textId="77777777" w:rsidR="000A2C8A" w:rsidRDefault="000A2C8A" w:rsidP="00044AED">
      <w:pPr>
        <w:widowControl w:val="0"/>
        <w:autoSpaceDE w:val="0"/>
        <w:autoSpaceDN w:val="0"/>
        <w:adjustRightInd w:val="0"/>
        <w:spacing w:after="240" w:line="480" w:lineRule="auto"/>
        <w:rPr>
          <w:color w:val="000000" w:themeColor="text1"/>
        </w:rPr>
      </w:pPr>
    </w:p>
    <w:p w14:paraId="6D8B8CDB" w14:textId="02245BD2" w:rsidR="005D4584" w:rsidRPr="00387397" w:rsidRDefault="00802F9E" w:rsidP="00044AED">
      <w:pPr>
        <w:widowControl w:val="0"/>
        <w:autoSpaceDE w:val="0"/>
        <w:autoSpaceDN w:val="0"/>
        <w:adjustRightInd w:val="0"/>
        <w:spacing w:after="240" w:line="480" w:lineRule="auto"/>
        <w:rPr>
          <w:color w:val="000000" w:themeColor="text1"/>
        </w:rPr>
      </w:pPr>
      <w:r>
        <w:rPr>
          <w:color w:val="000000" w:themeColor="text1"/>
        </w:rPr>
        <w:t xml:space="preserve">The </w:t>
      </w:r>
      <w:r w:rsidR="00254EA4" w:rsidRPr="00387397">
        <w:rPr>
          <w:color w:val="000000" w:themeColor="text1"/>
        </w:rPr>
        <w:t>first step for scholars who wish to make claims about stringency or direction of change</w:t>
      </w:r>
      <w:r>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0062745D"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w:t>
      </w:r>
      <w:r w:rsidR="00254EA4" w:rsidRPr="00387397">
        <w:rPr>
          <w:color w:val="000000" w:themeColor="text1"/>
        </w:rPr>
        <w:lastRenderedPageBreak/>
        <w:t>prescriptiveness</w:t>
      </w:r>
      <w:r w:rsidR="0062745D" w:rsidRPr="0062745D">
        <w:rPr>
          <w:color w:val="000000" w:themeColor="text1"/>
        </w:rPr>
        <w:t xml:space="preserve">. Comparing across programs requires </w:t>
      </w:r>
      <w:r w:rsidR="00254EA4" w:rsidRPr="00387397">
        <w:rPr>
          <w:color w:val="000000" w:themeColor="text1"/>
        </w:rPr>
        <w:t xml:space="preserve">a second step: measuring relative </w:t>
      </w:r>
      <w:r w:rsidR="0062745D" w:rsidRPr="0062745D">
        <w:rPr>
          <w:color w:val="000000" w:themeColor="text1"/>
        </w:rPr>
        <w:t>stringency</w:t>
      </w:r>
      <w:r w:rsidR="00254EA4" w:rsidRPr="00387397">
        <w:rPr>
          <w:color w:val="000000" w:themeColor="text1"/>
        </w:rPr>
        <w:t xml:space="preserve"> and change on each dimension (see </w:t>
      </w:r>
      <w:r>
        <w:rPr>
          <w:color w:val="000000" w:themeColor="text1"/>
        </w:rPr>
        <w:t>T</w:t>
      </w:r>
      <w:r w:rsidR="00254EA4" w:rsidRPr="00387397">
        <w:rPr>
          <w:color w:val="000000" w:themeColor="text1"/>
        </w:rPr>
        <w:t xml:space="preserve">able </w:t>
      </w:r>
      <w:r w:rsidR="000A2C8A">
        <w:rPr>
          <w:color w:val="000000" w:themeColor="text1"/>
        </w:rPr>
        <w:t>2</w:t>
      </w:r>
      <w:r w:rsidR="00254EA4" w:rsidRPr="00387397">
        <w:rPr>
          <w:color w:val="000000" w:themeColor="text1"/>
        </w:rPr>
        <w:t>).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17795F1E" w:rsidR="00592EE2" w:rsidRPr="00387397" w:rsidRDefault="000A2C8A" w:rsidP="00044AED">
      <w:pPr>
        <w:widowControl w:val="0"/>
        <w:autoSpaceDE w:val="0"/>
        <w:autoSpaceDN w:val="0"/>
        <w:adjustRightInd w:val="0"/>
        <w:spacing w:after="240" w:line="480" w:lineRule="auto"/>
        <w:rPr>
          <w:color w:val="000000" w:themeColor="text1"/>
        </w:rPr>
      </w:pPr>
      <w:r w:rsidRPr="000A2C8A">
        <w:rPr>
          <w:b/>
          <w:color w:val="000000" w:themeColor="text1"/>
        </w:rPr>
        <w:t>Scope:</w:t>
      </w:r>
      <w:r>
        <w:rPr>
          <w:color w:val="000000" w:themeColor="text1"/>
        </w:rPr>
        <w:t xml:space="preserve"> </w:t>
      </w:r>
      <w:r w:rsidR="00AA09C3">
        <w:rPr>
          <w:color w:val="000000" w:themeColor="text1"/>
        </w:rPr>
        <w:t xml:space="preserve">To </w:t>
      </w:r>
      <w:r w:rsidR="0062745D" w:rsidRPr="0062745D">
        <w:rPr>
          <w:color w:val="000000" w:themeColor="text1"/>
        </w:rPr>
        <w:t>assess</w:t>
      </w:r>
      <w:r w:rsidR="00AA09C3"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sidR="00AA09C3">
        <w:rPr>
          <w:color w:val="000000" w:themeColor="text1"/>
        </w:rPr>
        <w:t xml:space="preserve">, </w:t>
      </w:r>
      <w:r w:rsidR="0062745D" w:rsidRPr="0062745D">
        <w:rPr>
          <w:color w:val="000000" w:themeColor="text1"/>
        </w:rPr>
        <w:t>we</w:t>
      </w:r>
      <w:r w:rsidR="00AA09C3">
        <w:rPr>
          <w:color w:val="000000" w:themeColor="text1"/>
        </w:rPr>
        <w:t xml:space="preserve"> must </w:t>
      </w:r>
      <w:r w:rsidR="00254EA4" w:rsidRPr="00387397">
        <w:rPr>
          <w:color w:val="000000" w:themeColor="text1"/>
        </w:rPr>
        <w:t>inductively deriv</w:t>
      </w:r>
      <w:r w:rsidR="00AA09C3">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sidR="00AA09C3">
        <w:rPr>
          <w:color w:val="000000" w:themeColor="text1"/>
        </w:rPr>
        <w:t>given</w:t>
      </w:r>
      <w:r w:rsidR="00AA09C3"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sidR="00AA09C3">
        <w:rPr>
          <w:color w:val="000000" w:themeColor="text1"/>
        </w:rPr>
        <w:t>opt for</w:t>
      </w:r>
      <w:r w:rsidR="00AA09C3"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3046E3A6" w:rsidR="00494530" w:rsidRPr="00387397" w:rsidRDefault="000A2C8A" w:rsidP="00044AED">
      <w:pPr>
        <w:widowControl w:val="0"/>
        <w:autoSpaceDE w:val="0"/>
        <w:autoSpaceDN w:val="0"/>
        <w:adjustRightInd w:val="0"/>
        <w:spacing w:after="240" w:line="480" w:lineRule="auto"/>
        <w:rPr>
          <w:color w:val="000000" w:themeColor="text1"/>
        </w:rPr>
      </w:pPr>
      <w:r w:rsidRPr="000A2C8A">
        <w:rPr>
          <w:rFonts w:eastAsia="Times New Roman"/>
          <w:b/>
          <w:color w:val="000000" w:themeColor="text1"/>
        </w:rPr>
        <w:t>Prescriptiveness:</w:t>
      </w:r>
      <w:r>
        <w:rPr>
          <w:rFonts w:eastAsia="Times New Roman"/>
          <w:color w:val="000000" w:themeColor="text1"/>
        </w:rPr>
        <w:t xml:space="preserve"> </w:t>
      </w:r>
      <w:r w:rsidR="00761175"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00761175"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00761175"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00761175" w:rsidRPr="00387397">
        <w:rPr>
          <w:rFonts w:eastAsia="Times New Roman"/>
          <w:color w:val="000000" w:themeColor="text1"/>
        </w:rPr>
        <w:t xml:space="preserve">each issue is addressed, not the ends of the policy, </w:t>
      </w:r>
      <w:r w:rsidR="0062745D" w:rsidRPr="0062745D">
        <w:rPr>
          <w:color w:val="000000" w:themeColor="text1"/>
        </w:rPr>
        <w:t>we</w:t>
      </w:r>
      <w:r w:rsidR="00761175"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00761175"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w:t>
      </w:r>
      <w:r w:rsidR="003A13CF" w:rsidRPr="00387397">
        <w:rPr>
          <w:color w:val="000000" w:themeColor="text1"/>
        </w:rPr>
        <w:lastRenderedPageBreak/>
        <w:t>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00761175"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00761175"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7A4DC5EF" w:rsidR="00332C55" w:rsidRPr="00387397" w:rsidRDefault="000A2C8A" w:rsidP="00044AED">
      <w:pPr>
        <w:widowControl w:val="0"/>
        <w:autoSpaceDE w:val="0"/>
        <w:autoSpaceDN w:val="0"/>
        <w:adjustRightInd w:val="0"/>
        <w:spacing w:after="240" w:line="480" w:lineRule="auto"/>
        <w:rPr>
          <w:rFonts w:eastAsia="Times New Roman"/>
          <w:color w:val="000000" w:themeColor="text1"/>
        </w:rPr>
      </w:pPr>
      <w:r w:rsidRPr="000A2C8A">
        <w:rPr>
          <w:b/>
          <w:color w:val="000000" w:themeColor="text1"/>
        </w:rPr>
        <w:t>Policy settings:</w:t>
      </w:r>
      <w:r>
        <w:rPr>
          <w:color w:val="000000" w:themeColor="text1"/>
        </w:rPr>
        <w:t xml:space="preserve"> </w:t>
      </w:r>
      <w:r w:rsidR="004A4831"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004A4831"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004A4831"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w:t>
      </w:r>
      <w:r w:rsidR="003A13CF" w:rsidRPr="00387397">
        <w:rPr>
          <w:color w:val="000000" w:themeColor="text1"/>
        </w:rPr>
        <w:lastRenderedPageBreak/>
        <w:t xml:space="preserve">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27"/>
      <w:commentRangeStart w:id="28"/>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7"/>
      <w:r w:rsidR="00956FFD">
        <w:rPr>
          <w:rStyle w:val="CommentReference"/>
          <w:rFonts w:asciiTheme="minorHAnsi" w:hAnsiTheme="minorHAnsi" w:cstheme="minorBidi"/>
        </w:rPr>
        <w:commentReference w:id="27"/>
      </w:r>
      <w:commentRangeEnd w:id="28"/>
      <w:r w:rsidR="00F63F63">
        <w:rPr>
          <w:rStyle w:val="CommentReference"/>
          <w:rFonts w:asciiTheme="minorHAnsi" w:hAnsiTheme="minorHAnsi" w:cstheme="minorBidi"/>
        </w:rPr>
        <w:commentReference w:id="28"/>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w:t>
      </w:r>
      <w:r w:rsidR="00CD1E1C" w:rsidRPr="00387397">
        <w:rPr>
          <w:rFonts w:eastAsia="Times New Roman"/>
          <w:color w:val="000000" w:themeColor="text1"/>
        </w:rPr>
        <w:lastRenderedPageBreak/>
        <w:t>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9"/>
      <w:commentRangeStart w:id="30"/>
      <w:r w:rsidR="00CD1E1C" w:rsidRPr="00387397">
        <w:rPr>
          <w:rFonts w:eastAsia="Times New Roman"/>
          <w:color w:val="000000" w:themeColor="text1"/>
        </w:rPr>
        <w:t xml:space="preserve"> possibly </w:t>
      </w:r>
      <w:commentRangeEnd w:id="29"/>
      <w:r w:rsidR="00C001AE">
        <w:rPr>
          <w:rStyle w:val="CommentReference"/>
          <w:rFonts w:asciiTheme="minorHAnsi" w:hAnsiTheme="minorHAnsi" w:cstheme="minorBidi"/>
        </w:rPr>
        <w:commentReference w:id="29"/>
      </w:r>
      <w:commentRangeEnd w:id="30"/>
      <w:r w:rsidR="000E0724">
        <w:rPr>
          <w:rStyle w:val="CommentReference"/>
          <w:rFonts w:asciiTheme="minorHAnsi" w:hAnsiTheme="minorHAnsi" w:cstheme="minorBidi"/>
        </w:rPr>
        <w:commentReference w:id="30"/>
      </w:r>
      <w:del w:id="31"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 xml:space="preserve">may be increasing, </w:t>
      </w:r>
      <w:r w:rsidR="009160A7" w:rsidRPr="00387397">
        <w:rPr>
          <w:color w:val="000000" w:themeColor="text1"/>
        </w:rPr>
        <w:lastRenderedPageBreak/>
        <w:t>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4BBFA940" w14:textId="71C64D24" w:rsidR="00984DC4"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044AED">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984DC4">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32"/>
      <w:commentRangeStart w:id="33"/>
      <w:r w:rsidR="00984DC4">
        <w:rPr>
          <w:rFonts w:eastAsia="Times New Roman"/>
          <w:color w:val="000000" w:themeColor="text1"/>
        </w:rPr>
        <w:t>it can be theoretically related to compliance costs</w:t>
      </w:r>
      <w:commentRangeEnd w:id="32"/>
      <w:r w:rsidR="00984DC4">
        <w:rPr>
          <w:rStyle w:val="CommentReference"/>
          <w:rFonts w:asciiTheme="minorHAnsi" w:hAnsiTheme="minorHAnsi" w:cstheme="minorBidi"/>
        </w:rPr>
        <w:commentReference w:id="32"/>
      </w:r>
      <w:commentRangeEnd w:id="33"/>
      <w:r w:rsidR="00984DC4">
        <w:rPr>
          <w:rStyle w:val="CommentReference"/>
          <w:rFonts w:asciiTheme="minorHAnsi" w:hAnsiTheme="minorHAnsi" w:cstheme="minorBidi"/>
        </w:rPr>
        <w:commentReference w:id="33"/>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984DC4">
      <w:pPr>
        <w:spacing w:line="480" w:lineRule="auto"/>
        <w:rPr>
          <w:color w:val="000000" w:themeColor="text1"/>
        </w:rPr>
      </w:pPr>
    </w:p>
    <w:p w14:paraId="236C64F0" w14:textId="4763E08F" w:rsidR="00984DC4" w:rsidRPr="00387397" w:rsidRDefault="00984DC4" w:rsidP="00984DC4">
      <w:pPr>
        <w:widowControl w:val="0"/>
        <w:autoSpaceDE w:val="0"/>
        <w:autoSpaceDN w:val="0"/>
        <w:adjustRightInd w:val="0"/>
        <w:spacing w:after="240"/>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0A2C8A">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w:t>
      </w:r>
      <w:r w:rsidRPr="00387397">
        <w:rPr>
          <w:color w:val="000000" w:themeColor="text1"/>
        </w:rPr>
        <w:lastRenderedPageBreak/>
        <w:t xml:space="preserve">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984DC4">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w:t>
      </w:r>
      <w:r w:rsidRPr="00387397">
        <w:rPr>
          <w:color w:val="000000" w:themeColor="text1"/>
        </w:rPr>
        <w:lastRenderedPageBreak/>
        <w:t>scope than in prescriptiveness or performance levels.</w:t>
      </w:r>
    </w:p>
    <w:p w14:paraId="2B4E3491"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2176117F" w14:textId="77777777" w:rsidR="00984DC4" w:rsidRDefault="00984DC4" w:rsidP="00984DC4">
      <w:pPr>
        <w:widowControl w:val="0"/>
        <w:autoSpaceDE w:val="0"/>
        <w:autoSpaceDN w:val="0"/>
        <w:adjustRightInd w:val="0"/>
        <w:spacing w:after="240" w:line="480" w:lineRule="auto"/>
        <w:rPr>
          <w:ins w:id="34"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 we may identify qualitative differences how stringency varies across programs.</w:t>
      </w:r>
    </w:p>
    <w:p w14:paraId="498A0A7B" w14:textId="77777777" w:rsidR="00984DC4" w:rsidDel="00291F94" w:rsidRDefault="00984DC4" w:rsidP="00984DC4">
      <w:pPr>
        <w:widowControl w:val="0"/>
        <w:autoSpaceDE w:val="0"/>
        <w:autoSpaceDN w:val="0"/>
        <w:adjustRightInd w:val="0"/>
        <w:spacing w:after="240" w:line="480" w:lineRule="auto"/>
        <w:rPr>
          <w:del w:id="35" w:author="Cashore, Benjamin" w:date="2019-03-11T19:22:00Z"/>
          <w:color w:val="000000" w:themeColor="text1"/>
        </w:rPr>
      </w:pPr>
      <w:del w:id="36"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984DC4">
      <w:pPr>
        <w:widowControl w:val="0"/>
        <w:autoSpaceDE w:val="0"/>
        <w:autoSpaceDN w:val="0"/>
        <w:adjustRightInd w:val="0"/>
        <w:spacing w:after="240" w:line="480" w:lineRule="auto"/>
        <w:rPr>
          <w:color w:val="000000" w:themeColor="text1"/>
        </w:rPr>
      </w:pPr>
    </w:p>
    <w:p w14:paraId="364E0FB9" w14:textId="77777777" w:rsidR="00984DC4" w:rsidRDefault="00984DC4" w:rsidP="00984DC4">
      <w:pPr>
        <w:widowControl w:val="0"/>
        <w:autoSpaceDE w:val="0"/>
        <w:autoSpaceDN w:val="0"/>
        <w:adjustRightInd w:val="0"/>
        <w:spacing w:after="240" w:line="480" w:lineRule="auto"/>
        <w:rPr>
          <w:color w:val="000000" w:themeColor="text1"/>
        </w:rPr>
      </w:pPr>
      <w:commentRangeStart w:id="37"/>
      <w:commentRangeStart w:id="38"/>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37"/>
      <w:r>
        <w:rPr>
          <w:rStyle w:val="CommentReference"/>
          <w:rFonts w:asciiTheme="minorHAnsi" w:hAnsiTheme="minorHAnsi" w:cstheme="minorBidi"/>
        </w:rPr>
        <w:commentReference w:id="37"/>
      </w:r>
      <w:commentRangeEnd w:id="38"/>
      <w:r>
        <w:rPr>
          <w:rStyle w:val="CommentReference"/>
          <w:rFonts w:asciiTheme="minorHAnsi" w:hAnsiTheme="minorHAnsi" w:cstheme="minorBidi"/>
        </w:rPr>
        <w:commentReference w:id="38"/>
      </w:r>
    </w:p>
    <w:p w14:paraId="6BBE0A51" w14:textId="77777777" w:rsidR="00984DC4" w:rsidRDefault="00984DC4" w:rsidP="00984DC4">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984DC4">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39"/>
      <w:commentRangeStart w:id="40"/>
      <w:r>
        <w:rPr>
          <w:color w:val="000000" w:themeColor="text1"/>
        </w:rPr>
        <w:t>workforce</w:t>
      </w:r>
      <w:commentRangeEnd w:id="39"/>
      <w:r>
        <w:rPr>
          <w:rStyle w:val="CommentReference"/>
          <w:rFonts w:asciiTheme="minorHAnsi" w:hAnsiTheme="minorHAnsi" w:cstheme="minorBidi"/>
        </w:rPr>
        <w:commentReference w:id="39"/>
      </w:r>
      <w:commentRangeEnd w:id="40"/>
      <w:r>
        <w:rPr>
          <w:rStyle w:val="CommentReference"/>
          <w:rFonts w:asciiTheme="minorHAnsi" w:hAnsiTheme="minorHAnsi" w:cstheme="minorBidi"/>
        </w:rPr>
        <w:commentReference w:id="40"/>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984DC4">
      <w:pPr>
        <w:widowControl w:val="0"/>
        <w:autoSpaceDE w:val="0"/>
        <w:autoSpaceDN w:val="0"/>
        <w:adjustRightInd w:val="0"/>
        <w:spacing w:after="240" w:line="480" w:lineRule="auto"/>
        <w:rPr>
          <w:color w:val="000000" w:themeColor="text1"/>
        </w:rPr>
      </w:pPr>
      <w:commentRangeStart w:id="41"/>
    </w:p>
    <w:p w14:paraId="2D817557"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b/>
          <w:color w:val="000000" w:themeColor="text1"/>
        </w:rPr>
        <w:t xml:space="preserve">Revised differentiation hypotheses: </w:t>
      </w:r>
      <w:r w:rsidRPr="00387397">
        <w:rPr>
          <w:color w:val="000000" w:themeColor="text1"/>
        </w:rPr>
        <w:t xml:space="preserve">Where activist-backed and industry-backed private regulations compete, </w:t>
      </w:r>
      <w:commentRangeEnd w:id="41"/>
      <w:r>
        <w:rPr>
          <w:rStyle w:val="CommentReference"/>
          <w:rFonts w:asciiTheme="minorHAnsi" w:hAnsiTheme="minorHAnsi" w:cstheme="minorBidi"/>
        </w:rPr>
        <w:commentReference w:id="41"/>
      </w:r>
    </w:p>
    <w:p w14:paraId="5A7F504A"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Pr="0062745D">
        <w:rPr>
          <w:color w:val="000000" w:themeColor="text1"/>
        </w:rPr>
        <w:t>coverage</w:t>
      </w:r>
      <w:r w:rsidRPr="00387397">
        <w:rPr>
          <w:color w:val="000000" w:themeColor="text1"/>
        </w:rPr>
        <w:t xml:space="preserve">, more prescriptive requirements, and higher performance thresholds on </w:t>
      </w:r>
      <w:r>
        <w:rPr>
          <w:color w:val="000000" w:themeColor="text1"/>
        </w:rPr>
        <w:t>costly issues</w:t>
      </w:r>
      <w:r w:rsidRPr="00387397">
        <w:rPr>
          <w:color w:val="000000" w:themeColor="text1"/>
        </w:rPr>
        <w:t xml:space="preserve">. </w:t>
      </w:r>
    </w:p>
    <w:p w14:paraId="6137FDDF"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Pr="0062745D">
        <w:rPr>
          <w:color w:val="000000" w:themeColor="text1"/>
        </w:rPr>
        <w:t xml:space="preserve">coverage, </w:t>
      </w:r>
      <w:r w:rsidRPr="00387397">
        <w:rPr>
          <w:color w:val="000000" w:themeColor="text1"/>
        </w:rPr>
        <w:t xml:space="preserve"> more prescriptive requirements, and higher performance thresholds on</w:t>
      </w:r>
      <w:r>
        <w:rPr>
          <w:color w:val="000000" w:themeColor="text1"/>
        </w:rPr>
        <w:t xml:space="preserve"> business-friendly</w:t>
      </w:r>
      <w:r w:rsidRPr="00387397">
        <w:rPr>
          <w:color w:val="000000" w:themeColor="text1"/>
        </w:rPr>
        <w:t xml:space="preserve"> issues</w:t>
      </w:r>
      <w:r>
        <w:rPr>
          <w:color w:val="000000" w:themeColor="text1"/>
        </w:rPr>
        <w:t>,</w:t>
      </w:r>
      <w:r w:rsidRPr="00387397">
        <w:rPr>
          <w:color w:val="000000" w:themeColor="text1"/>
        </w:rPr>
        <w:t xml:space="preserve"> </w:t>
      </w:r>
      <w:r>
        <w:rPr>
          <w:color w:val="000000" w:themeColor="text1"/>
        </w:rPr>
        <w:t xml:space="preserve">such as those </w:t>
      </w:r>
      <w:r w:rsidRPr="0062745D">
        <w:rPr>
          <w:color w:val="000000" w:themeColor="text1"/>
        </w:rPr>
        <w:t xml:space="preserve">that firms do anyway or those </w:t>
      </w:r>
      <w:r>
        <w:rPr>
          <w:color w:val="000000" w:themeColor="text1"/>
        </w:rPr>
        <w:t xml:space="preserve">related to </w:t>
      </w:r>
      <w:r w:rsidRPr="00387397">
        <w:rPr>
          <w:color w:val="000000" w:themeColor="text1"/>
        </w:rPr>
        <w:t>industry collective action problems.</w:t>
      </w:r>
    </w:p>
    <w:p w14:paraId="3C134FCB"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5804591A" w14:textId="4BE8FB48" w:rsidR="00984DC4" w:rsidRPr="00044AED" w:rsidRDefault="00984DC4" w:rsidP="00984DC4">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w:t>
      </w:r>
      <w:r>
        <w:rPr>
          <w:color w:val="000000" w:themeColor="text1"/>
        </w:rPr>
        <w:lastRenderedPageBreak/>
        <w:t>light of o</w:t>
      </w:r>
      <w:r w:rsidRPr="00387397">
        <w:rPr>
          <w:color w:val="000000" w:themeColor="text1"/>
        </w:rPr>
        <w:t>ur core methodological critique</w:t>
      </w:r>
      <w:r>
        <w:rPr>
          <w:color w:val="000000" w:themeColor="text1"/>
        </w:rPr>
        <w:t xml:space="preserve">. One may </w:t>
      </w:r>
      <w:r w:rsidRPr="00387397">
        <w:rPr>
          <w:color w:val="000000" w:themeColor="text1"/>
        </w:rPr>
        <w:t>assess whether our framework is useful</w:t>
      </w:r>
      <w:r>
        <w:rPr>
          <w:color w:val="000000" w:themeColor="text1"/>
        </w:rPr>
        <w:t xml:space="preserve"> in two ways</w:t>
      </w:r>
      <w:r w:rsidRPr="00387397">
        <w:rPr>
          <w:color w:val="000000" w:themeColor="text1"/>
        </w:rPr>
        <w:t xml:space="preserve">: (1) Does restating theories in terms of the predicted direction of change in scope, prescriptiveness, and policy settings improve our understanding of empirical findings? (2) Does applying the framework </w:t>
      </w:r>
      <w:r w:rsidRPr="0062745D">
        <w:rPr>
          <w:color w:val="000000" w:themeColor="text1"/>
        </w:rPr>
        <w:t xml:space="preserve">reveal </w:t>
      </w:r>
      <w:r w:rsidRPr="00387397">
        <w:rPr>
          <w:color w:val="000000" w:themeColor="text1"/>
        </w:rPr>
        <w:t xml:space="preserve">patterns of change that other methods failed to </w:t>
      </w:r>
      <w:r w:rsidRPr="0062745D">
        <w:rPr>
          <w:color w:val="000000" w:themeColor="text1"/>
        </w:rPr>
        <w:t>discover</w:t>
      </w:r>
      <w:r w:rsidRPr="00387397">
        <w:rPr>
          <w:color w:val="000000" w:themeColor="text1"/>
        </w:rPr>
        <w:t xml:space="preserve">? Sections 4 and 5 </w:t>
      </w:r>
      <w:r>
        <w:rPr>
          <w:color w:val="000000" w:themeColor="text1"/>
        </w:rPr>
        <w:t xml:space="preserve">show </w:t>
      </w:r>
      <w:r w:rsidRPr="00387397">
        <w:rPr>
          <w:color w:val="000000" w:themeColor="text1"/>
        </w:rPr>
        <w:t xml:space="preserve">that </w:t>
      </w:r>
      <w:r>
        <w:rPr>
          <w:color w:val="000000" w:themeColor="text1"/>
        </w:rPr>
        <w:t>our</w:t>
      </w:r>
      <w:r w:rsidRPr="00387397">
        <w:rPr>
          <w:color w:val="000000" w:themeColor="text1"/>
        </w:rPr>
        <w:t xml:space="preserve"> framework meets both tests: its application reveals that the scope, prescriptiveness, and policy settings of forestry certification </w:t>
      </w:r>
      <w:r>
        <w:rPr>
          <w:color w:val="000000" w:themeColor="text1"/>
        </w:rPr>
        <w:t>programs</w:t>
      </w:r>
      <w:r w:rsidRPr="00387397">
        <w:rPr>
          <w:color w:val="000000" w:themeColor="text1"/>
        </w:rPr>
        <w:t xml:space="preserve"> do follow different empirical patterns and that </w:t>
      </w:r>
      <w:r w:rsidRPr="0062745D">
        <w:rPr>
          <w:color w:val="000000" w:themeColor="text1"/>
        </w:rPr>
        <w:t>existing</w:t>
      </w:r>
      <w:r w:rsidRPr="00387397">
        <w:rPr>
          <w:color w:val="000000" w:themeColor="text1"/>
        </w:rPr>
        <w:t xml:space="preserve"> theories cannot fully account for these changes.</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w:t>
      </w:r>
      <w:r w:rsidR="00406A6A" w:rsidRPr="00387397">
        <w:rPr>
          <w:color w:val="000000" w:themeColor="text1"/>
        </w:rPr>
        <w:lastRenderedPageBreak/>
        <w:t xml:space="preserve">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(Meidinger, 2003).</w:t>
      </w:r>
      <w:r w:rsidR="00FB3EB3" w:rsidRPr="00387397">
        <w:rPr>
          <w:color w:val="000000" w:themeColor="text1"/>
        </w:rPr>
        <w:t xml:space="preserve"> </w:t>
      </w:r>
      <w:r w:rsidR="00CB7A94" w:rsidRPr="00387397">
        <w:rPr>
          <w:color w:val="000000" w:themeColor="text1"/>
        </w:rPr>
        <w:t xml:space="preserve">The FSC </w:t>
      </w:r>
      <w:r w:rsidR="00CB7A94" w:rsidRPr="00387397">
        <w:rPr>
          <w:color w:val="000000" w:themeColor="text1"/>
        </w:rPr>
        <w:lastRenderedPageBreak/>
        <w:t xml:space="preserve">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42" w:author="Constance McDermott" w:date="2019-03-11T16:35:00Z">
        <w:r w:rsidR="00C001AE">
          <w:rPr>
            <w:color w:val="000000" w:themeColor="text1"/>
          </w:rPr>
          <w:t xml:space="preserve">the </w:t>
        </w:r>
      </w:ins>
      <w:r w:rsidR="001A68C5" w:rsidRPr="00387397">
        <w:rPr>
          <w:color w:val="000000" w:themeColor="text1"/>
        </w:rPr>
        <w:t>long-term efficiency</w:t>
      </w:r>
      <w:ins w:id="43" w:author="Constance McDermott" w:date="2019-03-11T16:35:00Z">
        <w:r w:rsidR="00C001AE">
          <w:rPr>
            <w:color w:val="000000" w:themeColor="text1"/>
          </w:rPr>
          <w:t xml:space="preserve"> of </w:t>
        </w:r>
        <w:r w:rsidR="00C001AE">
          <w:rPr>
            <w:color w:val="000000" w:themeColor="text1"/>
          </w:rPr>
          <w:lastRenderedPageBreak/>
          <w:t>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lastRenderedPageBreak/>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44"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w:t>
      </w:r>
      <w:r>
        <w:rPr>
          <w:bCs/>
          <w:color w:val="000000" w:themeColor="text1"/>
        </w:rPr>
        <w:lastRenderedPageBreak/>
        <w:t>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w:t>
      </w:r>
      <w:r w:rsidRPr="00387397">
        <w:rPr>
          <w:bCs/>
          <w:color w:val="000000" w:themeColor="text1"/>
        </w:rPr>
        <w:lastRenderedPageBreak/>
        <w:t>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protected area 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w:t>
      </w:r>
      <w:r w:rsidR="00CA225D" w:rsidRPr="00387397">
        <w:rPr>
          <w:color w:val="000000" w:themeColor="text1"/>
        </w:rPr>
        <w:lastRenderedPageBreak/>
        <w:t xml:space="preserve">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lastRenderedPageBreak/>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w:t>
      </w:r>
      <w:r w:rsidRPr="00387397">
        <w:rPr>
          <w:color w:val="000000" w:themeColor="text1"/>
        </w:rPr>
        <w:lastRenderedPageBreak/>
        <w:t>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xml:space="preserve">. On social goals, results are more mixed. On scope, the FSC-US </w:t>
      </w:r>
      <w:r w:rsidRPr="00044AED">
        <w:rPr>
          <w:color w:val="000000" w:themeColor="text1"/>
        </w:rPr>
        <w:lastRenderedPageBreak/>
        <w:t>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w:t>
      </w:r>
      <w:r w:rsidR="00D52201" w:rsidRPr="00044AED">
        <w:rPr>
          <w:color w:val="000000" w:themeColor="text1"/>
        </w:rPr>
        <w:lastRenderedPageBreak/>
        <w:t xml:space="preserve">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w:t>
      </w:r>
      <w:r w:rsidR="00D55530" w:rsidRPr="00044AED">
        <w:rPr>
          <w:color w:val="000000" w:themeColor="text1"/>
        </w:rPr>
        <w:lastRenderedPageBreak/>
        <w:t>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(Overdevest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 xml:space="preserve">Qualitatively, the upward diverging pattern results from the activist-backed </w:t>
      </w:r>
      <w:r w:rsidR="000A33FE" w:rsidRPr="00044AED">
        <w:rPr>
          <w:color w:val="000000" w:themeColor="text1"/>
        </w:rPr>
        <w:lastRenderedPageBreak/>
        <w:t>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w:t>
      </w:r>
      <w:r w:rsidR="00EA607B" w:rsidRPr="00387397">
        <w:rPr>
          <w:color w:val="000000" w:themeColor="text1"/>
        </w:rPr>
        <w:lastRenderedPageBreak/>
        <w: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out,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w:t>
      </w:r>
      <w:r w:rsidRPr="00044AED">
        <w:rPr>
          <w:color w:val="000000" w:themeColor="text1"/>
        </w:rPr>
        <w:lastRenderedPageBreak/>
        <w:t xml:space="preserve">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0F68CA29"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the substanc</w:t>
      </w:r>
      <w:r w:rsidR="002E09D9">
        <w:rPr>
          <w:color w:val="000000" w:themeColor="text1"/>
        </w:rPr>
        <w:t>e of these issues suggests that these areas</w:t>
      </w:r>
      <w:r w:rsidR="002E09D9" w:rsidRPr="002E09D9">
        <w:rPr>
          <w:color w:val="000000" w:themeColor="text1"/>
        </w:rPr>
        <w:t xml:space="preserve"> </w:t>
      </w:r>
      <w:r w:rsidR="002E09D9" w:rsidRPr="00A4349C">
        <w:rPr>
          <w:color w:val="000000" w:themeColor="text1"/>
        </w:rPr>
        <w:t>are unrelated to competition with the FSC</w:t>
      </w:r>
      <w:r w:rsidR="002E09D9">
        <w:rPr>
          <w:color w:val="000000" w:themeColor="text1"/>
        </w:rPr>
        <w:t xml:space="preserve">. </w:t>
      </w:r>
      <w:r w:rsidR="002E09D9">
        <w:rPr>
          <w:color w:val="000000" w:themeColor="text1"/>
        </w:rPr>
        <w:t>SFI has the most prescriptive requirements</w:t>
      </w:r>
      <w:r w:rsidR="002E09D9">
        <w:rPr>
          <w:color w:val="000000" w:themeColor="text1"/>
        </w:rPr>
        <w:t xml:space="preserve"> for things that firms may do regardless—like training</w:t>
      </w:r>
      <w:r w:rsidR="00DB7319">
        <w:rPr>
          <w:color w:val="000000" w:themeColor="text1"/>
        </w:rPr>
        <w:t xml:space="preserve"> and efficiency</w:t>
      </w:r>
      <w:r w:rsidR="002E09D9">
        <w:rPr>
          <w:color w:val="000000" w:themeColor="text1"/>
        </w:rPr>
        <w:t>—or that may</w:t>
      </w:r>
      <w:r w:rsidR="00660E3E" w:rsidRPr="00A4349C">
        <w:rPr>
          <w:color w:val="000000" w:themeColor="text1"/>
        </w:rPr>
        <w:t xml:space="preserve"> be driven by </w:t>
      </w:r>
      <w:r w:rsidR="002E09D9">
        <w:rPr>
          <w:color w:val="000000" w:themeColor="text1"/>
        </w:rPr>
        <w:t xml:space="preserve">their own </w:t>
      </w:r>
      <w:r w:rsidR="00660E3E" w:rsidRPr="00A4349C">
        <w:rPr>
          <w:color w:val="000000" w:themeColor="text1"/>
        </w:rPr>
        <w:t xml:space="preserve">collective action problems—like </w:t>
      </w:r>
      <w:r>
        <w:rPr>
          <w:color w:val="000000" w:themeColor="text1"/>
        </w:rPr>
        <w:t>managing</w:t>
      </w:r>
      <w:r w:rsidR="002E09D9">
        <w:rPr>
          <w:color w:val="000000" w:themeColor="text1"/>
        </w:rPr>
        <w:t xml:space="preserve"> the visual impact of harvesting and </w:t>
      </w:r>
      <w:r w:rsidR="00660E3E" w:rsidRPr="00A4349C">
        <w:rPr>
          <w:color w:val="000000" w:themeColor="text1"/>
        </w:rPr>
        <w:t>sector-level reputation.</w:t>
      </w:r>
      <w:r w:rsidR="000D00A2" w:rsidRPr="00A4349C">
        <w:rPr>
          <w:color w:val="000000" w:themeColor="text1"/>
        </w:rPr>
        <w:t xml:space="preserve"> This </w:t>
      </w:r>
      <w:r w:rsidR="002E09D9">
        <w:rPr>
          <w:color w:val="000000" w:themeColor="text1"/>
        </w:rPr>
        <w:t xml:space="preserve">aligns with </w:t>
      </w:r>
      <w:r w:rsidR="000D00A2" w:rsidRPr="00A4349C">
        <w:rPr>
          <w:color w:val="000000" w:themeColor="text1"/>
        </w:rPr>
        <w:t>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w:t>
      </w:r>
      <w:r w:rsidR="00660E3E" w:rsidRPr="00A4349C">
        <w:rPr>
          <w:color w:val="000000" w:themeColor="text1"/>
        </w:rPr>
        <w:lastRenderedPageBreak/>
        <w:t>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15290929"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 xml:space="preserve">In sum, where the SFI has more prescriptive requirements than the FSC, it requires things that </w:t>
      </w:r>
      <w:r w:rsidR="00DB7319">
        <w:rPr>
          <w:color w:val="000000" w:themeColor="text1"/>
        </w:rPr>
        <w:t>many</w:t>
      </w:r>
      <w:r w:rsidRPr="00A4349C">
        <w:rPr>
          <w:color w:val="000000" w:themeColor="text1"/>
        </w:rPr>
        <w:t xml:space="preserve"> firms </w:t>
      </w:r>
      <w:r w:rsidR="00DB7319">
        <w:rPr>
          <w:color w:val="000000" w:themeColor="text1"/>
        </w:rPr>
        <w:t>may</w:t>
      </w:r>
      <w:r w:rsidRPr="00A4349C">
        <w:rPr>
          <w:color w:val="000000" w:themeColor="text1"/>
        </w:rPr>
        <w:t xml:space="preserve">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While unforeseen by existing theories, the fact that the SFI is more prescriptive on some issues is not surprising when we understand these issues as providing net</w:t>
      </w:r>
      <w:r w:rsidR="00DB7319">
        <w:rPr>
          <w:color w:val="000000" w:themeColor="text1"/>
        </w:rPr>
        <w:t xml:space="preserve"> utility</w:t>
      </w:r>
      <w:r w:rsidR="008D748C" w:rsidRPr="00A4349C">
        <w:rPr>
          <w:color w:val="000000" w:themeColor="text1"/>
        </w:rPr>
        <w:t xml:space="preserve">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w:t>
      </w:r>
      <w:r w:rsidR="006E0EEA" w:rsidRPr="00387397">
        <w:rPr>
          <w:color w:val="000000" w:themeColor="text1"/>
        </w:rPr>
        <w:lastRenderedPageBreak/>
        <w:t>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 xml:space="preserve">create demands by the respective ‘legitimacy communities’ for more ‘objective’ public comparisons that would resolve the debate about </w:t>
      </w:r>
      <w:r w:rsidRPr="00A4349C">
        <w:rPr>
          <w:color w:val="000000" w:themeColor="text1"/>
        </w:rPr>
        <w:lastRenderedPageBreak/>
        <w:t>whose standa</w:t>
      </w:r>
      <w:r w:rsidR="002617A5" w:rsidRPr="00A4349C">
        <w:rPr>
          <w:color w:val="000000" w:themeColor="text1"/>
        </w:rPr>
        <w:t xml:space="preserve">rds were higher” </w:t>
      </w:r>
      <w:r w:rsidR="0062745D" w:rsidRPr="0062745D">
        <w:rPr>
          <w:color w:val="000000" w:themeColor="text1"/>
        </w:rPr>
        <w:t>(Overdevest,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1F6028C4"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f private governance scholars are to</w:t>
      </w:r>
      <w:r w:rsidR="0099514A" w:rsidRPr="0099514A">
        <w:rPr>
          <w:color w:val="000000" w:themeColor="text1"/>
        </w:rPr>
        <w:t xml:space="preserve"> </w:t>
      </w:r>
      <w:r w:rsidR="0099514A">
        <w:rPr>
          <w:color w:val="000000" w:themeColor="text1"/>
        </w:rPr>
        <w:t>build</w:t>
      </w:r>
      <w:r w:rsidR="0099514A" w:rsidRPr="00387397">
        <w:rPr>
          <w:color w:val="000000" w:themeColor="text1"/>
        </w:rPr>
        <w:t xml:space="preserve"> testable theories</w:t>
      </w:r>
      <w:r w:rsidR="0099514A">
        <w:rPr>
          <w:color w:val="000000" w:themeColor="text1"/>
        </w:rPr>
        <w:t xml:space="preserve"> or</w:t>
      </w:r>
      <w:r w:rsidR="00441D9F" w:rsidRPr="00387397">
        <w:rPr>
          <w:color w:val="000000" w:themeColor="text1"/>
        </w:rPr>
        <w:t xml:space="preserve"> </w:t>
      </w:r>
      <w:r w:rsidR="0099514A">
        <w:rPr>
          <w:color w:val="000000" w:themeColor="text1"/>
        </w:rPr>
        <w:t xml:space="preserve">collected the kinds of </w:t>
      </w:r>
      <w:r w:rsidR="009807F9" w:rsidRPr="00387397">
        <w:rPr>
          <w:color w:val="000000" w:themeColor="text1"/>
        </w:rPr>
        <w:t>evi</w:t>
      </w:r>
      <w:r w:rsidR="0099514A">
        <w:rPr>
          <w:color w:val="000000" w:themeColor="text1"/>
        </w:rPr>
        <w:t>dence needed to test existing theories</w:t>
      </w:r>
      <w:r w:rsidRPr="00387397">
        <w:rPr>
          <w:color w:val="000000" w:themeColor="text1"/>
        </w:rPr>
        <w:t xml:space="preserve">, our study </w:t>
      </w:r>
      <w:r w:rsidR="0099514A">
        <w:rPr>
          <w:color w:val="000000" w:themeColor="text1"/>
        </w:rPr>
        <w:t>illustrates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w:t>
      </w:r>
      <w:r w:rsidR="00441D9F" w:rsidRPr="00387397">
        <w:rPr>
          <w:color w:val="000000" w:themeColor="text1"/>
        </w:rPr>
        <w:t xml:space="preserve">policy </w:t>
      </w:r>
      <w:r w:rsidR="00387397" w:rsidRPr="00387397">
        <w:rPr>
          <w:color w:val="000000" w:themeColor="text1"/>
        </w:rPr>
        <w:t>change</w:t>
      </w:r>
      <w:r w:rsidR="0099514A">
        <w:rPr>
          <w:color w:val="000000" w:themeColor="text1"/>
        </w:rPr>
        <w:t xml:space="preserve"> in ways that can be applied across programs and over time</w:t>
      </w:r>
      <w:r w:rsidRPr="00387397">
        <w:rPr>
          <w:color w:val="000000" w:themeColor="text1"/>
        </w:rPr>
        <w:t>.</w:t>
      </w:r>
      <w:r w:rsidR="00045353" w:rsidRPr="00387397">
        <w:rPr>
          <w:color w:val="000000" w:themeColor="text1"/>
        </w:rPr>
        <w:t xml:space="preserve"> Doing so will not only improve the quality of 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w:t>
      </w:r>
      <w:r w:rsidRPr="00387397">
        <w:rPr>
          <w:noProof/>
        </w:rPr>
        <w:lastRenderedPageBreak/>
        <w:t xml:space="preserve">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JL" w:date="2019-03-12T00:34:00Z" w:initials="D">
    <w:p w14:paraId="45462093" w14:textId="78C50516" w:rsidR="004B3505" w:rsidRDefault="004B3505">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9" w:author="Cashore, Benjamin" w:date="2019-03-11T19:06:00Z" w:initials="CB">
    <w:p w14:paraId="32ADCB1F" w14:textId="77777777" w:rsidR="004B3505" w:rsidRDefault="004B3505" w:rsidP="000A2C8A">
      <w:pPr>
        <w:pStyle w:val="CommentText"/>
      </w:pPr>
      <w:r>
        <w:rPr>
          <w:rStyle w:val="CommentReference"/>
        </w:rPr>
        <w:annotationRef/>
      </w:r>
      <w:r>
        <w:t>Yes this is the key point</w:t>
      </w:r>
    </w:p>
  </w:comment>
  <w:comment w:id="10" w:author="DJL" w:date="2019-03-12T08:10:00Z" w:initials="D">
    <w:p w14:paraId="1D545AA8" w14:textId="65FE1B13" w:rsidR="004B3505" w:rsidRDefault="004B3505">
      <w:pPr>
        <w:pStyle w:val="CommentText"/>
      </w:pPr>
      <w:r>
        <w:rPr>
          <w:rStyle w:val="CommentReference"/>
        </w:rPr>
        <w:annotationRef/>
      </w:r>
      <w:r>
        <w:t>Tribal land, chemicals, and plantations</w:t>
      </w:r>
    </w:p>
  </w:comment>
  <w:comment w:id="11" w:author="DJL" w:date="2019-03-12T08:11:00Z" w:initials="D">
    <w:p w14:paraId="45910411" w14:textId="77BF3BB9" w:rsidR="004B3505" w:rsidRDefault="004B3505">
      <w:pPr>
        <w:pStyle w:val="CommentText"/>
      </w:pPr>
      <w:r>
        <w:rPr>
          <w:rStyle w:val="CommentReference"/>
        </w:rPr>
        <w:annotationRef/>
      </w:r>
      <w:r>
        <w:t>I think readers will already be lost in the acronyms and that we need conceptual short hand here and save the acronyms for the empirical section.</w:t>
      </w:r>
    </w:p>
  </w:comment>
  <w:comment w:id="12" w:author="Cashore, Benjamin" w:date="2019-03-10T23:03:00Z" w:initials="CB">
    <w:p w14:paraId="7F655D3A" w14:textId="399ED589" w:rsidR="004B3505" w:rsidRDefault="004B3505">
      <w:pPr>
        <w:pStyle w:val="CommentText"/>
      </w:pPr>
      <w:r>
        <w:rPr>
          <w:rStyle w:val="CommentReference"/>
        </w:rPr>
        <w:annotationRef/>
      </w:r>
      <w:r>
        <w:t>Again, it feels awkward to say “see for a review” as that is not relevant to our analysis.</w:t>
      </w:r>
    </w:p>
  </w:comment>
  <w:comment w:id="13" w:author="DJL" w:date="2019-03-12T07:59:00Z" w:initials="D">
    <w:p w14:paraId="1A86CD67" w14:textId="71C5C173" w:rsidR="004B3505" w:rsidRDefault="004B3505">
      <w:pPr>
        <w:pStyle w:val="CommentText"/>
      </w:pPr>
      <w:r>
        <w:rPr>
          <w:rStyle w:val="CommentReference"/>
        </w:rPr>
        <w:annotationRef/>
      </w:r>
      <w:r>
        <w:t>We are not reviewing all of the public policy scholarship on stringency, so we refer to a review peice, no?</w:t>
      </w:r>
    </w:p>
  </w:comment>
  <w:comment w:id="14" w:author="Cashore, Benjamin" w:date="2019-03-10T23:04:00Z" w:initials="CB">
    <w:p w14:paraId="48DDC670" w14:textId="24D4620B" w:rsidR="004B3505" w:rsidRDefault="004B3505">
      <w:pPr>
        <w:pStyle w:val="CommentText"/>
      </w:pPr>
      <w:r>
        <w:rPr>
          <w:rStyle w:val="CommentReference"/>
        </w:rPr>
        <w:annotationRef/>
      </w:r>
      <w:r>
        <w:t>This is good but up until now the article is only mentioning the dependent variable..</w:t>
      </w:r>
    </w:p>
  </w:comment>
  <w:comment w:id="15" w:author="DJL" w:date="2019-03-12T08:17:00Z" w:initials="D">
    <w:p w14:paraId="349F9D14" w14:textId="7CE343C2" w:rsidR="004B3505" w:rsidRDefault="004B3505">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17" w:author="Cashore, Benjamin" w:date="2019-03-11T18:45:00Z" w:initials="CB">
    <w:p w14:paraId="64C0A180" w14:textId="488BC491" w:rsidR="004B3505" w:rsidRDefault="004B3505">
      <w:pPr>
        <w:pStyle w:val="CommentText"/>
      </w:pPr>
      <w:r>
        <w:rPr>
          <w:rStyle w:val="CommentReference"/>
        </w:rPr>
        <w:annotationRef/>
      </w:r>
      <w:r>
        <w:t>But again, what is Eberlein saying exactly? Increase up? Increase down? Not clear to me</w:t>
      </w:r>
    </w:p>
  </w:comment>
  <w:comment w:id="18" w:author="DJL" w:date="2019-03-12T08:32:00Z" w:initials="D">
    <w:p w14:paraId="77C6036C" w14:textId="29807405" w:rsidR="004B3505" w:rsidRDefault="004B3505">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19" w:author="DJL" w:date="2019-03-12T08:26:00Z" w:initials="D">
    <w:p w14:paraId="0941CF0F" w14:textId="16A4CD40" w:rsidR="004B3505" w:rsidRDefault="004B3505">
      <w:pPr>
        <w:pStyle w:val="CommentText"/>
      </w:pPr>
      <w:r>
        <w:rPr>
          <w:rStyle w:val="CommentReference"/>
        </w:rPr>
        <w:annotationRef/>
      </w:r>
      <w:r>
        <w:t>This is the sentence that sets up our hypothesis 2. It connects existing scholarship on differentiation explicitly to stringency</w:t>
      </w:r>
    </w:p>
  </w:comment>
  <w:comment w:id="21" w:author="DJL" w:date="2019-03-12T08:37:00Z" w:initials="D">
    <w:p w14:paraId="6BC1FE1A" w14:textId="391D7ABC" w:rsidR="004B3505" w:rsidRDefault="004B3505">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23" w:author="DJL" w:date="2019-03-12T00:11:00Z" w:initials="D">
    <w:p w14:paraId="0542508F" w14:textId="77777777" w:rsidR="004B3505" w:rsidRDefault="004B3505"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24" w:author="Cashore, Benjamin" w:date="2019-03-11T19:26:00Z" w:initials="CB">
    <w:p w14:paraId="5AF904BE" w14:textId="46FF3DDF" w:rsidR="004B3505" w:rsidRDefault="004B3505">
      <w:pPr>
        <w:pStyle w:val="CommentText"/>
      </w:pPr>
      <w:r>
        <w:rPr>
          <w:rStyle w:val="CommentReference"/>
        </w:rPr>
        <w:annotationRef/>
      </w:r>
      <w:r>
        <w:t>Shouldn’t this framework section come before the discussion of the literature that is too sweeping or conflated?</w:t>
      </w:r>
    </w:p>
  </w:comment>
  <w:comment w:id="25" w:author="DJL" w:date="2019-03-11T23:46:00Z" w:initials="D">
    <w:p w14:paraId="27FDACDA" w14:textId="42D027EA" w:rsidR="004B3505" w:rsidRDefault="004B3505">
      <w:pPr>
        <w:pStyle w:val="CommentText"/>
      </w:pPr>
      <w:r>
        <w:rPr>
          <w:rStyle w:val="CommentReference"/>
        </w:rPr>
        <w:annotationRef/>
      </w:r>
      <w:r w:rsidR="00DB7319">
        <w:t xml:space="preserve">I moved this up, but not above the lit review. </w:t>
      </w:r>
      <w:bookmarkStart w:id="26" w:name="_GoBack"/>
      <w:bookmarkEnd w:id="26"/>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7" w:author="Cashore, Benjamin" w:date="2019-03-11T19:27:00Z" w:initials="CB">
    <w:p w14:paraId="4A9B5FAD" w14:textId="25E0B1C9" w:rsidR="004B3505" w:rsidRDefault="004B3505">
      <w:pPr>
        <w:pStyle w:val="CommentText"/>
      </w:pPr>
      <w:r>
        <w:rPr>
          <w:rStyle w:val="CommentReference"/>
        </w:rPr>
        <w:annotationRef/>
      </w:r>
      <w:r>
        <w:t>Why not just focus on the FSC and SFI and make it more concrete?</w:t>
      </w:r>
    </w:p>
  </w:comment>
  <w:comment w:id="28" w:author="DJL" w:date="2019-03-12T00:08:00Z" w:initials="D">
    <w:p w14:paraId="13A59890" w14:textId="00ABD558" w:rsidR="004B3505" w:rsidRDefault="004B350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9" w:author="Constance McDermott" w:date="2019-03-11T16:29:00Z" w:initials="CM">
    <w:p w14:paraId="340A172A" w14:textId="1036253B" w:rsidR="004B3505" w:rsidRDefault="004B3505">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30" w:author="DJL" w:date="2019-03-11T16:32:00Z" w:initials="D">
    <w:p w14:paraId="2A6BAEA7" w14:textId="700D2C2E" w:rsidR="004B3505" w:rsidRDefault="004B350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32" w:author="Cashore, Benjamin" w:date="2019-03-11T19:06:00Z" w:initials="CB">
    <w:p w14:paraId="43FCDF82" w14:textId="77777777" w:rsidR="004B3505" w:rsidRDefault="004B3505" w:rsidP="00984DC4">
      <w:pPr>
        <w:pStyle w:val="CommentText"/>
      </w:pPr>
      <w:r>
        <w:rPr>
          <w:rStyle w:val="CommentReference"/>
        </w:rPr>
        <w:annotationRef/>
      </w:r>
      <w:r>
        <w:t>I see your point but presenting it here is a little awkward</w:t>
      </w:r>
    </w:p>
  </w:comment>
  <w:comment w:id="33" w:author="Microsoft Office User" w:date="2019-03-13T11:03:00Z" w:initials="MOU">
    <w:p w14:paraId="57175CB6" w14:textId="1A1CB789" w:rsidR="004B3505" w:rsidRDefault="004B3505" w:rsidP="00984DC4">
      <w:pPr>
        <w:pStyle w:val="CommentText"/>
      </w:pPr>
      <w:r>
        <w:rPr>
          <w:rStyle w:val="CommentReference"/>
        </w:rPr>
        <w:annotationRef/>
      </w:r>
      <w:r>
        <w:t xml:space="preserve">I agree that this is not a necessary </w:t>
      </w:r>
      <w:r w:rsidR="00DB7319">
        <w:t>criteria</w:t>
      </w:r>
      <w:r>
        <w:t xml:space="preserve"> (though it is for us), but these are their criteria. Tom asked us to cite this article because it is about what makes a good measure of regulatory stringency.</w:t>
      </w:r>
    </w:p>
  </w:comment>
  <w:comment w:id="37" w:author="Cashore, Benjamin" w:date="2019-03-11T19:23:00Z" w:initials="CB">
    <w:p w14:paraId="31E9E472" w14:textId="77777777" w:rsidR="004B3505" w:rsidRDefault="004B3505" w:rsidP="00984DC4">
      <w:pPr>
        <w:pStyle w:val="CommentText"/>
      </w:pPr>
      <w:r>
        <w:rPr>
          <w:rStyle w:val="CommentReference"/>
        </w:rPr>
        <w:annotationRef/>
      </w:r>
      <w:r>
        <w:t>Ok this is a key point and needs to be brought up to the beginning of the article…</w:t>
      </w:r>
    </w:p>
  </w:comment>
  <w:comment w:id="38" w:author="DJL" w:date="2019-03-12T00:04:00Z" w:initials="D">
    <w:p w14:paraId="74EDA880" w14:textId="77777777" w:rsidR="004B3505" w:rsidRDefault="004B3505"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39" w:author="Cashore, Benjamin" w:date="2019-03-11T19:23:00Z" w:initials="CB">
    <w:p w14:paraId="5C663474" w14:textId="77777777" w:rsidR="004B3505" w:rsidRDefault="004B3505" w:rsidP="00984DC4">
      <w:pPr>
        <w:pStyle w:val="CommentText"/>
      </w:pPr>
      <w:r>
        <w:rPr>
          <w:rStyle w:val="CommentReference"/>
        </w:rPr>
        <w:annotationRef/>
      </w:r>
      <w:r>
        <w:t>But what about the regulations such as reforestation that create immediate benefits but which aren’t really collective action issues?</w:t>
      </w:r>
    </w:p>
  </w:comment>
  <w:comment w:id="40" w:author="DJL" w:date="2019-03-12T00:06:00Z" w:initials="D">
    <w:p w14:paraId="57F72D04" w14:textId="77777777" w:rsidR="004B3505" w:rsidRDefault="004B3505"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41" w:author="Cashore, Benjamin" w:date="2019-03-11T19:24:00Z" w:initials="CB">
    <w:p w14:paraId="4086DB5A" w14:textId="77777777" w:rsidR="004B3505" w:rsidRDefault="004B3505" w:rsidP="00984DC4">
      <w:pPr>
        <w:pStyle w:val="CommentText"/>
      </w:pPr>
      <w:r>
        <w:rPr>
          <w:rStyle w:val="CommentReference"/>
        </w:rPr>
        <w:annotationRef/>
      </w:r>
      <w:r>
        <w:t>This is kind of 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Ex w15:paraId="4086DB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38726" w14:textId="77777777" w:rsidR="00044C22" w:rsidRDefault="00044C22" w:rsidP="002E5C5B">
      <w:r>
        <w:separator/>
      </w:r>
    </w:p>
  </w:endnote>
  <w:endnote w:type="continuationSeparator" w:id="0">
    <w:p w14:paraId="1D4ED0A8" w14:textId="77777777" w:rsidR="00044C22" w:rsidRDefault="00044C22" w:rsidP="002E5C5B">
      <w:r>
        <w:continuationSeparator/>
      </w:r>
    </w:p>
  </w:endnote>
  <w:endnote w:type="continuationNotice" w:id="1">
    <w:p w14:paraId="7B0F6BD3" w14:textId="77777777" w:rsidR="00044C22" w:rsidRDefault="00044C22"/>
  </w:endnote>
  <w:endnote w:id="2">
    <w:p w14:paraId="3C880C61" w14:textId="0D40DE26" w:rsidR="004B3505" w:rsidRPr="00372401" w:rsidRDefault="004B350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4B3505" w:rsidRPr="00C40547" w:rsidRDefault="004B350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4B3505" w:rsidRPr="00372401" w:rsidRDefault="004B350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4B3505" w:rsidRPr="00CA4AE5" w:rsidRDefault="004B350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Microsoft Sans Serif"/>
    <w:panose1 w:val="020B0304020202020204"/>
    <w:charset w:val="DE"/>
    <w:family w:val="swiss"/>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pitch w:val="variable"/>
    <w:sig w:usb0="00000000"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merican Typewriter Light">
    <w:altName w:val="Sitka Small"/>
    <w:charset w:val="4D"/>
    <w:family w:val="roman"/>
    <w:pitch w:val="variable"/>
    <w:sig w:usb0="00000001"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4BA1" w14:textId="77777777" w:rsidR="004B3505" w:rsidRDefault="004B350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B3505" w:rsidRDefault="004B3505" w:rsidP="00EC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BF6CE" w14:textId="7C98C979" w:rsidR="004B3505" w:rsidRDefault="004B350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7319">
      <w:rPr>
        <w:rStyle w:val="PageNumber"/>
        <w:noProof/>
      </w:rPr>
      <w:t>23</w:t>
    </w:r>
    <w:r>
      <w:rPr>
        <w:rStyle w:val="PageNumber"/>
      </w:rPr>
      <w:fldChar w:fldCharType="end"/>
    </w:r>
  </w:p>
  <w:p w14:paraId="63C7F481" w14:textId="77777777" w:rsidR="004B3505" w:rsidRDefault="004B3505" w:rsidP="00EC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C54C4" w14:textId="77777777" w:rsidR="00044C22" w:rsidRDefault="00044C22" w:rsidP="002E5C5B">
      <w:r>
        <w:separator/>
      </w:r>
    </w:p>
  </w:footnote>
  <w:footnote w:type="continuationSeparator" w:id="0">
    <w:p w14:paraId="68408311" w14:textId="77777777" w:rsidR="00044C22" w:rsidRDefault="00044C22" w:rsidP="002E5C5B">
      <w:r>
        <w:continuationSeparator/>
      </w:r>
    </w:p>
  </w:footnote>
  <w:footnote w:type="continuationNotice" w:id="1">
    <w:p w14:paraId="74632EE0" w14:textId="77777777" w:rsidR="00044C22" w:rsidRDefault="00044C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1BF5" w14:textId="77777777" w:rsidR="004B3505" w:rsidRDefault="004B3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4C22"/>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4B03"/>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8474B"/>
  <w15:docId w15:val="{6B18E210-F977-BC4D-9ABD-4C674C3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microsoft.com/office/2011/relationships/commentsExtended" Target="commentsExtended.xml"/><Relationship Id="rId89" Type="http://schemas.microsoft.com/office/2011/relationships/people" Target="people.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openxmlformats.org/officeDocument/2006/relationships/theme" Target="theme/theme1.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webSettings" Target="webSettings.xml"/><Relationship Id="rId85"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omments" Target="comments.xml"/><Relationship Id="rId88" Type="http://schemas.openxmlformats.org/officeDocument/2006/relationships/fontTable" Target="fontTable.xml"/><Relationship Id="rId9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2.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CCECF5-419A-EC44-906E-5B0F24E74D00}">
  <ds:schemaRefs>
    <ds:schemaRef ds:uri="http://schemas.openxmlformats.org/officeDocument/2006/bibliography"/>
  </ds:schemaRefs>
</ds:datastoreItem>
</file>

<file path=customXml/itemProps10.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11.xml><?xml version="1.0" encoding="utf-8"?>
<ds:datastoreItem xmlns:ds="http://schemas.openxmlformats.org/officeDocument/2006/customXml" ds:itemID="{14862256-0510-8345-BB07-9CE085FB8060}">
  <ds:schemaRefs>
    <ds:schemaRef ds:uri="http://schemas.openxmlformats.org/officeDocument/2006/bibliography"/>
  </ds:schemaRefs>
</ds:datastoreItem>
</file>

<file path=customXml/itemProps12.xml><?xml version="1.0" encoding="utf-8"?>
<ds:datastoreItem xmlns:ds="http://schemas.openxmlformats.org/officeDocument/2006/customXml" ds:itemID="{A38F1E5F-2E93-1145-85EB-54A873F195B6}">
  <ds:schemaRefs>
    <ds:schemaRef ds:uri="http://schemas.openxmlformats.org/officeDocument/2006/bibliography"/>
  </ds:schemaRefs>
</ds:datastoreItem>
</file>

<file path=customXml/itemProps13.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14.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15.xml><?xml version="1.0" encoding="utf-8"?>
<ds:datastoreItem xmlns:ds="http://schemas.openxmlformats.org/officeDocument/2006/customXml" ds:itemID="{2A0CAA8F-CB11-764B-9FE3-0B4807D52D46}">
  <ds:schemaRefs>
    <ds:schemaRef ds:uri="http://schemas.openxmlformats.org/officeDocument/2006/bibliography"/>
  </ds:schemaRefs>
</ds:datastoreItem>
</file>

<file path=customXml/itemProps16.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17.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18.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19.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2.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20.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21.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22.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23.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24.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25.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6.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7.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28.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29.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3.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30.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31.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32.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33.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34.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35.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36.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37.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38.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39.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4.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40.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41.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42.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43.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44.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45.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46.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47.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48.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49.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5.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50.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51.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52.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53.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54.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55.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56.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57.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58.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59.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6.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60.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61.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62.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63.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64.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65.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66.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67.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68.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69.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7.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70.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71.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72.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73.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74.xml><?xml version="1.0" encoding="utf-8"?>
<ds:datastoreItem xmlns:ds="http://schemas.openxmlformats.org/officeDocument/2006/customXml" ds:itemID="{95650A4A-7642-4C63-86F3-9E059EDD23A1}">
  <ds:schemaRefs>
    <ds:schemaRef ds:uri="http://schemas.openxmlformats.org/officeDocument/2006/bibliography"/>
  </ds:schemaRefs>
</ds:datastoreItem>
</file>

<file path=customXml/itemProps75.xml><?xml version="1.0" encoding="utf-8"?>
<ds:datastoreItem xmlns:ds="http://schemas.openxmlformats.org/officeDocument/2006/customXml" ds:itemID="{CEAC694C-12C3-48E9-9713-46E0E649AE1C}">
  <ds:schemaRefs>
    <ds:schemaRef ds:uri="http://schemas.openxmlformats.org/officeDocument/2006/bibliography"/>
  </ds:schemaRefs>
</ds:datastoreItem>
</file>

<file path=customXml/itemProps76.xml><?xml version="1.0" encoding="utf-8"?>
<ds:datastoreItem xmlns:ds="http://schemas.openxmlformats.org/officeDocument/2006/customXml" ds:itemID="{A9493C1A-2850-4B76-BF1E-5196E569783C}">
  <ds:schemaRefs>
    <ds:schemaRef ds:uri="http://schemas.openxmlformats.org/officeDocument/2006/bibliography"/>
  </ds:schemaRefs>
</ds:datastoreItem>
</file>

<file path=customXml/itemProps8.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9.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51</Pages>
  <Words>34860</Words>
  <Characters>198708</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Devin Judge-Lord</cp:lastModifiedBy>
  <cp:revision>7</cp:revision>
  <cp:lastPrinted>2018-09-07T15:16:00Z</cp:lastPrinted>
  <dcterms:created xsi:type="dcterms:W3CDTF">2019-03-13T21:17:00Z</dcterms:created>
  <dcterms:modified xsi:type="dcterms:W3CDTF">2019-03-13T22:24:00Z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