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5EDE0E5" w14:textId="3B2ED466" w:rsidR="001A65DD"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policy scope, prescriptiveness, and performance levels. Using </w:t>
      </w:r>
      <w:bookmarkStart w:id="0" w:name="_GoBack"/>
      <w:bookmarkEnd w:id="0"/>
      <w:r w:rsidRPr="00C90A60">
        <w:rPr>
          <w:bCs/>
          <w:color w:val="000000" w:themeColor="text1"/>
        </w:rPr>
        <w:t>our framework, we compare two US forestry certification programs, revealing an upward but divergent pattern in policy prescriptiveness. The program founded by activists mostly added requirements that impose costs on firms, while the program established by the American Forest &amp; Paper Association mostly added requirements that benefit the sector regardless of activist pressures, 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r>
        <w:rPr>
          <w:bCs/>
          <w:color w:val="000000" w:themeColor="text1"/>
        </w:rPr>
        <w:t>[151</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260968A7" w14:textId="77777777" w:rsidR="00A8487A" w:rsidRPr="00A8487A" w:rsidRDefault="00A8487A" w:rsidP="004A1418">
      <w:pPr>
        <w:pStyle w:val="NormalWeb"/>
        <w:spacing w:line="480" w:lineRule="auto"/>
        <w:rPr>
          <w:bCs/>
          <w:color w:val="000000" w:themeColor="text1"/>
        </w:rPr>
      </w:pPr>
      <w:r w:rsidRPr="00A8487A">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w:t>
      </w:r>
      <w:proofErr w:type="spellStart"/>
      <w:r w:rsidRPr="00A8487A">
        <w:rPr>
          <w:bCs/>
          <w:color w:val="000000" w:themeColor="text1"/>
        </w:rPr>
        <w:t>Bozzi</w:t>
      </w:r>
      <w:proofErr w:type="spellEnd"/>
      <w:r w:rsidRPr="00A8487A">
        <w:rPr>
          <w:bCs/>
          <w:color w:val="000000" w:themeColor="text1"/>
        </w:rPr>
        <w:t xml:space="preserve">, </w:t>
      </w:r>
      <w:proofErr w:type="spellStart"/>
      <w:r w:rsidRPr="00A8487A">
        <w:rPr>
          <w:bCs/>
          <w:color w:val="000000" w:themeColor="text1"/>
        </w:rPr>
        <w:t>Cashore</w:t>
      </w:r>
      <w:proofErr w:type="spellEnd"/>
      <w:r w:rsidRPr="00A8487A">
        <w:rPr>
          <w:bCs/>
          <w:color w:val="000000" w:themeColor="text1"/>
        </w:rPr>
        <w:t xml:space="preserve">, Levin, &amp; McDermott, 2012; Hudson &amp; Hudson, 2003; van der </w:t>
      </w:r>
      <w:proofErr w:type="spellStart"/>
      <w:r w:rsidRPr="00A8487A">
        <w:rPr>
          <w:bCs/>
          <w:color w:val="000000" w:themeColor="text1"/>
        </w:rPr>
        <w:t>Ven</w:t>
      </w:r>
      <w:proofErr w:type="spellEnd"/>
      <w:r w:rsidRPr="00A8487A">
        <w:rPr>
          <w:bCs/>
          <w:color w:val="000000" w:themeColor="text1"/>
        </w:rPr>
        <w:t xml:space="preserve">, 2015; Vince &amp; </w:t>
      </w:r>
      <w:proofErr w:type="spellStart"/>
      <w:r w:rsidRPr="00A8487A">
        <w:rPr>
          <w:bCs/>
          <w:color w:val="000000" w:themeColor="text1"/>
        </w:rPr>
        <w:t>Haward</w:t>
      </w:r>
      <w:proofErr w:type="spellEnd"/>
      <w:r w:rsidRPr="00A8487A">
        <w:rPr>
          <w:bCs/>
          <w:color w:val="000000" w:themeColor="text1"/>
        </w:rPr>
        <w:t>, 2017; Vogel, 2008). Many of these initiatives were founded by activists who were dissatisfied with public regulations. With tactics like boycotts as “sticks” and brand-boosting praise as “carrots,” activists create incentives for companies to comply with private regulations thereby giving their preferred certification programs rulemaking authority rooted in market power rather than state-based authority (</w:t>
      </w:r>
      <w:proofErr w:type="spellStart"/>
      <w:r w:rsidRPr="00A8487A">
        <w:rPr>
          <w:bCs/>
          <w:color w:val="000000" w:themeColor="text1"/>
        </w:rPr>
        <w:t>Cashore</w:t>
      </w:r>
      <w:proofErr w:type="spellEnd"/>
      <w:r w:rsidRPr="00A8487A">
        <w:rPr>
          <w:bCs/>
          <w:color w:val="000000" w:themeColor="text1"/>
        </w:rPr>
        <w:t xml:space="preserve">, 2002). In some sectors, such as forestry, activist-backed programs met resistance from industry groups that launched competing certification programs designed to offer more “business-friendly” alternatives. The result has been hotly contested debates between supporters of programs initiated by activists and their allies and supporters of industry-backed alternatives. These debates center on the relative stringency of each program’s requirements. </w:t>
      </w:r>
    </w:p>
    <w:p w14:paraId="52008A76" w14:textId="77777777" w:rsidR="00A8487A" w:rsidRPr="00A8487A" w:rsidRDefault="00A8487A" w:rsidP="004A1418">
      <w:pPr>
        <w:pStyle w:val="NormalWeb"/>
        <w:spacing w:line="480" w:lineRule="auto"/>
        <w:rPr>
          <w:bCs/>
          <w:color w:val="000000" w:themeColor="text1"/>
        </w:rPr>
      </w:pPr>
    </w:p>
    <w:p w14:paraId="79CCA8C1"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In response to these emerging forms of regulation and ensuing public debates, scholars across political science, public administration,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places with more stringent </w:t>
      </w:r>
      <w:r w:rsidRPr="00A8487A">
        <w:rPr>
          <w:bCs/>
          <w:color w:val="000000" w:themeColor="text1"/>
        </w:rPr>
        <w:lastRenderedPageBreak/>
        <w:t xml:space="preserve">regulations lobby to equalize requirements across jurisdictions (e.g., Berger &amp; Dore, 1996; </w:t>
      </w:r>
      <w:proofErr w:type="spellStart"/>
      <w:r w:rsidRPr="00A8487A">
        <w:rPr>
          <w:bCs/>
          <w:color w:val="000000" w:themeColor="text1"/>
        </w:rPr>
        <w:t>Rodrik</w:t>
      </w:r>
      <w:proofErr w:type="spellEnd"/>
      <w:r w:rsidRPr="00A8487A">
        <w:rPr>
          <w:bCs/>
          <w:color w:val="000000" w:themeColor="text1"/>
        </w:rPr>
        <w:t xml:space="preserve">, Subramanian, &amp; </w:t>
      </w:r>
      <w:proofErr w:type="spellStart"/>
      <w:r w:rsidRPr="00A8487A">
        <w:rPr>
          <w:bCs/>
          <w:color w:val="000000" w:themeColor="text1"/>
        </w:rPr>
        <w:t>Trebbi</w:t>
      </w:r>
      <w:proofErr w:type="spellEnd"/>
      <w:r w:rsidRPr="00A8487A">
        <w:rPr>
          <w:bCs/>
          <w:color w:val="000000" w:themeColor="text1"/>
        </w:rPr>
        <w:t>, 2002; Vogel, 1995).</w:t>
      </w:r>
    </w:p>
    <w:p w14:paraId="3B72F6CA" w14:textId="77777777" w:rsidR="00A8487A" w:rsidRPr="00A8487A" w:rsidRDefault="00A8487A" w:rsidP="004A1418">
      <w:pPr>
        <w:pStyle w:val="NormalWeb"/>
        <w:spacing w:line="480" w:lineRule="auto"/>
        <w:rPr>
          <w:bCs/>
          <w:color w:val="000000" w:themeColor="text1"/>
        </w:rPr>
      </w:pPr>
    </w:p>
    <w:p w14:paraId="447274D4" w14:textId="77777777" w:rsidR="00A8487A" w:rsidRPr="00A8487A" w:rsidRDefault="00A8487A" w:rsidP="004A1418">
      <w:pPr>
        <w:pStyle w:val="NormalWeb"/>
        <w:spacing w:line="480" w:lineRule="auto"/>
        <w:rPr>
          <w:bCs/>
          <w:color w:val="000000" w:themeColor="text1"/>
        </w:rPr>
      </w:pPr>
      <w:r w:rsidRPr="00A8487A">
        <w:rPr>
          <w:bCs/>
          <w:color w:val="000000" w:themeColor="text1"/>
        </w:rPr>
        <w:t>While this scholarship has made great strides, it lacks consistent concepts of regulatory stringency and methods to compare requirements over time. Some scholars rely on broad characterizations of regulatory stringency without offering a precise definition. Others base their characterizations on only a small subset of the issues.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dependent variable policy change as a dependent variable (Green-</w:t>
      </w:r>
      <w:proofErr w:type="spellStart"/>
      <w:r w:rsidRPr="00A8487A">
        <w:rPr>
          <w:bCs/>
          <w:color w:val="000000" w:themeColor="text1"/>
        </w:rPr>
        <w:t>Pedderson</w:t>
      </w:r>
      <w:proofErr w:type="spellEnd"/>
      <w:r w:rsidRPr="00A8487A">
        <w:rPr>
          <w:bCs/>
          <w:color w:val="000000" w:themeColor="text1"/>
        </w:rPr>
        <w:t xml:space="preserve"> 2007; Hall, 1992; </w:t>
      </w:r>
      <w:proofErr w:type="spellStart"/>
      <w:r w:rsidRPr="00A8487A">
        <w:rPr>
          <w:bCs/>
          <w:color w:val="000000" w:themeColor="text1"/>
        </w:rPr>
        <w:t>Howlett</w:t>
      </w:r>
      <w:proofErr w:type="spellEnd"/>
      <w:r w:rsidRPr="00A8487A">
        <w:rPr>
          <w:bCs/>
          <w:color w:val="000000" w:themeColor="text1"/>
        </w:rPr>
        <w:t xml:space="preserve"> &amp; </w:t>
      </w:r>
      <w:proofErr w:type="spellStart"/>
      <w:r w:rsidRPr="00A8487A">
        <w:rPr>
          <w:bCs/>
          <w:color w:val="000000" w:themeColor="text1"/>
        </w:rPr>
        <w:t>Cashore</w:t>
      </w:r>
      <w:proofErr w:type="spellEnd"/>
      <w:r w:rsidRPr="00A8487A">
        <w:rPr>
          <w:bCs/>
          <w:color w:val="000000" w:themeColor="text1"/>
        </w:rPr>
        <w:t>, 2014), students of private governance have given much less attention to the concept of policy change.</w:t>
      </w:r>
    </w:p>
    <w:p w14:paraId="75F8D3DC"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 </w:t>
      </w:r>
    </w:p>
    <w:p w14:paraId="33E4E4EF" w14:textId="0ED61F15" w:rsidR="001F6B43" w:rsidRPr="00A8487A" w:rsidRDefault="00A8487A" w:rsidP="004A1418">
      <w:pPr>
        <w:pStyle w:val="NormalWeb"/>
        <w:spacing w:line="480" w:lineRule="auto"/>
        <w:rPr>
          <w:b/>
          <w:bCs/>
          <w:color w:val="000000" w:themeColor="text1"/>
        </w:rPr>
      </w:pPr>
      <w:r w:rsidRPr="00A8487A">
        <w:rPr>
          <w:bCs/>
          <w:color w:val="000000" w:themeColor="text1"/>
        </w:rPr>
        <w:t xml:space="preserve">To address this gap, we build on public policy concepts to offer a two-part approach for describing and comparing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over time, yielding nine possible patterns describing relative and absolute directions of policy change. We thus provide a common language to describe how various regulations in the same policy space may change over time. Such research questions are </w:t>
      </w:r>
      <w:r w:rsidRPr="00A8487A">
        <w:rPr>
          <w:bCs/>
          <w:color w:val="000000" w:themeColor="text1"/>
        </w:rPr>
        <w:lastRenderedPageBreak/>
        <w:t>especially important where multiple programs, backed by different coalitions, compete to exercise regulatory authority. By distinguishing among types of regulatory stringency,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2"/>
      <w:commentRangeStart w:id="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2"/>
      <w:r w:rsidR="00527EFD">
        <w:rPr>
          <w:rStyle w:val="CommentReference"/>
          <w:rFonts w:asciiTheme="minorHAnsi" w:hAnsiTheme="minorHAnsi" w:cstheme="minorBidi"/>
        </w:rPr>
        <w:commentReference w:id="2"/>
      </w:r>
      <w:commentRangeEnd w:id="3"/>
      <w:r w:rsidR="00432103">
        <w:rPr>
          <w:rStyle w:val="CommentReference"/>
          <w:rFonts w:asciiTheme="minorHAnsi" w:hAnsiTheme="minorHAnsi" w:cstheme="minorBidi"/>
        </w:rPr>
        <w:commentReference w:id="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4"/>
      <w:commentRangeStart w:id="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4"/>
      <w:r w:rsidR="006F3194">
        <w:rPr>
          <w:rStyle w:val="CommentReference"/>
          <w:rFonts w:asciiTheme="minorHAnsi" w:hAnsiTheme="minorHAnsi" w:cstheme="minorBidi"/>
        </w:rPr>
        <w:commentReference w:id="4"/>
      </w:r>
      <w:commentRangeEnd w:id="5"/>
      <w:r w:rsidR="00C31FF7">
        <w:rPr>
          <w:rStyle w:val="CommentReference"/>
          <w:rFonts w:asciiTheme="minorHAnsi" w:hAnsiTheme="minorHAnsi" w:cstheme="minorBidi"/>
        </w:rPr>
        <w:commentReference w:id="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xml:space="preserve">, 2018). Even activist-backed programs that establish stringent requirements on one issue at one point in time may not </w:t>
      </w:r>
      <w:r w:rsidRPr="00722696">
        <w:rPr>
          <w:color w:val="000000" w:themeColor="text1"/>
        </w:rPr>
        <w:lastRenderedPageBreak/>
        <w:t>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6"/>
      <w:commentRangeStart w:id="7"/>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6"/>
      <w:r w:rsidR="001F354C">
        <w:rPr>
          <w:rStyle w:val="CommentReference"/>
          <w:rFonts w:asciiTheme="minorHAnsi" w:hAnsiTheme="minorHAnsi" w:cstheme="minorBidi"/>
        </w:rPr>
        <w:commentReference w:id="6"/>
      </w:r>
      <w:commentRangeEnd w:id="7"/>
      <w:r w:rsidR="001E44F7">
        <w:rPr>
          <w:rStyle w:val="CommentReference"/>
          <w:rFonts w:asciiTheme="minorHAnsi" w:hAnsiTheme="minorHAnsi" w:cstheme="minorBidi"/>
        </w:rPr>
        <w:commentReference w:id="7"/>
      </w:r>
      <w:commentRangeStart w:id="8"/>
      <w:del w:id="9"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8"/>
      <w:r w:rsidR="001E44F7">
        <w:rPr>
          <w:rStyle w:val="CommentReference"/>
          <w:rFonts w:asciiTheme="minorHAnsi" w:hAnsiTheme="minorHAnsi" w:cstheme="minorBidi"/>
        </w:rPr>
        <w:commentReference w:id="8"/>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10"/>
      <w:r w:rsidR="00D00707" w:rsidRPr="00387397">
        <w:rPr>
          <w:color w:val="000000" w:themeColor="text1"/>
        </w:rPr>
        <w:t>.</w:t>
      </w:r>
      <w:del w:id="11"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10"/>
      <w:r w:rsidR="00876BF6">
        <w:rPr>
          <w:rStyle w:val="CommentReference"/>
          <w:rFonts w:asciiTheme="minorHAnsi" w:hAnsiTheme="minorHAnsi" w:cstheme="minorBidi"/>
        </w:rPr>
        <w:commentReference w:id="10"/>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2"/>
      <w:r w:rsidR="00E44A0D" w:rsidRPr="00387397">
        <w:t xml:space="preserve">and find </w:t>
      </w:r>
      <w:r w:rsidR="00E44A0D">
        <w:t>evidence</w:t>
      </w:r>
      <w:r w:rsidR="00E44A0D" w:rsidRPr="00387397">
        <w:t xml:space="preserve"> for</w:t>
      </w:r>
      <w:commentRangeEnd w:id="12"/>
      <w:r w:rsidR="00E44A0D">
        <w:rPr>
          <w:rStyle w:val="CommentReference"/>
          <w:rFonts w:asciiTheme="minorHAnsi" w:hAnsiTheme="minorHAnsi" w:cstheme="minorBidi"/>
        </w:rPr>
        <w:commentReference w:id="12"/>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w:t>
      </w:r>
      <w:r w:rsidR="004C6146">
        <w:lastRenderedPageBreak/>
        <w:t xml:space="preserve">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w:t>
      </w:r>
      <w:r>
        <w:lastRenderedPageBreak/>
        <w:t xml:space="preserve">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xml:space="preserve">, 1997; Hall, 1993; Weimer &amp; Vining, 2005). While private governance scholars </w:t>
      </w:r>
      <w:r>
        <w:lastRenderedPageBreak/>
        <w:t>have shown that private regulations resemble public laws (</w:t>
      </w:r>
      <w:proofErr w:type="spellStart"/>
      <w:r>
        <w:t>Meidinger</w:t>
      </w:r>
      <w:proofErr w:type="spellEnd"/>
      <w:r>
        <w:t xml:space="preserve">,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3"/>
      <w:commentRangeStart w:id="14"/>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3"/>
      <w:r w:rsidR="00956FFD">
        <w:rPr>
          <w:rStyle w:val="CommentReference"/>
          <w:rFonts w:asciiTheme="minorHAnsi" w:hAnsiTheme="minorHAnsi" w:cstheme="minorBidi"/>
        </w:rPr>
        <w:commentReference w:id="13"/>
      </w:r>
      <w:commentRangeEnd w:id="14"/>
      <w:r w:rsidR="00791462">
        <w:rPr>
          <w:rStyle w:val="CommentReference"/>
          <w:rFonts w:asciiTheme="minorHAnsi" w:hAnsiTheme="minorHAnsi" w:cstheme="minorBidi"/>
        </w:rPr>
        <w:commentReference w:id="14"/>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5"/>
      <w:commentRangeStart w:id="1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5"/>
      <w:r w:rsidR="00956FFD">
        <w:rPr>
          <w:rStyle w:val="CommentReference"/>
          <w:rFonts w:asciiTheme="minorHAnsi" w:hAnsiTheme="minorHAnsi" w:cstheme="minorBidi"/>
        </w:rPr>
        <w:commentReference w:id="15"/>
      </w:r>
      <w:commentRangeEnd w:id="16"/>
      <w:r w:rsidR="00F63F63">
        <w:rPr>
          <w:rStyle w:val="CommentReference"/>
          <w:rFonts w:asciiTheme="minorHAnsi" w:hAnsiTheme="minorHAnsi" w:cstheme="minorBidi"/>
        </w:rPr>
        <w:commentReference w:id="1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7"/>
      <w:commentRangeStart w:id="18"/>
      <w:r w:rsidR="00CD1E1C" w:rsidRPr="00387397">
        <w:rPr>
          <w:rFonts w:eastAsia="Times New Roman"/>
          <w:color w:val="000000" w:themeColor="text1"/>
        </w:rPr>
        <w:t xml:space="preserve"> possibly </w:t>
      </w:r>
      <w:commentRangeEnd w:id="17"/>
      <w:r w:rsidR="00C001AE">
        <w:rPr>
          <w:rStyle w:val="CommentReference"/>
          <w:rFonts w:asciiTheme="minorHAnsi" w:hAnsiTheme="minorHAnsi" w:cstheme="minorBidi"/>
        </w:rPr>
        <w:commentReference w:id="17"/>
      </w:r>
      <w:commentRangeEnd w:id="18"/>
      <w:r w:rsidR="000E0724">
        <w:rPr>
          <w:rStyle w:val="CommentReference"/>
          <w:rFonts w:asciiTheme="minorHAnsi" w:hAnsiTheme="minorHAnsi" w:cstheme="minorBidi"/>
        </w:rPr>
        <w:commentReference w:id="18"/>
      </w:r>
      <w:del w:id="1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20"/>
      <w:commentRangeStart w:id="21"/>
      <w:r w:rsidR="00984DC4">
        <w:rPr>
          <w:rFonts w:eastAsia="Times New Roman"/>
          <w:color w:val="000000" w:themeColor="text1"/>
        </w:rPr>
        <w:t>it can be theoretically related to compliance costs</w:t>
      </w:r>
      <w:commentRangeEnd w:id="20"/>
      <w:r w:rsidR="00984DC4">
        <w:rPr>
          <w:rStyle w:val="CommentReference"/>
          <w:rFonts w:asciiTheme="minorHAnsi" w:hAnsiTheme="minorHAnsi" w:cstheme="minorBidi"/>
        </w:rPr>
        <w:commentReference w:id="20"/>
      </w:r>
      <w:commentRangeEnd w:id="21"/>
      <w:r w:rsidR="00984DC4">
        <w:rPr>
          <w:rStyle w:val="CommentReference"/>
          <w:rFonts w:asciiTheme="minorHAnsi" w:hAnsiTheme="minorHAnsi" w:cstheme="minorBidi"/>
        </w:rPr>
        <w:commentReference w:id="2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lastRenderedPageBreak/>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2" w:author="Cashore, Benjamin" w:date="2019-03-11T19:22:00Z"/>
          <w:color w:val="000000" w:themeColor="text1"/>
        </w:rPr>
      </w:pPr>
      <w:r w:rsidRPr="00044AED">
        <w:rPr>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3" w:author="Cashore, Benjamin" w:date="2019-03-11T19:22:00Z"/>
          <w:color w:val="000000" w:themeColor="text1"/>
        </w:rPr>
      </w:pPr>
      <w:del w:id="24"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5"/>
      <w:commentRangeStart w:id="2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5"/>
      <w:r>
        <w:rPr>
          <w:rStyle w:val="CommentReference"/>
          <w:rFonts w:asciiTheme="minorHAnsi" w:hAnsiTheme="minorHAnsi" w:cstheme="minorBidi"/>
        </w:rPr>
        <w:commentReference w:id="25"/>
      </w:r>
      <w:commentRangeEnd w:id="26"/>
      <w:r>
        <w:rPr>
          <w:rStyle w:val="CommentReference"/>
          <w:rFonts w:asciiTheme="minorHAnsi" w:hAnsiTheme="minorHAnsi" w:cstheme="minorBidi"/>
        </w:rPr>
        <w:commentReference w:id="26"/>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7"/>
      <w:commentRangeStart w:id="28"/>
      <w:r>
        <w:rPr>
          <w:color w:val="000000" w:themeColor="text1"/>
        </w:rPr>
        <w:t>workforce</w:t>
      </w:r>
      <w:commentRangeEnd w:id="27"/>
      <w:r>
        <w:rPr>
          <w:rStyle w:val="CommentReference"/>
          <w:rFonts w:asciiTheme="minorHAnsi" w:hAnsiTheme="minorHAnsi" w:cstheme="minorBidi"/>
        </w:rPr>
        <w:commentReference w:id="27"/>
      </w:r>
      <w:commentRangeEnd w:id="28"/>
      <w:r>
        <w:rPr>
          <w:rStyle w:val="CommentReference"/>
          <w:rFonts w:asciiTheme="minorHAnsi" w:hAnsiTheme="minorHAnsi" w:cstheme="minorBidi"/>
        </w:rPr>
        <w:commentReference w:id="2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(see McDermott et al., 2010), disaggregating forestry policies to capture all of the major issues addressed by FSC, PEFC, and SFI requirements.</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w:t>
      </w:r>
      <w:r w:rsidRPr="004A1418">
        <w:rPr>
          <w:color w:val="000000" w:themeColor="text1"/>
        </w:rPr>
        <w:lastRenderedPageBreak/>
        <w:t>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w:t>
      </w:r>
      <w:r w:rsidRPr="004A1418">
        <w:rPr>
          <w:color w:val="000000" w:themeColor="text1"/>
        </w:rPr>
        <w:lastRenderedPageBreak/>
        <w:t xml:space="preserve">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w:t>
      </w:r>
      <w:r w:rsidRPr="004A1418">
        <w:rPr>
          <w:color w:val="000000" w:themeColor="text1"/>
        </w:rPr>
        <w:lastRenderedPageBreak/>
        <w:t xml:space="preserve">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4A1418">
        <w:rPr>
          <w:color w:val="000000" w:themeColor="text1"/>
        </w:rPr>
        <w:t>PEFC</w:t>
      </w:r>
      <w:proofErr w:type="gramEnd"/>
      <w:r w:rsidRPr="004A1418">
        <w:rPr>
          <w:color w:val="000000" w:themeColor="text1"/>
        </w:rPr>
        <w:t xml:space="preserve">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w:t>
      </w:r>
      <w:proofErr w:type="gramStart"/>
      <w:r w:rsidRPr="004A1418">
        <w:rPr>
          <w:color w:val="000000" w:themeColor="text1"/>
        </w:rPr>
        <w:t>takes</w:t>
      </w:r>
      <w:proofErr w:type="gramEnd"/>
      <w:r w:rsidRPr="004A1418">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4A1418">
        <w:rPr>
          <w:color w:val="000000" w:themeColor="text1"/>
        </w:rPr>
        <w:t>same.</w:t>
      </w:r>
      <w:proofErr w:type="gramEnd"/>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w:t>
      </w:r>
      <w:r w:rsidRPr="004A1418">
        <w:rPr>
          <w:color w:val="000000" w:themeColor="text1"/>
        </w:rPr>
        <w:lastRenderedPageBreak/>
        <w:t xml:space="preserve">and PEFC requirements prohibit the use of GMOs in the area being certified, with some possible flexibility should scientific evidence affirm the safety of GMO trees. FSC–P&amp;C allow 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w:t>
      </w:r>
      <w:proofErr w:type="gramStart"/>
      <w:r w:rsidRPr="004A1418">
        <w:rPr>
          <w:color w:val="000000" w:themeColor="text1"/>
        </w:rPr>
        <w:t>The FSC–P&amp;C and PEFC have similar requirements for sustainable production of timber and non-timber forest products (NTFPs), but less similar on protecting habitat.</w:t>
      </w:r>
      <w:proofErr w:type="gramEnd"/>
      <w:r w:rsidRPr="004A1418">
        <w:rPr>
          <w:color w:val="000000" w:themeColor="text1"/>
        </w:rPr>
        <w:t xml:space="preserve">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w:t>
      </w:r>
      <w:r w:rsidRPr="004A1418">
        <w:rPr>
          <w:color w:val="000000" w:themeColor="text1"/>
        </w:rPr>
        <w:lastRenderedPageBreak/>
        <w:t>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w:t>
      </w:r>
      <w:r w:rsidRPr="004A1418">
        <w:rPr>
          <w:color w:val="000000" w:themeColor="text1"/>
        </w:rPr>
        <w:lastRenderedPageBreak/>
        <w:t xml:space="preserve">HCVFs. While the acronyms and even the additional language appear similar, the FSC-US added more prescriptive requirements requiring certain areas to be designated HCVFs and prescriptive accountability mechanisms in HCFV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w:t>
      </w:r>
      <w:r w:rsidRPr="004A1418">
        <w:rPr>
          <w:color w:val="000000" w:themeColor="text1"/>
        </w:rPr>
        <w:lastRenderedPageBreak/>
        <w:t xml:space="preserve">forcefully in the 2010 standard concerning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w:t>
      </w:r>
      <w:r w:rsidRPr="004A1418">
        <w:rPr>
          <w:color w:val="000000" w:themeColor="text1"/>
        </w:rPr>
        <w:lastRenderedPageBreak/>
        <w:t xml:space="preserve">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w:t>
      </w:r>
      <w:r w:rsidRPr="004A1418">
        <w:rPr>
          <w:color w:val="000000" w:themeColor="text1"/>
        </w:rPr>
        <w:lastRenderedPageBreak/>
        <w:t xml:space="preserve">(e.g., levels of cut tree utilization), industry capacity (e.g., workforce training and research), and industry reputation (e.g., education and aesthetics), the conclusions are largely reversed. SFI is 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w:t>
      </w:r>
      <w:r w:rsidRPr="004A1418">
        <w:rPr>
          <w:color w:val="000000" w:themeColor="text1"/>
        </w:rPr>
        <w:lastRenderedPageBreak/>
        <w:t>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Since the significant revisions of both programs in 2010, only SFI has updated its national-level requirements, mostly in 2015. In contrast to the 2010 changes, the pattern in 2015 is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w:t>
      </w:r>
      <w:r w:rsidRPr="004A1418">
        <w:rPr>
          <w:color w:val="000000" w:themeColor="text1"/>
        </w:rPr>
        <w:lastRenderedPageBreak/>
        <w:t xml:space="preserve">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Overall our findings are also somewhat consistent with Hypothesis 1.2, again more clearly for prescriptiveness than scope. We observe overall divergence on prescriptiveness, most clearly on 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w:t>
      </w:r>
      <w:r w:rsidRPr="004A1418">
        <w:rPr>
          <w:color w:val="000000" w:themeColor="text1"/>
        </w:rPr>
        <w:lastRenderedPageBreak/>
        <w:t>depends on competition among standards, but on business-friendly issues, it does not. Indeed, firms often collaborate on the latter type of issues (e.g., industry standards, reputation, and 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w:t>
      </w:r>
      <w:r w:rsidRPr="004A1418">
        <w:rPr>
          <w:color w:val="000000" w:themeColor="text1"/>
        </w:rPr>
        <w:lastRenderedPageBreak/>
        <w:t xml:space="preserve">competition will lead to a “race to the bottom” on all issues. It is also inconsistent with the prediction that activist-backed standards be more prescriptive on all issues. However, the 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w:t>
      </w:r>
      <w:r w:rsidRPr="004A1418">
        <w:rPr>
          <w:color w:val="000000" w:themeColor="text1"/>
        </w:rPr>
        <w:lastRenderedPageBreak/>
        <w:t xml:space="preserve">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lastRenderedPageBreak/>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w:t>
      </w:r>
      <w:r w:rsidRPr="00387397">
        <w:rPr>
          <w:noProof/>
        </w:rPr>
        <w:lastRenderedPageBreak/>
        <w:t>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 xml:space="preserve">Forest Certification: A Status </w:t>
      </w:r>
      <w:r w:rsidRPr="00387397">
        <w:rPr>
          <w:i/>
          <w:iCs/>
          <w:noProof/>
        </w:rPr>
        <w:lastRenderedPageBreak/>
        <w:t>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w:t>
      </w:r>
      <w:r w:rsidRPr="00387397">
        <w:rPr>
          <w:noProof/>
        </w:rPr>
        <w:lastRenderedPageBreak/>
        <w:t xml:space="preserve">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xml:space="preserve">, 17–33. </w:t>
      </w:r>
      <w:r w:rsidRPr="00387397">
        <w:rPr>
          <w:noProof/>
        </w:rPr>
        <w:lastRenderedPageBreak/>
        <w:t>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lastRenderedPageBreak/>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xml:space="preserve">. </w:t>
      </w:r>
      <w:r w:rsidRPr="00387397">
        <w:rPr>
          <w:noProof/>
        </w:rPr>
        <w:lastRenderedPageBreak/>
        <w:t>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xml:space="preserve">. </w:t>
      </w:r>
      <w:r w:rsidRPr="00387397">
        <w:rPr>
          <w:noProof/>
        </w:rPr>
        <w:lastRenderedPageBreak/>
        <w:t>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shore, Benjamin" w:date="2019-03-11T19:06:00Z" w:initials="CB">
    <w:p w14:paraId="32ADCB1F" w14:textId="77777777" w:rsidR="004726C0" w:rsidRDefault="004726C0" w:rsidP="000A2C8A">
      <w:pPr>
        <w:pStyle w:val="CommentText"/>
      </w:pPr>
      <w:r>
        <w:rPr>
          <w:rStyle w:val="CommentReference"/>
        </w:rPr>
        <w:annotationRef/>
      </w:r>
      <w:r>
        <w:t>Yes this is the key point</w:t>
      </w:r>
    </w:p>
  </w:comment>
  <w:comment w:id="2" w:author="Cashore, Benjamin" w:date="2019-03-10T23:03:00Z" w:initials="CB">
    <w:p w14:paraId="7F655D3A" w14:textId="399ED589" w:rsidR="004726C0" w:rsidRDefault="004726C0">
      <w:pPr>
        <w:pStyle w:val="CommentText"/>
      </w:pPr>
      <w:r>
        <w:rPr>
          <w:rStyle w:val="CommentReference"/>
        </w:rPr>
        <w:annotationRef/>
      </w:r>
      <w:r>
        <w:t>Again, it feels awkward to say “see for a review” as that is not relevant to our analysis.</w:t>
      </w:r>
    </w:p>
  </w:comment>
  <w:comment w:id="3" w:author="DJL" w:date="2019-03-12T07:59:00Z" w:initials="D">
    <w:p w14:paraId="1A86CD67" w14:textId="71C5C173" w:rsidR="004726C0" w:rsidRDefault="004726C0">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4" w:author="Cashore, Benjamin" w:date="2019-03-10T23:04:00Z" w:initials="CB">
    <w:p w14:paraId="48DDC670" w14:textId="24D4620B" w:rsidR="004726C0" w:rsidRDefault="004726C0">
      <w:pPr>
        <w:pStyle w:val="CommentText"/>
      </w:pPr>
      <w:r>
        <w:rPr>
          <w:rStyle w:val="CommentReference"/>
        </w:rPr>
        <w:annotationRef/>
      </w:r>
      <w:r>
        <w:t>This is good but up until now the article is only mentioning the dependent variable</w:t>
      </w:r>
      <w:proofErr w:type="gramStart"/>
      <w:r>
        <w:t>..</w:t>
      </w:r>
      <w:proofErr w:type="gramEnd"/>
    </w:p>
  </w:comment>
  <w:comment w:id="5" w:author="DJL" w:date="2019-03-12T08:17:00Z" w:initials="D">
    <w:p w14:paraId="349F9D14" w14:textId="7CE343C2" w:rsidR="004726C0" w:rsidRDefault="004726C0">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6" w:author="Cashore, Benjamin" w:date="2019-03-11T18:45:00Z" w:initials="CB">
    <w:p w14:paraId="64C0A180" w14:textId="488BC491" w:rsidR="004726C0" w:rsidRDefault="004726C0">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7" w:author="DJL" w:date="2019-03-12T08:32:00Z" w:initials="D">
    <w:p w14:paraId="77C6036C" w14:textId="29807405" w:rsidR="004726C0" w:rsidRDefault="004726C0">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8" w:author="DJL" w:date="2019-03-12T08:26:00Z" w:initials="D">
    <w:p w14:paraId="0941CF0F" w14:textId="16A4CD40" w:rsidR="004726C0" w:rsidRDefault="004726C0">
      <w:pPr>
        <w:pStyle w:val="CommentText"/>
      </w:pPr>
      <w:r>
        <w:rPr>
          <w:rStyle w:val="CommentReference"/>
        </w:rPr>
        <w:annotationRef/>
      </w:r>
      <w:r>
        <w:t>This is the sentence that sets up our hypothesis 2. It connects existing scholarship on differentiation explicitly to stringency</w:t>
      </w:r>
    </w:p>
  </w:comment>
  <w:comment w:id="10" w:author="DJL" w:date="2019-03-12T08:37:00Z" w:initials="D">
    <w:p w14:paraId="6BC1FE1A" w14:textId="391D7ABC" w:rsidR="004726C0" w:rsidRDefault="004726C0">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2" w:author="DJL" w:date="2019-03-12T00:11:00Z" w:initials="D">
    <w:p w14:paraId="0542508F" w14:textId="77777777" w:rsidR="004726C0" w:rsidRDefault="004726C0"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3" w:author="Cashore, Benjamin" w:date="2019-03-11T19:26:00Z" w:initials="CB">
    <w:p w14:paraId="5AF904BE" w14:textId="46FF3DDF" w:rsidR="004726C0" w:rsidRDefault="004726C0">
      <w:pPr>
        <w:pStyle w:val="CommentText"/>
      </w:pPr>
      <w:r>
        <w:rPr>
          <w:rStyle w:val="CommentReference"/>
        </w:rPr>
        <w:annotationRef/>
      </w:r>
      <w:r>
        <w:t>Shouldn’t this framework section come before the discussion of the literature that is too sweeping or conflated?</w:t>
      </w:r>
    </w:p>
  </w:comment>
  <w:comment w:id="14" w:author="DJL" w:date="2019-03-11T23:46:00Z" w:initials="D">
    <w:p w14:paraId="27FDACDA" w14:textId="42D027EA" w:rsidR="004726C0" w:rsidRDefault="004726C0">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5" w:author="Cashore, Benjamin" w:date="2019-03-11T19:27:00Z" w:initials="CB">
    <w:p w14:paraId="4A9B5FAD" w14:textId="25E0B1C9" w:rsidR="004726C0" w:rsidRDefault="004726C0">
      <w:pPr>
        <w:pStyle w:val="CommentText"/>
      </w:pPr>
      <w:r>
        <w:rPr>
          <w:rStyle w:val="CommentReference"/>
        </w:rPr>
        <w:annotationRef/>
      </w:r>
      <w:r>
        <w:t>Why not just focus on the FSC and SFI and make it more concrete?</w:t>
      </w:r>
    </w:p>
  </w:comment>
  <w:comment w:id="16" w:author="DJL" w:date="2019-03-12T00:08:00Z" w:initials="D">
    <w:p w14:paraId="13A59890" w14:textId="00ABD558" w:rsidR="004726C0" w:rsidRDefault="004726C0">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7" w:author="Constance McDermott" w:date="2019-03-11T16:29:00Z" w:initials="CM">
    <w:p w14:paraId="340A172A" w14:textId="1036253B" w:rsidR="004726C0" w:rsidRDefault="004726C0">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8" w:author="DJL" w:date="2019-03-11T16:32:00Z" w:initials="D">
    <w:p w14:paraId="2A6BAEA7" w14:textId="700D2C2E" w:rsidR="004726C0" w:rsidRDefault="004726C0">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20" w:author="Cashore, Benjamin" w:date="2019-03-11T19:06:00Z" w:initials="CB">
    <w:p w14:paraId="43FCDF82" w14:textId="77777777" w:rsidR="004726C0" w:rsidRDefault="004726C0" w:rsidP="00984DC4">
      <w:pPr>
        <w:pStyle w:val="CommentText"/>
      </w:pPr>
      <w:r>
        <w:rPr>
          <w:rStyle w:val="CommentReference"/>
        </w:rPr>
        <w:annotationRef/>
      </w:r>
      <w:r>
        <w:t>I see your point but presenting it here is a little awkward</w:t>
      </w:r>
    </w:p>
  </w:comment>
  <w:comment w:id="21" w:author="Microsoft Office User" w:date="2019-03-13T11:03:00Z" w:initials="MOU">
    <w:p w14:paraId="57175CB6" w14:textId="1A1CB789" w:rsidR="004726C0" w:rsidRDefault="004726C0"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5" w:author="Cashore, Benjamin" w:date="2019-03-11T19:23:00Z" w:initials="CB">
    <w:p w14:paraId="31E9E472" w14:textId="77777777" w:rsidR="004726C0" w:rsidRDefault="004726C0" w:rsidP="00984DC4">
      <w:pPr>
        <w:pStyle w:val="CommentText"/>
      </w:pPr>
      <w:r>
        <w:rPr>
          <w:rStyle w:val="CommentReference"/>
        </w:rPr>
        <w:annotationRef/>
      </w:r>
      <w:r>
        <w:t>Ok this is a key point and needs to be brought up to the beginning of the article…</w:t>
      </w:r>
    </w:p>
  </w:comment>
  <w:comment w:id="26" w:author="DJL" w:date="2019-03-12T00:04:00Z" w:initials="D">
    <w:p w14:paraId="74EDA880" w14:textId="77777777" w:rsidR="004726C0" w:rsidRDefault="004726C0"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7" w:author="Cashore, Benjamin" w:date="2019-03-11T19:23:00Z" w:initials="CB">
    <w:p w14:paraId="5C663474" w14:textId="77777777" w:rsidR="004726C0" w:rsidRDefault="004726C0" w:rsidP="00984DC4">
      <w:pPr>
        <w:pStyle w:val="CommentText"/>
      </w:pPr>
      <w:r>
        <w:rPr>
          <w:rStyle w:val="CommentReference"/>
        </w:rPr>
        <w:annotationRef/>
      </w:r>
      <w:r>
        <w:t>But what about the regulations such as reforestation that create immediate benefits but which aren’t really collective action issues?</w:t>
      </w:r>
    </w:p>
  </w:comment>
  <w:comment w:id="28" w:author="DJL" w:date="2019-03-12T00:06:00Z" w:initials="D">
    <w:p w14:paraId="57F72D04" w14:textId="77777777" w:rsidR="004726C0" w:rsidRDefault="004726C0"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726C0" w:rsidRDefault="004726C0" w:rsidP="002E5C5B">
      <w:r>
        <w:separator/>
      </w:r>
    </w:p>
  </w:endnote>
  <w:endnote w:type="continuationSeparator" w:id="0">
    <w:p w14:paraId="75634233" w14:textId="77777777" w:rsidR="004726C0" w:rsidRDefault="004726C0" w:rsidP="002E5C5B">
      <w:r>
        <w:continuationSeparator/>
      </w:r>
    </w:p>
  </w:endnote>
  <w:endnote w:type="continuationNotice" w:id="1">
    <w:p w14:paraId="302DFA56" w14:textId="77777777" w:rsidR="004726C0" w:rsidRDefault="0047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726C0" w:rsidRDefault="004726C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726C0" w:rsidRDefault="004726C0"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726C0" w:rsidRDefault="004726C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0A60">
      <w:rPr>
        <w:rStyle w:val="PageNumber"/>
        <w:noProof/>
      </w:rPr>
      <w:t>1</w:t>
    </w:r>
    <w:r>
      <w:rPr>
        <w:rStyle w:val="PageNumber"/>
      </w:rPr>
      <w:fldChar w:fldCharType="end"/>
    </w:r>
  </w:p>
  <w:p w14:paraId="63C7F481" w14:textId="77777777" w:rsidR="004726C0" w:rsidRDefault="004726C0"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726C0" w:rsidRDefault="004726C0" w:rsidP="002E5C5B">
      <w:r>
        <w:separator/>
      </w:r>
    </w:p>
  </w:footnote>
  <w:footnote w:type="continuationSeparator" w:id="0">
    <w:p w14:paraId="6DB8ED4E" w14:textId="77777777" w:rsidR="004726C0" w:rsidRDefault="004726C0" w:rsidP="002E5C5B">
      <w:r>
        <w:continuationSeparator/>
      </w:r>
    </w:p>
  </w:footnote>
  <w:footnote w:type="continuationNotice" w:id="1">
    <w:p w14:paraId="1C5930FC" w14:textId="77777777" w:rsidR="004726C0" w:rsidRDefault="004726C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726C0" w:rsidRDefault="004726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10.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11.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12.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13.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14.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15.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16.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17.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18.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19.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2.xml><?xml version="1.0" encoding="utf-8"?>
<ds:datastoreItem xmlns:ds="http://schemas.openxmlformats.org/officeDocument/2006/customXml" ds:itemID="{1E2A24DE-1E74-A341-B10D-9EE87EC5B48E}">
  <ds:schemaRefs>
    <ds:schemaRef ds:uri="http://schemas.openxmlformats.org/officeDocument/2006/bibliography"/>
  </ds:schemaRefs>
</ds:datastoreItem>
</file>

<file path=customXml/itemProps20.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21.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22.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23.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24.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25.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26.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27.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28.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29.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3.xml><?xml version="1.0" encoding="utf-8"?>
<ds:datastoreItem xmlns:ds="http://schemas.openxmlformats.org/officeDocument/2006/customXml" ds:itemID="{5578C10F-DD02-6349-B3F5-44D46C411EFD}">
  <ds:schemaRefs>
    <ds:schemaRef ds:uri="http://schemas.openxmlformats.org/officeDocument/2006/bibliography"/>
  </ds:schemaRefs>
</ds:datastoreItem>
</file>

<file path=customXml/itemProps30.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31.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32.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33.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34.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35.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36.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37.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38.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39.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4.xml><?xml version="1.0" encoding="utf-8"?>
<ds:datastoreItem xmlns:ds="http://schemas.openxmlformats.org/officeDocument/2006/customXml" ds:itemID="{62DE21A9-0CA0-1445-AF07-9F8BC4240B84}">
  <ds:schemaRefs>
    <ds:schemaRef ds:uri="http://schemas.openxmlformats.org/officeDocument/2006/bibliography"/>
  </ds:schemaRefs>
</ds:datastoreItem>
</file>

<file path=customXml/itemProps40.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41.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42.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43.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44.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45.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46.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47.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48.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49.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5.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50.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51.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52.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53.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54.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55.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56.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57.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58.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59.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6.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60.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61.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62.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63.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64.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65.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66.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67.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68.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69.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7.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70.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71.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72.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73.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74.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75.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76.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8.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9.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55</Pages>
  <Words>14657</Words>
  <Characters>83549</Characters>
  <Application>Microsoft Macintosh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16</cp:revision>
  <cp:lastPrinted>2018-09-07T15:16:00Z</cp:lastPrinted>
  <dcterms:created xsi:type="dcterms:W3CDTF">2019-03-13T21:17:00Z</dcterms:created>
  <dcterms:modified xsi:type="dcterms:W3CDTF">2019-03-14T14:31:00Z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