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Private</w:t>
      </w:r>
      <w:r>
        <w:t xml:space="preserve"> </w:t>
      </w:r>
      <w:r>
        <w:t xml:space="preserve">Regulations</w:t>
      </w:r>
      <w:r>
        <w:t xml:space="preserve"> </w:t>
      </w:r>
      <w:r>
        <w:t xml:space="preserve">Ratchet</w:t>
      </w:r>
      <w:r>
        <w:t xml:space="preserve"> </w:t>
      </w:r>
      <w:r>
        <w:t xml:space="preserve">Up?</w:t>
      </w:r>
    </w:p>
    <w:p>
      <w:pPr>
        <w:pStyle w:val="Subtitle"/>
      </w:pPr>
      <w:r>
        <w:t xml:space="preserve">How</w:t>
      </w:r>
      <w:r>
        <w:t xml:space="preserve"> </w:t>
      </w:r>
      <w:r>
        <w:t xml:space="preserve">to</w:t>
      </w:r>
      <w:r>
        <w:t xml:space="preserve"> </w:t>
      </w:r>
      <w:r>
        <w:t xml:space="preserve">distinguish</w:t>
      </w:r>
      <w:r>
        <w:t xml:space="preserve"> </w:t>
      </w:r>
      <w:r>
        <w:t xml:space="preserve">types</w:t>
      </w:r>
      <w:r>
        <w:t xml:space="preserve"> </w:t>
      </w:r>
      <w:r>
        <w:t xml:space="preserve">of</w:t>
      </w:r>
      <w:r>
        <w:t xml:space="preserve"> </w:t>
      </w:r>
      <w:r>
        <w:t xml:space="preserve">regulatory</w:t>
      </w:r>
      <w:r>
        <w:t xml:space="preserve"> </w:t>
      </w:r>
      <w:r>
        <w:t xml:space="preserve">stringency</w:t>
      </w:r>
    </w:p>
    <w:p>
      <w:pPr>
        <w:pStyle w:val="Date"/>
      </w:pPr>
      <w:r>
        <w:t xml:space="preserve">November</w:t>
      </w:r>
      <w:r>
        <w:t xml:space="preserve"> </w:t>
      </w:r>
      <w:r>
        <w:t xml:space="preserve">15,</w:t>
      </w:r>
      <w:r>
        <w:t xml:space="preserve"> </w:t>
      </w:r>
      <w:r>
        <w:t xml:space="preserve">2019</w:t>
      </w:r>
    </w:p>
    <w:p>
      <w:pPr>
        <w:pStyle w:val="Compact"/>
        <w:pStyle w:val="Abstract"/>
      </w:pPr>
      <w:r>
        <w:t xml:space="preserve">Due</w:t>
      </w:r>
      <w:r>
        <w:t xml:space="preserve"> </w:t>
      </w:r>
      <w:r>
        <w:t xml:space="preserve">to</w:t>
      </w:r>
      <w:r>
        <w:t xml:space="preserve"> </w:t>
      </w:r>
      <w:r>
        <w:t xml:space="preserve">inconsistent</w:t>
      </w:r>
      <w:r>
        <w:t xml:space="preserve"> </w:t>
      </w:r>
      <w:r>
        <w:t xml:space="preserve">concepts</w:t>
      </w:r>
      <w:r>
        <w:t xml:space="preserve"> </w:t>
      </w:r>
      <w:r>
        <w:t xml:space="preserve">of</w:t>
      </w:r>
      <w:r>
        <w:t xml:space="preserve"> </w:t>
      </w:r>
      <w:r>
        <w:t xml:space="preserve">regulatory</w:t>
      </w:r>
      <w:r>
        <w:t xml:space="preserve"> </w:t>
      </w:r>
      <w:r>
        <w:t xml:space="preserve">stringency,</w:t>
      </w:r>
      <w:r>
        <w:t xml:space="preserve"> </w:t>
      </w:r>
      <w:r>
        <w:t xml:space="preserve">scholars</w:t>
      </w:r>
      <w:r>
        <w:t xml:space="preserve"> </w:t>
      </w:r>
      <w:r>
        <w:t xml:space="preserve">offer</w:t>
      </w:r>
      <w:r>
        <w:t xml:space="preserve"> </w:t>
      </w:r>
      <w:r>
        <w:t xml:space="preserve">conflicting</w:t>
      </w:r>
      <w:r>
        <w:t xml:space="preserve"> </w:t>
      </w:r>
      <w:r>
        <w:t xml:space="preserve">accounts</w:t>
      </w:r>
      <w:r>
        <w:t xml:space="preserve"> </w:t>
      </w:r>
      <w:r>
        <w:t xml:space="preserve">about</w:t>
      </w:r>
      <w:r>
        <w:t xml:space="preserve"> </w:t>
      </w:r>
      <w:r>
        <w:t xml:space="preserve">whether</w:t>
      </w:r>
      <w:r>
        <w:t xml:space="preserve"> </w:t>
      </w:r>
      <w:r>
        <w:t xml:space="preserve">competing</w:t>
      </w:r>
      <w:r>
        <w:t xml:space="preserve"> </w:t>
      </w:r>
      <w:r>
        <w:t xml:space="preserve">private</w:t>
      </w:r>
      <w:r>
        <w:t xml:space="preserve"> </w:t>
      </w:r>
      <w:r>
        <w:t xml:space="preserve">governance</w:t>
      </w:r>
      <w:r>
        <w:t xml:space="preserve"> </w:t>
      </w:r>
      <w:r>
        <w:t xml:space="preserve">initiatives</w:t>
      </w:r>
      <w:r>
        <w:t xml:space="preserve"> </w:t>
      </w:r>
      <w:r>
        <w:t xml:space="preserve">“</w:t>
      </w:r>
      <w:r>
        <w:t xml:space="preserve">race</w:t>
      </w:r>
      <w:r>
        <w:t xml:space="preserve"> </w:t>
      </w:r>
      <w:r>
        <w:t xml:space="preserve">to</w:t>
      </w:r>
      <w:r>
        <w:t xml:space="preserve"> </w:t>
      </w:r>
      <w:r>
        <w:t xml:space="preserve">the</w:t>
      </w:r>
      <w:r>
        <w:t xml:space="preserve"> </w:t>
      </w:r>
      <w:r>
        <w:t xml:space="preserve">bottom,</w:t>
      </w:r>
      <w:r>
        <w:t xml:space="preserve">”</w:t>
      </w:r>
      <w:r>
        <w:t xml:space="preserve"> </w:t>
      </w:r>
      <w:r>
        <w:t xml:space="preserve">“</w:t>
      </w:r>
      <w:r>
        <w:t xml:space="preserve">ratchet</w:t>
      </w:r>
      <w:r>
        <w:t xml:space="preserve"> </w:t>
      </w:r>
      <w:r>
        <w:t xml:space="preserve">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To</w:t>
      </w:r>
      <w:r>
        <w:t xml:space="preserve"> </w:t>
      </w:r>
      <w:r>
        <w:t xml:space="preserve">remedy</w:t>
      </w:r>
      <w:r>
        <w:t xml:space="preserve"> </w:t>
      </w:r>
      <w:r>
        <w:t xml:space="preserve">this,</w:t>
      </w:r>
      <w:r>
        <w:t xml:space="preserve"> </w:t>
      </w:r>
      <w:r>
        <w:t xml:space="preserve">we</w:t>
      </w:r>
      <w:r>
        <w:t xml:space="preserve"> </w:t>
      </w:r>
      <w:r>
        <w:t xml:space="preserve">offer</w:t>
      </w:r>
      <w:r>
        <w:t xml:space="preserve"> </w:t>
      </w:r>
      <w:r>
        <w:t xml:space="preserve">a</w:t>
      </w:r>
      <w:r>
        <w:t xml:space="preserve"> </w:t>
      </w:r>
      <w:r>
        <w:t xml:space="preserve">framework</w:t>
      </w:r>
      <w:r>
        <w:t xml:space="preserve"> </w:t>
      </w:r>
      <w:r>
        <w:t xml:space="preserve">for</w:t>
      </w:r>
      <w:r>
        <w:t xml:space="preserve"> </w:t>
      </w:r>
      <w:r>
        <w:t xml:space="preserve">more</w:t>
      </w:r>
      <w:r>
        <w:t xml:space="preserve"> </w:t>
      </w:r>
      <w:r>
        <w:t xml:space="preserve">systematic</w:t>
      </w:r>
      <w:r>
        <w:t xml:space="preserve"> </w:t>
      </w:r>
      <w:r>
        <w:t xml:space="preserve">comparisons</w:t>
      </w:r>
      <w:r>
        <w:t xml:space="preserve"> </w:t>
      </w:r>
      <w:r>
        <w:t xml:space="preserve">across</w:t>
      </w:r>
      <w:r>
        <w:t xml:space="preserve"> </w:t>
      </w:r>
      <w:r>
        <w:t xml:space="preserve">programs</w:t>
      </w:r>
      <w:r>
        <w:t xml:space="preserve"> </w:t>
      </w:r>
      <w:r>
        <w:t xml:space="preserve">and</w:t>
      </w:r>
      <w:r>
        <w:t xml:space="preserve"> </w:t>
      </w:r>
      <w:r>
        <w:t xml:space="preserve">over</w:t>
      </w:r>
      <w:r>
        <w:t xml:space="preserve"> </w:t>
      </w:r>
      <w:r>
        <w:t xml:space="preserve">time.</w:t>
      </w:r>
      <w:r>
        <w:t xml:space="preserve"> </w:t>
      </w:r>
      <w:r>
        <w:t xml:space="preserve">We</w:t>
      </w:r>
      <w:r>
        <w:t xml:space="preserve"> </w:t>
      </w:r>
      <w:r>
        <w:t xml:space="preserve">distinguish</w:t>
      </w:r>
      <w:r>
        <w:t xml:space="preserve"> </w:t>
      </w:r>
      <w:r>
        <w:t xml:space="preserve">three</w:t>
      </w:r>
      <w:r>
        <w:t xml:space="preserve"> </w:t>
      </w:r>
      <w:r>
        <w:t xml:space="preserve">often-conflated</w:t>
      </w:r>
      <w:r>
        <w:t xml:space="preserve"> </w:t>
      </w:r>
      <w:r>
        <w:t xml:space="preserve">measures</w:t>
      </w:r>
      <w:r>
        <w:t xml:space="preserve"> </w:t>
      </w:r>
      <w:r>
        <w:t xml:space="preserve">of</w:t>
      </w:r>
      <w:r>
        <w:t xml:space="preserve"> </w:t>
      </w:r>
      <w:r>
        <w:t xml:space="preserve">stringency:</w:t>
      </w:r>
      <w:r>
        <w:t xml:space="preserve"> </w:t>
      </w:r>
      <w:r>
        <w:t xml:space="preserve">regulatory</w:t>
      </w:r>
      <w:r>
        <w:t xml:space="preserve"> </w:t>
      </w:r>
      <w:r>
        <w:t xml:space="preserve">scope,</w:t>
      </w:r>
      <w:r>
        <w:t xml:space="preserve"> </w:t>
      </w:r>
      <w:r>
        <w:t xml:space="preserve">prescriptiveness,</w:t>
      </w:r>
      <w:r>
        <w:t xml:space="preserve"> </w:t>
      </w:r>
      <w:r>
        <w:t xml:space="preserve">and</w:t>
      </w:r>
      <w:r>
        <w:t xml:space="preserve"> </w:t>
      </w:r>
      <w:r>
        <w:t xml:space="preserve">performance</w:t>
      </w:r>
      <w:r>
        <w:t xml:space="preserve"> </w:t>
      </w:r>
      <w:r>
        <w:t xml:space="preserve">levels.</w:t>
      </w:r>
      <w:r>
        <w:t xml:space="preserve"> </w:t>
      </w:r>
      <w:r>
        <w:t xml:space="preserve">Applying</w:t>
      </w:r>
      <w:r>
        <w:t xml:space="preserve"> </w:t>
      </w:r>
      <w:r>
        <w:t xml:space="preserve">this</w:t>
      </w:r>
      <w:r>
        <w:t xml:space="preserve"> </w:t>
      </w:r>
      <w:r>
        <w:t xml:space="preserve">framework,</w:t>
      </w:r>
      <w:r>
        <w:t xml:space="preserve"> </w:t>
      </w:r>
      <w:r>
        <w:t xml:space="preserve">we</w:t>
      </w:r>
      <w:r>
        <w:t xml:space="preserve"> </w:t>
      </w:r>
      <w:r>
        <w:t xml:space="preserve">compare</w:t>
      </w:r>
      <w:r>
        <w:t xml:space="preserve"> </w:t>
      </w:r>
      <w:r>
        <w:t xml:space="preserve">competing</w:t>
      </w:r>
      <w:r>
        <w:t xml:space="preserve"> </w:t>
      </w:r>
      <w:r>
        <w:t xml:space="preserve">U.S.</w:t>
      </w:r>
      <w:r>
        <w:t xml:space="preserve"> </w:t>
      </w:r>
      <w:r>
        <w:t xml:space="preserve">forestry</w:t>
      </w:r>
      <w:r>
        <w:t xml:space="preserve"> </w:t>
      </w:r>
      <w:r>
        <w:t xml:space="preserve">certification</w:t>
      </w:r>
      <w:r>
        <w:t xml:space="preserve"> </w:t>
      </w:r>
      <w:r>
        <w:t xml:space="preserve">programs,</w:t>
      </w:r>
      <w:r>
        <w:t xml:space="preserve"> </w:t>
      </w:r>
      <w:r>
        <w:t xml:space="preserve">one</w:t>
      </w:r>
      <w:r>
        <w:t xml:space="preserve"> </w:t>
      </w:r>
      <w:r>
        <w:t xml:space="preserve">founded</w:t>
      </w:r>
      <w:r>
        <w:t xml:space="preserve"> </w:t>
      </w:r>
      <w:r>
        <w:t xml:space="preserve">by</w:t>
      </w:r>
      <w:r>
        <w:t xml:space="preserve"> </w:t>
      </w:r>
      <w:r>
        <w:t xml:space="preserve">environmental</w:t>
      </w:r>
      <w:r>
        <w:t xml:space="preserve"> </w:t>
      </w:r>
      <w:r>
        <w:t xml:space="preserve">activists</w:t>
      </w:r>
      <w:r>
        <w:t xml:space="preserve"> </w:t>
      </w:r>
      <w:r>
        <w:t xml:space="preserve">and</w:t>
      </w:r>
      <w:r>
        <w:t xml:space="preserve"> </w:t>
      </w:r>
      <w:r>
        <w:t xml:space="preserve">their</w:t>
      </w:r>
      <w:r>
        <w:t xml:space="preserve"> </w:t>
      </w:r>
      <w:r>
        <w:t xml:space="preserve">allies,</w:t>
      </w:r>
      <w:r>
        <w:t xml:space="preserve"> </w:t>
      </w:r>
      <w:r>
        <w:t xml:space="preserve">the</w:t>
      </w:r>
      <w:r>
        <w:t xml:space="preserve"> </w:t>
      </w:r>
      <w:r>
        <w:t xml:space="preserve">other</w:t>
      </w:r>
      <w:r>
        <w:t xml:space="preserve"> </w:t>
      </w:r>
      <w:r>
        <w:t xml:space="preserve">by</w:t>
      </w:r>
      <w:r>
        <w:t xml:space="preserve"> </w:t>
      </w:r>
      <w:r>
        <w:t xml:space="preserve">the</w:t>
      </w:r>
      <w:r>
        <w:t xml:space="preserve"> </w:t>
      </w:r>
      <w:r>
        <w:t xml:space="preserve">national</w:t>
      </w:r>
      <w:r>
        <w:t xml:space="preserve"> </w:t>
      </w:r>
      <w:r>
        <w:t xml:space="preserve">industry</w:t>
      </w:r>
      <w:r>
        <w:t xml:space="preserve"> </w:t>
      </w:r>
      <w:r>
        <w:t xml:space="preserve">association.</w:t>
      </w:r>
      <w:r>
        <w:t xml:space="preserve"> </w:t>
      </w:r>
      <w:r>
        <w:t xml:space="preserve">We</w:t>
      </w:r>
      <w:r>
        <w:t xml:space="preserve"> </w:t>
      </w:r>
      <w:r>
        <w:t xml:space="preserve">find</w:t>
      </w:r>
      <w:r>
        <w:t xml:space="preserve"> </w:t>
      </w:r>
      <w:r>
        <w:t xml:space="preserve">‘</w:t>
      </w:r>
      <w:r>
        <w:t xml:space="preserve">upwardly</w:t>
      </w:r>
      <w:r>
        <w:t xml:space="preserve"> </w:t>
      </w:r>
      <w:r>
        <w:t xml:space="preserve">divergent</w:t>
      </w:r>
      <w:r>
        <w:t xml:space="preserve">’</w:t>
      </w:r>
      <w:r>
        <w:t xml:space="preserve"> </w:t>
      </w:r>
      <w:r>
        <w:t xml:space="preserve">policy</w:t>
      </w:r>
      <w:r>
        <w:t xml:space="preserve"> </w:t>
      </w:r>
      <w:r>
        <w:t xml:space="preserve">prescriptiveness:</w:t>
      </w:r>
      <w:r>
        <w:t xml:space="preserve"> </w:t>
      </w:r>
      <w:r>
        <w:t xml:space="preserve">both</w:t>
      </w:r>
      <w:r>
        <w:t xml:space="preserve"> </w:t>
      </w:r>
      <w:r>
        <w:t xml:space="preserve">programs</w:t>
      </w:r>
      <w:r>
        <w:t xml:space="preserve"> </w:t>
      </w:r>
      <w:r>
        <w:t xml:space="preserve">increased</w:t>
      </w:r>
      <w:r>
        <w:t xml:space="preserve"> </w:t>
      </w:r>
      <w:r>
        <w:t xml:space="preserve">in</w:t>
      </w:r>
      <w:r>
        <w:t xml:space="preserve"> </w:t>
      </w:r>
      <w:r>
        <w:t xml:space="preserve">prescriptiveness</w:t>
      </w:r>
      <w:r>
        <w:t xml:space="preserve"> </w:t>
      </w:r>
      <w:r>
        <w:t xml:space="preserve">but</w:t>
      </w:r>
      <w:r>
        <w:t xml:space="preserve"> </w:t>
      </w:r>
      <w:r>
        <w:t xml:space="preserve">this</w:t>
      </w:r>
      <w:r>
        <w:t xml:space="preserve"> </w:t>
      </w:r>
      <w:r>
        <w:t xml:space="preserve">increase</w:t>
      </w:r>
      <w:r>
        <w:t xml:space="preserve"> </w:t>
      </w:r>
      <w:r>
        <w:t xml:space="preserve">was</w:t>
      </w:r>
      <w:r>
        <w:t xml:space="preserve"> </w:t>
      </w:r>
      <w:r>
        <w:t xml:space="preserve">greater</w:t>
      </w:r>
      <w:r>
        <w:t xml:space="preserve"> </w:t>
      </w:r>
      <w:r>
        <w:t xml:space="preserve">for</w:t>
      </w:r>
      <w:r>
        <w:t xml:space="preserve"> </w:t>
      </w:r>
      <w:r>
        <w:t xml:space="preserve">the</w:t>
      </w:r>
      <w:r>
        <w:t xml:space="preserve"> </w:t>
      </w:r>
      <w:r>
        <w:t xml:space="preserve">activist-backed</w:t>
      </w:r>
      <w:r>
        <w:t xml:space="preserve"> </w:t>
      </w:r>
      <w:r>
        <w:t xml:space="preserve">program.</w:t>
      </w:r>
      <w:r>
        <w:t xml:space="preserve"> </w:t>
      </w:r>
      <w:r>
        <w:t xml:space="preserve">Furthermore,</w:t>
      </w:r>
      <w:r>
        <w:t xml:space="preserve"> </w:t>
      </w:r>
      <w:r>
        <w:t xml:space="preserve">requirements</w:t>
      </w:r>
      <w:r>
        <w:t xml:space="preserve"> </w:t>
      </w:r>
      <w:r>
        <w:t xml:space="preserve">added</w:t>
      </w:r>
      <w:r>
        <w:t xml:space="preserve"> </w:t>
      </w:r>
      <w:r>
        <w:t xml:space="preserve">by</w:t>
      </w:r>
      <w:r>
        <w:t xml:space="preserve"> </w:t>
      </w:r>
      <w:r>
        <w:t xml:space="preserve">the</w:t>
      </w:r>
      <w:r>
        <w:t xml:space="preserve"> </w:t>
      </w:r>
      <w:r>
        <w:t xml:space="preserve">activist-backed</w:t>
      </w:r>
      <w:r>
        <w:t xml:space="preserve"> </w:t>
      </w:r>
      <w:r>
        <w:t xml:space="preserve">program</w:t>
      </w:r>
      <w:r>
        <w:t xml:space="preserve"> </w:t>
      </w:r>
      <w:r>
        <w:t xml:space="preserve">were</w:t>
      </w:r>
      <w:r>
        <w:t xml:space="preserve"> </w:t>
      </w:r>
      <w:r>
        <w:t xml:space="preserve">more</w:t>
      </w:r>
      <w:r>
        <w:t xml:space="preserve"> </w:t>
      </w:r>
      <w:r>
        <w:t xml:space="preserve">likely</w:t>
      </w:r>
      <w:r>
        <w:t xml:space="preserve"> </w:t>
      </w:r>
      <w:r>
        <w:t xml:space="preserve">to</w:t>
      </w:r>
      <w:r>
        <w:t xml:space="preserve"> </w:t>
      </w:r>
      <w:r>
        <w:t xml:space="preserve">impose</w:t>
      </w:r>
      <w:r>
        <w:t xml:space="preserve"> </w:t>
      </w:r>
      <w:r>
        <w:t xml:space="preserve">costs</w:t>
      </w:r>
      <w:r>
        <w:t xml:space="preserve"> </w:t>
      </w:r>
      <w:r>
        <w:t xml:space="preserve">on</w:t>
      </w:r>
      <w:r>
        <w:t xml:space="preserve"> </w:t>
      </w:r>
      <w:r>
        <w:t xml:space="preserve">firms</w:t>
      </w:r>
      <w:r>
        <w:t xml:space="preserve"> </w:t>
      </w:r>
      <w:r>
        <w:t xml:space="preserve">than</w:t>
      </w:r>
      <w:r>
        <w:t xml:space="preserve"> </w:t>
      </w:r>
      <w:r>
        <w:t xml:space="preserve">requirements</w:t>
      </w:r>
      <w:r>
        <w:t xml:space="preserve"> </w:t>
      </w:r>
      <w:r>
        <w:t xml:space="preserve">added</w:t>
      </w:r>
      <w:r>
        <w:t xml:space="preserve"> </w:t>
      </w:r>
      <w:r>
        <w:t xml:space="preserve">by</w:t>
      </w:r>
      <w:r>
        <w:t xml:space="preserve"> </w:t>
      </w:r>
      <w:r>
        <w:t xml:space="preserve">the</w:t>
      </w:r>
      <w:r>
        <w:t xml:space="preserve"> </w:t>
      </w:r>
      <w:r>
        <w:t xml:space="preserve">industry-backed</w:t>
      </w:r>
      <w:r>
        <w:t xml:space="preserve"> </w:t>
      </w:r>
      <w:r>
        <w:t xml:space="preserve">program,</w:t>
      </w:r>
      <w:r>
        <w:t xml:space="preserve"> </w:t>
      </w:r>
      <w:r>
        <w:t xml:space="preserve">many</w:t>
      </w:r>
      <w:r>
        <w:t xml:space="preserve"> </w:t>
      </w:r>
      <w:r>
        <w:t xml:space="preserve">of</w:t>
      </w:r>
      <w:r>
        <w:t xml:space="preserve"> </w:t>
      </w:r>
      <w:r>
        <w:t xml:space="preserve">which</w:t>
      </w:r>
      <w:r>
        <w:t xml:space="preserve"> </w:t>
      </w:r>
      <w:r>
        <w:t xml:space="preserve">may</w:t>
      </w:r>
      <w:r>
        <w:t xml:space="preserve"> </w:t>
      </w:r>
      <w:r>
        <w:t xml:space="preserve">even</w:t>
      </w:r>
      <w:r>
        <w:t xml:space="preserve"> </w:t>
      </w:r>
      <w:r>
        <w:t xml:space="preserve">benefit</w:t>
      </w:r>
      <w:r>
        <w:t xml:space="preserve"> </w:t>
      </w:r>
      <w:r>
        <w:t xml:space="preserve">firms.</w:t>
      </w:r>
      <w:r>
        <w:t xml:space="preserve"> </w:t>
      </w:r>
      <w:r>
        <w:t xml:space="preserve">These</w:t>
      </w:r>
      <w:r>
        <w:t xml:space="preserve"> </w:t>
      </w:r>
      <w:r>
        <w:t xml:space="preserve">results</w:t>
      </w:r>
      <w:r>
        <w:t xml:space="preserve"> </w:t>
      </w:r>
      <w:r>
        <w:t xml:space="preserve">are</w:t>
      </w:r>
      <w:r>
        <w:t xml:space="preserve"> </w:t>
      </w:r>
      <w:r>
        <w:t xml:space="preserve">consistent</w:t>
      </w:r>
      <w:r>
        <w:t xml:space="preserve"> </w:t>
      </w:r>
      <w:r>
        <w:t xml:space="preserve">with</w:t>
      </w:r>
      <w:r>
        <w:t xml:space="preserve"> </w:t>
      </w:r>
      <w:r>
        <w:t xml:space="preserve">the</w:t>
      </w:r>
      <w:r>
        <w:t xml:space="preserve"> </w:t>
      </w:r>
      <w:r>
        <w:t xml:space="preserve">hypothesis</w:t>
      </w:r>
      <w:r>
        <w:t xml:space="preserve"> </w:t>
      </w:r>
      <w:r>
        <w:t xml:space="preserve">that</w:t>
      </w:r>
      <w:r>
        <w:t xml:space="preserve"> </w:t>
      </w:r>
      <w:r>
        <w:t xml:space="preserve">industry-backed</w:t>
      </w:r>
      <w:r>
        <w:t xml:space="preserve"> </w:t>
      </w:r>
      <w:r>
        <w:t xml:space="preserve">programs</w:t>
      </w:r>
      <w:r>
        <w:t xml:space="preserve"> </w:t>
      </w:r>
      <w:r>
        <w:t xml:space="preserve">emphasize</w:t>
      </w:r>
      <w:r>
        <w:t xml:space="preserve"> </w:t>
      </w:r>
      <w:r>
        <w:t xml:space="preserve">less</w:t>
      </w:r>
      <w:r>
        <w:t xml:space="preserve"> </w:t>
      </w:r>
      <w:r>
        <w:t xml:space="preserve">costly</w:t>
      </w:r>
      <w:r>
        <w:t xml:space="preserve"> </w:t>
      </w:r>
      <w:r>
        <w:t xml:space="preserve">types</w:t>
      </w:r>
      <w:r>
        <w:t xml:space="preserve"> </w:t>
      </w:r>
      <w:r>
        <w:t xml:space="preserve">of</w:t>
      </w:r>
      <w:r>
        <w:t xml:space="preserve"> </w:t>
      </w:r>
      <w:r>
        <w:t xml:space="preserve">stringency</w:t>
      </w:r>
      <w:r>
        <w:t xml:space="preserve"> </w:t>
      </w:r>
      <w:r>
        <w:t xml:space="preserve">than</w:t>
      </w:r>
      <w:r>
        <w:t xml:space="preserve"> </w:t>
      </w:r>
      <w:r>
        <w:t xml:space="preserve">activist-backed</w:t>
      </w:r>
      <w:r>
        <w:t xml:space="preserve"> </w:t>
      </w:r>
      <w:r>
        <w:t xml:space="preserve">programs.</w:t>
      </w:r>
      <w:r>
        <w:t xml:space="preserve"> </w:t>
      </w:r>
      <w:r>
        <w:t xml:space="preserve">They</w:t>
      </w:r>
      <w:r>
        <w:t xml:space="preserve"> </w:t>
      </w:r>
      <w:r>
        <w:t xml:space="preserve">also</w:t>
      </w:r>
      <w:r>
        <w:t xml:space="preserve"> </w:t>
      </w:r>
      <w:r>
        <w:t xml:space="preserve">reveal</w:t>
      </w:r>
      <w:r>
        <w:t xml:space="preserve"> </w:t>
      </w:r>
      <w:r>
        <w:t xml:space="preserve">patterns</w:t>
      </w:r>
      <w:r>
        <w:t xml:space="preserve"> </w:t>
      </w:r>
      <w:r>
        <w:t xml:space="preserve">of</w:t>
      </w:r>
      <w:r>
        <w:t xml:space="preserve"> </w:t>
      </w:r>
      <w:r>
        <w:t xml:space="preserve">change</w:t>
      </w:r>
      <w:r>
        <w:t xml:space="preserve"> </w:t>
      </w:r>
      <w:r>
        <w:t xml:space="preserve">that</w:t>
      </w:r>
      <w:r>
        <w:t xml:space="preserve"> </w:t>
      </w:r>
      <w:r>
        <w:t xml:space="preserve">previous</w:t>
      </w:r>
      <w:r>
        <w:t xml:space="preserve"> </w:t>
      </w:r>
      <w:r>
        <w:t xml:space="preserve">scholarship</w:t>
      </w:r>
      <w:r>
        <w:t xml:space="preserve"> </w:t>
      </w:r>
      <w:r>
        <w:t xml:space="preserve">failed</w:t>
      </w:r>
      <w:r>
        <w:t xml:space="preserve"> </w:t>
      </w:r>
      <w:r>
        <w:t xml:space="preserve">to</w:t>
      </w:r>
      <w:r>
        <w:t xml:space="preserve"> </w:t>
      </w:r>
      <w:r>
        <w:t xml:space="preserve">anticipate,</w:t>
      </w:r>
      <w:r>
        <w:t xml:space="preserve"> </w:t>
      </w:r>
      <w:r>
        <w:t xml:space="preserve">illustrating</w:t>
      </w:r>
      <w:r>
        <w:t xml:space="preserve"> </w:t>
      </w:r>
      <w:r>
        <w:t xml:space="preserve">how</w:t>
      </w:r>
      <w:r>
        <w:t xml:space="preserve"> </w:t>
      </w:r>
      <w:r>
        <w:t xml:space="preserve">disentangling</w:t>
      </w:r>
      <w:r>
        <w:t xml:space="preserve"> </w:t>
      </w:r>
      <w:r>
        <w:t xml:space="preserve">types</w:t>
      </w:r>
      <w:r>
        <w:t xml:space="preserve"> </w:t>
      </w:r>
      <w:r>
        <w:t xml:space="preserve">of</w:t>
      </w:r>
      <w:r>
        <w:t xml:space="preserve"> </w:t>
      </w:r>
      <w:r>
        <w:t xml:space="preserve">stringency</w:t>
      </w:r>
      <w:r>
        <w:t xml:space="preserve"> </w:t>
      </w:r>
      <w:r>
        <w:t xml:space="preserve">can</w:t>
      </w:r>
      <w:r>
        <w:t xml:space="preserve"> </w:t>
      </w:r>
      <w:r>
        <w:t xml:space="preserve">improve</w:t>
      </w:r>
      <w:r>
        <w:t xml:space="preserve"> </w:t>
      </w:r>
      <w:r>
        <w:t xml:space="preserve">theory</w:t>
      </w:r>
      <w:r>
        <w:t xml:space="preserve"> </w:t>
      </w:r>
      <w:r>
        <w:t xml:space="preserve">building</w:t>
      </w:r>
      <w:r>
        <w:t xml:space="preserve"> </w:t>
      </w:r>
      <w:r>
        <w:t xml:space="preserve">and</w:t>
      </w:r>
      <w:r>
        <w:t xml:space="preserve"> </w:t>
      </w:r>
      <w:r>
        <w:t xml:space="preserve">testing.</w:t>
      </w:r>
    </w:p>
    <w:p>
      <w:r>
        <w:br w:type="page"/>
      </w:r>
    </w:p>
    <w:p>
      <w:pPr>
        <w:pStyle w:val="Heading1"/>
      </w:pPr>
      <w:bookmarkStart w:id="20" w:name="introduction"/>
      <w:r>
        <w:t xml:space="preserve">Introduction</w:t>
      </w:r>
      <w:bookmarkEnd w:id="20"/>
    </w:p>
    <w:p>
      <w:pPr>
        <w:pStyle w:val="FirstParagraph"/>
      </w:pPr>
      <w:r>
        <w:t xml:space="preserve">Private governance initiatives, such as product certification programs, have targeted farm and factory working conditions, greenhouse gas emissions, and fishery, mining, and forest management</w:t>
      </w:r>
      <w:r>
        <w:t xml:space="preserve"> </w:t>
      </w:r>
      <w:r>
        <w:t xml:space="preserve">(Auld 2014; Bartley 2003; Bozzi et al. 2012; Hudson and Hudson 2003; Ven 2015; Vince and Haward 2017)</w:t>
      </w:r>
      <w:r>
        <w:t xml:space="preserve">. Many of these programs were founded by activists who were dissatisfied with public regulations. Activists use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to pressure companies to comply with certification programs that often exceed the requirements of public laws</w:t>
      </w:r>
      <w:r>
        <w:t xml:space="preserve"> </w:t>
      </w:r>
      <w:r>
        <w:t xml:space="preserve">(Cashore 2002)</w:t>
      </w:r>
      <w:r>
        <w:t xml:space="preserve">. When companies agree to add certification requirements to their purchasing policies and contracts, those certification programs gain the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Public debates among supporters of activist-backed programs and industry-backed alternatives often center on the relative stringency of each program’s regulatory requirements. The perceived stringency of a program’s requirements is often central to both positive and negative evaluations of legitimacy among stakeholders, both those a program aims to empower and those it aims to regulate.</w:t>
      </w:r>
      <w:r>
        <w:rPr>
          <w:rStyle w:val="FootnoteReference"/>
        </w:rPr>
        <w:footnoteReference w:id="21"/>
      </w:r>
      <w:r>
        <w:t xml:space="preserve"> </w:t>
      </w:r>
      <w:r>
        <w:t xml:space="preserve">That is, activist endorsement of a product certification program, buyers’ demand for products certified by that program, and sellers’ decisions to comply with that program’s requirements depend on each actor’s perceptions of the program’s stringency. Public claims about stringency are part of a process through which competing programs gain or lose stakeholder support, market power, and thus policymaking authority</w:t>
      </w:r>
      <w:r>
        <w:t xml:space="preserve"> </w:t>
      </w:r>
      <w:r>
        <w:t xml:space="preserve">(Bartley 2007; Bodansky 1999; Cashore 2002)</w:t>
      </w:r>
      <w:r>
        <w:t xml:space="preserve">.</w:t>
      </w:r>
    </w:p>
    <w:p>
      <w:pPr>
        <w:pStyle w:val="BodyText"/>
      </w:pPr>
      <w:r>
        <w:t xml:space="preserve">Concepts of regulatory stringency are also at the center of conflicting theoretical and empirical claims from scholars across political science, economics, and sociology, concerning the likely effects and future trajectories of private regulations. A key motivation behind this research is to assess whether the social and market forces that shape private regulations lead to patterns similar to those observed in public regulations, such as a</w:t>
      </w:r>
      <w:r>
        <w:t xml:space="preserve"> </w:t>
      </w:r>
      <w:r>
        <w:t xml:space="preserve">“</w:t>
      </w:r>
      <w:r>
        <w:t xml:space="preserve">race to the bottom</w:t>
      </w:r>
      <w:r>
        <w:t xml:space="preserve">”</w:t>
      </w:r>
      <w:r>
        <w:t xml:space="preserve"> </w:t>
      </w:r>
      <w:r>
        <w:t xml:space="preserve">as governments or programs try to attract firms with less stringent regulations,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Vogel 1995)</w:t>
      </w:r>
      <w:r>
        <w:t xml:space="preserve">. While public policy scholars have spent a great deal of effort developing concepts of regulatory stringency and policy change needed to assess these hypotheses</w:t>
      </w:r>
      <w:r>
        <w:t xml:space="preserve"> </w:t>
      </w:r>
      <w:r>
        <w:t xml:space="preserve">(Green-Pedersen 2007; Hall 1993; Howlett and Cashore 2014)</w:t>
      </w:r>
      <w:r>
        <w:t xml:space="preserve">, private governance scholarship gives much less attention to measuring policy change or regulatory stringency. This limited attention has led to seemingly contradictory empirical findings and hindered theory development and testing about how and why private regulations change.</w:t>
      </w:r>
    </w:p>
    <w:p>
      <w:pPr>
        <w:pStyle w:val="BodyText"/>
      </w:pPr>
      <w:r>
        <w:t xml:space="preserve">As noted by</w:t>
      </w:r>
      <w:r>
        <w:t xml:space="preserve"> </w:t>
      </w:r>
      <w:r>
        <w:t xml:space="preserve">Brunel and Levinson (2016)</w:t>
      </w:r>
      <w:r>
        <w:t xml:space="preserve"> </w:t>
      </w:r>
      <w:r>
        <w:t xml:space="preserve">and</w:t>
      </w:r>
      <w:r>
        <w:t xml:space="preserve"> </w:t>
      </w:r>
      <w:r>
        <w:t xml:space="preserve">Howlett and Cashore (2007)</w:t>
      </w:r>
      <w:r>
        <w:t xml:space="preserve">, concepts of stringency in existing work tend to be either insufficiently precise to be consistently applied across programs, insufficiently comprehensive to yield consistent results, or completely absent.</w:t>
      </w:r>
    </w:p>
    <w:p>
      <w:pPr>
        <w:pStyle w:val="BodyText"/>
      </w:pPr>
      <w:r>
        <w:t xml:space="preserve">To address this gap, we build on taxonomies from the public policy literature to offer a two-part framework to describe and compare regulations over time. Part one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terminology to describe how various regulations in the same policy space may change over time. Such a systematic framework is especially critical where complex regulatory standards contain many different social, environmental, and economic requirements. It also clarifies debates where programs backed by different coalitions develop alternative standards and compete for legitimacy and regulatory authority.</w:t>
      </w:r>
    </w:p>
    <w:p>
      <w:pPr>
        <w:pStyle w:val="BodyText"/>
      </w:pPr>
      <w:r>
        <w:t xml:space="preserve">We proceed in the following steps. Section two maps the different concepts and measures of regulatory stringency in existing private governance scholarship. Section three details our framework for measuring regulatory stringency. Section four applies the framework to compare competing certification programs in the U.S. forestry sector, arguably one of the most institutionalized areas of private regulation. Section five discusses the implications of our results and outlines future research questions emerging from our findings.</w:t>
      </w:r>
    </w:p>
    <w:p>
      <w:pPr>
        <w:pStyle w:val="Heading1"/>
      </w:pPr>
      <w:bookmarkStart w:id="22" w:name="regulatory-stringency-as-a-variable"/>
      <w:r>
        <w:t xml:space="preserve">Regulatory Stringency as a Variable</w:t>
      </w:r>
      <w:bookmarkEnd w:id="22"/>
    </w:p>
    <w:p>
      <w:pPr>
        <w:pStyle w:val="FirstParagraph"/>
      </w:pPr>
      <w:r>
        <w:t xml:space="preserve">Though concepts of regulatory stringency are often poorly defined, they are critical to a wide array of scholarship. Concepts of regulatory stringency are required to test theories about how policy content shapes activist support, market adoption, social or ecological impacts, and how other programs respond (i.e., theories where regulatory requirements are an explanatory variable). Similarly, concepts of regulatory stringency are required to assess how activist campaigns, market forces, and competition among programs affect policy development and content (i.e., theories where regulatory requirements are the dependent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influences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w:t>
      </w:r>
      <w:r>
        <w:t xml:space="preserve">but may also reduce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scholarship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Lyon and Maxwell 2008)</w:t>
      </w:r>
      <w:r>
        <w:t xml:space="preserve">. Firms will only adopt costly requirements if there is a countervailing benefit of certification, whether an abstract</w:t>
      </w:r>
      <w:r>
        <w:t xml:space="preserve"> </w:t>
      </w:r>
      <w:r>
        <w:t xml:space="preserve">“</w:t>
      </w:r>
      <w:r>
        <w:t xml:space="preserve">social license to operate</w:t>
      </w:r>
      <w:r>
        <w:t xml:space="preserve">”</w:t>
      </w:r>
      <w:r>
        <w:t xml:space="preserve"> </w:t>
      </w:r>
      <w:r>
        <w:t xml:space="preserve">or a concrete benefit like market access or a price premium. In contrast, firms will adopt practices that benefit them regardless of countervailing benefits.</w:t>
      </w:r>
    </w:p>
    <w:p>
      <w:pPr>
        <w:pStyle w:val="BodyText"/>
      </w:pPr>
      <w:r>
        <w:t xml:space="preserve">The effects of stringency on trust, legitimacy, compliance cost, and adoption matter because anticipating the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These are complex empirical questions. Even activist-backed programs that establish stringent requirements on one issue at one time may not do so on other issues and at other times</w:t>
      </w:r>
      <w:r>
        <w:t xml:space="preserve"> </w:t>
      </w:r>
      <w:r>
        <w:t xml:space="preserve">(LeBaron and Burgoon 2018)</w:t>
      </w:r>
      <w:r>
        <w:t xml:space="preserve">. Nuanced gaps or</w:t>
      </w:r>
      <w:r>
        <w:t xml:space="preserve"> </w:t>
      </w:r>
      <w:r>
        <w:t xml:space="preserve">“</w:t>
      </w:r>
      <w:r>
        <w:t xml:space="preserve">loopholes</w:t>
      </w:r>
      <w:r>
        <w:t xml:space="preserve">”</w:t>
      </w:r>
      <w:r>
        <w:t xml:space="preserve"> </w:t>
      </w:r>
      <w:r>
        <w:t xml:space="preserve">in otherwise stringent private regulations may explain their lack of success in addressing problems such as deforestation</w:t>
      </w:r>
      <w:r>
        <w:t xml:space="preserve"> </w:t>
      </w:r>
      <w:r>
        <w:t xml:space="preserve">(Ven, Rothacker, and Cashore 2018)</w:t>
      </w:r>
      <w:r>
        <w:t xml:space="preserve">. Furthermore, private regulatory requirements may interact with public policies that shape and constrain their impact</w:t>
      </w:r>
      <w:r>
        <w:t xml:space="preserve"> </w:t>
      </w:r>
      <w:r>
        <w:t xml:space="preserve">(Bartley 2018)</w:t>
      </w:r>
      <w:r>
        <w:t xml:space="preserve">. Together, these theories emphasize how regulatory stringency affects the adoption of and support for private governance initiatives as well as their potential to address social and ecological problems.</w:t>
      </w:r>
    </w:p>
    <w:p>
      <w:pPr>
        <w:pStyle w:val="BodyText"/>
      </w:pPr>
      <w:r>
        <w:rPr>
          <w:i/>
        </w:rPr>
        <w:t xml:space="preserve">Stringency as a dependent variable:</w:t>
      </w:r>
      <w:r>
        <w:t xml:space="preserve"> </w:t>
      </w:r>
      <w:r>
        <w:t xml:space="preserve">Regulatory stringency is a main dependent variable in theories that explain how ideological, economic, political, and social forces work to shape and constrain policy content over time</w:t>
      </w:r>
      <w:r>
        <w:t xml:space="preserve"> </w:t>
      </w:r>
      <w:r>
        <w:t xml:space="preserve">(Bartley 2003; Cashore, Auld, and Newsom 2004; Fischer and Lyon 2014)</w:t>
      </w:r>
      <w:r>
        <w:t xml:space="preserve">.</w:t>
      </w:r>
    </w:p>
    <w:p>
      <w:pPr>
        <w:pStyle w:val="BodyText"/>
      </w:pPr>
      <w:r>
        <w:t xml:space="preserve">Differing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 For example,</w:t>
      </w:r>
      <w:r>
        <w:t xml:space="preserve"> </w:t>
      </w:r>
      <w:r>
        <w:t xml:space="preserve">Bartley (2003)</w:t>
      </w:r>
      <w:r>
        <w:t xml:space="preserve"> </w:t>
      </w:r>
      <w:r>
        <w:t xml:space="preserve">finds private regulations emerging when social movements target companies with tactics that aim to redirect, rather than challenge, neo-liberal ideas about the central role of businesses in society.</w:t>
      </w:r>
      <w:r>
        <w:t xml:space="preserve"> </w:t>
      </w:r>
      <w:r>
        <w:t xml:space="preserve">Green (2013)</w:t>
      </w:r>
      <w:r>
        <w:t xml:space="preserve"> </w:t>
      </w:r>
      <w:r>
        <w:t xml:space="preserve">finds private authority filling regulatory voids where demand for rules is not met by the supply of public policy. Others find private regulations arising from collective action by industry to preempt or replace more stringent government regulations</w:t>
      </w:r>
      <w:r>
        <w:t xml:space="preserve"> </w:t>
      </w:r>
      <w:r>
        <w:t xml:space="preserve">(Bartley 2007; Cashore 2002; Grabosky 2013; Loconto and Fouilleux 2014;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is a joint result of bargaining between activists and firms. The common thread is that each of these studies aims to explain relative differences or changes in policy content.</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will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competing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2010)</w:t>
      </w:r>
      <w:r>
        <w:t xml:space="preserve">. And still others find that either pattern might occur,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pressure coalitions to</w:t>
      </w:r>
      <w:r>
        <w:t xml:space="preserve"> </w:t>
      </w:r>
      <w:r>
        <w:t xml:space="preserve">“</w:t>
      </w:r>
      <w:r>
        <w:t xml:space="preserve">lower</w:t>
      </w:r>
      <w:r>
        <w:t xml:space="preserve">”</w:t>
      </w:r>
      <w:r>
        <w:t xml:space="preserve"> </w:t>
      </w:r>
      <w:r>
        <w:t xml:space="preserve">stringency but later work to maintain differences.</w:t>
      </w:r>
    </w:p>
    <w:p>
      <w:pPr>
        <w:pStyle w:val="BodyText"/>
      </w:pPr>
      <w:r>
        <w:t xml:space="preserve">Concepts of regulatory stringency are also at the core of formal models of private governance. Theories suggest that standards may increase or decrease stringency under different conditions, such as increases or decreases in compliance costs or market demand</w:t>
      </w:r>
      <w:r>
        <w:t xml:space="preserve"> </w:t>
      </w:r>
      <w:r>
        <w:t xml:space="preserve">(Abderrazak and Youssef 2009; Fischer and Lyon 2014)</w:t>
      </w:r>
      <w:r>
        <w:t xml:space="preserve">. Formal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end up being more stringent.</w:t>
      </w:r>
    </w:p>
    <w:p>
      <w:pPr>
        <w:pStyle w:val="BodyText"/>
      </w:pPr>
      <w:r>
        <w:t xml:space="preserve">While these theories offer logical hypotheses, efforts to assess them have been hindered by inadequate attention to the dependent variable they seek to explain. The result is contradictory findings, especially regarding patterns of change. Some posit—and find evidence for—a pattern where competing regulations</w:t>
      </w:r>
      <w:r>
        <w:t xml:space="preserve"> </w:t>
      </w:r>
      <w:r>
        <w:t xml:space="preserve">“</w:t>
      </w:r>
      <w:r>
        <w:t xml:space="preserve">ratchet up</w:t>
      </w:r>
      <w:r>
        <w:t xml:space="preserve">”</w:t>
      </w:r>
      <w:r>
        <w:t xml:space="preserve"> </w:t>
      </w:r>
      <w:r>
        <w:t xml:space="preserve">with less stringent regulations converging toward more stringent ones</w:t>
      </w:r>
      <w:r>
        <w:t xml:space="preserve"> </w:t>
      </w:r>
      <w:r>
        <w:t xml:space="preserve">(Overdevest 2005, 2010; Overdevest and Zeitlin 2014)</w:t>
      </w:r>
      <w:r>
        <w:t xml:space="preserve">. Others posit—and find evidence for—the exact opposite pattern, in which competitive pressures lead to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that is,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3" w:name="concepts-measurement-of-variation-in-private-regulations"/>
      <w:r>
        <w:t xml:space="preserve">Concepts &amp; Measurement of Variation in Private Regulations</w:t>
      </w:r>
      <w:bookmarkEnd w:id="23"/>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(1997)</w:t>
      </w:r>
      <w:r>
        <w:t xml:space="preserve"> </w:t>
      </w:r>
      <w:r>
        <w:t xml:space="preserve">calls attention to variation in flexibility versus prescriptiveness, the extent to which regulations use mandatory and substantive performance thresholds. Others measure high and low stringency in a relative sense, defining a</w:t>
      </w:r>
      <w:r>
        <w:t xml:space="preserve"> </w:t>
      </w:r>
      <w:r>
        <w:t xml:space="preserve">“</w:t>
      </w:r>
      <w:r>
        <w:t xml:space="preserve">benchmark</w:t>
      </w:r>
      <w:r>
        <w:t xml:space="preserve">”</w:t>
      </w:r>
      <w:r>
        <w:t xml:space="preserve"> </w:t>
      </w:r>
      <w:r>
        <w:t xml:space="preserve">standard against which others are measured</w:t>
      </w:r>
      <w:r>
        <w:t xml:space="preserve"> </w:t>
      </w:r>
      <w:r>
        <w:t xml:space="preserve">(Overdevest 2005, 2010)</w:t>
      </w:r>
      <w:r>
        <w:t xml:space="preserve">. Still others combine concepts of breadth and prescriptiveness into a broader notion of stringency</w:t>
      </w:r>
      <w:r>
        <w:t xml:space="preserve"> </w:t>
      </w:r>
      <w:r>
        <w:t xml:space="preserve">(Fransen 2011)</w:t>
      </w:r>
      <w:r>
        <w:t xml:space="preserve">. These distinct dimensions of stringency are often overlooked or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in multiple ways yielding different empirical results. And these are only a few of the many measures of stringency used in this literature, ranging from approaches so broad that they conflate many of these concepts, to so narrow that they measure only a few select components of just one (see Table</w:t>
      </w:r>
      <w:r>
        <w:t xml:space="preserve"> </w:t>
      </w:r>
      <w:r>
        <w:t xml:space="preserve">).</w:t>
      </w: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consider a program’s sponsor to be a signal of its stringency. In the broadest study to date,</w:t>
      </w:r>
      <w:r>
        <w:t xml:space="preserve"> </w:t>
      </w:r>
      <w:r>
        <w:t xml:space="preserve">Ven (2015)</w:t>
      </w:r>
      <w:r>
        <w:t xml:space="preserve"> </w:t>
      </w:r>
      <w:r>
        <w:t xml:space="preserve">uses another common proxy for stringency–compliance with</w:t>
      </w:r>
      <w:r>
        <w:t xml:space="preserve"> </w:t>
      </w:r>
      <w:r>
        <w:rPr>
          <w:i/>
        </w:rPr>
        <w:t xml:space="preserve">perceived</w:t>
      </w:r>
      <w:r>
        <w:t xml:space="preserve"> </w:t>
      </w:r>
      <w:r>
        <w:t xml:space="preserve">“</w:t>
      </w:r>
      <w:r>
        <w:t xml:space="preserve">best practices,</w:t>
      </w:r>
      <w:r>
        <w:t xml:space="preserve">”</w:t>
      </w:r>
      <w:r>
        <w:t xml:space="preserve"> </w:t>
      </w:r>
      <w:r>
        <w:t xml:space="preserve">often considered</w:t>
      </w:r>
      <w:r>
        <w:t xml:space="preserve"> </w:t>
      </w:r>
      <w:r>
        <w:t xml:space="preserve">“</w:t>
      </w:r>
      <w:r>
        <w:t xml:space="preserve">benchmarks</w:t>
      </w:r>
      <w:r>
        <w:t xml:space="preserve">”</w:t>
      </w:r>
      <w:r>
        <w:t xml:space="preserve"> </w:t>
      </w:r>
      <w:r>
        <w:t xml:space="preserve">for measuring stringency but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As a result, these approaches cannot examine relationships between stringency and program sponsorship or between stringency and perceived stringency.</w:t>
      </w:r>
    </w:p>
    <w:p>
      <w:pPr>
        <w:pStyle w:val="BodyText"/>
      </w:pPr>
      <w:r>
        <w:t xml:space="preserve">More importantly, different approaches to measuring regulatory stringency prevent us from adjudicating among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of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he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prescriptiveness of substantive regulatory requirements, while van der Ven focuses on stakeholder engagement and other forms of procedural</w:t>
      </w:r>
      <w:r>
        <w:t xml:space="preserve"> </w:t>
      </w:r>
      <w:r>
        <w:t xml:space="preserve">“</w:t>
      </w:r>
      <w:r>
        <w:t xml:space="preserve">best practices</w:t>
      </w:r>
      <w:r>
        <w:t xml:space="preserve">”</w:t>
      </w:r>
      <w:r>
        <w:t xml:space="preserve">—two distinct notions of stringency.</w:t>
      </w:r>
    </w:p>
    <w:p>
      <w:pPr>
        <w:pStyle w:val="BodyText"/>
      </w:pPr>
      <w:r>
        <w:t xml:space="preserve">Two common challenges have hindered efforts to identify patterns of policy change. First, results vary depending on the policy components studied. Even the handful of scholars who have developed direct and precise measures of stringency (the top of Table</w:t>
      </w:r>
      <w:r>
        <w:t xml:space="preserve"> </w:t>
      </w:r>
      <w:r>
        <w:t xml:space="preserve">) tend to only focus on a few salient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(restrictions on the use of plantation forestry,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compare these same programs on six other features—two substantive requirements on firm behavior (public reporting and stakeholder consultation), two on compliance mechanisms (auditing and supply chain tracking), and another two on decision-making and marketing strategy—and find that these programs</w:t>
      </w:r>
      <w:r>
        <w:t xml:space="preserve"> </w:t>
      </w:r>
      <w:r>
        <w:t xml:space="preserve">“</w:t>
      </w:r>
      <w:r>
        <w:t xml:space="preserve">all moved closer.</w:t>
      </w:r>
      <w:r>
        <w:t xml:space="preserve">”</w:t>
      </w:r>
      <w:r>
        <w:t xml:space="preserve"> </w:t>
      </w:r>
      <w:r>
        <w:t xml:space="preserve">Here, different measurement strategies led to different conclusions that then supported conflicting theories of policy change.</w:t>
      </w:r>
    </w:p>
    <w:p>
      <w:pPr>
        <w:pStyle w:val="BodyText"/>
      </w:pPr>
      <w:r>
        <w:t xml:space="preserve">Second, binary indicators such as whether or not a program addresses a given topic—i.e.</w:t>
      </w:r>
      <w:r>
        <w:t xml:space="preserv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(e.g., what is the required</w:t>
      </w:r>
      <w:r>
        <w:t xml:space="preserve"> </w:t>
      </w:r>
      <w:r>
        <w:rPr>
          <w:i/>
        </w:rPr>
        <w:t xml:space="preserve">frequency</w:t>
      </w:r>
      <w:r>
        <w:t xml:space="preserve"> </w:t>
      </w:r>
      <w:r>
        <w:t xml:space="preserve">of public reporting or prohibited</w:t>
      </w:r>
      <w:r>
        <w:t xml:space="preserve"> </w:t>
      </w:r>
      <w:r>
        <w:rPr>
          <w:i/>
        </w:rPr>
        <w:t xml:space="preserve">amount</w:t>
      </w:r>
      <w:r>
        <w:t xml:space="preserve"> </w:t>
      </w:r>
      <w:r>
        <w:t xml:space="preserve">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each important dimensions of variation but may exhibit different patterns of change.</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conflicts between Overdevest and Zeitlin’s study and Cashore et al.’s study are thus largely resolved by distinguishing findings about the scope of issues covered versus the prescriptiveness of regulatory requirements.</w:t>
      </w:r>
    </w:p>
    <w:p>
      <w:pPr>
        <w:pStyle w:val="BodyText"/>
      </w:pPr>
      <w:r>
        <w:t xml:space="preserve">If selection and measurement decisions explain variation in findings, methods that allow more systematic comparisons are the remedy. To address this need, we offer a framework to (1) measure three types of stringency and (2) characterize change over time.</w:t>
      </w:r>
    </w:p>
    <w:p>
      <w:pPr>
        <w:pStyle w:val="Heading1"/>
      </w:pPr>
      <w:bookmarkStart w:id="24" w:name="a-framework-to-classify-change-in-private-regulations"/>
      <w:r>
        <w:t xml:space="preserve">A Framework to classify change in private regulations</w:t>
      </w:r>
      <w:bookmarkEnd w:id="24"/>
    </w:p>
    <w:p>
      <w:pPr>
        <w:pStyle w:val="FirstParagraph"/>
      </w:pPr>
      <w:r>
        <w:t xml:space="preserve">The first step for scholars who wish to make claims about stringency involves describing policy content according to policy settings, scope, and prescriptiveness (Table</w:t>
      </w:r>
      <w:r>
        <w:t xml:space="preserve"> </w:t>
      </w:r>
      <w:r>
        <w:t xml:space="preserve">). Comparing across programs or over time requires a second step: measuring relative stringency and change on each dimension (Table</w:t>
      </w:r>
      <w:r>
        <w:t xml:space="preserve"> </w:t>
      </w:r>
      <w:r>
        <w:t xml:space="preserve">). First, we elaborate on step one.</w:t>
      </w:r>
    </w:p>
    <w:p>
      <w:pPr>
        <w:pStyle w:val="Heading2"/>
      </w:pPr>
      <w:bookmarkStart w:id="25" w:name="step-1-measuring-scope-prescriptiveness-and-policy-settings"/>
      <w:r>
        <w:t xml:space="preserve">Step 1: Measuring scope, prescriptiveness, and policy settings</w:t>
      </w:r>
      <w:bookmarkEnd w:id="25"/>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each regulation and the number of prescriptive requirements on those issues, scholars can assess aggregate trends.</w:t>
      </w:r>
    </w:p>
    <w:p>
      <w:pPr>
        <w:pStyle w:val="BodyText"/>
      </w:pPr>
      <w:r>
        <w:rPr>
          <w:i/>
        </w:rPr>
        <w:t xml:space="preserve">Scope:</w:t>
      </w:r>
      <w:r>
        <w:t xml:space="preserve"> </w:t>
      </w:r>
      <w:r>
        <w:t xml:space="preserve">Because each program may cover a different set of issues at a given point in time, assessing the relative scope of issues they address requires inductively deriving a full range of policy issues addressed by one or more regulatory texts in a given policy domain. Any comparison of regulatory scope across policies depends (often implicitly) conditional on the set of issues that the researcher uses as the</w:t>
      </w:r>
      <w:r>
        <w:t xml:space="preserve"> </w:t>
      </w:r>
      <w:r>
        <w:t xml:space="preserve">“</w:t>
      </w:r>
      <w:r>
        <w:t xml:space="preserve">denominator</w:t>
      </w:r>
      <w:r>
        <w:t xml:space="preserve">”</w:t>
      </w:r>
      <w:r>
        <w:t xml:space="preserve"> </w:t>
      </w:r>
      <w:r>
        <w:t xml:space="preserve">in the portion issues addressed by each program. Scholars often give too little attention to this set of relevant comparisons given its importance to any conclusion about policy scope. Once a researcher establishes a comprehensive set of issues, they can assess the extent to which each regulation covers this set of issues.</w:t>
      </w:r>
      <w:r>
        <w:rPr>
          <w:rStyle w:val="FootnoteReference"/>
        </w:rPr>
        <w:footnoteReference w:id="26"/>
      </w:r>
      <w:r>
        <w:t xml:space="preserve"> </w:t>
      </w:r>
      <w:r>
        <w:t xml:space="preserve">With the measurement concept of issue scope, one can assess a regulation’s absolute requirements (i.e., how many key issues it addresses); its relative requirements (i.e., how many more or fewer issues it addresses than its competitor), and in change over time (i.e., how many changes occurred between time 1 and time 2).</w:t>
      </w:r>
    </w:p>
    <w:p>
      <w:pPr>
        <w:pStyle w:val="BodyText"/>
      </w:pPr>
      <w:r>
        <w:rPr>
          <w:i/>
        </w:rPr>
        <w:t xml:space="preserve">Prescriptiveness:</w:t>
      </w:r>
      <w:r>
        <w:t xml:space="preserve"> </w:t>
      </w:r>
      <w:r>
        <w:t xml:space="preserve">Second, this framework calls on researchers to measure the extent to which each requirement is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may include the maximum size of clearcuts allowed or minimum buffer zones required around streams. Because</w:t>
      </w:r>
      <w:r>
        <w:t xml:space="preserve"> </w:t>
      </w:r>
      <w:r>
        <w:t xml:space="preserve">“</w:t>
      </w:r>
      <w:r>
        <w:t xml:space="preserve">prescriptive versus flexible</w:t>
      </w:r>
      <w:r>
        <w:t xml:space="preserve">”</w:t>
      </w:r>
      <w:r>
        <w:t xml:space="preserve"> </w:t>
      </w:r>
      <w:r>
        <w:t xml:space="preserve">is about</w:t>
      </w:r>
      <w:r>
        <w:t xml:space="preserve"> </w:t>
      </w:r>
      <w:r>
        <w:rPr>
          <w:i/>
        </w:rPr>
        <w:t xml:space="preserve">how</w:t>
      </w:r>
      <w:r>
        <w:t xml:space="preserve"> </w:t>
      </w:r>
      <w:r>
        <w:t xml:space="preserve">each issue is addressed (whether a regulation has mandatory thresholds), not the ends of the policy (the levels of those thresholds), one can compare prescriptiveness across substantive requirements.</w:t>
      </w:r>
    </w:p>
    <w:p>
      <w:pPr>
        <w:pStyle w:val="BodyText"/>
      </w:pPr>
      <w:r>
        <w:t xml:space="preserve">Prescriptiveness is a continuum. Discretionary guidelines, practices, processes, or plans are the least prescriptive because they allow maximum flexibility. Procedural requirements that prescribe processes that must follow but not outcomes are somewhat prescriptive, but substantive requirements are more prescriptive. Mandatory substantive requirements require precise actions and outcomes, such as quantitative performance thresholds, not merely a process that may yield varying results. Compared with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the first step is to identify both absolute and relative measures of prescriptiveness. At any point in time, a comparison across programs can yield three possibilities:</w:t>
      </w:r>
      <w:r>
        <w:t xml:space="preserve"> </w:t>
      </w:r>
      <w:r>
        <w:t xml:space="preserve">“</w:t>
      </w:r>
      <w:r>
        <w:t xml:space="preserve">no prescriptive requirements,</w:t>
      </w:r>
      <w:r>
        <w:t xml:space="preserve">”</w:t>
      </w:r>
      <w:r>
        <w:t xml:space="preserve"> </w:t>
      </w:r>
      <w:r>
        <w:t xml:space="preserve">“</w:t>
      </w:r>
      <w:r>
        <w:t xml:space="preserve">some prescriptive requirements,</w:t>
      </w:r>
      <w:r>
        <w:t xml:space="preserve">”</w:t>
      </w:r>
      <w:r>
        <w:t xml:space="preserve"> </w:t>
      </w:r>
      <w:r>
        <w:t xml:space="preserve">or</w:t>
      </w:r>
      <w:r>
        <w:t xml:space="preserve"> </w:t>
      </w:r>
      <w:r>
        <w:t xml:space="preserve">“</w:t>
      </w:r>
      <w:r>
        <w:t xml:space="preserve">most prescriptive</w:t>
      </w:r>
      <w:r>
        <w:t xml:space="preserve">”</w:t>
      </w:r>
      <w:r>
        <w:t xml:space="preserve"> </w:t>
      </w:r>
      <w:r>
        <w:t xml:space="preserve">(requiring as much as or more than any other regulation). Coding prescriptiveness across</w:t>
      </w:r>
      <w:r>
        <w:t xml:space="preserve"> </w:t>
      </w:r>
      <w:r>
        <w:rPr>
          <w:i/>
        </w:rPr>
        <w:t xml:space="preserve">issues</w:t>
      </w:r>
      <w:r>
        <w:t xml:space="preserve"> </w:t>
      </w:r>
      <w:r>
        <w:t xml:space="preserve">thus creates an additional measure of policy scope: How many key issues have</w:t>
      </w:r>
      <w:r>
        <w:t xml:space="preserve"> </w:t>
      </w:r>
      <w:r>
        <w:t xml:space="preserve">“</w:t>
      </w:r>
      <w:r>
        <w:t xml:space="preserve">some prescriptive requirements?</w:t>
      </w:r>
      <w:r>
        <w:t xml:space="preserve">”</w:t>
      </w:r>
      <w:r>
        <w:t xml:space="preserve"> </w:t>
      </w:r>
      <w:r>
        <w:t xml:space="preserve">Coding prescriptiveness across</w:t>
      </w:r>
      <w:r>
        <w:t xml:space="preserve"> </w:t>
      </w:r>
      <w:r>
        <w:rPr>
          <w:i/>
        </w:rPr>
        <w:t xml:space="preserve">programs</w:t>
      </w:r>
      <w:r>
        <w:t xml:space="preserve"> </w:t>
      </w:r>
      <w:r>
        <w:t xml:space="preserve">creates a measure of the</w:t>
      </w:r>
      <w:r>
        <w:t xml:space="preserve"> </w:t>
      </w:r>
      <w:r>
        <w:rPr>
          <w:i/>
        </w:rPr>
        <w:t xml:space="preserve">relative</w:t>
      </w:r>
      <w:r>
        <w:t xml:space="preserve"> </w:t>
      </w:r>
      <w:r>
        <w:t xml:space="preserve">level of prescriptive requirements. Additionally, our framework classifies changes as becoming more prescriptive or less prescriptive on each issue, thus capturing the direction of change in prescriptiveness.</w:t>
      </w: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)—captures the substance of policy requirements on each key issue. For example, forestry certification programs have different requirements for how close to streams loggers can harvest. In this example, all standards prescribing minimum no-harvest buffers around streams are equally prescriptive since all are mandatory requirements, albeit with different thresholds. Yet the widths of stream buffers and other specific policy settings are a meaningful type of variation. Unfortunately, most specific policy settings, even prescriptive ones, cannot be quantified and are thus difficult to compare or aggregate. Even numeric stream buffer requirements can be difficult to compare because they often vary in different contexts–for example, in mountainous or flat areas or whether fish live in the stream (see Figure 5 in section 4). Measurement strategies that allow program-level aggregation cannot replace issue-specific qualitative comparison. It is crucial to both quantify absolute and relative differences and describe the key differences that capture the overall trends. We thus suggest that scholars combine aggregate measures with descriptive comparisons of important requirements, assessing policy settings on each issue in an absolute sense, in a relative sense (if possible), and in how the required level of performance changed.</w:t>
      </w:r>
    </w:p>
    <w:p>
      <w:pPr>
        <w:pStyle w:val="BodyText"/>
      </w:pPr>
      <w:r>
        <w:rPr>
          <w:i/>
        </w:rPr>
        <w:t xml:space="preserve">Stylized Example:</w:t>
      </w:r>
      <w:r>
        <w:t xml:space="preserve"> </w:t>
      </w:r>
      <w:r>
        <w:t xml:space="preserve">At its most stylized, Step 1, comparing two hypothetical programs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in a policy space with two issues (</w:t>
      </w:r>
      <w:r>
        <w:t xml:space="preserve">“</w:t>
      </w:r>
      <w:r>
        <w:t xml:space="preserve">Hazardous Chemicals</w:t>
      </w:r>
      <w:r>
        <w:t xml:space="preserve">”</w:t>
      </w:r>
      <w:r>
        <w:t xml:space="preserve"> </w:t>
      </w:r>
      <w:r>
        <w:t xml:space="preserve">and</w:t>
      </w:r>
      <w:r>
        <w:t xml:space="preserve"> </w:t>
      </w:r>
      <w:r>
        <w:t xml:space="preserve">“</w:t>
      </w:r>
      <w:r>
        <w:t xml:space="preserve">Worker Training</w:t>
      </w:r>
      <w:r>
        <w:t xml:space="preserve">”</w:t>
      </w:r>
      <w:r>
        <w:t xml:space="preserve">) might look like this: A researcher examines regulations in this policy area and inductively identifies two policy issues. Both programs have some requirements on both issues, so they are equal in policy scope. Program A bans using chemicals above quantitative toxicity thresholds. In contrast,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so the researcher can only compare their specific requirements on chemicals qualitatively, finding that Program A focuses on ecologically harmful chemicals while program B targets those most harmful to humans.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(Perhaps environmental activists have more influence in Program A). In contrast, Program B is more focused on worker safety. (Perhaps decision-making at Program B is more influenced by workers unions or by firms aiming to reduce the risk that injuries at one firm will result in reputational or regulatory costs for the whole industry.) To assess change over time, one would use the same process to compare versions of each standard to their previous versions (e.g., Program A version 2.0 to Program A version 1.0).</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conclusions.</w:t>
      </w:r>
    </w:p>
    <w:p>
      <w:pPr>
        <w:pStyle w:val="Heading2"/>
      </w:pPr>
      <w:bookmarkStart w:id="27" w:name="step-2-classifying-patterns-of-change"/>
      <w:r>
        <w:t xml:space="preserve">Step 2: Classifying Patterns of Change</w:t>
      </w:r>
      <w:bookmarkEnd w:id="27"/>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Step 2 emphasizes the importance of measuring the direction and pace of policy change. Assessing theorized patterns of change like punctuation or equilibrium requires measuring change on each dimension of stringency because there may be equilibrium on one dimension but punctuation on another. In absolute terms, stringency may be increasing, decreasing, or neither. In relative terms, regulations may be converging, in equilibrium, or diverging on each dimension over any given period (Table</w:t>
      </w:r>
      <w:r>
        <w:t xml:space="preserve"> </w:t>
      </w:r>
      <w:r>
        <w:t xml:space="preserve">). Thus, in aggregate, nine relationships fully capture the possible dynamics between two programs</w:t>
      </w:r>
      <w:r>
        <w:t xml:space="preserve"> </w:t>
      </w:r>
      <w:r>
        <w:rPr>
          <w:i/>
        </w:rPr>
        <w:t xml:space="preserve">on each dimension</w:t>
      </w:r>
      <w:r>
        <w:t xml:space="preserve"> </w:t>
      </w:r>
      <w:r>
        <w:t xml:space="preserve">of change (scope, prescriptiveness,</w:t>
      </w:r>
      <w:r>
        <w:t xml:space="preserve"> </w:t>
      </w:r>
      <w:r>
        <w:rPr>
          <w:i/>
        </w:rPr>
        <w:t xml:space="preserve">or</w:t>
      </w:r>
      <w:r>
        <w:t xml:space="preserve"> </w:t>
      </w:r>
      <w:r>
        <w:t xml:space="preserve">policy settings). All theories about regulatory stringency (including those from Table</w:t>
      </w:r>
      <w:r>
        <w:t xml:space="preserve"> </w:t>
      </w:r>
      <w:r>
        <w:t xml:space="preserve">) should be able to be expressed in terms of the dimension(s) to which the theory applies, the absolute directions of change they predict, and relative relationships they anticipate.</w:t>
      </w:r>
    </w:p>
    <w:p>
      <w:pPr>
        <w:pStyle w:val="BodyText"/>
      </w:pPr>
      <w:r>
        <w:rPr>
          <w:i/>
        </w:rPr>
        <w:t xml:space="preserve">Conclusion:</w:t>
      </w:r>
      <w:r>
        <w:t xml:space="preserve"> </w:t>
      </w:r>
      <w:r>
        <w:t xml:space="preserve">This framework for measuring regulatory stringency helps researchers accomplish several crucial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1 of our framework satisfies these five criteria, and Step 2 goes on to classify relative change over time (a logical extension of the above criteria 1 and 2).</w:t>
      </w:r>
    </w:p>
    <w:p>
      <w:pPr>
        <w:pStyle w:val="Heading2"/>
      </w:pPr>
      <w:bookmarkStart w:id="28" w:name="theorizing-in-terms-of-scope-prescriptiveness-and-policy-settings"/>
      <w:r>
        <w:t xml:space="preserve">Theorizing in terms of scope, prescriptiveness, and policy settings</w:t>
      </w:r>
      <w:bookmarkEnd w:id="28"/>
    </w:p>
    <w:p>
      <w:pPr>
        <w:pStyle w:val="FirstParagraph"/>
      </w:pPr>
      <w:r>
        <w:t xml:space="preserve">Our core methodological critique is that different dimensions of stringency may exhibit different patterns of change. Precise and testable hypotheses about the causes and effects of policy change must distinguish among types of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restatements required for hypotheses rooted in compliance cost, competition, and program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Compliance costs cause competing programs backed by different coalitions to set different levels of stringency. Specifically,</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(2) Programs change in response to changes by their competitors. Specifically,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and competition. Do incentives rooted in compliance cost affect each dimension in the same way? Are competing programs more responsive to changes in the scope, prescriptiveness, or policy settings of competing programs? Disentangling policy settings, scope, and prescriptiveness suggests more precise hypotheses to assess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policy scope than in prescriptiveness or required performance levels.</w:t>
      </w:r>
    </w:p>
    <w:p>
      <w:pPr>
        <w:pStyle w:val="BlockText"/>
      </w:pPr>
      <w:r>
        <w:rPr>
          <w:b/>
        </w:rPr>
        <w:t xml:space="preserve">H1.2:</w:t>
      </w:r>
      <w:r>
        <w:t xml:space="preserve"> </w:t>
      </w:r>
      <w:r>
        <w:t xml:space="preserve">An industry-backed regulation will be more likely to respond to changes in an activist-backed regulation by converging in policy scope than in prescriptiveness or required performance levels (i.e., policy scope will be less elastic).</w:t>
      </w:r>
    </w:p>
    <w:p>
      <w:pPr>
        <w:pStyle w:val="FirstParagraph"/>
      </w:pPr>
      <w:r>
        <w:rPr>
          <w:i/>
        </w:rPr>
        <w:t xml:space="preserve">Compliance Cost and 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identify qualitative differences in how stringency varies across programs.</w:t>
      </w:r>
    </w:p>
    <w:p>
      <w:pPr>
        <w:pStyle w:val="BodyText"/>
      </w:pPr>
      <w:r>
        <w:t xml:space="preserve">Specifically, we expect that the relative stringency of an industry-backed program on a given issue will depend on whether the requirements result in net costs or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likely result is that an industry-backed program will set a lower level of stringency than that of an activist-backed program, even as they both change over time. We also expect a larger difference between programs on issues where compliance costs are higher or where industry-backed programs can more easily foster an impression of stringency without imposing costly requirements.</w:t>
      </w:r>
    </w:p>
    <w:p>
      <w:pPr>
        <w:pStyle w:val="BodyText"/>
      </w:pPr>
      <w:r>
        <w:t xml:space="preserve">The opposite result is likely on issues where industry-wide compliance with requirements would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Such issues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mean actions across individuals or firms that have net benefits but that require a coordinating institution. Like industry associations, regulatory agencies and 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methodological critique. One can assess whether doing so is worthwhile in two ways: (1) Does restating theories in terms of the predicted direction of change in scope, prescriptiveness, and policy settings improve our understanding of past research? (2) Does applying the regulatory stringency framework reveal patterns of change that other methods failed to discover? Sections 4 and 5 show that our framework meets both tests: Applying our framework reveals that the scope, prescriptiveness, and policy settings of forestry certification programs do follow different patterns and that existing theories cannot fully account for these changes.</w:t>
      </w:r>
    </w:p>
    <w:p>
      <w:pPr>
        <w:pStyle w:val="Heading1"/>
      </w:pPr>
      <w:bookmarkStart w:id="29" w:name="competing-u.s.-forest-certification-programs"/>
      <w:r>
        <w:t xml:space="preserve">Competing U.S. Forest Certification Programs</w:t>
      </w:r>
      <w:bookmarkEnd w:id="29"/>
    </w:p>
    <w:p>
      <w:pPr>
        <w:pStyle w:val="FirstParagraph"/>
      </w:pPr>
      <w:r>
        <w:t xml:space="preserve">We illustrate our methods for measuring stringency through an analysis of forestry certification in the United States, one of the most advanced cases of private regulation. As is the case in many policy domains, forestry scholars have carefully dissected components of forestry regulations, both public and private. Yet the unit of analysis in political science scholarship still tends to be broad characterizations of entire policies or only a few of their constituent parts. We draw on domain-specific scholarship to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buyers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on the industry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CaptionedFigure"/>
      </w:pPr>
      <w:r>
        <w:drawing>
          <wp:inline>
            <wp:extent cx="5334000" cy="2306146"/>
            <wp:effectExtent b="0" l="0" r="0" t="0"/>
            <wp:docPr descr="U.S. timberland by ownership and certification scheme" title="" id="1" name="Picture"/>
            <a:graphic>
              <a:graphicData uri="http://schemas.openxmlformats.org/drawingml/2006/picture">
                <pic:pic>
                  <pic:nvPicPr>
                    <pic:cNvPr descr="../Figs/acres-1.png" id="0" name="Picture"/>
                    <pic:cNvPicPr>
                      <a:picLocks noChangeArrowheads="1" noChangeAspect="1"/>
                    </pic:cNvPicPr>
                  </pic:nvPicPr>
                  <pic:blipFill>
                    <a:blip r:embed="rId30"/>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United States thus assesses both the international FSC-P&amp;C and the FSC-US national standard.</w:t>
      </w:r>
    </w:p>
    <w:p>
      <w:pPr>
        <w:pStyle w:val="BodyText"/>
      </w:pPr>
      <w:r>
        <w:rPr>
          <w:i/>
        </w:rPr>
        <w:t xml:space="preserve">Origin of the SFI:</w:t>
      </w:r>
      <w:r>
        <w:t xml:space="preserve"> </w:t>
      </w:r>
      <w:r>
        <w:t xml:space="preserve">In 1995, in response to the growing influence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formally independent rulemaking process governed by an 18-member board of directors.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 Thus, national standards, like the SFI’s, can have less stringent requirements than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As is the case in many policy domains, there are ongoing public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mostly captures the long-term efficiency of production rather than naturalistic management. Such differences lead to different coalitions pursuing</w:t>
      </w:r>
      <w:r>
        <w:t xml:space="preserve"> </w:t>
      </w:r>
      <w:r>
        <w:t xml:space="preserve">“</w:t>
      </w:r>
      <w:r>
        <w:t xml:space="preserve">sustainable forestry</w:t>
      </w:r>
      <w:r>
        <w:t xml:space="preserve">”</w:t>
      </w:r>
      <w:r>
        <w:t xml:space="preserve"> </w:t>
      </w:r>
      <w:r>
        <w:t xml:space="preserve">to have diverging goals and adopt different means to achieve them. A regulation targeting efficiency may require high levels of utilization of trees and tree-parts. In contrast, a regulation targeting naturalistic management may include requirements to leave economically valuable timber behind for animal habitat or soil health. Disagreements become concrete in the details of regulatory requirements. Thus, a meaningful assessment of similarities and differences between regulations requires attention to detail.</w:t>
      </w:r>
    </w:p>
    <w:p>
      <w:pPr>
        <w:pStyle w:val="Heading2"/>
      </w:pPr>
      <w:bookmarkStart w:id="31" w:name="scope-prescriptiveness-and-policy-settings-in-forestry"/>
      <w:r>
        <w:t xml:space="preserve">Scope, Prescriptiveness, and Policy Settings in Forestry</w:t>
      </w:r>
      <w:bookmarkEnd w:id="31"/>
    </w:p>
    <w:p>
      <w:pPr>
        <w:pStyle w:val="FirstParagraph"/>
      </w:pPr>
      <w:r>
        <w:t xml:space="preserve">To measure comprehensiveness of scope, we reviewed all FSC, PEFC, and SFI standards in effect between 2008 and 2016. We assessed the coverage of each standard across 48 distinct</w:t>
      </w:r>
      <w:r>
        <w:t xml:space="preserve"> </w:t>
      </w:r>
      <w:r>
        <w:t xml:space="preserve">“</w:t>
      </w:r>
      <w:r>
        <w:t xml:space="preserve">key issues,</w:t>
      </w:r>
      <w:r>
        <w:t xml:space="preserve">”</w:t>
      </w:r>
      <w:r>
        <w:t xml:space="preserve"> </w:t>
      </w:r>
      <w:r>
        <w:t xml:space="preserve">capturing a broad scope of forestry requirements–from employee wages and resource utilization to protections for endangered species and indigenous peoples’ rights. These issues were selected in 2008 by</w:t>
      </w:r>
      <w:r>
        <w:t xml:space="preserve"> </w:t>
      </w:r>
      <w:r>
        <w:t xml:space="preserve">McDermott, Cashore, and Kanowski (2010)</w:t>
      </w:r>
      <w:r>
        <w:t xml:space="preserve"> </w:t>
      </w:r>
      <w:r>
        <w:t xml:space="preserve">using an iterative process to disaggregate forestry policies to capture all of the key issues addressed by FSC, PEFC, or SFI requirements.</w:t>
      </w:r>
    </w:p>
    <w:p>
      <w:pPr>
        <w:pStyle w:val="BodyText"/>
      </w:pPr>
      <w:r>
        <w:t xml:space="preserve">To measure prescriptiveness, we code the text of each standard that addresses each key issue according to the classification scheme set out in Table</w:t>
      </w:r>
      <w:r>
        <w:t xml:space="preserve"> </w:t>
      </w:r>
      <w:r>
        <w:t xml:space="preserve">. If companies have discretion among performance levels, only the least demanding levels can be considered prescriptive. For example, if companies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Supplementary Appendix. This approach is similar to how previous scholars have descriptively compared the SFI and FSC standards on select issues, except with a comprehensive scope of potential issues. Doing so allows us to classify each specific change, the types of issues that changed, and differences among standards on key issues that may be important but not (yet) salient in the public debates.</w:t>
      </w:r>
    </w:p>
    <w:p>
      <w:pPr>
        <w:pStyle w:val="Heading2"/>
      </w:pPr>
      <w:bookmarkStart w:id="32" w:name="results"/>
      <w:r>
        <w:t xml:space="preserve">Results</w:t>
      </w:r>
      <w:bookmarkEnd w:id="32"/>
    </w:p>
    <w:p>
      <w:pPr>
        <w:pStyle w:val="FirstParagraph"/>
      </w:pPr>
      <w:r>
        <w:t xml:space="preserve">Here we compare each standard to the previous version from the same program and to the contemporary version from its competitor program. Thus, we assess revisions in the FSC- International’s 2012 Revised Principles and Criteria 01-001 Version 5-0 (FSC–P&amp;C) and compare them with revisions in the PEFC’s Sustainable Forest Management Standards 1003:2010. Similarly, we compare the 2010 FSC-U.S. Forest Management Standard Version 1.0 with the FSC-US National Indicators and regional standards it replaced, and we compare both FSC-US standards to the 2005-2009, 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(more on this in the Supplementary Appendix).</w:t>
      </w:r>
    </w:p>
    <w:p>
      <w:pPr>
        <w:pStyle w:val="Heading3"/>
      </w:pPr>
      <w:bookmarkStart w:id="33" w:name="comparing-fscs-and-pefcs-international-requirements"/>
      <w:r>
        <w:t xml:space="preserve">Comparing FSC’s and PEFC’s International Requirements</w:t>
      </w:r>
      <w:bookmarkEnd w:id="33"/>
    </w:p>
    <w:p>
      <w:pPr>
        <w:pStyle w:val="FirstParagraph"/>
      </w:pPr>
      <w:r>
        <w:rPr>
          <w:i/>
        </w:rPr>
        <w:t xml:space="preserve">Scope:</w:t>
      </w:r>
      <w:r>
        <w:t xml:space="preserve"> </w:t>
      </w:r>
      <w:r>
        <w:t xml:space="preserve">The FSC-P&amp;C and PEFC maintained a similar policy scope (see the top panel of Figure 2). The PEFC once covered slightly fewer issues than did the FSC-P&amp;C, but its 2010 revisions added new requirements on eight key issues that it previously did not address, making the two programs generally aligned in scope. As of 2015, the FSC P&amp;C covered three potentially costly issues that the PEFC still did not: carbon emissions, restrictions on conversion to plantations, and worker wage requirements (see the middle panel of Figure 2). PEFC covered two issues relating to public relations that FSC-P&amp;C do not: managing the aesthetic impacts of logging and allowing public access to forests.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Still, the PEFC moved closer to the FSC-P&amp;C on some key issues (the middle panel of Figure 2). These include additional requirements regarding indigenous rights, community benefits, and public reporting and consultation (see the Supplementary Appendix for the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remained. The FSC-P&amp;C contained more prescriptive language on most ecological criteria, including protected areas and restrictions on conversion to plantations.</w:t>
      </w:r>
    </w:p>
    <w:p>
      <w:pPr>
        <w:pStyle w:val="BodyText"/>
      </w:pPr>
      <w:r>
        <w:t xml:space="preserve">Both programs had more procedural requirements than substantive requirements (i.e., they are more focused on process than outcomes). Despite convergence in the PEFC’s revised requirements, the FSC-P&amp;C remained more prescriptive than PEFC requirements on 17 of the 48 key issues. PEFC requirements were more prescriptive on 9 issues.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CaptionedFigure"/>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permitted certification of forestry plantations that were converted from natural forest under</w:t>
      </w:r>
      <w:r>
        <w:t xml:space="preserve"> </w:t>
      </w:r>
      <w:r>
        <w:t xml:space="preserve">“</w:t>
      </w:r>
      <w:r>
        <w:t xml:space="preserve">justifiable circumstances,</w:t>
      </w:r>
      <w:r>
        <w:t xml:space="preserve">”</w:t>
      </w:r>
      <w:r>
        <w:t xml:space="preserve"> </w:t>
      </w:r>
      <w:r>
        <w:t xml:space="preserve">which differed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differed regarding the extent of forest conversion allowed. The FSC-P&amp;C allowed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suggested that forests should only be certified if the conversion occurred before 2011, the FSC-P&amp;C required that conversion occurred before 1994. These conversion dates are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programs included criteria that require the free, prior and informed consent of indigenous peoples and local communities. The FSC-P&amp;C required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were more prescriptive, defining topics on which forest managers must consult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with</w:t>
      </w:r>
      <w:r>
        <w:t xml:space="preserve"> </w:t>
      </w:r>
      <w:r>
        <w:t xml:space="preserve">“</w:t>
      </w:r>
      <w:r>
        <w:t xml:space="preserve">interested stakeholders</w:t>
      </w:r>
      <w:r>
        <w:t xml:space="preserve">”</w:t>
      </w:r>
      <w:r>
        <w:t xml:space="preserve"> </w:t>
      </w:r>
      <w:r>
        <w:t xml:space="preserve">while PEFC requirements regarding</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covered similar ecological issues, with some qualitative differences. Both FSC–P&amp;C and PEFC requirements prohibited use of GMOs in the area being certified, with some possible flexibility should scientific evidence affirm the safety of GMO trees. FSC–P&amp;C allowed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w:t>
      </w:r>
      <w:r>
        <w:t xml:space="preserve"> </w:t>
      </w:r>
      <w:r>
        <w:t xml:space="preserve">“</w:t>
      </w:r>
      <w:r>
        <w:t xml:space="preserve">biologically active</w:t>
      </w:r>
      <w:r>
        <w:t xml:space="preserve">”</w:t>
      </w:r>
      <w:r>
        <w:t xml:space="preserve"> </w:t>
      </w:r>
      <w:r>
        <w:t xml:space="preserve">and</w:t>
      </w:r>
      <w:r>
        <w:t xml:space="preserve"> </w:t>
      </w:r>
      <w:r>
        <w:t xml:space="preserve">“</w:t>
      </w:r>
      <w:r>
        <w:t xml:space="preserve">highly toxic</w:t>
      </w:r>
      <w:r>
        <w:t xml:space="preserve">”</w:t>
      </w:r>
      <w:r>
        <w:t xml:space="preserve"> </w:t>
      </w:r>
      <w:r>
        <w:t xml:space="preserve">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with the prescriptiveness of the FSC-US and SFI described below, the FSC–P&amp;C and PEFC requirements exhibited more convergence on both scope and prescriptiveness (compare Figures 3 and 4), though many differences in policy settings remained.</w:t>
      </w:r>
    </w:p>
    <w:p>
      <w:pPr>
        <w:pStyle w:val="Heading3"/>
      </w:pPr>
      <w:bookmarkStart w:id="35" w:name="comparing-the-fsc-us-and-sfi"/>
      <w:r>
        <w:t xml:space="preserve">Comparing the FSC-US and SFI</w:t>
      </w:r>
      <w:bookmarkEnd w:id="35"/>
    </w:p>
    <w:p>
      <w:pPr>
        <w:pStyle w:val="FirstParagraph"/>
      </w:pPr>
      <w:r>
        <w:rPr>
          <w:i/>
        </w:rPr>
        <w:t xml:space="preserve">Scope:</w:t>
      </w:r>
      <w:r>
        <w:t xml:space="preserve"> </w:t>
      </w:r>
      <w:r>
        <w:t xml:space="preserve">Consistent with the international level, the activist-backed FSC-US program and industry-backed SFI program in the United States address a similar scope of issues, but the FSC-US is more prescriptive on most (the top panel of Figure 3). As of 2016, the FSC-US covered six potentially costly issues that the SFI did not; community benefit requirements, forest extent restrictions, required impact assessments, protected area restrictions, restoration requirements, and indigenous tenure protections (the middle panel of Figure 3). The SFI, in turn, covered one issue that the FSC-US did not: contributing to forestry research. Both programs added requirements on greenhouse gasses in 2010. SFI allowed for the conversion of natural forests to plantations if ecological impacts are not significant and the converted forest type is not rare, but in 2015, SFI added a requirement for companies to conduct an assessment of these impacts. Yet, the FSC-US still maintained more prescriptive requirements, only allowing certification of plantation forests if they were converted from natural forests before 1994. FSC-US also required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5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38 key issues, and the SFI was more prescriptive on the same 5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43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on more issues than did the SFI (the bottom panel of Figure 3). Of 48 key issues, the FSC-US became more prescriptive on 21, whereas SFI became more prescriptive on 12 (eight in 2010, one more in 2013, and three more in 2015).</w:t>
      </w:r>
    </w:p>
    <w:p>
      <w:pPr>
        <w:pStyle w:val="CaptionedFigure"/>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6"/>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limits on clearcut size limits and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the landscape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tree retention (i.e., intensive but not clearcut harvesting). In contrast, the FSC-US limits clearcuts to a 40-acre average and 80-acre maximum, with additional restrictions based on region and forest type. The FSC-US also limits harvesting with 20%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(Table</w:t>
      </w:r>
      <w:r>
        <w:t xml:space="preserve"> </w:t>
      </w:r>
      <w:r>
        <w:t xml:space="preserve">).</w:t>
      </w:r>
    </w:p>
    <w:p>
      <w:pPr>
        <w:pStyle w:val="CaptionedFigure"/>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7"/>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CaptionedFigure"/>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habitats,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vulnerable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generally prohibit harvesting.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protect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with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w:t>
      </w:r>
      <w:r>
        <w:t xml:space="preserve"> </w:t>
      </w:r>
      <w:r>
        <w:t xml:space="preserve">(Newsom and Hewitt 2005)</w:t>
      </w:r>
      <w:r>
        <w:t xml:space="preserve">, while SFI’s FECV requirements have been criticized for not significantly exceeding legal baselines (state and federal endangered species acts) which already protected threatened and endangered species. The FSC-US then added even more prescriptive requirements requiring certain areas to be designated HCVFs and prescriptive accountability mechanisms for HCVF management.</w:t>
      </w:r>
    </w:p>
    <w:p>
      <w:pPr>
        <w:pStyle w:val="BodyText"/>
      </w:pPr>
      <w:r>
        <w:rPr>
          <w:i/>
        </w:rPr>
        <w:t xml:space="preserve">Summary:</w:t>
      </w:r>
      <w:r>
        <w:t xml:space="preserve"> </w:t>
      </w:r>
      <w:r>
        <w:t xml:space="preserve">The overall pattern for the FSC-US and SFI from 2008 to 2016 was neither convergence to the top nor bottom, but</w:t>
      </w:r>
      <w:r>
        <w:t xml:space="preserve"> </w:t>
      </w:r>
      <w:r>
        <w:t xml:space="preserve">“</w:t>
      </w:r>
      <w:r>
        <w:t xml:space="preserve">upward divergence.</w:t>
      </w:r>
      <w:r>
        <w:t xml:space="preserve">”</w:t>
      </w:r>
      <w:r>
        <w:t xml:space="preserve"> </w:t>
      </w:r>
      <w:r>
        <w:t xml:space="preserve">Each program had distinct areas in which its requirements became more prescriptive. For the FSC, these requirements tended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Compared to the previous version, this language appeared more frequently and forcefully in the 2010 standard on issues including clearcutting, riparian management, HCVF designations,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plantations converted from natural forests can be certified, and requiring a written policy to recognize and respect indigenous rights.</w:t>
      </w:r>
    </w:p>
    <w:p>
      <w:pPr>
        <w:pStyle w:val="Heading1"/>
      </w:pPr>
      <w:bookmarkStart w:id="39" w:name="discussion"/>
      <w:r>
        <w:t xml:space="preserve">Discussion</w:t>
      </w:r>
      <w:bookmarkEnd w:id="39"/>
    </w:p>
    <w:p>
      <w:pPr>
        <w:pStyle w:val="Heading2"/>
      </w:pPr>
      <w:bookmarkStart w:id="40" w:name="overall-comparison"/>
      <w:r>
        <w:t xml:space="preserve">Overall Comparison</w:t>
      </w:r>
      <w:bookmarkEnd w:id="40"/>
    </w:p>
    <w:p>
      <w:pPr>
        <w:pStyle w:val="FirstParagraph"/>
      </w:pPr>
      <w:r>
        <w:t xml:space="preserve">By distinguishing different types of stringency, our framework improves upon blunt, generalized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based on ambiguous concepts or only a few of the many issues a policy may address.</w:t>
      </w:r>
    </w:p>
    <w:p>
      <w:pPr>
        <w:pStyle w:val="BodyText"/>
      </w:pPr>
      <w:r>
        <w:t xml:space="preserve">Overall our results are consistent with the expectation that activist-backed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required that local communities benefit from harvesting in ways that were unmatched by SFI’s standard. Numerically, FSC-US had a broader scope of social benefits. On prescriptiveness, the contrast was more stark,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the conventional scope of issues considered social issues, by most qualitative comparisons, and certainly in terms of prescriptiveness, the FSC-US standard was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overall patterns were largely reversed. SFI was slightly broader in scope (requiring contributions to research where FSC did not), was more prescriptive, and required increasingly demanding performance levels on many business-friendly issues.</w:t>
      </w:r>
    </w:p>
    <w:p>
      <w:pPr>
        <w:pStyle w:val="Heading2"/>
      </w:pPr>
      <w:bookmarkStart w:id="41" w:name="patterns-of-change"/>
      <w:r>
        <w:t xml:space="preserve">Patterns of Change</w:t>
      </w:r>
      <w:bookmarkEnd w:id="41"/>
    </w:p>
    <w:p>
      <w:pPr>
        <w:pStyle w:val="FirstParagraph"/>
      </w:pPr>
      <w:r>
        <w:t xml:space="preserve">In most years between 2008 and 2016, neither the FSC nor the SFI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When they did change, upwardly diverging prescriptiveness was the most frequent pattern. Most changes for both programs occurred in 2010, where the overall pattern was divergence rather than convergence or stability. For all 16 issues on which only the FSC-US added requirements, the FSC-US already had the more prescriptive requirements, and almost all of these additions address ecological problems. Similarly, for 3 out of the 4 issues on which only the SFI added requirements, the SFI already had more prescriptive requirements.</w:t>
      </w:r>
    </w:p>
    <w:p>
      <w:pPr>
        <w:pStyle w:val="BodyText"/>
      </w:pPr>
      <w:r>
        <w:t xml:space="preserve">The vast majority of changes (21 of 27 issues changed) fit a pattern where one program increased prescriptiveness while the other did not (or in one case, increased to a lesser degree) and the program that increased stringency</w:t>
      </w:r>
      <w:r>
        <w:t xml:space="preserve"> </w:t>
      </w:r>
      <w:r>
        <w:rPr>
          <w:i/>
        </w:rPr>
        <w:t xml:space="preserve">already had the more prescriptive requirements</w:t>
      </w:r>
      <w:r>
        <w:t xml:space="preserve">. On 18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r>
        <w:t xml:space="preserve">Convergence was rare. In 2010, upward convergence only occurred when the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slight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pPr>
        <w:pStyle w:val="Heading2"/>
      </w:pPr>
      <w:bookmarkStart w:id="42" w:name="implications-for-theory"/>
      <w:r>
        <w:t xml:space="preserve">Implications for Theory</w:t>
      </w:r>
      <w:bookmarkEnd w:id="42"/>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issues related to industry capacity and reputation,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overall upwardly divergent trajectories of the SFI and FSC-US do not exactly fit a</w:t>
      </w:r>
      <w:r>
        <w:t xml:space="preserve"> </w:t>
      </w:r>
      <w:r>
        <w:t xml:space="preserve">“</w:t>
      </w:r>
      <w:r>
        <w:t xml:space="preserve">race to the top</w:t>
      </w:r>
      <w:r>
        <w:t xml:space="preserve">”</w:t>
      </w:r>
      <w:r>
        <w:t xml:space="preserve"> </w:t>
      </w:r>
      <w:r>
        <w:t xml:space="preserve">(upward parallel) pattern either.</w:t>
      </w:r>
    </w:p>
    <w:p>
      <w:pPr>
        <w:pStyle w:val="BodyText"/>
      </w:pPr>
      <w:r>
        <w:t xml:space="preserve">These results are consistent with Hypotheses 1.1, 2.1, and 2.2 outlined above in Section 2.3. We cannot assess Hypothesis 1.2 because neither program changed significantly in policy scope. (Both programs did begin regulating carbon emissions in 2010, but it is unclear if this change in scope is one program reacting to the other or both programs responding to a third causal variable.)</w:t>
      </w:r>
    </w:p>
    <w:p>
      <w:pPr>
        <w:pStyle w:val="BodyText"/>
      </w:pPr>
      <w:r>
        <w:t xml:space="preserve">Regarding Hypothesis 1.1. The industry-backed SFI program often contained language similar to that of the activist-backed FSC-US program (i.e., it was similar in scope), but often lacked (costlier) mandatory performance thresholds (i.e., the requirements were less prescriptive). This result suggests that any effort to test theories related to compliance cost or differentiation must distinguish between measures of stringency based on policy scope or prescriptiveness. Failing to account for differences in types of regulatory stringency will render empirical findings incomplete at best and misleading at worst.</w:t>
      </w:r>
    </w:p>
    <w:p>
      <w:pPr>
        <w:pStyle w:val="BodyText"/>
      </w:pPr>
      <w:r>
        <w:t xml:space="preserve">Consistent with Hypothesis 2.1, the activist-backed FSC-US program was more comprehensive in scope, was more prescriptive, and had higher performance levels on issues that are more costly for firms to address. Conversely, the industry-backed SFI program was more comprehensive in scope, was more prescriptive, and had higher performance levels on issues that create net utility for the industry.</w:t>
      </w:r>
    </w:p>
    <w:p>
      <w:pPr>
        <w:pStyle w:val="BodyText"/>
      </w:pPr>
      <w:r>
        <w:t xml:space="preserve">Hypothesis 2.2 posits that differentiation rooted in compliance costs will also explain policy change. This prediction is consistent with changes to the FSC-US and SFI in 2010, but not with changes made by SFI in 2015, where we saw an industry-backed program adding prescriptive requirements on social and ecological issues likely to impose costs on producers.</w:t>
      </w:r>
    </w:p>
    <w:p>
      <w:pPr>
        <w:pStyle w:val="BodyText"/>
      </w:pPr>
      <w:r>
        <w:t xml:space="preserve">More research is needed to test these and other hypotheses, using similarly precise and comprehensive measures of regulatory stringency in other policy domains. Specifically, while</w:t>
      </w:r>
      <w:r>
        <w:t xml:space="preserve"> </w:t>
      </w:r>
      <w:r>
        <w:t xml:space="preserve">“</w:t>
      </w:r>
      <w:r>
        <w:t xml:space="preserve">ratcheting up</w:t>
      </w:r>
      <w:r>
        <w:t xml:space="preserve">”</w:t>
      </w:r>
      <w:r>
        <w:t xml:space="preserve"> </w:t>
      </w:r>
      <w:r>
        <w:t xml:space="preserve">theories anticipate the general upward direction we observe, more attention is needed to explain why programs may increase prescriptiveness on different issues, especially for issues on which they already have the more stringent requirements.</w:t>
      </w:r>
    </w:p>
    <w:p>
      <w:pPr>
        <w:pStyle w:val="Heading2"/>
      </w:pPr>
      <w:bookmarkStart w:id="43" w:name="industry-backed-certification-programs-as-a-form-of-collective-action"/>
      <w:r>
        <w:t xml:space="preserve">Industry-Backed Certification Programs as a Form of Collective Action</w:t>
      </w:r>
      <w:bookmarkEnd w:id="43"/>
    </w:p>
    <w:p>
      <w:pPr>
        <w:pStyle w:val="FirstParagraph"/>
      </w:pPr>
      <w:r>
        <w:t xml:space="preserve">Our finding that the SFI and FSC-US were each more prescriptive and continued to become more prescriptive on qualitatively different issues highlights how industry-backed certification programs can serve their industry in two ways.</w:t>
      </w:r>
    </w:p>
    <w:p>
      <w:pPr>
        <w:pStyle w:val="BodyText"/>
      </w:pPr>
      <w:r>
        <w:t xml:space="preserve">First, industry-backed certification programs provide individual firms with a service—a signal of</w:t>
      </w:r>
      <w:r>
        <w:t xml:space="preserve"> </w:t>
      </w:r>
      <w:r>
        <w:t xml:space="preserve">“</w:t>
      </w:r>
      <w:r>
        <w:t xml:space="preserve">social responsibility</w:t>
      </w:r>
      <w:r>
        <w:t xml:space="preserve">”</w:t>
      </w:r>
      <w:r>
        <w:t xml:space="preserve"> </w:t>
      </w:r>
      <w:r>
        <w:t xml:space="preserve">that requires a credible third to send. Another way to send such a signal would be to comply with an activist-backed regulation, but this may be much more expensive. Hence, industry-backed programs are often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or public regulations. Such signals are often based on perceived, rather than actual, stringency.</w:t>
      </w:r>
      <w:r>
        <w:rPr>
          <w:rStyle w:val="FootnoteReference"/>
        </w:rPr>
        <w:footnoteReference w:id="44"/>
      </w:r>
    </w:p>
    <w:p>
      <w:pPr>
        <w:pStyle w:val="BodyText"/>
      </w:pPr>
      <w:r>
        <w:t xml:space="preserve">Second, industry-backed certification programs provide a mechanism for an industry to improve its collective reputation and capacity by coordinating contributions to collective goods, a common function of industry associations. That the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not a result of competition with the FSC. Instead, SFI had the most prescriptive requirements for actions that firms may take anyway—like training workers and maximizing efficiency—or that present collective action problems for the industry—like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pPr>
        <w:pStyle w:val="BodyText"/>
      </w:pPr>
      <w:r>
        <w:t xml:space="preserve">In short, for the handful of issues where the SFI developed more prescriptive requirements than did the FSC-US, SFI requirements tended to focus on actions that firms would likely take in the absence of certification (such as training workers or educating the public) but where certification may provide additional collective benefits by causing them to be more widely adopted. While unforeseen by existing theories, the fact that the SFI is more prescriptive on some issues is unsurprising if these requirements provide net benefits to the sector regardless of activist pressures or consumer demands. Disentangling the type of regulatory stringency is thus necessary to assess whether industry-backed programs increasing stringency supports or contradicts broader theories of competition between activist and industry-backed programs.</w:t>
      </w:r>
    </w:p>
    <w:p>
      <w:pPr>
        <w:pStyle w:val="Heading1"/>
      </w:pPr>
      <w:bookmarkStart w:id="45" w:name="conclusion"/>
      <w:r>
        <w:t xml:space="preserve">Conclusion</w:t>
      </w:r>
      <w:bookmarkEnd w:id="45"/>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these theories require more attention to the types of policy to which they apply and that testing these theories requires research that measures change across programs and over time. Our framework for measuring regulatory stringency and using longitudinal data to classify patterns of change offers a foundation for further research. The overwhelming failure to do so thus far has hampered the accumulation of knowledge and caused confusion about the potential and limits of private governance.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pPr>
        <w:pStyle w:val="BodyText"/>
      </w:pPr>
      <w:r>
        <w:t xml:space="preserve">Applying our framework to the case of forestry standards in the United States demonstrates the utility of fine-grained analyses concerning regulatory stringency and policy change. Our results show different patterns depending on whether researchers decide to emphasize policy scope, prescriptiveness, or specific policy settings. Attention to all three dimensions of stringency uncovered trends that previous scholarship has missed and which contradict the predictions of several dominant theories.</w:t>
      </w:r>
    </w:p>
    <w:p>
      <w:pPr>
        <w:pStyle w:val="BodyText"/>
      </w:pPr>
      <w:r>
        <w:t xml:space="preserve">Previous studies of forest certification illustrate how empirical debates often result from research design choices that capture some patterns but miss others. Some scholars chose a few key issues and found convergence. Others used different issues or measures and did not. Still others made broad generalizations in both directions without specifying defining a scope of policy content or measurement concepts at all. Our integration of both precise and broad measures found that both conclusions were accurate but incomplete. Activist-backed and industry-backed programs converged in policy scope on a few issues, but overall,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This deep dive into defining regulatory stringency and policy change in one domain both lays a foundation for scholarship on the causes of public and private regulation in forestry and offers a model for similar research in other policy domains.</w:t>
      </w:r>
    </w:p>
    <w:p>
      <w:pPr>
        <w:pStyle w:val="BodyText"/>
      </w:pPr>
      <w:r>
        <w:t xml:space="preserve">Our methodological critique and corrective framework also have practical value. First, the power dynamics among coalitions that promote programs like the FSC or the SFI have created an environment in which competing claims about their requirements and how they have changed causes confusion among potential buyers of certified products. The politics of private regulation revolve around claims about the relative stringency of each program’s requirements,</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Our framework disentangles abstract notions of</w:t>
      </w:r>
      <w:r>
        <w:t xml:space="preserve"> </w:t>
      </w:r>
      <w:r>
        <w:t xml:space="preserve">“</w:t>
      </w:r>
      <w:r>
        <w:t xml:space="preserve">higher</w:t>
      </w:r>
      <w:r>
        <w:t xml:space="preserve">”</w:t>
      </w:r>
      <w:r>
        <w:t xml:space="preserve"> </w:t>
      </w:r>
      <w:r>
        <w:t xml:space="preserve">with more concrete and objective ways to measure regulatory stringency. Second, it is impossible to measure the impact of a set of regulatory requirements without disentangling their component parts. Our analysis of written requirements is thus a critical, but often overlooked first step for efforts to assess the effects of these programs on the ground</w:t>
      </w:r>
      <w:r>
        <w:t xml:space="preserve"> </w:t>
      </w:r>
      <w:r>
        <w:t xml:space="preserve">(Ven, Rothacker, and Cashore 2018)</w:t>
      </w:r>
      <w:r>
        <w:t xml:space="preserve">.</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we must define policy change in ways that can be applied across programs and over time. Doing so will not only improve the quality of research and theory, it may also uncover entirely new puzzles and insights.</w:t>
      </w:r>
    </w:p>
    <w:bookmarkStart w:id="160" w:name="refs"/>
    <w:bookmarkStart w:id="47" w:name="ref-Abbott2009"/>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6">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bookmarkEnd w:id="47"/>
    <w:bookmarkStart w:id="49" w:name="ref-Abbott2010"/>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Springer US: 315–44.</w:t>
      </w:r>
      <w:r>
        <w:t xml:space="preserve"> </w:t>
      </w:r>
      <w:hyperlink r:id="rId48">
        <w:r>
          <w:rPr>
            <w:rStyle w:val="Hyperlink"/>
          </w:rPr>
          <w:t xml:space="preserve">https://doi.org/10.1007/s11558-010-9092-3</w:t>
        </w:r>
      </w:hyperlink>
      <w:r>
        <w:t xml:space="preserve">.</w:t>
      </w:r>
    </w:p>
    <w:bookmarkEnd w:id="49"/>
    <w:bookmarkStart w:id="51" w:name="ref-Abderrazak2009"/>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w:t>
      </w:r>
      <w:r>
        <w:t xml:space="preserve"> </w:t>
      </w:r>
      <w:hyperlink r:id="rId50">
        <w:r>
          <w:rPr>
            <w:rStyle w:val="Hyperlink"/>
          </w:rPr>
          <w:t xml:space="preserve">https://doi.org/10.2202/1542-0485.1271&gt;</w:t>
        </w:r>
      </w:hyperlink>
      <w:r>
        <w:t xml:space="preserve">.</w:t>
      </w:r>
    </w:p>
    <w:bookmarkEnd w:id="51"/>
    <w:bookmarkStart w:id="53" w:name="ref-Atkinson2014"/>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w:t>
      </w:r>
      <w:r>
        <w:t xml:space="preserve"> </w:t>
      </w:r>
      <w:hyperlink r:id="rId52">
        <w:r>
          <w:rPr>
            <w:rStyle w:val="Hyperlink"/>
          </w:rPr>
          <w:t xml:space="preserve">https://doi.org/10.1080/00913367.2013.834803</w:t>
        </w:r>
      </w:hyperlink>
      <w:r>
        <w:t xml:space="preserve">.</w:t>
      </w:r>
    </w:p>
    <w:bookmarkEnd w:id="53"/>
    <w:bookmarkStart w:id="55" w:name="ref-Auld2014"/>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54">
        <w:r>
          <w:rPr>
            <w:rStyle w:val="Hyperlink"/>
          </w:rPr>
          <w:t xml:space="preserve">https://books.google.ca/books?id=be6uBAAAQBAJ{\&amp;}lr={\&amp;
                  }source=gbs{\_}navlinks{\_}s</w:t>
        </w:r>
      </w:hyperlink>
      <w:r>
        <w:t xml:space="preserve">.</w:t>
      </w:r>
    </w:p>
    <w:bookmarkEnd w:id="55"/>
    <w:bookmarkStart w:id="57" w:name="ref-Bartley2003"/>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w:t>
      </w:r>
      <w:r>
        <w:t xml:space="preserve"> </w:t>
      </w:r>
      <w:hyperlink r:id="rId56">
        <w:r>
          <w:rPr>
            <w:rStyle w:val="Hyperlink"/>
          </w:rPr>
          <w:t xml:space="preserve">https://doi.org/10.1177/0032329203254863</w:t>
        </w:r>
      </w:hyperlink>
      <w:r>
        <w:t xml:space="preserve">.</w:t>
      </w:r>
    </w:p>
    <w:bookmarkEnd w:id="57"/>
    <w:bookmarkStart w:id="59" w:name="ref-Bartley2007"/>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w:t>
      </w:r>
      <w:r>
        <w:t xml:space="preserve"> </w:t>
      </w:r>
      <w:hyperlink r:id="rId58">
        <w:r>
          <w:rPr>
            <w:rStyle w:val="Hyperlink"/>
          </w:rPr>
          <w:t xml:space="preserve">https://doi.org/10.1086/518871</w:t>
        </w:r>
      </w:hyperlink>
      <w:r>
        <w:t xml:space="preserve">.</w:t>
      </w:r>
    </w:p>
    <w:bookmarkEnd w:id="59"/>
    <w:bookmarkStart w:id="60" w:name="ref-Bartley2018"/>
    <w:p>
      <w:pPr>
        <w:pStyle w:val="Bibliography"/>
      </w:pPr>
      <w:r>
        <w:t xml:space="preserve">———. 2018.</w:t>
      </w:r>
      <w:r>
        <w:t xml:space="preserve"> </w:t>
      </w:r>
      <w:r>
        <w:rPr>
          <w:i/>
        </w:rPr>
        <w:t xml:space="preserve">Rules Without Rights</w:t>
      </w:r>
      <w:r>
        <w:t xml:space="preserve">. Oxford University Press.</w:t>
      </w:r>
    </w:p>
    <w:bookmarkEnd w:id="60"/>
    <w:bookmarkStart w:id="61" w:name="ref-Baumgartner2002"/>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bookmarkEnd w:id="61"/>
    <w:bookmarkStart w:id="62" w:name="ref-Berger1996"/>
    <w:p>
      <w:pPr>
        <w:pStyle w:val="Bibliography"/>
      </w:pPr>
      <w:r>
        <w:t xml:space="preserve">Berger, Suzanne., and Ronald Dore. 1996.</w:t>
      </w:r>
      <w:r>
        <w:t xml:space="preserve"> </w:t>
      </w:r>
      <w:r>
        <w:rPr>
          <w:i/>
        </w:rPr>
        <w:t xml:space="preserve">National diversity and global capitalism</w:t>
      </w:r>
      <w:r>
        <w:t xml:space="preserve">. Cornell University Press.</w:t>
      </w:r>
    </w:p>
    <w:bookmarkEnd w:id="62"/>
    <w:bookmarkStart w:id="64" w:name="ref-Bodansky1999"/>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Cambridge University Press: 596.</w:t>
      </w:r>
      <w:r>
        <w:t xml:space="preserve"> </w:t>
      </w:r>
      <w:hyperlink r:id="rId63">
        <w:r>
          <w:rPr>
            <w:rStyle w:val="Hyperlink"/>
          </w:rPr>
          <w:t xml:space="preserve">https://doi.org/10.2307/2555262</w:t>
        </w:r>
      </w:hyperlink>
      <w:r>
        <w:t xml:space="preserve">.</w:t>
      </w:r>
    </w:p>
    <w:bookmarkEnd w:id="64"/>
    <w:bookmarkStart w:id="66" w:name="ref-Botzem2012"/>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SAGE PublicationsSage UK: London, England: 737–62.</w:t>
      </w:r>
      <w:r>
        <w:t xml:space="preserve"> </w:t>
      </w:r>
      <w:hyperlink r:id="rId65">
        <w:r>
          <w:rPr>
            <w:rStyle w:val="Hyperlink"/>
          </w:rPr>
          <w:t xml:space="preserve">https://doi.org/10.1177/0170840612443626</w:t>
        </w:r>
      </w:hyperlink>
      <w:r>
        <w:t xml:space="preserve">.</w:t>
      </w:r>
    </w:p>
    <w:bookmarkEnd w:id="66"/>
    <w:bookmarkStart w:id="67" w:name="ref-Bozzi2012"/>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bookmarkEnd w:id="67"/>
    <w:bookmarkStart w:id="69" w:name="ref-Brunel2016"/>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Oxford University Press: 47–67.</w:t>
      </w:r>
      <w:r>
        <w:t xml:space="preserve"> </w:t>
      </w:r>
      <w:hyperlink r:id="rId68">
        <w:r>
          <w:rPr>
            <w:rStyle w:val="Hyperlink"/>
          </w:rPr>
          <w:t xml:space="preserve">https://doi.org/10.1093/reep/rev019</w:t>
        </w:r>
      </w:hyperlink>
      <w:r>
        <w:t xml:space="preserve">.</w:t>
      </w:r>
    </w:p>
    <w:bookmarkEnd w:id="69"/>
    <w:bookmarkStart w:id="70" w:name="ref-Cashore1997"/>
    <w:p>
      <w:pPr>
        <w:pStyle w:val="Bibliography"/>
      </w:pPr>
      <w:r>
        <w:t xml:space="preserve">Cashore, Benjamin. 1997. “Governing Forestry: Environmental Group Influence in British Columbia and the US Pacific Northwest.” PhD thesis, University of Toronto.</w:t>
      </w:r>
    </w:p>
    <w:bookmarkEnd w:id="70"/>
    <w:bookmarkStart w:id="72" w:name="ref-Cashore2002"/>
    <w:p>
      <w:pPr>
        <w:pStyle w:val="Bibliography"/>
      </w:pPr>
      <w:r>
        <w:t xml:space="preserve">———.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w:t>
      </w:r>
      <w:r>
        <w:t xml:space="preserve"> </w:t>
      </w:r>
      <w:hyperlink r:id="rId71">
        <w:r>
          <w:rPr>
            <w:rStyle w:val="Hyperlink"/>
          </w:rPr>
          <w:t xml:space="preserve">https://doi.org/10.1111/1468-0491.00199</w:t>
        </w:r>
      </w:hyperlink>
      <w:r>
        <w:t xml:space="preserve">.</w:t>
      </w:r>
    </w:p>
    <w:bookmarkEnd w:id="72"/>
    <w:bookmarkStart w:id="74" w:name="ref-Cashore2004"/>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73">
        <w:r>
          <w:rPr>
            <w:rStyle w:val="Hyperlink"/>
          </w:rPr>
          <w:t xml:space="preserve">http://politicalscience.yale.edu/publications/governing-
                  through-markets-forest-certification-and-emergence-non-state-
                  authority</w:t>
        </w:r>
      </w:hyperlink>
      <w:r>
        <w:t xml:space="preserve">.</w:t>
      </w:r>
    </w:p>
    <w:bookmarkEnd w:id="74"/>
    <w:bookmarkStart w:id="76" w:name="ref-Cashore2007"/>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75">
        <w:r>
          <w:rPr>
            <w:rStyle w:val="Hyperlink"/>
          </w:rPr>
          <w:t xml:space="preserve">http://www.ajps.org/</w:t>
        </w:r>
      </w:hyperlink>
      <w:r>
        <w:t xml:space="preserve">.</w:t>
      </w:r>
    </w:p>
    <w:bookmarkEnd w:id="76"/>
    <w:bookmarkStart w:id="78" w:name="ref-Darnall2010"/>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USEPA, Washington, DC: 283–307.</w:t>
      </w:r>
      <w:r>
        <w:t xml:space="preserve"> </w:t>
      </w:r>
      <w:hyperlink r:id="rId77">
        <w:r>
          <w:rPr>
            <w:rStyle w:val="Hyperlink"/>
          </w:rPr>
          <w:t xml:space="preserve">https://doi.org/10.1093/jopart/mup014</w:t>
        </w:r>
      </w:hyperlink>
      <w:r>
        <w:t xml:space="preserve">.</w:t>
      </w:r>
    </w:p>
    <w:bookmarkEnd w:id="78"/>
    <w:bookmarkStart w:id="80" w:name="ref-DeLeon2009"/>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79">
        <w:r>
          <w:rPr>
            <w:rStyle w:val="Hyperlink"/>
          </w:rPr>
          <w:t xml:space="preserve">http://www.worldcat.org/title/voluntary-environmental-
                  programs-a-policy-perspective/oclc/440281013</w:t>
        </w:r>
      </w:hyperlink>
      <w:r>
        <w:t xml:space="preserve">.</w:t>
      </w:r>
    </w:p>
    <w:bookmarkEnd w:id="80"/>
    <w:bookmarkStart w:id="82" w:name="ref-Delmas2008"/>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Blackwell Publishing Inc: 65–93.</w:t>
      </w:r>
      <w:r>
        <w:t xml:space="preserve"> </w:t>
      </w:r>
      <w:hyperlink r:id="rId81">
        <w:r>
          <w:rPr>
            <w:rStyle w:val="Hyperlink"/>
          </w:rPr>
          <w:t xml:space="preserve">https://doi.org/10.1111/j.1541-0072.2007.00254.x</w:t>
        </w:r>
      </w:hyperlink>
      <w:r>
        <w:t xml:space="preserve">.</w:t>
      </w:r>
    </w:p>
    <w:bookmarkEnd w:id="82"/>
    <w:bookmarkStart w:id="84" w:name="ref-Djelic2017"/>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w:t>
      </w:r>
      <w:r>
        <w:t xml:space="preserve"> </w:t>
      </w:r>
      <w:hyperlink r:id="rId83">
        <w:r>
          <w:rPr>
            <w:rStyle w:val="Hyperlink"/>
          </w:rPr>
          <w:t xml:space="preserve">https://doi.org/10.1007/s10551-015-2879-7</w:t>
        </w:r>
      </w:hyperlink>
      <w:r>
        <w:t xml:space="preserve">.</w:t>
      </w:r>
    </w:p>
    <w:bookmarkEnd w:id="84"/>
    <w:bookmarkStart w:id="86" w:name="ref-Eberlein2014"/>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w:t>
      </w:r>
      <w:r>
        <w:t xml:space="preserve"> </w:t>
      </w:r>
      <w:hyperlink r:id="rId85">
        <w:r>
          <w:rPr>
            <w:rStyle w:val="Hyperlink"/>
          </w:rPr>
          <w:t xml:space="preserve">https://doi.org/10.1111/rego.12030</w:t>
        </w:r>
      </w:hyperlink>
      <w:r>
        <w:t xml:space="preserve">.</w:t>
      </w:r>
    </w:p>
    <w:bookmarkEnd w:id="86"/>
    <w:bookmarkStart w:id="88" w:name="ref-Fischer2014"/>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w:t>
      </w:r>
      <w:r>
        <w:t xml:space="preserve"> </w:t>
      </w:r>
      <w:hyperlink r:id="rId87">
        <w:r>
          <w:rPr>
            <w:rStyle w:val="Hyperlink"/>
          </w:rPr>
          <w:t xml:space="preserve">https://doi.org/10.1111/jems.12061</w:t>
        </w:r>
      </w:hyperlink>
      <w:r>
        <w:t xml:space="preserve">.</w:t>
      </w:r>
    </w:p>
    <w:bookmarkEnd w:id="88"/>
    <w:bookmarkStart w:id="90" w:name="ref-Fransen2011"/>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Blackwell Publishing Inc: 359–87.</w:t>
      </w:r>
      <w:r>
        <w:t xml:space="preserve"> </w:t>
      </w:r>
      <w:hyperlink r:id="rId89">
        <w:r>
          <w:rPr>
            <w:rStyle w:val="Hyperlink"/>
          </w:rPr>
          <w:t xml:space="preserve">https://doi.org/10.1111/j.1468-0491.2011.01519.x</w:t>
        </w:r>
      </w:hyperlink>
      <w:r>
        <w:t xml:space="preserve">.</w:t>
      </w:r>
    </w:p>
    <w:bookmarkEnd w:id="90"/>
    <w:bookmarkStart w:id="92" w:name="ref-Grabosky2013"/>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Blackwell Publishing Asia: 114–23.</w:t>
      </w:r>
      <w:r>
        <w:t xml:space="preserve"> </w:t>
      </w:r>
      <w:hyperlink r:id="rId91">
        <w:r>
          <w:rPr>
            <w:rStyle w:val="Hyperlink"/>
          </w:rPr>
          <w:t xml:space="preserve">https://doi.org/10.1111/j.1748-5991.2012.01147.x</w:t>
        </w:r>
      </w:hyperlink>
      <w:r>
        <w:t xml:space="preserve">.</w:t>
      </w:r>
    </w:p>
    <w:bookmarkEnd w:id="92"/>
    <w:bookmarkStart w:id="94" w:name="ref-Green2013"/>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93">
        <w:r>
          <w:rPr>
            <w:rStyle w:val="Hyperlink"/>
          </w:rPr>
          <w:t xml:space="preserve">https://books.google.ca/books?id=RaX3AAAAQBAJ{\&amp;}lr={\&amp;
                  }source=gbs{\_}navlinks{\_}s</w:t>
        </w:r>
      </w:hyperlink>
      <w:r>
        <w:t xml:space="preserve">.</w:t>
      </w:r>
    </w:p>
    <w:bookmarkEnd w:id="94"/>
    <w:bookmarkStart w:id="96" w:name="ref-Green2017"/>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Routledge: 103–28.</w:t>
      </w:r>
      <w:r>
        <w:t xml:space="preserve"> </w:t>
      </w:r>
      <w:hyperlink r:id="rId95">
        <w:r>
          <w:rPr>
            <w:rStyle w:val="Hyperlink"/>
          </w:rPr>
          <w:t xml:space="preserve">https://doi.org/10.1080/03050629.2016.1210943</w:t>
        </w:r>
      </w:hyperlink>
      <w:r>
        <w:t xml:space="preserve">.</w:t>
      </w:r>
    </w:p>
    <w:bookmarkEnd w:id="96"/>
    <w:bookmarkStart w:id="98" w:name="ref-Green-Pedersen2007"/>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w:t>
      </w:r>
      <w:r>
        <w:t xml:space="preserve"> </w:t>
      </w:r>
      <w:hyperlink r:id="rId97">
        <w:r>
          <w:rPr>
            <w:rStyle w:val="Hyperlink"/>
          </w:rPr>
          <w:t xml:space="preserve">https://doi.org/10.1080/1387698042000222763</w:t>
        </w:r>
      </w:hyperlink>
      <w:r>
        <w:t xml:space="preserve">.</w:t>
      </w:r>
    </w:p>
    <w:bookmarkEnd w:id="98"/>
    <w:bookmarkStart w:id="100" w:name="ref-Gulbrandsen2004"/>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MIT Press 238 Main St., Suite 500, Cambridge, MA 02142-1046 USA journals-info@mit.edu: 75–99.</w:t>
      </w:r>
      <w:r>
        <w:t xml:space="preserve"> </w:t>
      </w:r>
      <w:hyperlink r:id="rId99">
        <w:r>
          <w:rPr>
            <w:rStyle w:val="Hyperlink"/>
          </w:rPr>
          <w:t xml:space="preserve">https://doi.org/10.1162/152638004323074200</w:t>
        </w:r>
      </w:hyperlink>
      <w:r>
        <w:t xml:space="preserve">.</w:t>
      </w:r>
    </w:p>
    <w:bookmarkEnd w:id="100"/>
    <w:bookmarkStart w:id="102" w:name="ref-Gulbrandsen2014"/>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w:t>
      </w:r>
      <w:r>
        <w:t xml:space="preserve"> </w:t>
      </w:r>
      <w:hyperlink r:id="rId101">
        <w:r>
          <w:rPr>
            <w:rStyle w:val="Hyperlink"/>
          </w:rPr>
          <w:t xml:space="preserve">https://doi.org/10.1111/rego.12005</w:t>
        </w:r>
      </w:hyperlink>
      <w:r>
        <w:t xml:space="preserve">.</w:t>
      </w:r>
    </w:p>
    <w:bookmarkEnd w:id="102"/>
    <w:bookmarkStart w:id="104" w:name="ref-Hall1993"/>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w:t>
      </w:r>
      <w:r>
        <w:t xml:space="preserve"> </w:t>
      </w:r>
      <w:hyperlink r:id="rId103">
        <w:r>
          <w:rPr>
            <w:rStyle w:val="Hyperlink"/>
          </w:rPr>
          <w:t xml:space="preserve">https://doi.org/10.2307/422246</w:t>
        </w:r>
      </w:hyperlink>
      <w:r>
        <w:t xml:space="preserve">.</w:t>
      </w:r>
    </w:p>
    <w:bookmarkEnd w:id="104"/>
    <w:bookmarkStart w:id="106" w:name="ref-Hassel2008"/>
    <w:p>
      <w:pPr>
        <w:pStyle w:val="Bibliography"/>
      </w:pPr>
      <w:r>
        <w:t xml:space="preserve">Hassel, Anke. 2008. “The Evolution of a Global Labor Governance Regime.”</w:t>
      </w:r>
      <w:r>
        <w:t xml:space="preserve"> </w:t>
      </w:r>
      <w:r>
        <w:rPr>
          <w:i/>
        </w:rPr>
        <w:t xml:space="preserve">Governance</w:t>
      </w:r>
      <w:r>
        <w:t xml:space="preserve"> </w:t>
      </w:r>
      <w:r>
        <w:t xml:space="preserve">21 (2). Blackwell Publishing Inc: 231–51.</w:t>
      </w:r>
      <w:r>
        <w:t xml:space="preserve"> </w:t>
      </w:r>
      <w:hyperlink r:id="rId105">
        <w:r>
          <w:rPr>
            <w:rStyle w:val="Hyperlink"/>
          </w:rPr>
          <w:t xml:space="preserve">https://doi.org/10.1111/j.1468-0491.2008.00397.x</w:t>
        </w:r>
      </w:hyperlink>
      <w:r>
        <w:t xml:space="preserve">.</w:t>
      </w:r>
    </w:p>
    <w:bookmarkEnd w:id="106"/>
    <w:bookmarkStart w:id="108" w:name="ref-Heyes2017"/>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INFORMS: 1800–1813.</w:t>
      </w:r>
      <w:r>
        <w:t xml:space="preserve"> </w:t>
      </w:r>
      <w:hyperlink r:id="rId107">
        <w:r>
          <w:rPr>
            <w:rStyle w:val="Hyperlink"/>
          </w:rPr>
          <w:t xml:space="preserve">https://doi.org/10.1287/mnsc.2015.2419</w:t>
        </w:r>
      </w:hyperlink>
      <w:r>
        <w:t xml:space="preserve">.</w:t>
      </w:r>
    </w:p>
    <w:bookmarkEnd w:id="108"/>
    <w:bookmarkStart w:id="110" w:name="ref-Howard-Grenville2008"/>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w:t>
      </w:r>
      <w:r>
        <w:t xml:space="preserve"> </w:t>
      </w:r>
      <w:hyperlink r:id="rId109">
        <w:r>
          <w:rPr>
            <w:rStyle w:val="Hyperlink"/>
          </w:rPr>
          <w:t xml:space="preserve">https://doi.org/10.1111/j.1467-9930.2008.00270.x</w:t>
        </w:r>
      </w:hyperlink>
      <w:r>
        <w:t xml:space="preserve">.</w:t>
      </w:r>
    </w:p>
    <w:bookmarkEnd w:id="110"/>
    <w:bookmarkStart w:id="112" w:name="ref-Howlett2014"/>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w:t>
      </w:r>
      <w:r>
        <w:t xml:space="preserve"> </w:t>
      </w:r>
      <w:hyperlink r:id="rId111">
        <w:r>
          <w:rPr>
            <w:rStyle w:val="Hyperlink"/>
          </w:rPr>
          <w:t xml:space="preserve">https://doi.org/10.1057/9781137314154.0006</w:t>
        </w:r>
      </w:hyperlink>
      <w:r>
        <w:t xml:space="preserve">.</w:t>
      </w:r>
    </w:p>
    <w:bookmarkEnd w:id="112"/>
    <w:bookmarkStart w:id="113" w:name="ref-Howlett2007"/>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bookmarkEnd w:id="113"/>
    <w:bookmarkStart w:id="115" w:name="ref-Hsueh2012"/>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Blackwell Publishing Asia: 445–73.</w:t>
      </w:r>
      <w:r>
        <w:t xml:space="preserve"> </w:t>
      </w:r>
      <w:hyperlink r:id="rId114">
        <w:r>
          <w:rPr>
            <w:rStyle w:val="Hyperlink"/>
          </w:rPr>
          <w:t xml:space="preserve">https://doi.org/10.1111/j.1748-5991.2012.01140.x</w:t>
        </w:r>
      </w:hyperlink>
      <w:r>
        <w:t xml:space="preserve">.</w:t>
      </w:r>
    </w:p>
    <w:bookmarkEnd w:id="115"/>
    <w:bookmarkStart w:id="117" w:name="ref-Hudson2003"/>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SAGE Publications: 413–30.</w:t>
      </w:r>
      <w:r>
        <w:t xml:space="preserve"> </w:t>
      </w:r>
      <w:hyperlink r:id="rId116">
        <w:r>
          <w:rPr>
            <w:rStyle w:val="Hyperlink"/>
          </w:rPr>
          <w:t xml:space="preserve">https://doi.org/10.1177/1086026603258926</w:t>
        </w:r>
      </w:hyperlink>
      <w:r>
        <w:t xml:space="preserve">.</w:t>
      </w:r>
    </w:p>
    <w:bookmarkEnd w:id="117"/>
    <w:bookmarkStart w:id="118" w:name="ref-Judge-Lord2013"/>
    <w:p>
      <w:pPr>
        <w:pStyle w:val="Bibliography"/>
      </w:pPr>
      <w:r>
        <w:t xml:space="preserve">Judge-Lord, Devin. 2013. “Mechanisms of Policy Feedback: Interactions among Regulations and Public Investments in US Farm and Forest Politics.” Master’s thesis, Yale University.</w:t>
      </w:r>
    </w:p>
    <w:bookmarkEnd w:id="118"/>
    <w:bookmarkStart w:id="120" w:name="ref-Kollman2001"/>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119">
        <w:r>
          <w:rPr>
            <w:rStyle w:val="Hyperlink"/>
          </w:rPr>
          <w:t xml:space="preserve">http://faculty.washington.edu/aseem/kollman-prakash.pdf</w:t>
        </w:r>
      </w:hyperlink>
      <w:r>
        <w:t xml:space="preserve">.</w:t>
      </w:r>
    </w:p>
    <w:bookmarkEnd w:id="120"/>
    <w:bookmarkStart w:id="121" w:name="ref-LeBaron2018"/>
    <w:p>
      <w:pPr>
        <w:pStyle w:val="Bibliography"/>
      </w:pPr>
      <w:r>
        <w:t xml:space="preserve">LeBaron, G., and B. Burgoon. 2018. “Explaining Patterns of Labor Protection and Exploitation in the Global Tea Supply Chain: Evidence from India.” SPERI-Petgov Workshop Paper.</w:t>
      </w:r>
    </w:p>
    <w:bookmarkEnd w:id="121"/>
    <w:bookmarkStart w:id="123" w:name="ref-Li2015"/>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w:t>
      </w:r>
      <w:r>
        <w:t xml:space="preserve"> </w:t>
      </w:r>
      <w:hyperlink r:id="rId122">
        <w:r>
          <w:rPr>
            <w:rStyle w:val="Hyperlink"/>
          </w:rPr>
          <w:t xml:space="preserve">https://doi.org/10.1016/j.jeem.2015.05.003</w:t>
        </w:r>
      </w:hyperlink>
      <w:r>
        <w:t xml:space="preserve">.</w:t>
      </w:r>
    </w:p>
    <w:bookmarkEnd w:id="123"/>
    <w:bookmarkStart w:id="125" w:name="ref-Loconto2014"/>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w:t>
      </w:r>
      <w:r>
        <w:t xml:space="preserve"> </w:t>
      </w:r>
      <w:hyperlink r:id="rId124">
        <w:r>
          <w:rPr>
            <w:rStyle w:val="Hyperlink"/>
          </w:rPr>
          <w:t xml:space="preserve">https://doi.org/10.1111/rego.12028</w:t>
        </w:r>
      </w:hyperlink>
      <w:r>
        <w:t xml:space="preserve">.</w:t>
      </w:r>
    </w:p>
    <w:bookmarkEnd w:id="125"/>
    <w:bookmarkStart w:id="127" w:name="ref-Lyon2008"/>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Oxford University Press: 240–60.</w:t>
      </w:r>
      <w:r>
        <w:t xml:space="preserve"> </w:t>
      </w:r>
      <w:hyperlink r:id="rId126">
        <w:r>
          <w:rPr>
            <w:rStyle w:val="Hyperlink"/>
          </w:rPr>
          <w:t xml:space="preserve">https://doi.org/10.1093/reep/ren004</w:t>
        </w:r>
      </w:hyperlink>
      <w:r>
        <w:t xml:space="preserve">.</w:t>
      </w:r>
    </w:p>
    <w:bookmarkEnd w:id="127"/>
    <w:bookmarkStart w:id="129" w:name="ref-Maxwell2000"/>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w:t>
      </w:r>
      <w:r>
        <w:t xml:space="preserve"> </w:t>
      </w:r>
      <w:hyperlink r:id="rId128">
        <w:r>
          <w:rPr>
            <w:rStyle w:val="Hyperlink"/>
          </w:rPr>
          <w:t xml:space="preserve">https://doi.org/10.1086/467466</w:t>
        </w:r>
      </w:hyperlink>
      <w:r>
        <w:t xml:space="preserve">.</w:t>
      </w:r>
    </w:p>
    <w:bookmarkEnd w:id="129"/>
    <w:bookmarkStart w:id="131" w:name="ref-McDermott2012"/>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w:t>
      </w:r>
      <w:r>
        <w:t xml:space="preserve"> </w:t>
      </w:r>
      <w:hyperlink r:id="rId130">
        <w:r>
          <w:rPr>
            <w:rStyle w:val="Hyperlink"/>
          </w:rPr>
          <w:t xml:space="preserve">https://doi.org/10.1016/j.geoforum.2011.11.002</w:t>
        </w:r>
      </w:hyperlink>
      <w:r>
        <w:t xml:space="preserve">.</w:t>
      </w:r>
    </w:p>
    <w:bookmarkEnd w:id="131"/>
    <w:bookmarkStart w:id="132" w:name="ref-McDermott2010"/>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bookmarkEnd w:id="132"/>
    <w:bookmarkStart w:id="133" w:name="ref-Meidinger2003"/>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bookmarkEnd w:id="133"/>
    <w:bookmarkStart w:id="135" w:name="ref-Mills2016d"/>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Taylor &amp; Francis: 43–55.</w:t>
      </w:r>
      <w:r>
        <w:t xml:space="preserve"> </w:t>
      </w:r>
      <w:hyperlink r:id="rId134">
        <w:r>
          <w:rPr>
            <w:rStyle w:val="Hyperlink"/>
          </w:rPr>
          <w:t xml:space="preserve">https://doi.org/10.1016/j.polsoc.2015.12.002</w:t>
        </w:r>
      </w:hyperlink>
      <w:r>
        <w:t xml:space="preserve">.</w:t>
      </w:r>
    </w:p>
    <w:bookmarkEnd w:id="135"/>
    <w:bookmarkStart w:id="137" w:name="ref-Newsom2005"/>
    <w:p>
      <w:pPr>
        <w:pStyle w:val="Bibliography"/>
      </w:pPr>
      <w:r>
        <w:t xml:space="preserve">Newsom, Deanna, and Daphne Hewitt. 2005. “The Global Impacts of SmartWood Certification.” Rainforest Alliance.</w:t>
      </w:r>
      <w:r>
        <w:t xml:space="preserve"> </w:t>
      </w:r>
      <w:hyperlink r:id="rId136">
        <w:r>
          <w:rPr>
            <w:rStyle w:val="Hyperlink"/>
          </w:rPr>
          <w:t xml:space="preserve">http://citeseerx.ist.psu.edu/viewdoc/
                  download;jsessionid=DE68D23595F4CD19670A0B39CEFE9B3D?
                  doi=10.1.1.518.3936{\&amp;}rep=rep1{\&amp;}type=pdf</w:t>
        </w:r>
      </w:hyperlink>
      <w:r>
        <w:t xml:space="preserve">.</w:t>
      </w:r>
    </w:p>
    <w:bookmarkEnd w:id="137"/>
    <w:bookmarkStart w:id="139" w:name="ref-Overdevest2005"/>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Sage PublicationsSage CA: Thousand Oaks, CA: 72–90.</w:t>
      </w:r>
      <w:r>
        <w:t xml:space="preserve"> </w:t>
      </w:r>
      <w:hyperlink r:id="rId138">
        <w:r>
          <w:rPr>
            <w:rStyle w:val="Hyperlink"/>
          </w:rPr>
          <w:t xml:space="preserve">https://doi.org/10.1177/1086026604270460</w:t>
        </w:r>
      </w:hyperlink>
      <w:r>
        <w:t xml:space="preserve">.</w:t>
      </w:r>
    </w:p>
    <w:bookmarkEnd w:id="139"/>
    <w:bookmarkStart w:id="141" w:name="ref-Overdevest2010"/>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Oxford University Press: 47–76.</w:t>
      </w:r>
      <w:r>
        <w:t xml:space="preserve"> </w:t>
      </w:r>
      <w:hyperlink r:id="rId140">
        <w:r>
          <w:rPr>
            <w:rStyle w:val="Hyperlink"/>
          </w:rPr>
          <w:t xml:space="preserve">https://doi.org/10.1093/ser/mwp028</w:t>
        </w:r>
      </w:hyperlink>
      <w:r>
        <w:t xml:space="preserve">.</w:t>
      </w:r>
    </w:p>
    <w:bookmarkEnd w:id="141"/>
    <w:bookmarkStart w:id="143" w:name="ref-Overdevest2014"/>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Blackwell Publishing Asia: 22–48.</w:t>
      </w:r>
      <w:r>
        <w:t xml:space="preserve"> </w:t>
      </w:r>
      <w:hyperlink r:id="rId142">
        <w:r>
          <w:rPr>
            <w:rStyle w:val="Hyperlink"/>
          </w:rPr>
          <w:t xml:space="preserve">https://doi.org/10.1111/j.1748-5991.2012.01133.x</w:t>
        </w:r>
      </w:hyperlink>
      <w:r>
        <w:t xml:space="preserve">.</w:t>
      </w:r>
    </w:p>
    <w:bookmarkEnd w:id="143"/>
    <w:bookmarkStart w:id="144" w:name="ref-Poret2016"/>
    <w:p>
      <w:pPr>
        <w:pStyle w:val="Bibliography"/>
      </w:pPr>
      <w:r>
        <w:t xml:space="preserve">Poret, Sylvaine. 2016. “Label Battles: Competition among NGOs as Standard Setters.” ALISS. INRA.</w:t>
      </w:r>
    </w:p>
    <w:bookmarkEnd w:id="144"/>
    <w:bookmarkStart w:id="146" w:name="ref-Prado2013"/>
    <w:p>
      <w:pPr>
        <w:pStyle w:val="Bibliography"/>
      </w:pPr>
      <w:r>
        <w:t xml:space="preserve">Prado, Andrea M. 2013. “Competition Among Self-Regulatory Institutions.”</w:t>
      </w:r>
      <w:r>
        <w:t xml:space="preserve"> </w:t>
      </w:r>
      <w:r>
        <w:rPr>
          <w:i/>
        </w:rPr>
        <w:t xml:space="preserve">Business &amp; Society</w:t>
      </w:r>
      <w:r>
        <w:t xml:space="preserve"> </w:t>
      </w:r>
      <w:r>
        <w:t xml:space="preserve">52 (4). SAGE PublicationsSage CA: Los Angeles, CA: 686–707.</w:t>
      </w:r>
      <w:r>
        <w:t xml:space="preserve"> </w:t>
      </w:r>
      <w:hyperlink r:id="rId145">
        <w:r>
          <w:rPr>
            <w:rStyle w:val="Hyperlink"/>
          </w:rPr>
          <w:t xml:space="preserve">https://doi.org/10.1177/0007650313493990</w:t>
        </w:r>
      </w:hyperlink>
      <w:r>
        <w:t xml:space="preserve">.</w:t>
      </w:r>
    </w:p>
    <w:bookmarkEnd w:id="146"/>
    <w:bookmarkStart w:id="147" w:name="ref-Prakash2000"/>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bookmarkEnd w:id="147"/>
    <w:bookmarkStart w:id="149" w:name="ref-Smith2010"/>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Pergamon: 511–22.</w:t>
      </w:r>
      <w:r>
        <w:t xml:space="preserve"> </w:t>
      </w:r>
      <w:hyperlink r:id="rId148">
        <w:r>
          <w:rPr>
            <w:rStyle w:val="Hyperlink"/>
          </w:rPr>
          <w:t xml:space="preserve">https://doi.org/10.1016/J.GLOENVCHA.2010.03.006</w:t>
        </w:r>
      </w:hyperlink>
      <w:r>
        <w:t xml:space="preserve">.</w:t>
      </w:r>
    </w:p>
    <w:bookmarkEnd w:id="149"/>
    <w:bookmarkStart w:id="151" w:name="ref-Tigar2017"/>
    <w:p>
      <w:pPr>
        <w:pStyle w:val="Bibliography"/>
      </w:pPr>
      <w:r>
        <w:t xml:space="preserve">Tigar, Jon S. 2017. “Resolute Forest Products, Inc. et al. v. Greenpeace International et al.”</w:t>
      </w:r>
      <w:r>
        <w:t xml:space="preserve"> </w:t>
      </w:r>
      <w:hyperlink r:id="rId150">
        <w:r>
          <w:rPr>
            <w:rStyle w:val="Hyperlink"/>
          </w:rPr>
          <w:t xml:space="preserve">https://law.justia.com/cases/federal/district-courts/
                  california/candce/4:2017cv02824/311874/104/</w:t>
        </w:r>
      </w:hyperlink>
      <w:r>
        <w:t xml:space="preserve">.</w:t>
      </w:r>
    </w:p>
    <w:bookmarkEnd w:id="151"/>
    <w:bookmarkStart w:id="153" w:name="ref-VanderVen2015"/>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w:t>
      </w:r>
      <w:r>
        <w:t xml:space="preserve"> </w:t>
      </w:r>
      <w:hyperlink r:id="rId152">
        <w:r>
          <w:rPr>
            <w:rStyle w:val="Hyperlink"/>
          </w:rPr>
          <w:t xml:space="preserve">https://doi.org/10.1111/rego.12092</w:t>
        </w:r>
      </w:hyperlink>
      <w:r>
        <w:t xml:space="preserve">.</w:t>
      </w:r>
    </w:p>
    <w:bookmarkEnd w:id="153"/>
    <w:bookmarkStart w:id="154" w:name="ref-VanderVen2018"/>
    <w:p>
      <w:pPr>
        <w:pStyle w:val="Bibliography"/>
      </w:pPr>
      <w:r>
        <w:t xml:space="preserve">Ven, Hamish van der, Catherine Rothacker, and Benjamin Cashore. 2018. “More Eco-Labels but Fewer Forests: Lessons from Non-State Market Driven Governance in the Soy, Palm Oil, and Cocoa Sectors.”</w:t>
      </w:r>
    </w:p>
    <w:bookmarkEnd w:id="154"/>
    <w:bookmarkStart w:id="156" w:name="ref-Vince2017"/>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w:t>
      </w:r>
      <w:r>
        <w:t xml:space="preserve"> </w:t>
      </w:r>
      <w:hyperlink r:id="rId155">
        <w:r>
          <w:rPr>
            <w:rStyle w:val="Hyperlink"/>
          </w:rPr>
          <w:t xml:space="preserve">https://doi.org/10.1016/j.jenvman.2017.06.039</w:t>
        </w:r>
      </w:hyperlink>
      <w:r>
        <w:t xml:space="preserve">.</w:t>
      </w:r>
    </w:p>
    <w:bookmarkEnd w:id="156"/>
    <w:bookmarkStart w:id="157" w:name="ref-Vogel1995"/>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bookmarkEnd w:id="157"/>
    <w:bookmarkStart w:id="159" w:name="ref-Weimer2006"/>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Blackwell Publishing Inc: 569–82.</w:t>
      </w:r>
      <w:r>
        <w:t xml:space="preserve"> </w:t>
      </w:r>
      <w:hyperlink r:id="rId158">
        <w:r>
          <w:rPr>
            <w:rStyle w:val="Hyperlink"/>
          </w:rPr>
          <w:t xml:space="preserve">https://doi.org/10.1111/j.1540-6210.2006.00617.x</w:t>
        </w:r>
      </w:hyperlink>
      <w:r>
        <w:t xml:space="preserve">.</w:t>
      </w:r>
    </w:p>
    <w:bookmarkEnd w:id="159"/>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 </w:t>
      </w:r>
      <w:r>
        <w:t xml:space="preserve">Cashore, Auld, and Newsom (2004)</w:t>
      </w:r>
      <w:r>
        <w:t xml:space="preserve"> </w:t>
      </w:r>
      <w:r>
        <w:t xml:space="preserve">found that while environmental groups evaluated the FSC as legitimate for developing wide-ranging and prescriptive standards, private forest owners found the same regulatory approach to be</w:t>
      </w:r>
      <w:r>
        <w:t xml:space="preserve"> </w:t>
      </w:r>
      <w:r>
        <w:t xml:space="preserve">“</w:t>
      </w:r>
      <w:r>
        <w:t xml:space="preserve">illegitimate.</w:t>
      </w:r>
      <w:r>
        <w:t xml:space="preserve">”</w:t>
      </w:r>
    </w:p>
  </w:footnote>
  <w:footnote w:id="26">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time-consuming and costly. Scholars may thus opt for a limited scope, as long as they clearly describe their study’s scope relative to the potential set of comparisons. A comprehensive approach is necessary, however, to assess claims about the scope of regulations (such as the hypotheses from section 2.3).</w:t>
      </w:r>
    </w:p>
  </w:footnote>
  <w:footnote w:id="44">
    <w:p>
      <w:pPr>
        <w:pStyle w:val="FootnoteText"/>
      </w:pPr>
      <w:r>
        <w:rPr>
          <w:rStyle w:val="FootnoteReference"/>
        </w:rPr>
        <w:footnoteRef/>
      </w:r>
      <w:r>
        <w:t xml:space="preserve"> </w:t>
      </w:r>
      <w:r>
        <w:t xml:space="preserve">While our framework clarifies many differences in actual stringency between activist- and industry-backed programs, each actor’s problem definitions and values will determine the program they prefer. For example, actors prioritize different issues. Some may value actual stringency while others value perceived stringency. Industry-backed programs often address the same issues as activist-backed programs, using language that might imply equivalency in stringency, but which contain substantially fewer prescriptive requirements. Yet seemingly similar looking language can require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136" Target="http://citeseerx.ist.psu.edu/viewdoc/
                  download;jsessionid=DE68D23595F4CD19670A0B39CEFE9B3D?
                  doi=10.1.1.518.3936{\&amp;}rep=rep1{\&amp;}type=pdf" TargetMode="External" /><Relationship Type="http://schemas.openxmlformats.org/officeDocument/2006/relationships/hyperlink" Id="rId119" Target="http://faculty.washington.edu/aseem/kollman-prakash.pdf" TargetMode="External" /><Relationship Type="http://schemas.openxmlformats.org/officeDocument/2006/relationships/hyperlink" Id="rId73" Target="http://politicalscience.yale.edu/publications/governing-
                  through-markets-forest-certification-and-emergence-non-state-
                  authority" TargetMode="External" /><Relationship Type="http://schemas.openxmlformats.org/officeDocument/2006/relationships/hyperlink" Id="rId75" Target="http://www.ajps.org/" TargetMode="External" /><Relationship Type="http://schemas.openxmlformats.org/officeDocument/2006/relationships/hyperlink" Id="rId79" Target="http://www.worldcat.org/title/voluntary-environmental-
                  programs-a-policy-perspective/oclc/440281013" TargetMode="External" /><Relationship Type="http://schemas.openxmlformats.org/officeDocument/2006/relationships/hyperlink" Id="rId93" Target="https://books.google.ca/books?id=RaX3AAAAQBAJ{\&amp;}lr={\&amp;
                  }source=gbs{\_}navlinks{\_}s" TargetMode="External" /><Relationship Type="http://schemas.openxmlformats.org/officeDocument/2006/relationships/hyperlink" Id="rId54" Target="https://books.google.ca/books?id=be6uBAAAQBAJ{\&amp;}lr={\&amp;
                  }source=gbs{\_}navlinks{\_}s" TargetMode="External" /><Relationship Type="http://schemas.openxmlformats.org/officeDocument/2006/relationships/hyperlink" Id="rId83"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148" Target="https://doi.org/10.1016/J.GLOENVCHA.2010.03.006" TargetMode="External" /><Relationship Type="http://schemas.openxmlformats.org/officeDocument/2006/relationships/hyperlink" Id="rId130" Target="https://doi.org/10.1016/j.geoforum.2011.11.002" TargetMode="External" /><Relationship Type="http://schemas.openxmlformats.org/officeDocument/2006/relationships/hyperlink" Id="rId122" Target="https://doi.org/10.1016/j.jeem.2015.05.003" TargetMode="External" /><Relationship Type="http://schemas.openxmlformats.org/officeDocument/2006/relationships/hyperlink" Id="rId155" Target="https://doi.org/10.1016/j.jenvman.2017.06.039" TargetMode="External" /><Relationship Type="http://schemas.openxmlformats.org/officeDocument/2006/relationships/hyperlink" Id="rId134" Target="https://doi.org/10.1016/j.polsoc.2015.12.002" TargetMode="External" /><Relationship Type="http://schemas.openxmlformats.org/officeDocument/2006/relationships/hyperlink" Id="rId111" Target="https://doi.org/10.1057/9781137314154.0006" TargetMode="External" /><Relationship Type="http://schemas.openxmlformats.org/officeDocument/2006/relationships/hyperlink" Id="rId52" Target="https://doi.org/10.1080/00913367.2013.834803" TargetMode="External" /><Relationship Type="http://schemas.openxmlformats.org/officeDocument/2006/relationships/hyperlink" Id="rId95" Target="https://doi.org/10.1080/03050629.2016.1210943" TargetMode="External" /><Relationship Type="http://schemas.openxmlformats.org/officeDocument/2006/relationships/hyperlink" Id="rId97" Target="https://doi.org/10.1080/1387698042000222763" TargetMode="External" /><Relationship Type="http://schemas.openxmlformats.org/officeDocument/2006/relationships/hyperlink" Id="rId128" Target="https://doi.org/10.1086/467466" TargetMode="External" /><Relationship Type="http://schemas.openxmlformats.org/officeDocument/2006/relationships/hyperlink" Id="rId58" Target="https://doi.org/10.1086/518871" TargetMode="External" /><Relationship Type="http://schemas.openxmlformats.org/officeDocument/2006/relationships/hyperlink" Id="rId77" Target="https://doi.org/10.1093/jopart/mup014" TargetMode="External" /><Relationship Type="http://schemas.openxmlformats.org/officeDocument/2006/relationships/hyperlink" Id="rId126" Target="https://doi.org/10.1093/reep/ren004" TargetMode="External" /><Relationship Type="http://schemas.openxmlformats.org/officeDocument/2006/relationships/hyperlink" Id="rId68" Target="https://doi.org/10.1093/reep/rev019" TargetMode="External" /><Relationship Type="http://schemas.openxmlformats.org/officeDocument/2006/relationships/hyperlink" Id="rId140" Target="https://doi.org/10.1093/ser/mwp028" TargetMode="External" /><Relationship Type="http://schemas.openxmlformats.org/officeDocument/2006/relationships/hyperlink" Id="rId71" Target="https://doi.org/10.1111/1468-0491.00199" TargetMode="External" /><Relationship Type="http://schemas.openxmlformats.org/officeDocument/2006/relationships/hyperlink" Id="rId109" Target="https://doi.org/10.1111/j.1467-9930.2008.00270.x" TargetMode="External" /><Relationship Type="http://schemas.openxmlformats.org/officeDocument/2006/relationships/hyperlink" Id="rId105" Target="https://doi.org/10.1111/j.1468-0491.2008.00397.x" TargetMode="External" /><Relationship Type="http://schemas.openxmlformats.org/officeDocument/2006/relationships/hyperlink" Id="rId89" Target="https://doi.org/10.1111/j.1468-0491.2011.01519.x" TargetMode="External" /><Relationship Type="http://schemas.openxmlformats.org/officeDocument/2006/relationships/hyperlink" Id="rId158" Target="https://doi.org/10.1111/j.1540-6210.2006.00617.x" TargetMode="External" /><Relationship Type="http://schemas.openxmlformats.org/officeDocument/2006/relationships/hyperlink" Id="rId81" Target="https://doi.org/10.1111/j.1541-0072.2007.00254.x" TargetMode="External" /><Relationship Type="http://schemas.openxmlformats.org/officeDocument/2006/relationships/hyperlink" Id="rId142" Target="https://doi.org/10.1111/j.1748-5991.2012.01133.x" TargetMode="External" /><Relationship Type="http://schemas.openxmlformats.org/officeDocument/2006/relationships/hyperlink" Id="rId114" Target="https://doi.org/10.1111/j.1748-5991.2012.01140.x" TargetMode="External" /><Relationship Type="http://schemas.openxmlformats.org/officeDocument/2006/relationships/hyperlink" Id="rId91" Target="https://doi.org/10.1111/j.1748-5991.2012.01147.x" TargetMode="External" /><Relationship Type="http://schemas.openxmlformats.org/officeDocument/2006/relationships/hyperlink" Id="rId87" Target="https://doi.org/10.1111/jems.12061" TargetMode="External" /><Relationship Type="http://schemas.openxmlformats.org/officeDocument/2006/relationships/hyperlink" Id="rId101" Target="https://doi.org/10.1111/rego.12005" TargetMode="External" /><Relationship Type="http://schemas.openxmlformats.org/officeDocument/2006/relationships/hyperlink" Id="rId124" Target="https://doi.org/10.1111/rego.12028" TargetMode="External" /><Relationship Type="http://schemas.openxmlformats.org/officeDocument/2006/relationships/hyperlink" Id="rId85" Target="https://doi.org/10.1111/rego.12030" TargetMode="External" /><Relationship Type="http://schemas.openxmlformats.org/officeDocument/2006/relationships/hyperlink" Id="rId152" Target="https://doi.org/10.1111/rego.12092" TargetMode="External" /><Relationship Type="http://schemas.openxmlformats.org/officeDocument/2006/relationships/hyperlink" Id="rId99" Target="https://doi.org/10.1162/152638004323074200" TargetMode="External" /><Relationship Type="http://schemas.openxmlformats.org/officeDocument/2006/relationships/hyperlink" Id="rId145" Target="https://doi.org/10.1177/0007650313493990" TargetMode="External" /><Relationship Type="http://schemas.openxmlformats.org/officeDocument/2006/relationships/hyperlink" Id="rId56" Target="https://doi.org/10.1177/0032329203254863" TargetMode="External" /><Relationship Type="http://schemas.openxmlformats.org/officeDocument/2006/relationships/hyperlink" Id="rId65" Target="https://doi.org/10.1177/0170840612443626" TargetMode="External" /><Relationship Type="http://schemas.openxmlformats.org/officeDocument/2006/relationships/hyperlink" Id="rId116" Target="https://doi.org/10.1177/1086026603258926" TargetMode="External" /><Relationship Type="http://schemas.openxmlformats.org/officeDocument/2006/relationships/hyperlink" Id="rId138" Target="https://doi.org/10.1177/1086026604270460" TargetMode="External" /><Relationship Type="http://schemas.openxmlformats.org/officeDocument/2006/relationships/hyperlink" Id="rId107" Target="https://doi.org/10.1287/mnsc.2015.2419" TargetMode="External" /><Relationship Type="http://schemas.openxmlformats.org/officeDocument/2006/relationships/hyperlink" Id="rId50" Target="https://doi.org/10.2202/1542-0485.1271&gt;" TargetMode="External" /><Relationship Type="http://schemas.openxmlformats.org/officeDocument/2006/relationships/hyperlink" Id="rId63" Target="https://doi.org/10.2307/2555262" TargetMode="External" /><Relationship Type="http://schemas.openxmlformats.org/officeDocument/2006/relationships/hyperlink" Id="rId103" Target="https://doi.org/10.2307/422246" TargetMode="External" /><Relationship Type="http://schemas.openxmlformats.org/officeDocument/2006/relationships/hyperlink" Id="rId150"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136" Target="http://citeseerx.ist.psu.edu/viewdoc/
                  download;jsessionid=DE68D23595F4CD19670A0B39CEFE9B3D?
                  doi=10.1.1.518.3936{\&amp;}rep=rep1{\&amp;}type=pdf" TargetMode="External" /><Relationship Type="http://schemas.openxmlformats.org/officeDocument/2006/relationships/hyperlink" Id="rId119" Target="http://faculty.washington.edu/aseem/kollman-prakash.pdf" TargetMode="External" /><Relationship Type="http://schemas.openxmlformats.org/officeDocument/2006/relationships/hyperlink" Id="rId73" Target="http://politicalscience.yale.edu/publications/governing-
                  through-markets-forest-certification-and-emergence-non-state-
                  authority" TargetMode="External" /><Relationship Type="http://schemas.openxmlformats.org/officeDocument/2006/relationships/hyperlink" Id="rId75" Target="http://www.ajps.org/" TargetMode="External" /><Relationship Type="http://schemas.openxmlformats.org/officeDocument/2006/relationships/hyperlink" Id="rId79" Target="http://www.worldcat.org/title/voluntary-environmental-
                  programs-a-policy-perspective/oclc/440281013" TargetMode="External" /><Relationship Type="http://schemas.openxmlformats.org/officeDocument/2006/relationships/hyperlink" Id="rId93" Target="https://books.google.ca/books?id=RaX3AAAAQBAJ{\&amp;}lr={\&amp;
                  }source=gbs{\_}navlinks{\_}s" TargetMode="External" /><Relationship Type="http://schemas.openxmlformats.org/officeDocument/2006/relationships/hyperlink" Id="rId54" Target="https://books.google.ca/books?id=be6uBAAAQBAJ{\&amp;}lr={\&amp;
                  }source=gbs{\_}navlinks{\_}s" TargetMode="External" /><Relationship Type="http://schemas.openxmlformats.org/officeDocument/2006/relationships/hyperlink" Id="rId83" Target="https://doi.org/10.1007/s10551-015-2879-7" TargetMode="External" /><Relationship Type="http://schemas.openxmlformats.org/officeDocument/2006/relationships/hyperlink" Id="rId48" Target="https://doi.org/10.1007/s11558-010-9092-3" TargetMode="External" /><Relationship Type="http://schemas.openxmlformats.org/officeDocument/2006/relationships/hyperlink" Id="rId148" Target="https://doi.org/10.1016/J.GLOENVCHA.2010.03.006" TargetMode="External" /><Relationship Type="http://schemas.openxmlformats.org/officeDocument/2006/relationships/hyperlink" Id="rId130" Target="https://doi.org/10.1016/j.geoforum.2011.11.002" TargetMode="External" /><Relationship Type="http://schemas.openxmlformats.org/officeDocument/2006/relationships/hyperlink" Id="rId122" Target="https://doi.org/10.1016/j.jeem.2015.05.003" TargetMode="External" /><Relationship Type="http://schemas.openxmlformats.org/officeDocument/2006/relationships/hyperlink" Id="rId155" Target="https://doi.org/10.1016/j.jenvman.2017.06.039" TargetMode="External" /><Relationship Type="http://schemas.openxmlformats.org/officeDocument/2006/relationships/hyperlink" Id="rId134" Target="https://doi.org/10.1016/j.polsoc.2015.12.002" TargetMode="External" /><Relationship Type="http://schemas.openxmlformats.org/officeDocument/2006/relationships/hyperlink" Id="rId111" Target="https://doi.org/10.1057/9781137314154.0006" TargetMode="External" /><Relationship Type="http://schemas.openxmlformats.org/officeDocument/2006/relationships/hyperlink" Id="rId52" Target="https://doi.org/10.1080/00913367.2013.834803" TargetMode="External" /><Relationship Type="http://schemas.openxmlformats.org/officeDocument/2006/relationships/hyperlink" Id="rId95" Target="https://doi.org/10.1080/03050629.2016.1210943" TargetMode="External" /><Relationship Type="http://schemas.openxmlformats.org/officeDocument/2006/relationships/hyperlink" Id="rId97" Target="https://doi.org/10.1080/1387698042000222763" TargetMode="External" /><Relationship Type="http://schemas.openxmlformats.org/officeDocument/2006/relationships/hyperlink" Id="rId128" Target="https://doi.org/10.1086/467466" TargetMode="External" /><Relationship Type="http://schemas.openxmlformats.org/officeDocument/2006/relationships/hyperlink" Id="rId58" Target="https://doi.org/10.1086/518871" TargetMode="External" /><Relationship Type="http://schemas.openxmlformats.org/officeDocument/2006/relationships/hyperlink" Id="rId77" Target="https://doi.org/10.1093/jopart/mup014" TargetMode="External" /><Relationship Type="http://schemas.openxmlformats.org/officeDocument/2006/relationships/hyperlink" Id="rId126" Target="https://doi.org/10.1093/reep/ren004" TargetMode="External" /><Relationship Type="http://schemas.openxmlformats.org/officeDocument/2006/relationships/hyperlink" Id="rId68" Target="https://doi.org/10.1093/reep/rev019" TargetMode="External" /><Relationship Type="http://schemas.openxmlformats.org/officeDocument/2006/relationships/hyperlink" Id="rId140" Target="https://doi.org/10.1093/ser/mwp028" TargetMode="External" /><Relationship Type="http://schemas.openxmlformats.org/officeDocument/2006/relationships/hyperlink" Id="rId71" Target="https://doi.org/10.1111/1468-0491.00199" TargetMode="External" /><Relationship Type="http://schemas.openxmlformats.org/officeDocument/2006/relationships/hyperlink" Id="rId109" Target="https://doi.org/10.1111/j.1467-9930.2008.00270.x" TargetMode="External" /><Relationship Type="http://schemas.openxmlformats.org/officeDocument/2006/relationships/hyperlink" Id="rId105" Target="https://doi.org/10.1111/j.1468-0491.2008.00397.x" TargetMode="External" /><Relationship Type="http://schemas.openxmlformats.org/officeDocument/2006/relationships/hyperlink" Id="rId89" Target="https://doi.org/10.1111/j.1468-0491.2011.01519.x" TargetMode="External" /><Relationship Type="http://schemas.openxmlformats.org/officeDocument/2006/relationships/hyperlink" Id="rId158" Target="https://doi.org/10.1111/j.1540-6210.2006.00617.x" TargetMode="External" /><Relationship Type="http://schemas.openxmlformats.org/officeDocument/2006/relationships/hyperlink" Id="rId81" Target="https://doi.org/10.1111/j.1541-0072.2007.00254.x" TargetMode="External" /><Relationship Type="http://schemas.openxmlformats.org/officeDocument/2006/relationships/hyperlink" Id="rId142" Target="https://doi.org/10.1111/j.1748-5991.2012.01133.x" TargetMode="External" /><Relationship Type="http://schemas.openxmlformats.org/officeDocument/2006/relationships/hyperlink" Id="rId114" Target="https://doi.org/10.1111/j.1748-5991.2012.01140.x" TargetMode="External" /><Relationship Type="http://schemas.openxmlformats.org/officeDocument/2006/relationships/hyperlink" Id="rId91" Target="https://doi.org/10.1111/j.1748-5991.2012.01147.x" TargetMode="External" /><Relationship Type="http://schemas.openxmlformats.org/officeDocument/2006/relationships/hyperlink" Id="rId87" Target="https://doi.org/10.1111/jems.12061" TargetMode="External" /><Relationship Type="http://schemas.openxmlformats.org/officeDocument/2006/relationships/hyperlink" Id="rId101" Target="https://doi.org/10.1111/rego.12005" TargetMode="External" /><Relationship Type="http://schemas.openxmlformats.org/officeDocument/2006/relationships/hyperlink" Id="rId124" Target="https://doi.org/10.1111/rego.12028" TargetMode="External" /><Relationship Type="http://schemas.openxmlformats.org/officeDocument/2006/relationships/hyperlink" Id="rId85" Target="https://doi.org/10.1111/rego.12030" TargetMode="External" /><Relationship Type="http://schemas.openxmlformats.org/officeDocument/2006/relationships/hyperlink" Id="rId152" Target="https://doi.org/10.1111/rego.12092" TargetMode="External" /><Relationship Type="http://schemas.openxmlformats.org/officeDocument/2006/relationships/hyperlink" Id="rId99" Target="https://doi.org/10.1162/152638004323074200" TargetMode="External" /><Relationship Type="http://schemas.openxmlformats.org/officeDocument/2006/relationships/hyperlink" Id="rId145" Target="https://doi.org/10.1177/0007650313493990" TargetMode="External" /><Relationship Type="http://schemas.openxmlformats.org/officeDocument/2006/relationships/hyperlink" Id="rId56" Target="https://doi.org/10.1177/0032329203254863" TargetMode="External" /><Relationship Type="http://schemas.openxmlformats.org/officeDocument/2006/relationships/hyperlink" Id="rId65" Target="https://doi.org/10.1177/0170840612443626" TargetMode="External" /><Relationship Type="http://schemas.openxmlformats.org/officeDocument/2006/relationships/hyperlink" Id="rId116" Target="https://doi.org/10.1177/1086026603258926" TargetMode="External" /><Relationship Type="http://schemas.openxmlformats.org/officeDocument/2006/relationships/hyperlink" Id="rId138" Target="https://doi.org/10.1177/1086026604270460" TargetMode="External" /><Relationship Type="http://schemas.openxmlformats.org/officeDocument/2006/relationships/hyperlink" Id="rId107" Target="https://doi.org/10.1287/mnsc.2015.2419" TargetMode="External" /><Relationship Type="http://schemas.openxmlformats.org/officeDocument/2006/relationships/hyperlink" Id="rId50" Target="https://doi.org/10.2202/1542-0485.1271&gt;" TargetMode="External" /><Relationship Type="http://schemas.openxmlformats.org/officeDocument/2006/relationships/hyperlink" Id="rId63" Target="https://doi.org/10.2307/2555262" TargetMode="External" /><Relationship Type="http://schemas.openxmlformats.org/officeDocument/2006/relationships/hyperlink" Id="rId103" Target="https://doi.org/10.2307/422246" TargetMode="External" /><Relationship Type="http://schemas.openxmlformats.org/officeDocument/2006/relationships/hyperlink" Id="rId150"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Private Regulations Ratchet Up?</dc:title>
  <dc:creator/>
  <cp:keywords/>
  <dcterms:created xsi:type="dcterms:W3CDTF">2019-11-15T16:12:37Z</dcterms:created>
  <dcterms:modified xsi:type="dcterms:W3CDTF">2019-11-15T16:12:37Z</dcterms:modified>
</cp:coreProperties>
</file>