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8.png" ContentType="image/png"/>
  <Override PartName="/word/media/rId92.png" ContentType="image/png"/>
  <Override PartName="/word/media/rId93.png" ContentType="image/png"/>
  <Override PartName="/word/media/rId57.pdf" ContentType="application/pdf"/>
  <Override PartName="/word/media/rId181.png" ContentType="image/png"/>
  <Override PartName="/word/media/rId179.png" ContentType="image/png"/>
  <Override PartName="/word/media/rId178.png" ContentType="image/png"/>
  <Override PartName="/word/media/rId177.png" ContentType="image/png"/>
  <Override PartName="/word/media/rId200.png" ContentType="image/png"/>
  <Override PartName="/word/media/rId199.png" ContentType="image/png"/>
  <Override PartName="/word/media/rId198.png" ContentType="image/png"/>
  <Override PartName="/word/media/rId204.png" ContentType="image/png"/>
  <Override PartName="/word/media/rId203.png" ContentType="image/png"/>
  <Override PartName="/word/media/rId88.png" ContentType="image/png"/>
  <Override PartName="/word/media/rId186.png" ContentType="image/png"/>
  <Override PartName="/word/media/rId55.png" ContentType="image/png"/>
  <Override PartName="/word/media/rId56.png" ContentType="image/png"/>
  <Override PartName="/word/media/rId75.jpg" ContentType="image/jpeg"/>
  <Override PartName="/word/media/rId37.png" ContentType="image/png"/>
  <Override PartName="/word/media/rId95.png" ContentType="image/png"/>
  <Override PartName="/word/media/rId84.png" ContentType="image/png"/>
  <Override PartName="/word/media/rId137.png" ContentType="image/png"/>
  <Override PartName="/word/media/rId106.png" ContentType="image/png"/>
  <Override PartName="/word/media/rId136.png" ContentType="image/png"/>
  <Override PartName="/word/media/rId150.png" ContentType="image/png"/>
  <Override PartName="/word/media/rId151.png" ContentType="image/png"/>
  <Override PartName="/word/media/rId152.png" ContentType="image/png"/>
  <Override PartName="/word/media/rId141.png" ContentType="image/png"/>
  <Override PartName="/word/media/rId142.png" ContentType="image/png"/>
  <Override PartName="/word/media/rId143.png" ContentType="image/png"/>
  <Override PartName="/word/media/rId153.png" ContentType="image/png"/>
  <Override PartName="/word/media/rId144.png" ContentType="image/png"/>
  <Override PartName="/word/media/rId145.png" ContentType="image/png"/>
  <Override PartName="/word/media/rId155.png" ContentType="image/png"/>
  <Override PartName="/word/media/rId1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2021-04-24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r>
        <w:br w:type="page"/>
      </w:r>
    </w:p>
    <w:p>
      <w:pPr>
        <w:pStyle w:val="FirstParagraph"/>
      </w:pPr>
      <w:r>
        <w:rPr>
          <w:b/>
        </w:rPr>
        <w:t xml:space="preserve">Timeline:</w:t>
      </w:r>
    </w:p>
    <w:p>
      <w:pPr>
        <w:numPr>
          <w:ilvl w:val="0"/>
          <w:numId w:val="1001"/>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1"/>
        </w:numPr>
        <w:pStyle w:val="Compact"/>
      </w:pPr>
      <w:r>
        <w:t xml:space="preserve">April 30 - Draft analyses sent to Alex and Dave using samples of real data</w:t>
      </w:r>
      <w:r>
        <w:br/>
      </w:r>
    </w:p>
    <w:p>
      <w:pPr>
        <w:numPr>
          <w:ilvl w:val="0"/>
          <w:numId w:val="1001"/>
        </w:numPr>
        <w:pStyle w:val="Compact"/>
      </w:pPr>
      <w:r>
        <w:t xml:space="preserve">May 15 - 100% versions of 1st and 3rd empirical chapters</w:t>
      </w:r>
      <w:r>
        <w:br/>
      </w:r>
    </w:p>
    <w:p>
      <w:pPr>
        <w:numPr>
          <w:ilvl w:val="0"/>
          <w:numId w:val="1001"/>
        </w:numPr>
        <w:pStyle w:val="Compact"/>
      </w:pPr>
      <w:r>
        <w:t xml:space="preserve">May 30 - 100% versions of intro and conclusion</w:t>
      </w:r>
      <w:r>
        <w:br/>
      </w:r>
    </w:p>
    <w:p>
      <w:pPr>
        <w:numPr>
          <w:ilvl w:val="0"/>
          <w:numId w:val="1001"/>
        </w:numPr>
        <w:pStyle w:val="Compact"/>
      </w:pPr>
      <w:r>
        <w:t xml:space="preserve">June 13 - Mostly complete draft, including 2nd empirical chapter</w:t>
      </w:r>
      <w:r>
        <w:br/>
      </w:r>
    </w:p>
    <w:p>
      <w:pPr>
        <w:numPr>
          <w:ilvl w:val="0"/>
          <w:numId w:val="1001"/>
        </w:numPr>
        <w:pStyle w:val="Compact"/>
      </w:pPr>
      <w:r>
        <w:t xml:space="preserve">June 30 - Revised complete draft</w:t>
      </w:r>
      <w:r>
        <w:br/>
      </w:r>
    </w:p>
    <w:p>
      <w:pPr>
        <w:numPr>
          <w:ilvl w:val="0"/>
          <w:numId w:val="1001"/>
        </w:numPr>
        <w:pStyle w:val="Compact"/>
      </w:pPr>
      <w:r>
        <w:t xml:space="preserve">July 16 - Final manuscript</w:t>
      </w:r>
    </w:p>
    <w:p>
      <w:pPr>
        <w:pStyle w:val="FirstParagraph"/>
      </w:pPr>
      <w:r>
        <w:rPr>
          <w:b/>
        </w:rPr>
        <w:t xml:space="preserve">TODO List</w:t>
      </w:r>
    </w:p>
    <w:p>
      <w:pPr>
        <w:numPr>
          <w:ilvl w:val="0"/>
          <w:numId w:val="1002"/>
        </w:numPr>
      </w:pPr>
      <w:r>
        <w:t xml:space="preserve">☐ Update outline</w:t>
      </w:r>
    </w:p>
    <w:p>
      <w:pPr>
        <w:numPr>
          <w:ilvl w:val="0"/>
          <w:numId w:val="1002"/>
        </w:numPr>
      </w:pPr>
      <w:r>
        <w:t xml:space="preserve">☐ Walk through theoretical model step-by-step in each chapter</w:t>
      </w:r>
    </w:p>
    <w:p>
      <w:pPr>
        <w:pStyle w:val="FirstParagraph"/>
      </w:pPr>
      <w:r>
        <w:t xml:space="preserve">Chapter 1:</w:t>
      </w:r>
    </w:p>
    <w:p>
      <w:pPr>
        <w:numPr>
          <w:ilvl w:val="0"/>
          <w:numId w:val="1003"/>
        </w:numPr>
      </w:pPr>
      <w:r>
        <w:t xml:space="preserve">☐ Redo figures for chapter 1 with new data</w:t>
      </w:r>
    </w:p>
    <w:p>
      <w:pPr>
        <w:numPr>
          <w:ilvl w:val="0"/>
          <w:numId w:val="1003"/>
        </w:numPr>
      </w:pPr>
      <w:r>
        <w:t xml:space="preserve">☐ Rewrite chapter 1 to better introduce data and theories</w:t>
      </w:r>
    </w:p>
    <w:p>
      <w:pPr>
        <w:pStyle w:val="FirstParagraph"/>
      </w:pPr>
      <w:r>
        <w:t xml:space="preserve">Chapter 2:</w:t>
      </w:r>
    </w:p>
    <w:p>
      <w:pPr>
        <w:numPr>
          <w:ilvl w:val="0"/>
          <w:numId w:val="1004"/>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4"/>
        </w:numPr>
      </w:pPr>
      <w:r>
        <w:t xml:space="preserve">☐ Rewrite data, methods, and conclusion of chapter 2 to align with that frame</w:t>
      </w:r>
    </w:p>
    <w:p>
      <w:pPr>
        <w:pStyle w:val="FirstParagraph"/>
      </w:pPr>
      <w:r>
        <w:t xml:space="preserve">Chapter 3:</w:t>
      </w:r>
    </w:p>
    <w:p>
      <w:pPr>
        <w:numPr>
          <w:ilvl w:val="0"/>
          <w:numId w:val="1005"/>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5"/>
        </w:numPr>
      </w:pPr>
      <w:r>
        <w:t xml:space="preserve">☐ Update hand-coded analysis with non-mass comment sample of rules</w:t>
      </w:r>
    </w:p>
    <w:p>
      <w:pPr>
        <w:numPr>
          <w:ilvl w:val="0"/>
          <w:numId w:val="1005"/>
        </w:numPr>
      </w:pPr>
      <w:r>
        <w:t xml:space="preserve">☐ Add section on validation of automated methods</w:t>
      </w:r>
    </w:p>
    <w:p>
      <w:pPr>
        <w:pStyle w:val="FirstParagraph"/>
      </w:pPr>
      <w:r>
        <w:t xml:space="preserve">Chapter 4: minor to-do list here:</w:t>
      </w:r>
      <w:r>
        <w:t xml:space="preserve"> </w:t>
      </w:r>
      <w:hyperlink r:id="rId20">
        <w:r>
          <w:rPr>
            <w:rStyle w:val="Hyperlink"/>
          </w:rPr>
          <w:t xml:space="preserve">https://judgelord.github.io/dissertation/ej-appendix#TODO</w:t>
        </w:r>
      </w:hyperlink>
    </w:p>
    <w:p>
      <w:pPr>
        <w:numPr>
          <w:ilvl w:val="0"/>
          <w:numId w:val="1006"/>
        </w:numPr>
        <w:pStyle w:val="Compact"/>
      </w:pPr>
      <w:r>
        <w:t xml:space="preserve">☐ Add coalition size figures</w:t>
      </w:r>
    </w:p>
    <w:p>
      <w:pPr>
        <w:pStyle w:val="FirstParagraph"/>
      </w:pPr>
      <w:r>
        <w:t xml:space="preserve">Chapter 5:</w:t>
      </w:r>
    </w:p>
    <w:p>
      <w:pPr>
        <w:numPr>
          <w:ilvl w:val="0"/>
          <w:numId w:val="1007"/>
        </w:numPr>
        <w:pStyle w:val="Compact"/>
      </w:pPr>
      <w:r>
        <w:t xml:space="preserve">☐ Major re-write in light of findings</w:t>
      </w:r>
    </w:p>
    <w:p>
      <w:r>
        <w:br w:type="page"/>
      </w:r>
    </w:p>
    <w:p>
      <w:pPr>
        <w:pStyle w:val="Heading1"/>
      </w:pPr>
      <w:bookmarkStart w:id="21" w:name="introduction"/>
      <w:r>
        <w:t xml:space="preserve">Introduction</w:t>
      </w:r>
      <w:bookmarkEnd w:id="21"/>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campaings. Thus, understnding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r>
        <w:rPr>
          <w:rStyle w:val="FootnoteReference"/>
        </w:rPr>
        <w:footnoteReference w:id="23"/>
      </w:r>
      <w:r>
        <w:t xml:space="preserve"> </w:t>
      </w: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rPr>
          <w:rStyle w:val="FootnoteReference"/>
        </w:rPr>
        <w:footnoteReference w:id="24"/>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5" w:name="motivation"/>
      <w:r>
        <w:t xml:space="preserve">Motivation</w:t>
      </w:r>
      <w:bookmarkEnd w:id="25"/>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do not explain 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6"/>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27" w:name="outline-of-the-book"/>
      <w:r>
        <w:t xml:space="preserve">Outline of the book</w:t>
      </w:r>
      <w:bookmarkEnd w:id="27"/>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28" w:name="macro"/>
      <w:r>
        <w:t xml:space="preserve">1	Agency Rulemaking in American Politics</w:t>
      </w:r>
      <w:bookmarkEnd w:id="28"/>
    </w:p>
    <w:p>
      <w:pPr>
        <w:pStyle w:val="Heading2"/>
      </w:pPr>
      <w:bookmarkStart w:id="29" w:name="macro-intro"/>
      <w:r>
        <w:t xml:space="preserve">1.1	Introduction</w:t>
      </w:r>
      <w:bookmarkEnd w:id="29"/>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the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3"/>
      </w:pPr>
      <w:bookmarkStart w:id="30" w:name="patterns-in-policy-issues"/>
      <w:r>
        <w:t xml:space="preserve">1.1.1	Patterns in Policy Issues</w:t>
      </w:r>
      <w:bookmarkEnd w:id="30"/>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but do not perfectly align with how the government is organized, thus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3"/>
      </w:pPr>
      <w:bookmarkStart w:id="31" w:name="party-control-and-policy-issues"/>
      <w:r>
        <w:t xml:space="preserve">1.1.2	Party Control and Policy Issues</w:t>
      </w:r>
      <w:bookmarkEnd w:id="31"/>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BodyText"/>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which issues are attended to. Thus, partisan control should have a much larger effect on which agencies are making more policy. This may occur through positive agenda control that the President has to direct agency policymaking or negative agenda control the President has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32" w:name="the-implications-of-partisan-alignment"/>
      <w:r>
        <w:t xml:space="preserve">1.1.2.1	The implications of partisan alignment</w:t>
      </w:r>
      <w:bookmarkEnd w:id="32"/>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Almost all prominent alignment theories, however,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33" w:name="X5cf4661fc7c5300fc7912a6d4d83c9ba3081329"/>
      <w:r>
        <w:t xml:space="preserve">1.1.2.2	The implications of issue ownership and party coalitions</w:t>
      </w:r>
      <w:bookmarkEnd w:id="33"/>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core of the platform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34" w:name="X1ce17baf1a0c0d807c128a93dbf1f99fdf0a0bb"/>
      <w:r>
        <w:t xml:space="preserve">1.1.3	Policymaking and Policy Outcomes On Different Issues</w:t>
      </w:r>
      <w:bookmarkEnd w:id="34"/>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in the years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One aim of this chapter is to assess the extent to which patterns of agency policymaking fit these patterns.</w:t>
      </w:r>
      <w:r>
        <w:rPr>
          <w:rStyle w:val="FootnoteReference"/>
        </w:rPr>
        <w:footnoteReference w:id="35"/>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the focus on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2"/>
      </w:pPr>
      <w:bookmarkStart w:id="36" w:name="methods-and-data"/>
      <w:r>
        <w:t xml:space="preserve">1.2	Methods and Data</w:t>
      </w:r>
      <w:bookmarkEnd w:id="3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agenda of the President.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really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BodyText"/>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38" w:name="scatterplots-of-rulemaking"/>
      <w:r>
        <w:t xml:space="preserve">1.2.1	Scatterplots of Rulemaking</w:t>
      </w:r>
      <w:bookmarkEnd w:id="38"/>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39" w:name="the-likelihood-of-rulemaking-over-time"/>
      <w:r>
        <w:t xml:space="preserve">1.2.2	The Likelihood of Rulemaking over Time</w:t>
      </w:r>
      <w:bookmarkEnd w:id="39"/>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40" w:name="policy-substance-in-regulations"/>
      <w:r>
        <w:t xml:space="preserve">1.3	Policy Substance in Regulations</w:t>
      </w:r>
      <w:bookmarkEnd w:id="40"/>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41" w:name="Xc5b98228f2563943866ac62df093f053e2dc718"/>
      <w:r>
        <w:t xml:space="preserve">1.3.1	Social Policy, Economic Policy, and Foreign Policy</w:t>
      </w:r>
      <w:bookmarkEnd w:id="41"/>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42" w:name="labor-and-welfare"/>
      <w:r>
        <w:t xml:space="preserve">1.3.2	Labor and Welfare</w:t>
      </w:r>
      <w:bookmarkEnd w:id="42"/>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43" w:name="civil-rights"/>
      <w:r>
        <w:t xml:space="preserve">1.3.3	Civil Rights</w:t>
      </w:r>
      <w:bookmarkEnd w:id="43"/>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44"/>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45" w:name="environment"/>
      <w:r>
        <w:t xml:space="preserve">1.3.4	Environment</w:t>
      </w:r>
      <w:bookmarkEnd w:id="45"/>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46" w:name="conclusion"/>
      <w:r>
        <w:t xml:space="preserve">1.4	Conclusion</w:t>
      </w:r>
      <w:bookmarkEnd w:id="46"/>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to present</w:t>
      </w:r>
      <w:r>
        <w:t xml:space="preserve"> </w:t>
      </w:r>
      <w:r>
        <w:t xml:space="preserve">politics decisions made in the past.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 back to reshape the terrain of American politics.</w:t>
      </w:r>
    </w:p>
    <w:p>
      <w:pPr>
        <w:pStyle w:val="BodyText"/>
      </w:pPr>
      <w:r>
        <w:t xml:space="preserve">The following chapters in this dissertaion focus on one narrow peice of this broad project to incorporate burecratic policymaking into theories of American politics. They use similar data, but approach the problem from the other side. I start with theories of bureaucratic policymaking and begin to incorporate theories of civic engagment, pressure politics, legislative behavior, and social movement power in order to explain and account for the occasional bursts of public attention and engagment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47" w:name="whymail"/>
      <w:r>
        <w:t xml:space="preserve">2	Public Pressure: Why Do Agencies (sometimes) Get So Much Mail?</w:t>
      </w:r>
      <w:bookmarkEnd w:id="47"/>
    </w:p>
    <w:p>
      <w:pPr>
        <w:pStyle w:val="FirstParagraph"/>
      </w:pPr>
      <w:r>
        <w:t xml:space="preserve">See the working paper version of this chapter</w:t>
      </w:r>
      <w:r>
        <w:t xml:space="preserve"> </w:t>
      </w:r>
      <w:hyperlink r:id="rId48">
        <w:r>
          <w:rPr>
            <w:rStyle w:val="Hyperlink"/>
            <w:i/>
          </w:rPr>
          <w:t xml:space="preserve">here</w:t>
        </w:r>
      </w:hyperlink>
      <w:r>
        <w:t xml:space="preserve">.</w:t>
      </w:r>
    </w:p>
    <w:p>
      <w:pPr>
        <w:pStyle w:val="Heading4"/>
      </w:pPr>
      <w:bookmarkStart w:id="49" w:name="abstract"/>
      <w:r>
        <w:t xml:space="preserve">Abstract</w:t>
      </w:r>
      <w:bookmarkEnd w:id="49"/>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50" w:name="why-intro"/>
      <w:r>
        <w:t xml:space="preserve">2.1	Introduction</w:t>
      </w:r>
      <w:bookmarkEnd w:id="50"/>
    </w:p>
    <w:p>
      <w:pPr>
        <w:pStyle w:val="FirstParagraph"/>
      </w:pPr>
      <w:r>
        <w:t xml:space="preserve">Participatory processes like public comment periods, where government</w:t>
      </w:r>
      <w:r>
        <w:t xml:space="preserve"> </w:t>
      </w:r>
      <w:r>
        <w:t xml:space="preserve">agencies must solicit public input on draft policies, are said to 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 agency policymaking has shed light on sophisticated lobbying by businesses, we know surprisingly little about the vast majority of public comments, which are submitted by ordinary people as part of public pressure campaigns.</w:t>
      </w:r>
    </w:p>
    <w:p>
      <w:pPr>
        <w:pStyle w:val="BodyText"/>
      </w:pP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 50 million (80%) of these public comments mobilized by just 100 advocacy organizations.</w:t>
      </w:r>
    </w:p>
    <w:p>
      <w:pPr>
        <w:pStyle w:val="BodyText"/>
      </w:pPr>
      <w:r>
        <w:t xml:space="preserve">Yet civic engagement and organized public pressure remains poorly understood in the context of bureaucratic policymaking.</w:t>
      </w:r>
      <w:r>
        <w:t xml:space="preserve"> </w:t>
      </w:r>
      <w:r>
        <w:t xml:space="preserve">While practitioners and administrative law scholars have long pondered</w:t>
      </w:r>
      <w:r>
        <w:t xml:space="preserve"> </w:t>
      </w:r>
      <w:r>
        <w:t xml:space="preserve">what to make of mass commenting, political scientists have had</w:t>
      </w:r>
      <w:r>
        <w:t xml:space="preserve"> </w:t>
      </w:r>
      <w:r>
        <w:t xml:space="preserve">surprisingly little to say about this kind of civic participation and the role of public pressure in agency rulemaking.</w:t>
      </w:r>
    </w:p>
    <w:p>
      <w:pPr>
        <w:pStyle w:val="BodyText"/>
      </w:pPr>
      <w:r>
        <w:t xml:space="preserve">The contentious politics that inspire the majority of public comments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51"/>
      </w:r>
    </w:p>
    <w:p>
      <w:pPr>
        <w:pStyle w:val="BodyText"/>
      </w:pPr>
      <w:r>
        <w:t xml:space="preserve">To the extent that scholars address the input of ordinary people at all, both</w:t>
      </w:r>
      <w:r>
        <w:t xml:space="preserve"> </w:t>
      </w:r>
      <w:r>
        <w:t xml:space="preserve">existing theory and empirical scholarship suggest skepticism that it</w:t>
      </w:r>
      <w:r>
        <w:t xml:space="preserve"> </w:t>
      </w:r>
      <w:r>
        <w:t xml:space="preserve">matters.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Becasue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52"/>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2.2</w:t>
      </w:r>
      <w:r>
        <w:t xml:space="preserve">; note that comments per rule are on a</w:t>
      </w:r>
      <w:r>
        <w:t xml:space="preserve"> </w:t>
      </w:r>
      <w:r>
        <w:t xml:space="preserve">logarithmic scale).</w:t>
      </w:r>
      <w:r>
        <w:rPr>
          <w:rStyle w:val="FootnoteReference"/>
        </w:rPr>
        <w:footnoteReference w:id="53"/>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54"/>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is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55"/>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drawing>
          <wp:inline>
            <wp:extent cx="3217156" cy="3217156"/>
            <wp:effectExtent b="0" l="0" r="0" t="0"/>
            <wp:docPr descr="Figure 2.2: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56"/>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57"/>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2.2</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58"/>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59"/>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2"/>
      </w:pPr>
      <w:bookmarkStart w:id="60" w:name="why-mobilize"/>
      <w:r>
        <w:t xml:space="preserve">2.2	Theory: Why Mobilize?</w:t>
      </w:r>
      <w:bookmarkEnd w:id="60"/>
    </w:p>
    <w:p>
      <w:pPr>
        <w:pStyle w:val="FirstParagraph"/>
      </w:pPr>
      <w:r>
        <w:t xml:space="preserve">How, if at all, should scholars incorporate mass engagement into models of bureaucratic policymaking?</w:t>
      </w:r>
    </w:p>
    <w:p>
      <w:pPr>
        <w:pStyle w:val="BodyText"/>
      </w:pPr>
      <w:r>
        <w:t xml:space="preserve">I argue that mass engagement produces potentially valuable political information about the coalition that mobilized it. Political information may play two distinct roles depending on who mobilized it.</w:t>
      </w:r>
    </w:p>
    <w:p>
      <w:pPr>
        <w:pStyle w:val="BodyText"/>
      </w:pPr>
      <w:r>
        <w:t xml:space="preserve">To the extent that well-resourced groups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Here, just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w:t>
      </w:r>
    </w:p>
    <w:p>
      <w:pPr>
        <w:pStyle w:val="BodyText"/>
      </w:pPr>
      <w:r>
        <w:t xml:space="preserve">Alternatively, to the extent that public interest groups use public pressure campaigns are used as a conflict expansion tactics by less-resourced groups,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p>
    <w:p>
      <w:pPr>
        <w:pStyle w:val="BodyText"/>
      </w:pPr>
      <w:r>
        <w:t xml:space="preserve">The normative and empirical import of mass commenting campaigns thus turns on who is behind them. If it is the powerful business groups that dominate other forms of lobbying, public pressure campaigns (and perhaps public comment periods themselves) are normatively suspect, merely providing a democratic veneer to economic power. Empirically, we would thus expect public pressure campaigns to further advantage well-resourced interests. Alternatively, 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2.3</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61"/>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3: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2.3: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3"/>
      </w:pPr>
      <w:bookmarkStart w:id="63" w:name="X1b1e2c79a564032db1b3e38131ba008e6e289b6"/>
      <w:r>
        <w:t xml:space="preserve">2.2.1	Incorporating political information into models of lobbying in rulemaking</w:t>
      </w:r>
      <w:bookmarkEnd w:id="63"/>
    </w:p>
    <w:p>
      <w:pPr>
        <w:pStyle w:val="Heading4"/>
      </w:pPr>
      <w:bookmarkStart w:id="64" w:name="X3fd41f2a3008e794676555704654545d8c814e7"/>
      <w:r>
        <w:t xml:space="preserve">2.2.1.1	Public pressure campaigns claim to represent and evoke the public interest.</w:t>
      </w:r>
      <w:bookmarkEnd w:id="64"/>
    </w:p>
    <w:p>
      <w:pPr>
        <w:pStyle w:val="FirstParagraph"/>
      </w:pPr>
      <w:r>
        <w:t xml:space="preserve">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 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65"/>
      </w:r>
    </w:p>
    <w:p>
      <w:pPr>
        <w:pStyle w:val="Heading4"/>
      </w:pPr>
      <w:bookmarkStart w:id="66" w:name="public-pressure-is-a-political-resource."/>
      <w:r>
        <w:t xml:space="preserve">2.2.1.2	Public pressure is a political resource.</w:t>
      </w:r>
      <w:bookmarkEnd w:id="6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I argue that, 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6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2.4</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4: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68"/>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2.4: Incorporating Political Information into Models of Bureaucratic Policymaking</w:t>
      </w:r>
    </w:p>
    <w:p>
      <w:pPr>
        <w:pStyle w:val="BodyText"/>
      </w:pPr>
      <w:r>
        <w:t xml:space="preserve">Figure</w:t>
      </w:r>
      <w:r>
        <w:t xml:space="preserve"> </w:t>
      </w:r>
      <w:r>
        <w:t xml:space="preserve">2.4</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2.3</w:t>
      </w:r>
      <w:r>
        <w:t xml:space="preserve">) to incorporate political information about the attentive public. In addition to providing technical information through sophisticated comments, an organization may mobilize supporters.</w:t>
      </w:r>
      <w:r>
        <w:t xml:space="preserve"> </w:t>
      </w:r>
      <w:r>
        <w:t xml:space="preserve">The more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69"/>
      </w:r>
    </w:p>
    <w:p>
      <w:pPr>
        <w:pStyle w:val="BodyText"/>
      </w:pPr>
      <w:r>
        <w:t xml:space="preserve">The causal process visualized in Figure</w:t>
      </w:r>
      <w:r>
        <w:t xml:space="preserve"> </w:t>
      </w:r>
      <w:r>
        <w:t xml:space="preserve">2.4</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2"/>
      </w:pPr>
      <w:bookmarkStart w:id="70" w:name="X82e681ce8f86c704962111d90f542ae06d5ce18"/>
      <w:r>
        <w:t xml:space="preserve">2.3	Hypotheses About the Drivers of Mass Mobilization</w:t>
      </w:r>
      <w:bookmarkEnd w:id="70"/>
    </w:p>
    <w:p>
      <w:pPr>
        <w:pStyle w:val="Heading3"/>
      </w:pPr>
      <w:bookmarkStart w:id="71" w:name="types-of-campaigns"/>
      <w:r>
        <w:t xml:space="preserve">2.3.1	Types of campaigns</w:t>
      </w:r>
      <w:bookmarkEnd w:id="71"/>
    </w:p>
    <w:p>
      <w:pPr>
        <w:pStyle w:val="FirstParagraph"/>
      </w:pPr>
      <w:r>
        <w:t xml:space="preserve">The outcomes of mass mobilization depend, in part, on the aims of a</w:t>
      </w:r>
      <w:r>
        <w:t xml:space="preserve"> </w:t>
      </w:r>
      <w:r>
        <w:t xml:space="preserve">campaign. I distinguish group campaigns by which of three distinct aims</w:t>
      </w:r>
      <w:r>
        <w:t xml:space="preserve"> </w:t>
      </w:r>
      <w:r>
        <w:t xml:space="preserve">they pursue: (1) to win concessions by going public, (2) to disrupt a</w:t>
      </w:r>
      <w:r>
        <w:t xml:space="preserve"> </w:t>
      </w:r>
      <w:r>
        <w:t xml:space="preserve">perceived consensus, or (3) to go down fighting. Going public and</w:t>
      </w:r>
      <w:r>
        <w:t xml:space="preserve"> </w:t>
      </w:r>
      <w:r>
        <w:t xml:space="preserve">disrupting a perceived consensus are forms of proactive and reactive</w:t>
      </w:r>
      <w:r>
        <w:t xml:space="preserve"> </w:t>
      </w:r>
      <w:r>
        <w:t xml:space="preserve">outside lobbying, respectively. Here, going down fighting describes any</w:t>
      </w:r>
      <w:r>
        <w:t xml:space="preserve"> </w:t>
      </w:r>
      <w:r>
        <w:t xml:space="preserve">situation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72"/>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73"/>
      </w:r>
      <w:r>
        <w:t xml:space="preserve"> </w:t>
      </w:r>
      <w:r>
        <w:t xml:space="preserve">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74"/>
      </w:r>
    </w:p>
    <w:p>
      <w:pPr>
        <w:pStyle w:val="BlockText"/>
      </w:pPr>
      <w:r>
        <w:rPr>
          <w:b/>
        </w:rPr>
        <w:t xml:space="preserve">Hypothesis 1a:</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 The</w:t>
      </w:r>
      <w:r>
        <w:t xml:space="preserve"> </w:t>
      </w:r>
      <w:r>
        <w:t xml:space="preserve">converse, that organizations mobilize when they have less public</w:t>
      </w:r>
      <w:r>
        <w:t xml:space="preserve"> </w:t>
      </w:r>
      <w:r>
        <w:t xml:space="preserve">support, could also be true. For example, business groups who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Hypothesis 1a and Schattschneider’s argument that it is the</w:t>
      </w:r>
      <w:r>
        <w:t xml:space="preserve"> </w:t>
      </w:r>
      <w:r>
        <w:t xml:space="preserve">disadvantaged who seek to expand the scope of the conflict.</w:t>
      </w:r>
    </w:p>
    <w:p>
      <w:pPr>
        <w:pStyle w:val="BodyText"/>
      </w:pPr>
      <w:r>
        <w:t xml:space="preserve">The latter parts of Hypothesis 1a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lockText"/>
      </w:pPr>
      <w:r>
        <w:rPr>
          <w:b/>
        </w:rPr>
        <w:t xml:space="preserve">Hypothesis 1b:</w:t>
      </w:r>
      <w:r>
        <w:t xml:space="preserve"> </w:t>
      </w:r>
      <w:r>
        <w:t xml:space="preserve">When a lobbying coalition with more intense public support mobilizes successfully in response to an opportunity to influence policy, opposing coalitions with less public support are more likely to countermobilize, but with 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 that countermobilization is</w:t>
      </w:r>
      <w:r>
        <w:t xml:space="preserve"> </w:t>
      </w:r>
      <w:r>
        <w:t xml:space="preserve">proportionally smaller, rests on the intuition that the scale and</w:t>
      </w:r>
      <w:r>
        <w:t xml:space="preserve"> </w:t>
      </w:r>
      <w:r>
        <w:t xml:space="preserve">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2.5</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5: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75"/>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2.5: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76" w:name="public-and-private-goods."/>
      <w:r>
        <w:t xml:space="preserve">2.3.1.1	Public and private goods.</w:t>
      </w:r>
      <w:bookmarkEnd w:id="76"/>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77"/>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lockText"/>
      </w:pPr>
      <w:r>
        <w:rPr>
          <w:b/>
        </w:rPr>
        <w:t xml:space="preserve">Hypothesis 1c:</w:t>
      </w:r>
      <w:r>
        <w:t xml:space="preserve"> </w:t>
      </w:r>
      <w:r>
        <w:t xml:space="preserve">Public interest group coalitions mobilize more often than</w:t>
      </w:r>
      <w:r>
        <w:t xml:space="preserve"> </w:t>
      </w:r>
      <w:r>
        <w:t xml:space="preserve">business-driven coalitions.</w:t>
      </w:r>
    </w:p>
    <w:p>
      <w:pPr>
        <w:pStyle w:val="FirstParagraph"/>
      </w:pPr>
      <w:r>
        <w:t xml:space="preserve">Hypothesis 1c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78" w:name="types-of-public-engagement"/>
      <w:r>
        <w:t xml:space="preserve">2.4	Types of Public Engagement</w:t>
      </w:r>
      <w:bookmarkEnd w:id="78"/>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w:t>
      </w:r>
      <w:r>
        <w:t xml:space="preserve"> </w:t>
      </w:r>
      <w:r>
        <w:t xml:space="preserve">campaign, as campaign messages spread beyond those initially</w:t>
      </w:r>
      <w:r>
        <w:t xml:space="preserve"> </w:t>
      </w:r>
      <w:r>
        <w:t xml:space="preserve">targeted.</w:t>
      </w:r>
      <w:r>
        <w:rPr>
          <w:rStyle w:val="FootnoteReference"/>
        </w:rPr>
        <w:footnoteReference w:id="79"/>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w:t>
      </w:r>
      <w:r>
        <w:t xml:space="preserve"> </w:t>
      </w:r>
      <w:r>
        <w:t xml:space="preserve">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2"/>
      </w:pPr>
      <w:bookmarkStart w:id="80" w:name="why-methods"/>
      <w:r>
        <w:t xml:space="preserve">2.5	Methods: Measuring Public Pressure and Political Information</w:t>
      </w:r>
      <w:bookmarkEnd w:id="80"/>
    </w:p>
    <w:p>
      <w:pPr>
        <w:pStyle w:val="FirstParagraph"/>
      </w:pPr>
      <w:r>
        <w:t xml:space="preserve">In this section, I develop methods to attribute mass comments to the</w:t>
      </w:r>
      <w:r>
        <w:t xml:space="preserve"> </w:t>
      </w:r>
      <w:r>
        <w:t xml:space="preserve">campaigns that mobilized them and measure the intensity of preferences</w:t>
      </w:r>
      <w:r>
        <w:t xml:space="preserve"> </w:t>
      </w:r>
      <w:r>
        <w:t xml:space="preserve">expressed. To link individual comments to the more sophisticated</w:t>
      </w:r>
      <w:r>
        <w:t xml:space="preserve"> </w:t>
      </w:r>
      <w:r>
        <w:t xml:space="preserve">lobbying efforts they support, I use textual similarity to identify</w:t>
      </w:r>
      <w:r>
        <w:t xml:space="preserve"> </w:t>
      </w:r>
      <w:r>
        <w:t xml:space="preserve">clusters of similar comments, reflecting formal and informal coalitions.</w:t>
      </w:r>
      <w:r>
        <w:t xml:space="preserve"> </w:t>
      </w:r>
      <w:r>
        <w:t xml:space="preserve">Comments with identical text (if any) indicate which groups and</w:t>
      </w:r>
      <w:r>
        <w:t xml:space="preserve"> </w:t>
      </w:r>
      <w:r>
        <w:t xml:space="preserve">coalitions ran a mass comment campaign. Within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81" w:name="data."/>
      <w:r>
        <w:t xml:space="preserve">2.5.1	Data.</w:t>
      </w:r>
      <w:bookmarkEnd w:id="81"/>
    </w:p>
    <w:p>
      <w:pPr>
        <w:pStyle w:val="FirstParagraph"/>
      </w:pPr>
      <w:r>
        <w:t xml:space="preserve">I collected a corpus of approximately 70 million comments via the</w:t>
      </w:r>
      <w:r>
        <w:t xml:space="preserve"> </w:t>
      </w:r>
      <w:r>
        <w:t xml:space="preserve">regulations.gov API. About 50 million of these comments are on proposed</w:t>
      </w:r>
      <w:r>
        <w:t xml:space="preserve"> </w:t>
      </w:r>
      <w:r>
        <w:t xml:space="preserve">rules (over 16,000 proposed rules from 144 agencies from 2005 to 2018).</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Heading3"/>
      </w:pPr>
      <w:bookmarkStart w:id="82" w:name="who-lobbies"/>
      <w:r>
        <w:t xml:space="preserve">2.5.2	Who lobbies?</w:t>
      </w:r>
      <w:bookmarkEnd w:id="82"/>
    </w:p>
    <w:p>
      <w:pPr>
        <w:pStyle w:val="FirstParagraph"/>
      </w:pPr>
      <w:r>
        <w:t xml:space="preserve">Unfortunately, 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83" w:name="mobilizing-organizations."/>
      <w:r>
        <w:t xml:space="preserve">2.5.2.1	Mobilizing organizations.</w:t>
      </w:r>
      <w:bookmarkEnd w:id="83"/>
    </w:p>
    <w:p>
      <w:pPr>
        <w:pStyle w:val="FirstParagraph"/>
      </w:pPr>
      <w:r>
        <w:t xml:space="preserve">Through an iterative combination of automated search methods and hand-coding, I identify organizations for over 40 million comments, including all organizations responsible for mobilizing 100 or more</w:t>
      </w:r>
      <w:r>
        <w:t xml:space="preserve"> </w:t>
      </w:r>
      <w:r>
        <w:t xml:space="preserve">comments with repeated text–either identical text or partially unique</w:t>
      </w:r>
      <w:r>
        <w:t xml:space="preserve"> </w:t>
      </w:r>
      <w:r>
        <w:t xml:space="preserve">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 The top 100 mobilizing organizations</w:t>
      </w:r>
      <w:r>
        <w:t xml:space="preserve"> </w:t>
      </w:r>
      <w:r>
        <w:t xml:space="preserve">each mobilized between 55 thousand and 4.2 million comments. Figure</w:t>
      </w:r>
      <w:r>
        <w:t xml:space="preserve"> </w:t>
      </w:r>
      <w:r>
        <w:t xml:space="preserve">2.6</w:t>
      </w:r>
      <w:r>
        <w:t xml:space="preserve"> </w:t>
      </w:r>
      <w:r>
        <w:t xml:space="preserve">shows the top organizers of comments posted to</w:t>
      </w:r>
      <w:r>
        <w:t xml:space="preserve"> </w:t>
      </w:r>
      <w:r>
        <w:t xml:space="preserve">regulations.gov.</w:t>
      </w:r>
    </w:p>
    <w:p>
      <w:pPr>
        <w:pStyle w:val="CaptionedFigure"/>
      </w:pPr>
      <w:r>
        <w:drawing>
          <wp:inline>
            <wp:extent cx="5334000" cy="1333500"/>
            <wp:effectExtent b="0" l="0" r="0" t="0"/>
            <wp:docPr descr="Figure 2.6: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8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2.6: Top mobilizers of comments posted to regulations.gov</w:t>
      </w:r>
    </w:p>
    <w:p>
      <w:pPr>
        <w:pStyle w:val="Heading3"/>
      </w:pPr>
      <w:bookmarkStart w:id="85" w:name="who-lobbies-together"/>
      <w:r>
        <w:t xml:space="preserve">2.5.3	Who lobbies together?</w:t>
      </w:r>
      <w:bookmarkEnd w:id="85"/>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Dwidar2019)</w:t>
      </w:r>
      <w:r>
        <w:t xml:space="preserve">. Scholars have measured coalitions of organized groups but have yet to attribute citizen comments to the coalition that mobilized them.</w:t>
      </w:r>
    </w:p>
    <w:p>
      <w:pPr>
        <w:pStyle w:val="Heading4"/>
      </w:pPr>
      <w:bookmarkStart w:id="86" w:name="X17bfea8877bd15328414664a2069501b2559d92"/>
      <w:r>
        <w:t xml:space="preserve">2.5.3.1	I identify coalitions using text re-use and clustering methods.</w:t>
      </w:r>
      <w:bookmarkEnd w:id="86"/>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87"/>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Thus, in addition to mapping text re-use, for rules with a large number of comments,</w:t>
      </w:r>
      <w:r>
        <w:t xml:space="preserve"> </w:t>
      </w:r>
      <w:r>
        <w:t xml:space="preserve">I use statistical models of text to classify comments into coalitions. I cluster</w:t>
      </w:r>
      <w:r>
        <w:t xml:space="preserve"> </w:t>
      </w:r>
      <w:r>
        <w:t xml:space="preserve">documents by the frequency with which they use different words. Being</w:t>
      </w:r>
      <w:r>
        <w:t xml:space="preserve"> </w:t>
      </w:r>
      <w:r>
        <w:t xml:space="preserve">classified together does not mean that the documents all address exactly</w:t>
      </w:r>
      <w:r>
        <w:t xml:space="preserve"> </w:t>
      </w:r>
      <w:r>
        <w:t xml:space="preserve">the same distribution of substantive issues, just that they use similar</w:t>
      </w:r>
      <w:r>
        <w:t xml:space="preserve"> </w:t>
      </w:r>
      <w:r>
        <w:t xml:space="preserve">words relative to the full set of documents. I start by modeling all</w:t>
      </w:r>
      <w:r>
        <w:t xml:space="preserve"> </w:t>
      </w:r>
      <w:r>
        <w:t xml:space="preserve">comments on each rule (collapsing identical comments to one document)</w:t>
      </w:r>
      <w:r>
        <w:t xml:space="preserve"> </w:t>
      </w:r>
      <w:r>
        <w:t xml:space="preserve">with two and three clusters, which I then inspect to see how well the</w:t>
      </w:r>
      <w:r>
        <w:t xml:space="preserve"> </w:t>
      </w:r>
      <w:r>
        <w:t xml:space="preserve">comments of named organizations were classified. If the two cluster</w:t>
      </w:r>
      <w:r>
        <w:t xml:space="preserve"> </w:t>
      </w:r>
      <w:r>
        <w:t xml:space="preserve">model most sensibly describes the conflict, I label these clusters</w:t>
      </w:r>
      <w:r>
        <w:t xml:space="preserve"> </w:t>
      </w:r>
      <w:r>
        <w:t xml:space="preserve">“</w:t>
      </w:r>
      <w:r>
        <w:t xml:space="preserve">pro</w:t>
      </w:r>
      <w:r>
        <w:t xml:space="preserve">”</w:t>
      </w:r>
      <w:r>
        <w:t xml:space="preserve"> </w:t>
      </w:r>
      <w:r>
        <w:t xml:space="preserve">and</w:t>
      </w:r>
      <w:r>
        <w:t xml:space="preserve"> </w:t>
      </w:r>
      <w:r>
        <w:t xml:space="preserve">“</w:t>
      </w:r>
      <w:r>
        <w:t xml:space="preserve">con</w:t>
      </w:r>
      <w:r>
        <w:t xml:space="preserve">”</w:t>
      </w:r>
      <w:r>
        <w:t xml:space="preserve"> </w:t>
      </w:r>
      <w:r>
        <w:t xml:space="preserve">If the three-cluster model more sensibly describes the</w:t>
      </w:r>
      <w:r>
        <w:t xml:space="preserve"> </w:t>
      </w:r>
      <w:r>
        <w:t xml:space="preserve">conflict, I label these clusters as</w:t>
      </w:r>
      <w:r>
        <w:t xml:space="preserve"> </w:t>
      </w:r>
      <w:r>
        <w:t xml:space="preserve">“</w:t>
      </w:r>
      <w:r>
        <w:t xml:space="preserve">pro, con, other.</w:t>
      </w:r>
      <w:r>
        <w:t xml:space="preserve">”</w:t>
      </w:r>
      <w:r>
        <w:t xml:space="preserve"> </w:t>
      </w:r>
      <w:r>
        <w:t xml:space="preserve">If neither fits</w:t>
      </w:r>
      <w:r>
        <w:t xml:space="preserve"> </w:t>
      </w:r>
      <w:r>
        <w:t xml:space="preserve">well, I increase the number of clusters as needed.</w:t>
      </w:r>
    </w:p>
    <w:p>
      <w:pPr>
        <w:pStyle w:val="CaptionedFigure"/>
      </w:pPr>
      <w:r>
        <w:drawing>
          <wp:inline>
            <wp:extent cx="5334000" cy="5333999"/>
            <wp:effectExtent b="0" l="0" r="0" t="0"/>
            <wp:docPr descr="Figure 2.7: K-means clustering fails to capture coalitions when nearly all comments oppose a regulation" title="" id="1" name="Picture"/>
            <a:graphic>
              <a:graphicData uri="http://schemas.openxmlformats.org/drawingml/2006/picture">
                <pic:pic>
                  <pic:nvPicPr>
                    <pic:cNvPr descr="/Users/devin/dissertation/Figs/kmeans.png" id="0" name="Picture"/>
                    <pic:cNvPicPr>
                      <a:picLocks noChangeArrowheads="1" noChangeAspect="1"/>
                    </pic:cNvPicPr>
                  </pic:nvPicPr>
                  <pic:blipFill>
                    <a:blip r:embed="rId88"/>
                    <a:stretch>
                      <a:fillRect/>
                    </a:stretch>
                  </pic:blipFill>
                  <pic:spPr bwMode="auto">
                    <a:xfrm>
                      <a:off x="0" y="0"/>
                      <a:ext cx="5334000" cy="5333999"/>
                    </a:xfrm>
                    <a:prstGeom prst="rect">
                      <a:avLst/>
                    </a:prstGeom>
                    <a:noFill/>
                    <a:ln w="9525">
                      <a:noFill/>
                      <a:headEnd/>
                      <a:tailEnd/>
                    </a:ln>
                  </pic:spPr>
                </pic:pic>
              </a:graphicData>
            </a:graphic>
          </wp:inline>
        </w:drawing>
      </w:r>
    </w:p>
    <w:p>
      <w:pPr>
        <w:pStyle w:val="ImageCaption"/>
      </w:pPr>
      <w:r>
        <w:t xml:space="preserve">Figure 2.7: K-means clustering fails to capture coalitions when nearly all comments oppose a regulation</w:t>
      </w:r>
    </w:p>
    <w:p>
      <w:pPr>
        <w:pStyle w:val="BodyText"/>
      </w:pPr>
      <w:r>
        <w:t xml:space="preserve">The asymmetry in expressed support for most rules presents challenges</w:t>
      </w:r>
      <w:r>
        <w:t xml:space="preserve"> </w:t>
      </w:r>
      <w:r>
        <w:t xml:space="preserve">for unsupervised clustering because much of the variation in comment</w:t>
      </w:r>
      <w:r>
        <w:t xml:space="preserve"> </w:t>
      </w:r>
      <w:r>
        <w:t xml:space="preserve">texts is within-coalition variation. For example, one of the most common</w:t>
      </w:r>
      <w:r>
        <w:t xml:space="preserve"> </w:t>
      </w:r>
      <w:r>
        <w:t xml:space="preserve">clustering methods, k-means clustering, often captures within-coalition</w:t>
      </w:r>
      <w:r>
        <w:t xml:space="preserve"> </w:t>
      </w:r>
      <w:r>
        <w:t xml:space="preserve">variation. Figure</w:t>
      </w:r>
      <w:r>
        <w:t xml:space="preserve"> </w:t>
      </w:r>
      <w:r>
        <w:t xml:space="preserve">2.7</w:t>
      </w:r>
      <w:r>
        <w:t xml:space="preserve"> </w:t>
      </w:r>
      <w:r>
        <w:t xml:space="preserve">shows k-means clusters based on a normalized</w:t>
      </w:r>
      <w:r>
        <w:t xml:space="preserve"> </w:t>
      </w:r>
      <w:r>
        <w:t xml:space="preserve">measure of word frequency (term-frequency/inverse-document-frequency)</w:t>
      </w:r>
      <w:r>
        <w:t xml:space="preserve"> </w:t>
      </w:r>
      <w:r>
        <w:t xml:space="preserve">compared to two principal components of variation. Neither k-means nor</w:t>
      </w:r>
      <w:r>
        <w:t xml:space="preserve"> </w:t>
      </w:r>
      <w:r>
        <w:t xml:space="preserve">principal components analysis is well suited to identifying the small</w:t>
      </w:r>
      <w:r>
        <w:t xml:space="preserve"> </w:t>
      </w:r>
      <w:r>
        <w:t xml:space="preserve">number of comments supporting the Park Service’s proposed restrictions</w:t>
      </w:r>
      <w:r>
        <w:t xml:space="preserve"> </w:t>
      </w:r>
      <w:r>
        <w:t xml:space="preserve">on protests in Washington DC.</w:t>
      </w:r>
    </w:p>
    <w:p>
      <w:pPr>
        <w:pStyle w:val="BodyText"/>
      </w:pPr>
      <w:r>
        <w:t xml:space="preserve">Two strategies may improve clustering. First, even partial text re-use</w:t>
      </w:r>
      <w:r>
        <w:t xml:space="preserve"> </w:t>
      </w:r>
      <w:r>
        <w:t xml:space="preserve">generally indicates that comments belong to the same coalition. For</w:t>
      </w:r>
      <w:r>
        <w:t xml:space="preserve"> </w:t>
      </w:r>
      <w:r>
        <w:t xml:space="preserve">example, as seen at the top of Figure</w:t>
      </w:r>
      <w:r>
        <w:t xml:space="preserve"> </w:t>
      </w:r>
      <w:r>
        <w:t xml:space="preserve">2.7</w:t>
      </w:r>
      <w:r>
        <w:t xml:space="preserve">, models</w:t>
      </w:r>
      <w:r>
        <w:t xml:space="preserve"> </w:t>
      </w:r>
      <w:r>
        <w:t xml:space="preserve">may be restricted to cluster the large number of comments beginning with</w:t>
      </w:r>
      <w:r>
        <w:t xml:space="preserve"> </w:t>
      </w:r>
      <w:r>
        <w:t xml:space="preserve">“</w:t>
      </w:r>
      <w:r>
        <w:t xml:space="preserve">As a citizen who has frequently participated</w:t>
      </w:r>
      <w:r>
        <w:t xml:space="preserve">”</w:t>
      </w:r>
      <w:r>
        <w:t xml:space="preserve"> </w:t>
      </w:r>
      <w:r>
        <w:t xml:space="preserve">in the same coalition</w:t>
      </w:r>
      <w:r>
        <w:t xml:space="preserve"> </w:t>
      </w:r>
      <w:r>
        <w:t xml:space="preserve">even if they go on to add different personal anecdotes about why protest</w:t>
      </w:r>
      <w:r>
        <w:t xml:space="preserve"> </w:t>
      </w:r>
      <w:r>
        <w:t xml:space="preserve">rights are important to them. Thus, clustering methods could be</w:t>
      </w:r>
      <w:r>
        <w:t xml:space="preserve"> </w:t>
      </w:r>
      <w:r>
        <w:t xml:space="preserve">restricted to group partially copied texts, as well as entirely copied</w:t>
      </w:r>
      <w:r>
        <w:t xml:space="preserve"> </w:t>
      </w:r>
      <w:r>
        <w:t xml:space="preserve">texts. Second, Bayesian mixture model may better recover pro and con</w:t>
      </w:r>
      <w:r>
        <w:t xml:space="preserve"> </w:t>
      </w:r>
      <w:r>
        <w:t xml:space="preserve">clusters, especially with strong priors comments using positive and</w:t>
      </w:r>
      <w:r>
        <w:t xml:space="preserve"> </w:t>
      </w:r>
      <w:r>
        <w:t xml:space="preserve">negative sentiment words belong together.</w:t>
      </w:r>
    </w:p>
    <w:p>
      <w:pPr>
        <w:pStyle w:val="Heading3"/>
      </w:pPr>
      <w:bookmarkStart w:id="89" w:name="X485ca33351ca8406ef1c978735998676aea3251"/>
      <w:r>
        <w:t xml:space="preserve">2.5.4	Measuring the volume, intensity, and potential contagion of public engagement.</w:t>
      </w:r>
      <w:bookmarkEnd w:id="89"/>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As commenting results from multiple processes: a coalition deciding to</w:t>
      </w:r>
      <w:r>
        <w:t xml:space="preserve"> </w:t>
      </w:r>
      <w:r>
        <w:t xml:space="preserve">lobby at all, a coalition deciding to mobilize, and response to the</w:t>
      </w:r>
      <w:r>
        <w:t xml:space="preserve"> </w:t>
      </w:r>
      <w:r>
        <w:t xml:space="preserve">campaign the distribution contains many cases where groups may have had</w:t>
      </w:r>
      <w:r>
        <w:t xml:space="preserve"> </w:t>
      </w:r>
      <w:r>
        <w:t xml:space="preserve">success mobilizing but never reached the choice of whether to mobilize</w:t>
      </w:r>
      <w:r>
        <w:t xml:space="preserve"> </w:t>
      </w:r>
      <w:r>
        <w:t xml:space="preserve">or not. Perhaps they were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to text longer than ten words that is not unique,</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2.5</w:t>
      </w:r>
      <w:r>
        <w:t xml:space="preserve">). However, we may</w:t>
      </w:r>
      <w:r>
        <w:t xml:space="preserve"> </w:t>
      </w:r>
      <w:r>
        <w:t xml:space="preserve">not observe people who have low levels of passion for the issue because</w:t>
      </w:r>
      <w:r>
        <w:t xml:space="preserve"> </w:t>
      </w:r>
      <w:r>
        <w:t xml:space="preserve">they either do not cross the effort threshold required to comment or opt</w:t>
      </w:r>
      <w:r>
        <w:t xml:space="preserve"> </w:t>
      </w:r>
      <w:r>
        <w:t xml:space="preserve">to write nothing more than the form letter. Thus, while effort measured</w:t>
      </w:r>
      <w:r>
        <w:t xml:space="preserve"> </w:t>
      </w:r>
      <w:r>
        <w:t xml:space="preserve">by the number of words people write may be normally distributed, I</w:t>
      </w:r>
      <w:r>
        <w:t xml:space="preserve"> </w:t>
      </w:r>
      <w:r>
        <w:t xml:space="preserve">assume that the low end of the observed distribution is truncated.</w:t>
      </w:r>
    </w:p>
    <w:p>
      <w:pPr>
        <w:pStyle w:val="BodyText"/>
      </w:pPr>
      <w:r>
        <w:rPr>
          <w:b/>
        </w:rPr>
        <w:t xml:space="preserve">Contagion.</w:t>
      </w:r>
      <w:r>
        <w:t xml:space="preserve"> </w:t>
      </w:r>
      <w:r>
        <w:t xml:space="preserve">Mass-comment campaigns have wildly different results.</w:t>
      </w:r>
      <w:r>
        <w:t xml:space="preserve"> </w:t>
      </w:r>
      <w:r>
        <w:t xml:space="preserve">Some submit a clean 10,000 copies of (signatures on) the same comment.</w:t>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90" w:name="why-results"/>
      <w:r>
        <w:t xml:space="preserve">2.6	Results: Patterns of Public Engagement in Rulemaking</w:t>
      </w:r>
      <w:bookmarkEnd w:id="90"/>
    </w:p>
    <w:p>
      <w:pPr>
        <w:pStyle w:val="Heading3"/>
      </w:pPr>
      <w:bookmarkStart w:id="91" w:name="X9db25176cbd8755e21648b77adc0579ddbaadff"/>
      <w:r>
        <w:t xml:space="preserve">2.6.1	Most comments result from mass-comment campaigns.</w:t>
      </w:r>
      <w:bookmarkEnd w:id="91"/>
    </w:p>
    <w:p>
      <w:pPr>
        <w:pStyle w:val="FirstParagraph"/>
      </w:pPr>
      <w:r>
        <w:t xml:space="preserve">Figure</w:t>
      </w:r>
      <w:r>
        <w:t xml:space="preserve"> </w:t>
      </w:r>
      <w:r>
        <w:t xml:space="preserve">2.8</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 Comments that have either 100 or more identical copies or were uploaded in bulk batches of at least 100 are then</w:t>
      </w:r>
      <w:r>
        <w:t xml:space="preserve"> </w:t>
      </w:r>
      <w:r>
        <w:t xml:space="preserve">“</w:t>
      </w:r>
      <w:r>
        <w:t xml:space="preserve">mass comments</w:t>
      </w:r>
      <w:r>
        <w:t xml:space="preserve">”</w:t>
      </w:r>
      <w:r>
        <w:t xml:space="preserve"> </w:t>
      </w:r>
      <w:r>
        <w:t xml:space="preserve">that were certainly mobilized by a public pressure campaign. Figure</w:t>
      </w:r>
      <w:r>
        <w:t xml:space="preserve"> </w:t>
      </w:r>
      <w:r>
        <w:t xml:space="preserve">2.8</w:t>
      </w:r>
      <w:r>
        <w:t xml:space="preserve"> </w:t>
      </w:r>
      <w:r>
        <w:t xml:space="preserve">shows that public pressure campaigns mobilize the vast majority of comments. Over 80% of the 48 million comments on proposed rules posted to regulations.gov were mobilized by just 100 organizations. In other words, most comments are from ordinary people mobilized by a few public interest organizations.</w:t>
      </w:r>
    </w:p>
    <w:p>
      <w:pPr>
        <w:pStyle w:val="BodyText"/>
      </w:pPr>
      <w:r>
        <w:drawing>
          <wp:inline>
            <wp:extent cx="4595937" cy="2848523"/>
            <wp:effectExtent b="0" l="0" r="0" t="0"/>
            <wp:docPr descr="Figure 2.8: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92"/>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fig:comments-support)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93"/>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The right pane of Figure</w:t>
      </w:r>
      <w:r>
        <w:t xml:space="preserve"> </w:t>
      </w:r>
      <w:r>
        <w:t xml:space="preserve">2.8</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2.8</w:t>
      </w:r>
      <w:r>
        <w:t xml:space="preserve">. This may be a function of the</w:t>
      </w:r>
      <w:r>
        <w:t xml:space="preserve"> </w:t>
      </w:r>
      <w:r>
        <w:t xml:space="preserve">changing regulatory agenda due to the change in presidential</w:t>
      </w:r>
      <w:r>
        <w:t xml:space="preserve"> </w:t>
      </w:r>
      <w:r>
        <w:t xml:space="preserve">administration. However, support and oppose are not used in all comments</w:t>
      </w:r>
      <w:r>
        <w:t xml:space="preserve"> </w:t>
      </w:r>
      <w:r>
        <w:t xml:space="preserve">and do not always indicate support for a rule.</w:t>
      </w:r>
      <w:r>
        <w:t xml:space="preserve"> </w:t>
      </w:r>
    </w:p>
    <w:p>
      <w:pPr>
        <w:pStyle w:val="Heading3"/>
      </w:pPr>
      <w:bookmarkStart w:id="94" w:name="X6326c39a01fefb31599b588b0ba4bdd57102d00"/>
      <w:r>
        <w:t xml:space="preserve">2.6.2	Most comments occur on a small number of salient rules.</w:t>
      </w:r>
      <w:bookmarkEnd w:id="94"/>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2.10</w:t>
      </w:r>
      <w:r>
        <w:t xml:space="preserve">.</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9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p>
      <w:pPr>
        <w:pStyle w:val="Heading3"/>
      </w:pPr>
      <w:bookmarkStart w:id="96" w:name="X5304376366e1ab8f87679c5343b775d034be619"/>
      <w:r>
        <w:t xml:space="preserve">2.6.3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96"/>
    </w:p>
    <w:p>
      <w:pPr>
        <w:pStyle w:val="FirstParagraph"/>
      </w:pPr>
      <w:r>
        <w:t xml:space="preserve">In short, I find much more evidence of grassroots participation than astroturf participation.</w:t>
      </w:r>
    </w:p>
    <w:p>
      <w:pPr>
        <w:pStyle w:val="Heading3"/>
      </w:pPr>
      <w:bookmarkStart w:id="97" w:name="Xf4dafca4aa524a02e910d72235d7145a6377725"/>
      <w:r>
        <w:t xml:space="preserve">2.6.4	A coalition of public-interest organizations mobilize most comments.</w:t>
      </w:r>
      <w:bookmarkEnd w:id="97"/>
    </w:p>
    <w:p>
      <w:pPr>
        <w:pStyle w:val="FirstParagraph"/>
      </w:pPr>
      <w:r>
        <w:t xml:space="preserve">As Figure</w:t>
      </w:r>
      <w:r>
        <w:t xml:space="preserve"> </w:t>
      </w:r>
      <w:r>
        <w:t xml:space="preserve">2.10</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the majority of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on the top ten dockets, 19 of the top 20 mobilizers generally</w:t>
      </w:r>
      <w:r>
        <w:t xml:space="preserve"> </w:t>
      </w:r>
      <w:r>
        <w:t xml:space="preserve">lobby together. America’s Energy Cooperatives (AEC), an industry association,</w:t>
      </w:r>
      <w:r>
        <w:t xml:space="preserve"> </w:t>
      </w:r>
      <w:r>
        <w:t xml:space="preserve">stands out as the lone mobilizer on behalf of material interest for its</w:t>
      </w:r>
      <w:r>
        <w:t xml:space="preserve"> </w:t>
      </w:r>
      <w:r>
        <w:t xml:space="preserve">members.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Heading1"/>
      </w:pPr>
      <w:bookmarkStart w:id="98" w:name="X161de8945e9e99c59f2e14a370cb32bddbf8df0"/>
      <w:r>
        <w:t xml:space="preserve">3	Policy Influence: Do Public Pressure Campaigns Influence Bureaucratic Policymaking?</w:t>
      </w:r>
      <w:bookmarkEnd w:id="98"/>
    </w:p>
    <w:p>
      <w:pPr>
        <w:pStyle w:val="FirstParagraph"/>
      </w:pPr>
      <w:r>
        <w:t xml:space="preserve">See the preanalysis plan for this chapter</w:t>
      </w:r>
      <w:r>
        <w:t xml:space="preserve"> </w:t>
      </w:r>
      <w:hyperlink r:id="rId99">
        <w:r>
          <w:rPr>
            <w:rStyle w:val="Hyperlink"/>
            <w:i/>
          </w:rPr>
          <w:t xml:space="preserve">here</w:t>
        </w:r>
      </w:hyperlink>
      <w:r>
        <w:t xml:space="preserve">.</w:t>
      </w:r>
    </w:p>
    <w:p>
      <w:pPr>
        <w:pStyle w:val="Heading4"/>
      </w:pPr>
      <w:bookmarkStart w:id="100" w:name="abstract-1"/>
      <w:r>
        <w:t xml:space="preserve">Abstract</w:t>
      </w:r>
      <w:bookmarkEnd w:id="100"/>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01" w:name="introduction-1"/>
      <w:r>
        <w:t xml:space="preserve">3.1	Introduction</w:t>
      </w:r>
      <w:bookmarkEnd w:id="101"/>
    </w:p>
    <w:p>
      <w:pPr>
        <w:pStyle w:val="FirstParagraph"/>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w:t>
      </w:r>
    </w:p>
    <w:p>
      <w:pPr>
        <w:pStyle w:val="BodyText"/>
      </w:pPr>
      <m:oMathPara>
        <m:oMathParaPr>
          <m:jc m:val="center"/>
        </m:oMathParaPr>
        <m:oMath>
          <m:r>
            <m:t>n</m:t>
          </m:r>
          <m:r>
            <m:t>o</m:t>
          </m:r>
          <m:r>
            <m:t>n</m:t>
          </m:r>
          <m:r>
            <m:t>−</m:t>
          </m:r>
          <m:r>
            <m:t>n</m:t>
          </m:r>
          <m:r>
            <m:t>u</m:t>
          </m:r>
          <m:r>
            <m:t>l</m:t>
          </m:r>
          <m:r>
            <m:t>l</m:t>
          </m:r>
          <m:r>
            <m:t>r</m:t>
          </m:r>
          <m:r>
            <m:t>e</m:t>
          </m:r>
          <m:r>
            <m:t>s</m:t>
          </m:r>
          <m:r>
            <m:t>u</m:t>
          </m:r>
          <m:r>
            <m:t>l</m:t>
          </m:r>
          <m:r>
            <m:t>t</m:t>
          </m:r>
          <m:r>
            <m:t>s</m:t>
          </m:r>
        </m:oMath>
      </m:oMathPara>
    </w:p>
    <w:p>
      <w:pPr>
        <w:pStyle w:val="FirstParagraph"/>
      </w:pPr>
      <w:r>
        <w:t xml:space="preserve">but no evidence that mass engagement affects rulemaking processes or</w:t>
      </w:r>
      <w:r>
        <w:t xml:space="preserve"> </w:t>
      </w:r>
      <w:r>
        <w:t xml:space="preserve">outcomes through</w:t>
      </w:r>
    </w:p>
    <w:p>
      <w:pPr>
        <w:pStyle w:val="BodyText"/>
      </w:pPr>
      <m:oMathPara>
        <m:oMathParaPr>
          <m:jc m:val="center"/>
        </m:oMathParaPr>
        <m:oMath>
          <m:r>
            <m:t>n</m:t>
          </m:r>
          <m:r>
            <m:t>u</m:t>
          </m:r>
          <m:r>
            <m:t>l</m:t>
          </m:r>
          <m:r>
            <m:t>l</m:t>
          </m:r>
          <m:r>
            <m:t>r</m:t>
          </m:r>
          <m:r>
            <m:t>e</m:t>
          </m:r>
          <m:r>
            <m:t>s</m:t>
          </m:r>
          <m:r>
            <m:t>u</m:t>
          </m:r>
          <m:r>
            <m:t>l</m:t>
          </m:r>
          <m:r>
            <m:t>t</m:t>
          </m:r>
          <m:r>
            <m:t>s</m:t>
          </m:r>
        </m:oMath>
      </m:oMathPara>
    </w:p>
    <w:p>
      <w:pPr>
        <w:pStyle w:val="FirstParagraph"/>
      </w:pPr>
      <w:r>
        <w:t xml:space="preserve">.</w:t>
      </w:r>
    </w:p>
    <w:p>
      <w:pPr>
        <w:pStyle w:val="Heading2"/>
      </w:pPr>
      <w:bookmarkStart w:id="102" w:name="influence-theory"/>
      <w:r>
        <w:t xml:space="preserve">3.2	Theory</w:t>
      </w:r>
      <w:bookmarkEnd w:id="102"/>
    </w:p>
    <w:p>
      <w:pPr>
        <w:pStyle w:val="Heading3"/>
      </w:pPr>
      <w:bookmarkStart w:id="103" w:name="formal"/>
      <w:r>
        <w:t xml:space="preserve">3.2.1	Incorporating political information into formal models of rulemaking</w:t>
      </w:r>
      <w:bookmarkEnd w:id="103"/>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04" w:name="oversight-theory"/>
      <w:r>
        <w:t xml:space="preserve">3.2.2	Congressional oversight as a mediator of interest-group influence</w:t>
      </w:r>
      <w:bookmarkEnd w:id="104"/>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upon observing the preferences of principals, may change the</w:t>
      </w:r>
      <w:r>
        <w:t xml:space="preserve"> </w:t>
      </w:r>
      <w:r>
        <w:t xml:space="preserve">rule or delay its publication.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 positions of their principals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05" w:name="X740691dbc1d13859f3bf171ce470f133d6a4896"/>
      <w:r>
        <w:t xml:space="preserve">3.2.3	Incorporating political information into models of political oversight</w:t>
      </w:r>
      <w:bookmarkEnd w:id="105"/>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momentum needed to hold course.</w:t>
      </w:r>
    </w:p>
    <w:p>
      <w:pPr>
        <w:pStyle w:val="CaptionedFigure"/>
      </w:pPr>
      <w:r>
        <w:drawing>
          <wp:inline>
            <wp:extent cx="5334000" cy="2374952"/>
            <wp:effectExtent b="0" l="0" r="0" t="0"/>
            <wp:docPr descr="Figure 3.1: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06"/>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3.1: Incorporating Congressional Oversight into Model of Bureaucratic Policymaking</w:t>
      </w:r>
    </w:p>
    <w:p>
      <w:pPr>
        <w:pStyle w:val="BodyText"/>
      </w:pPr>
      <w:r>
        <w:t xml:space="preserve">Mass engagement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07" w:name="oversight-hypotheses"/>
      <w:r>
        <w:t xml:space="preserve">3.2.4	Hypotheses about the relationship between mass engagement and oversight</w:t>
      </w:r>
      <w:bookmarkEnd w:id="107"/>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08" w:name="hyp:beacon"/>
      <m:oMathPara>
        <m:oMathParaPr>
          <m:jc m:val="center"/>
        </m:oMathParaPr>
        <m:oMath>
          <m:r>
            <m:t>h</m:t>
          </m:r>
          <m:r>
            <m:t>y</m:t>
          </m:r>
          <m:r>
            <m:t>p</m:t>
          </m:r>
          <m:r>
            <m:t>:</m:t>
          </m:r>
          <m:r>
            <m:t>b</m:t>
          </m:r>
          <m:r>
            <m:t>e</m:t>
          </m:r>
          <m:r>
            <m:t>a</m:t>
          </m:r>
          <m:r>
            <m:t>c</m:t>
          </m:r>
          <m:r>
            <m:t>o</m:t>
          </m:r>
          <m:r>
            <m:t>n</m:t>
          </m:r>
        </m:oMath>
      </m:oMathPara>
      <w:bookmarkEnd w:id="108"/>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09" w:name="hyp:warning"/>
      <m:oMathPara>
        <m:oMathParaPr>
          <m:jc m:val="center"/>
        </m:oMathParaPr>
        <m:oMath>
          <m:r>
            <m:t>h</m:t>
          </m:r>
          <m:r>
            <m:t>y</m:t>
          </m:r>
          <m:r>
            <m:t>p</m:t>
          </m:r>
          <m:r>
            <m:t>:</m:t>
          </m:r>
          <m:r>
            <m:t>w</m:t>
          </m:r>
          <m:r>
            <m:t>a</m:t>
          </m:r>
          <m:r>
            <m:t>r</m:t>
          </m:r>
          <m:r>
            <m:t>n</m:t>
          </m:r>
          <m:r>
            <m:t>i</m:t>
          </m:r>
          <m:r>
            <m:t>n</m:t>
          </m:r>
          <m:r>
            <m:t>g</m:t>
          </m:r>
        </m:oMath>
      </m:oMathPara>
      <w:bookmarkEnd w:id="109"/>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10"/>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11" w:name="testing-the-theory"/>
      <w:r>
        <w:t xml:space="preserve">3.3	Testing the Theory</w:t>
      </w:r>
      <w:bookmarkEnd w:id="111"/>
    </w:p>
    <w:p>
      <w:pPr>
        <w:pStyle w:val="Heading3"/>
      </w:pPr>
      <w:bookmarkStart w:id="112" w:name="influence-data"/>
      <w:r>
        <w:t xml:space="preserve">3.3.1	Data</w:t>
      </w:r>
      <w:bookmarkEnd w:id="112"/>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2018, that received at least one comment from an organization, and that saw a final agency action between 2005 and 2019.</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13"/>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 For hand-coding, I first select a random sample of 100 proposed rules with a mass-comment campaign and then selecting a matched sample of 100 proposed rules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15"/>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17"/>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18" w:name="the-dependent-variable-lobbying-success"/>
      <w:r>
        <w:t xml:space="preserve">3.3.2	The Dependent Variable: Lobbying Success</w:t>
      </w:r>
      <w:bookmarkEnd w:id="118"/>
    </w:p>
    <w:p>
      <w:pPr>
        <w:pStyle w:val="FirstParagraph"/>
      </w:pPr>
      <w:r>
        <w:t xml:space="preserve">The dependent variable is the extent to which a lobbying coalition got the policy outcome they sought, which I measure in three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19"/>
      </w:r>
      <w:r>
        <w:br/>
      </w:r>
      <w:r>
        <w:t xml:space="preserve">I then code overall lobbying success and lobbying success on each specific demand for each organization and coalition. Both the overall score and average score across specific demands both fall on the interval from -1 (</w:t>
      </w:r>
      <w:r>
        <w:t xml:space="preserve">“</w:t>
      </w:r>
      <w:r>
        <w:t xml:space="preserve">significantly different</w:t>
      </w:r>
      <w:r>
        <w:t xml:space="preserve">”</w:t>
      </w:r>
      <w:r>
        <w:t xml:space="preserve">) to 1 (</w:t>
      </w:r>
      <w:r>
        <w:t xml:space="preserve">“</w:t>
      </w:r>
      <w:r>
        <w:t xml:space="preserve">mostly as requested</w:t>
      </w:r>
      <w:r>
        <w:t xml:space="preserve">”</w:t>
      </w:r>
      <w:r>
        <w:t xml:space="preserve">).</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Third, I capture a broader dimension of lobbying success by modeling the similarity in word frequency distributions between comments and changes to the rule. New or changed text is identified as described above, except that I also include the rule’s preamble and the agency’s responses to comments. Agencies write lengthy justifications of their decisions in response to some comments but not others. By including preambles and responses to comments, this measure captures attention to a comment’s demands and the extent to which the agency adopts a comment’s discursive framing (i.e. the distribution of words it uses). I us cosign similarity to scale the word frequencies used by each comment relative to those in changes between draft and final rule.</w:t>
      </w:r>
      <w:r>
        <w:rPr>
          <w:rStyle w:val="FootnoteReference"/>
        </w:rPr>
        <w:footnoteReference w:id="122"/>
      </w:r>
      <w:r>
        <w:t xml:space="preserve"> </w:t>
      </w:r>
      <w:r>
        <w:t xml:space="preserve">This measure falls between 0 (no common words) and 1 (exactly the same distribution of 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 and __ with the word-frequency method.</w:t>
      </w:r>
    </w:p>
    <w:p>
      <w:pPr>
        <w:pStyle w:val="Heading3"/>
      </w:pPr>
      <w:bookmarkStart w:id="124" w:name="the-main-predictor-variable"/>
      <w:r>
        <w:t xml:space="preserve">3.3.3	The Main Predictor Variable</w:t>
      </w:r>
      <w:bookmarkEnd w:id="124"/>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25" w:name="explanatory-variables"/>
      <w:r>
        <w:t xml:space="preserve">3.3.4	Explanatory variables</w:t>
      </w:r>
      <w:bookmarkEnd w:id="125"/>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26"/>
      </w:r>
    </w:p>
    <w:p>
      <w:pPr>
        <w:pStyle w:val="Heading3"/>
      </w:pPr>
      <w:bookmarkStart w:id="127" w:name="examples-of-hand-coded-lobbying-success"/>
      <w:r>
        <w:t xml:space="preserve">3.3.5	Examples of hand-coded lobbying success</w:t>
      </w:r>
      <w:bookmarkEnd w:id="127"/>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28"/>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29" w:name="limitations"/>
      <w:r>
        <w:t xml:space="preserve">3.3.6	Limitations</w:t>
      </w:r>
      <w:bookmarkEnd w:id="129"/>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30"/>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31" w:name="modeling-the-direct-relationship"/>
      <w:r>
        <w:t xml:space="preserve">3.3.7	Modeling the direct relationship</w:t>
      </w:r>
      <w:bookmarkEnd w:id="131"/>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32"/>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34" w:name="modeling-mediated-relationships"/>
      <w:r>
        <w:t xml:space="preserve">3.3.8	Modeling mediated relationships</w:t>
      </w:r>
      <w:bookmarkEnd w:id="134"/>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35" w:name="X9dad55b8bdc23bf4fff055b9986eec589ac675c"/>
      <w:r>
        <w:t xml:space="preserve">3.3.9	A Census of Comments from Members of Congress in Agency Rulemaking</w:t>
      </w:r>
      <w:bookmarkEnd w:id="135"/>
    </w:p>
    <w:p>
      <w:pPr>
        <w:pStyle w:val="FirstParagraph"/>
      </w:pPr>
      <w:r>
        <w:t xml:space="preserve">Through an iterative combination of automated search methods and hand-coding, I identify the elected official or organization that submitted each comment.</w:t>
      </w:r>
    </w:p>
    <w:p>
      <w:pPr>
        <w:pStyle w:val="BodyText"/>
      </w:pPr>
      <w:r>
        <w:t xml:space="preserve">Figure</w:t>
      </w:r>
      <w:r>
        <w:t xml:space="preserve"> </w:t>
      </w:r>
      <w:r>
        <w:t xml:space="preserve">3.2</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2: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36"/>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3.2: Number of Letters from Members of Congress Received During Rulemaking per Year</w:t>
      </w:r>
    </w:p>
    <w:p>
      <w:pPr>
        <w:pStyle w:val="BodyText"/>
      </w:pPr>
      <w:r>
        <w:t xml:space="preserve">To assess the hypothesis that mass engagement affects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3.3</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3: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37"/>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3.3: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38" w:name="X8af8b91adbbff91858bc367bca7d07a7f38dd8d"/>
      <w:r>
        <w:t xml:space="preserve">3.3.10	Models testing the relationship between mass engagement and congressional oversight</w:t>
      </w:r>
      <w:bookmarkEnd w:id="138"/>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pPr>
        <w:pStyle w:val="Heading2"/>
      </w:pPr>
      <w:bookmarkStart w:id="139" w:name="influence-results-sim"/>
      <w:r>
        <w:t xml:space="preserve">3.4	Results (SIMULATED)</w:t>
      </w:r>
      <w:bookmarkEnd w:id="139"/>
    </w:p>
    <w:p>
      <w:pPr>
        <w:pStyle w:val="BlockText"/>
      </w:pPr>
      <w:r>
        <w:t xml:space="preserve">SIMULATED DATA AND RESULTS FROM PREANALYSIS PLAN WILL BE MOVED TO AN APPENDIX</w:t>
      </w:r>
    </w:p>
    <w:p>
      <w:pPr>
        <w:pStyle w:val="Heading3"/>
      </w:pPr>
      <w:bookmarkStart w:id="140" w:name="simulated-data"/>
      <w:r>
        <w:t xml:space="preserve">3.4.1	Simulated Data</w:t>
      </w:r>
      <w:bookmarkEnd w:id="140"/>
    </w:p>
    <w:p>
      <w:pPr>
        <w:pStyle w:val="FirstParagraph"/>
      </w:pPr>
      <w:r>
        <w:t xml:space="preserve">To illustrate my planned analysis, I simulate data for each variable described above.</w:t>
      </w:r>
    </w:p>
    <w:p>
      <w:pPr>
        <w:pStyle w:val="BodyText"/>
      </w:pPr>
      <w:r>
        <w:rPr>
          <w:b/>
        </w:rPr>
        <w:t xml:space="preserve">Dependent variable:</w:t>
      </w:r>
      <w:r>
        <w:t xml:space="preserve"> </w:t>
      </w:r>
      <w:r>
        <w:rPr>
          <w:i/>
        </w:rPr>
        <w:t xml:space="preserve">Coalition success</w:t>
      </w:r>
      <w:r>
        <w:t xml:space="preserve"> </w:t>
      </w:r>
      <w:r>
        <w:t xml:space="preserve">is drawn from a descrete distribution {-1, -.5, 0, .5, 1}.</w:t>
      </w:r>
    </w:p>
    <w:p>
      <w:pPr>
        <w:pStyle w:val="BodyText"/>
      </w:pPr>
      <w:r>
        <w:rPr>
          <w:b/>
        </w:rPr>
        <w:t xml:space="preserve">Explanatory variables:</w:t>
      </w:r>
      <w:r>
        <w:t xml:space="preserve"> </w:t>
      </w:r>
      <w:r>
        <w:rPr>
          <w:i/>
        </w:rPr>
        <w:t xml:space="preserve">Coalition size</w:t>
      </w:r>
      <w:r>
        <w:t xml:space="preserve"> </w:t>
      </w:r>
      <w:r>
        <w:t xml:space="preserve">(a count) is drawn from a Poisson distribution.</w:t>
      </w:r>
      <w:r>
        <w:t xml:space="preserve"> </w:t>
      </w:r>
      <w:r>
        <w:rPr>
          <w:i/>
        </w:rPr>
        <w:t xml:space="preserve">Business colation</w:t>
      </w:r>
      <w:r>
        <w:t xml:space="preserve"> </w:t>
      </w:r>
      <w:r>
        <w:t xml:space="preserve">is binomial. In reality, business coalitions are more common than non-business coalitions, but here I estimate a balanced sample. I set rule pages constant at 85 and draw</w:t>
      </w:r>
      <w:r>
        <w:t xml:space="preserve"> </w:t>
      </w:r>
      <w:r>
        <w:rPr>
          <w:i/>
        </w:rPr>
        <w:t xml:space="preserve">comment lengths</w:t>
      </w:r>
      <w:r>
        <w:t xml:space="preserve"> </w:t>
      </w:r>
      <w:r>
        <w:t xml:space="preserve">from a Poisson distribution. While in reality, less than one percent of coalitions lobbying in rulemaking opt for a mass-comment campaign, I aim to gather a balanced sample, so half of the simulated data are assumed to have no mass comment campaign (</w:t>
      </w:r>
      <w:r>
        <w:rPr>
          <w:i/>
        </w:rPr>
        <w:t xml:space="preserve">comments</w:t>
      </w:r>
      <w:r>
        <w:t xml:space="preserve"> </w:t>
      </w:r>
      <w:r>
        <w:t xml:space="preserve">= 1,</w:t>
      </w:r>
      <w:r>
        <w:t xml:space="preserve"> </w:t>
      </w:r>
      <w:r>
        <w:rPr>
          <w:i/>
        </w:rPr>
        <w:t xml:space="preserve">log(comments)</w:t>
      </w:r>
      <w:r>
        <w:t xml:space="preserve"> </w:t>
      </w:r>
      <w:r>
        <w:t xml:space="preserve">= 0) and the other half have a number of</w:t>
      </w:r>
      <w:r>
        <w:t xml:space="preserve"> </w:t>
      </w:r>
      <w:r>
        <w:rPr>
          <w:i/>
        </w:rPr>
        <w:t xml:space="preserve">comments</w:t>
      </w:r>
      <w:r>
        <w:t xml:space="preserve"> </w:t>
      </w:r>
      <w:r>
        <w:t xml:space="preserve">drawn from a Zero-Truncated Poisson distribution, which is then transformed to a log scale.</w:t>
      </w:r>
    </w:p>
    <w:p>
      <w:pPr>
        <w:pStyle w:val="BodyText"/>
      </w:pPr>
      <w:r>
        <w:t xml:space="preserve">Table</w:t>
      </w:r>
      <w:r>
        <w:t xml:space="preserve"> </w:t>
      </w:r>
      <w:r>
        <w:t xml:space="preserve">3.1</w:t>
      </w:r>
      <w:r>
        <w:t xml:space="preserve"> </w:t>
      </w:r>
      <w:r>
        <w:t xml:space="preserve">shows ten rows of simulated data.</w:t>
      </w:r>
    </w:p>
    <w:p>
      <w:pPr>
        <w:pStyle w:val="BodyText"/>
      </w:pPr>
      <w:r>
        <w:t xml:space="preserve">Table 3.1: Simulated data</w:t>
      </w:r>
    </w:p>
    <w:p>
      <w:pPr>
        <w:pStyle w:val="BodyText"/>
      </w:pPr>
      <w:r>
        <w:t xml:space="preserve">rule_id</w:t>
      </w:r>
    </w:p>
    <w:p>
      <w:pPr>
        <w:pStyle w:val="BodyText"/>
      </w:pPr>
      <w:r>
        <w:t xml:space="preserve">coalition_id</w:t>
      </w:r>
    </w:p>
    <w:p>
      <w:pPr>
        <w:pStyle w:val="BodyText"/>
      </w:pPr>
      <w:r>
        <w:t xml:space="preserve">coalitions</w:t>
      </w:r>
    </w:p>
    <w:p>
      <w:pPr>
        <w:pStyle w:val="BodyText"/>
      </w:pPr>
      <w:r>
        <w:t xml:space="preserve">coalition_unopposed</w:t>
      </w:r>
    </w:p>
    <w:p>
      <w:pPr>
        <w:pStyle w:val="BodyText"/>
      </w:pPr>
      <w:r>
        <w:t xml:space="preserve">coalition_success</w:t>
      </w:r>
    </w:p>
    <w:p>
      <w:pPr>
        <w:pStyle w:val="BodyText"/>
      </w:pPr>
      <w:r>
        <w:t xml:space="preserve">coalition_size</w:t>
      </w:r>
    </w:p>
    <w:p>
      <w:pPr>
        <w:pStyle w:val="BodyText"/>
      </w:pPr>
      <w:r>
        <w:t xml:space="preserve">coalition_business</w:t>
      </w:r>
    </w:p>
    <w:p>
      <w:pPr>
        <w:pStyle w:val="BodyText"/>
      </w:pPr>
      <w:r>
        <w:t xml:space="preserve">comment_length</w:t>
      </w:r>
    </w:p>
    <w:p>
      <w:pPr>
        <w:pStyle w:val="BodyText"/>
      </w:pPr>
      <w:r>
        <w:t xml:space="preserve">comments</w:t>
      </w:r>
    </w:p>
    <w:p>
      <w:pPr>
        <w:pStyle w:val="BodyText"/>
      </w:pPr>
      <w:r>
        <w:t xml:space="preserve">cong_support</w:t>
      </w:r>
    </w:p>
    <w:p>
      <w:pPr>
        <w:pStyle w:val="BodyText"/>
      </w:pPr>
      <w:r>
        <w:t xml:space="preserve">1267</w:t>
      </w:r>
    </w:p>
    <w:p>
      <w:pPr>
        <w:pStyle w:val="BodyText"/>
      </w:pPr>
      <w:r>
        <w:t xml:space="preserve">1734</w:t>
      </w:r>
    </w:p>
    <w:p>
      <w:pPr>
        <w:pStyle w:val="BodyText"/>
      </w:pPr>
      <w:r>
        <w:t xml:space="preserve">2</w:t>
      </w:r>
    </w:p>
    <w:p>
      <w:pPr>
        <w:pStyle w:val="BodyText"/>
      </w:pPr>
      <w:r>
        <w:t xml:space="preserve">1</w:t>
      </w:r>
    </w:p>
    <w:p>
      <w:pPr>
        <w:pStyle w:val="BodyText"/>
      </w:pPr>
      <w:r>
        <w:t xml:space="preserve">0.5</w:t>
      </w:r>
    </w:p>
    <w:p>
      <w:pPr>
        <w:pStyle w:val="BodyText"/>
      </w:pPr>
      <w:r>
        <w:t xml:space="preserve">15</w:t>
      </w:r>
    </w:p>
    <w:p>
      <w:pPr>
        <w:pStyle w:val="BodyText"/>
      </w:pPr>
      <w:r>
        <w:t xml:space="preserve">1</w:t>
      </w:r>
    </w:p>
    <w:p>
      <w:pPr>
        <w:pStyle w:val="BodyText"/>
      </w:pPr>
      <w:r>
        <w:t xml:space="preserve">11.8</w:t>
      </w:r>
    </w:p>
    <w:p>
      <w:pPr>
        <w:pStyle w:val="BodyText"/>
      </w:pPr>
      <w:r>
        <w:t xml:space="preserve">1</w:t>
      </w:r>
    </w:p>
    <w:p>
      <w:pPr>
        <w:pStyle w:val="BodyText"/>
      </w:pPr>
      <w:r>
        <w:t xml:space="preserve">0</w:t>
      </w:r>
    </w:p>
    <w:p>
      <w:pPr>
        <w:pStyle w:val="BodyText"/>
      </w:pPr>
      <w:r>
        <w:t xml:space="preserve">1384</w:t>
      </w:r>
    </w:p>
    <w:p>
      <w:pPr>
        <w:pStyle w:val="BodyText"/>
      </w:pPr>
      <w:r>
        <w:t xml:space="preserve">1318</w:t>
      </w:r>
    </w:p>
    <w:p>
      <w:pPr>
        <w:pStyle w:val="BodyText"/>
      </w:pPr>
      <w:r>
        <w:t xml:space="preserve">2</w:t>
      </w:r>
    </w:p>
    <w:p>
      <w:pPr>
        <w:pStyle w:val="BodyText"/>
      </w:pPr>
      <w:r>
        <w:t xml:space="preserve">1</w:t>
      </w:r>
    </w:p>
    <w:p>
      <w:pPr>
        <w:pStyle w:val="BodyText"/>
      </w:pPr>
      <w:r>
        <w:t xml:space="preserve">0.5</w:t>
      </w:r>
    </w:p>
    <w:p>
      <w:pPr>
        <w:pStyle w:val="BodyText"/>
      </w:pPr>
      <w:r>
        <w:t xml:space="preserve">5</w:t>
      </w:r>
    </w:p>
    <w:p>
      <w:pPr>
        <w:pStyle w:val="BodyText"/>
      </w:pPr>
      <w:r>
        <w:t xml:space="preserve">1</w:t>
      </w:r>
    </w:p>
    <w:p>
      <w:pPr>
        <w:pStyle w:val="BodyText"/>
      </w:pPr>
      <w:r>
        <w:t xml:space="preserve">12.9</w:t>
      </w:r>
    </w:p>
    <w:p>
      <w:pPr>
        <w:pStyle w:val="BodyText"/>
      </w:pPr>
      <w:r>
        <w:t xml:space="preserve">34197</w:t>
      </w:r>
    </w:p>
    <w:p>
      <w:pPr>
        <w:pStyle w:val="BodyText"/>
      </w:pPr>
      <w:r>
        <w:t xml:space="preserve">0</w:t>
      </w:r>
    </w:p>
    <w:p>
      <w:pPr>
        <w:pStyle w:val="BodyText"/>
      </w:pPr>
      <w:r>
        <w:t xml:space="preserve">1239</w:t>
      </w:r>
    </w:p>
    <w:p>
      <w:pPr>
        <w:pStyle w:val="BodyText"/>
      </w:pPr>
      <w:r>
        <w:t xml:space="preserve">1436</w:t>
      </w:r>
    </w:p>
    <w:p>
      <w:pPr>
        <w:pStyle w:val="BodyText"/>
      </w:pPr>
      <w:r>
        <w:t xml:space="preserve">2</w:t>
      </w:r>
    </w:p>
    <w:p>
      <w:pPr>
        <w:pStyle w:val="BodyText"/>
      </w:pPr>
      <w:r>
        <w:t xml:space="preserve">1</w:t>
      </w:r>
    </w:p>
    <w:p>
      <w:pPr>
        <w:pStyle w:val="BodyText"/>
      </w:pPr>
      <w:r>
        <w:t xml:space="preserve">0.5</w:t>
      </w:r>
    </w:p>
    <w:p>
      <w:pPr>
        <w:pStyle w:val="BodyText"/>
      </w:pPr>
      <w:r>
        <w:t xml:space="preserve">7</w:t>
      </w:r>
    </w:p>
    <w:p>
      <w:pPr>
        <w:pStyle w:val="BodyText"/>
      </w:pPr>
      <w:r>
        <w:t xml:space="preserve">0</w:t>
      </w:r>
    </w:p>
    <w:p>
      <w:pPr>
        <w:pStyle w:val="BodyText"/>
      </w:pPr>
      <w:r>
        <w:t xml:space="preserve">10.6</w:t>
      </w:r>
    </w:p>
    <w:p>
      <w:pPr>
        <w:pStyle w:val="BodyText"/>
      </w:pPr>
      <w:r>
        <w:t xml:space="preserve">131676</w:t>
      </w:r>
    </w:p>
    <w:p>
      <w:pPr>
        <w:pStyle w:val="BodyText"/>
      </w:pPr>
      <w:r>
        <w:t xml:space="preserve">0</w:t>
      </w:r>
    </w:p>
    <w:p>
      <w:pPr>
        <w:pStyle w:val="BodyText"/>
      </w:pPr>
      <w:r>
        <w:t xml:space="preserve">286</w:t>
      </w:r>
    </w:p>
    <w:p>
      <w:pPr>
        <w:pStyle w:val="BodyText"/>
      </w:pPr>
      <w:r>
        <w:t xml:space="preserve">103</w:t>
      </w:r>
    </w:p>
    <w:p>
      <w:pPr>
        <w:pStyle w:val="BodyText"/>
      </w:pPr>
      <w:r>
        <w:t xml:space="preserve">1</w:t>
      </w:r>
    </w:p>
    <w:p>
      <w:pPr>
        <w:pStyle w:val="BodyText"/>
      </w:pPr>
      <w:r>
        <w:t xml:space="preserve">0</w:t>
      </w:r>
    </w:p>
    <w:p>
      <w:pPr>
        <w:pStyle w:val="BodyText"/>
      </w:pPr>
      <w:r>
        <w:t xml:space="preserve">0.0</w:t>
      </w:r>
    </w:p>
    <w:p>
      <w:pPr>
        <w:pStyle w:val="BodyText"/>
      </w:pPr>
      <w:r>
        <w:t xml:space="preserve">1</w:t>
      </w:r>
    </w:p>
    <w:p>
      <w:pPr>
        <w:pStyle w:val="BodyText"/>
      </w:pPr>
      <w:r>
        <w:t xml:space="preserve">1</w:t>
      </w:r>
    </w:p>
    <w:p>
      <w:pPr>
        <w:pStyle w:val="BodyText"/>
      </w:pPr>
      <w:r>
        <w:t xml:space="preserve">20.0</w:t>
      </w:r>
    </w:p>
    <w:p>
      <w:pPr>
        <w:pStyle w:val="BodyText"/>
      </w:pPr>
      <w:r>
        <w:t xml:space="preserve">3744</w:t>
      </w:r>
    </w:p>
    <w:p>
      <w:pPr>
        <w:pStyle w:val="BodyText"/>
      </w:pPr>
      <w:r>
        <w:t xml:space="preserve">3</w:t>
      </w:r>
    </w:p>
    <w:p>
      <w:pPr>
        <w:pStyle w:val="BodyText"/>
      </w:pPr>
      <w:r>
        <w:t xml:space="preserve">1202</w:t>
      </w:r>
    </w:p>
    <w:p>
      <w:pPr>
        <w:pStyle w:val="BodyText"/>
      </w:pPr>
      <w:r>
        <w:t xml:space="preserve">1864</w:t>
      </w:r>
    </w:p>
    <w:p>
      <w:pPr>
        <w:pStyle w:val="BodyText"/>
      </w:pPr>
      <w:r>
        <w:t xml:space="preserve">2</w:t>
      </w:r>
    </w:p>
    <w:p>
      <w:pPr>
        <w:pStyle w:val="BodyText"/>
      </w:pPr>
      <w:r>
        <w:t xml:space="preserve">1</w:t>
      </w:r>
    </w:p>
    <w:p>
      <w:pPr>
        <w:pStyle w:val="BodyText"/>
      </w:pPr>
      <w:r>
        <w:t xml:space="preserve">-0.5</w:t>
      </w:r>
    </w:p>
    <w:p>
      <w:pPr>
        <w:pStyle w:val="BodyText"/>
      </w:pPr>
      <w:r>
        <w:t xml:space="preserve">7</w:t>
      </w:r>
    </w:p>
    <w:p>
      <w:pPr>
        <w:pStyle w:val="BodyText"/>
      </w:pPr>
      <w:r>
        <w:t xml:space="preserve">0</w:t>
      </w:r>
    </w:p>
    <w:p>
      <w:pPr>
        <w:pStyle w:val="BodyText"/>
      </w:pPr>
      <w:r>
        <w:t xml:space="preserve">4.7</w:t>
      </w:r>
    </w:p>
    <w:p>
      <w:pPr>
        <w:pStyle w:val="BodyText"/>
      </w:pPr>
      <w:r>
        <w:t xml:space="preserve">1</w:t>
      </w:r>
    </w:p>
    <w:p>
      <w:pPr>
        <w:pStyle w:val="BodyText"/>
      </w:pPr>
      <w:r>
        <w:t xml:space="preserve">1</w:t>
      </w:r>
    </w:p>
    <w:p>
      <w:pPr>
        <w:pStyle w:val="BodyText"/>
      </w:pPr>
      <w:r>
        <w:t xml:space="preserve">1012</w:t>
      </w:r>
    </w:p>
    <w:p>
      <w:pPr>
        <w:pStyle w:val="BodyText"/>
      </w:pPr>
      <w:r>
        <w:t xml:space="preserve">1195</w:t>
      </w:r>
    </w:p>
    <w:p>
      <w:pPr>
        <w:pStyle w:val="BodyText"/>
      </w:pPr>
      <w:r>
        <w:t xml:space="preserve">2</w:t>
      </w:r>
    </w:p>
    <w:p>
      <w:pPr>
        <w:pStyle w:val="BodyText"/>
      </w:pPr>
      <w:r>
        <w:t xml:space="preserve">1</w:t>
      </w:r>
    </w:p>
    <w:p>
      <w:pPr>
        <w:pStyle w:val="BodyText"/>
      </w:pPr>
      <w:r>
        <w:t xml:space="preserve">-1.0</w:t>
      </w:r>
    </w:p>
    <w:p>
      <w:pPr>
        <w:pStyle w:val="BodyText"/>
      </w:pPr>
      <w:r>
        <w:t xml:space="preserve">3</w:t>
      </w:r>
    </w:p>
    <w:p>
      <w:pPr>
        <w:pStyle w:val="BodyText"/>
      </w:pPr>
      <w:r>
        <w:t xml:space="preserve">0</w:t>
      </w:r>
    </w:p>
    <w:p>
      <w:pPr>
        <w:pStyle w:val="BodyText"/>
      </w:pPr>
      <w:r>
        <w:t xml:space="preserve">9.4</w:t>
      </w:r>
    </w:p>
    <w:p>
      <w:pPr>
        <w:pStyle w:val="BodyText"/>
      </w:pPr>
      <w:r>
        <w:t xml:space="preserve">25236</w:t>
      </w:r>
    </w:p>
    <w:p>
      <w:pPr>
        <w:pStyle w:val="BodyText"/>
      </w:pPr>
      <w:r>
        <w:t xml:space="preserve">2</w:t>
      </w:r>
    </w:p>
    <w:p>
      <w:pPr>
        <w:pStyle w:val="BodyText"/>
      </w:pPr>
      <w:r>
        <w:t xml:space="preserve">1149</w:t>
      </w:r>
    </w:p>
    <w:p>
      <w:pPr>
        <w:pStyle w:val="BodyText"/>
      </w:pPr>
      <w:r>
        <w:t xml:space="preserve">805</w:t>
      </w:r>
    </w:p>
    <w:p>
      <w:pPr>
        <w:pStyle w:val="BodyText"/>
      </w:pPr>
      <w:r>
        <w:t xml:space="preserve">2</w:t>
      </w:r>
    </w:p>
    <w:p>
      <w:pPr>
        <w:pStyle w:val="BodyText"/>
      </w:pPr>
      <w:r>
        <w:t xml:space="preserve">1</w:t>
      </w:r>
    </w:p>
    <w:p>
      <w:pPr>
        <w:pStyle w:val="BodyText"/>
      </w:pPr>
      <w:r>
        <w:t xml:space="preserve">0.5</w:t>
      </w:r>
    </w:p>
    <w:p>
      <w:pPr>
        <w:pStyle w:val="BodyText"/>
      </w:pPr>
      <w:r>
        <w:t xml:space="preserve">1</w:t>
      </w:r>
    </w:p>
    <w:p>
      <w:pPr>
        <w:pStyle w:val="BodyText"/>
      </w:pPr>
      <w:r>
        <w:t xml:space="preserve">1</w:t>
      </w:r>
    </w:p>
    <w:p>
      <w:pPr>
        <w:pStyle w:val="BodyText"/>
      </w:pPr>
      <w:r>
        <w:t xml:space="preserve">7.1</w:t>
      </w:r>
    </w:p>
    <w:p>
      <w:pPr>
        <w:pStyle w:val="BodyText"/>
      </w:pPr>
      <w:r>
        <w:t xml:space="preserve">50609</w:t>
      </w:r>
    </w:p>
    <w:p>
      <w:pPr>
        <w:pStyle w:val="BodyText"/>
      </w:pPr>
      <w:r>
        <w:t xml:space="preserve">1</w:t>
      </w:r>
    </w:p>
    <w:p>
      <w:pPr>
        <w:pStyle w:val="BodyText"/>
      </w:pPr>
      <w:r>
        <w:t xml:space="preserve">1394</w:t>
      </w:r>
    </w:p>
    <w:p>
      <w:pPr>
        <w:pStyle w:val="BodyText"/>
      </w:pPr>
      <w:r>
        <w:t xml:space="preserve">246</w:t>
      </w:r>
    </w:p>
    <w:p>
      <w:pPr>
        <w:pStyle w:val="BodyText"/>
      </w:pPr>
      <w:r>
        <w:t xml:space="preserve">2</w:t>
      </w:r>
    </w:p>
    <w:p>
      <w:pPr>
        <w:pStyle w:val="BodyText"/>
      </w:pPr>
      <w:r>
        <w:t xml:space="preserve">1</w:t>
      </w:r>
    </w:p>
    <w:p>
      <w:pPr>
        <w:pStyle w:val="BodyText"/>
      </w:pPr>
      <w:r>
        <w:t xml:space="preserve">0.5</w:t>
      </w:r>
    </w:p>
    <w:p>
      <w:pPr>
        <w:pStyle w:val="BodyText"/>
      </w:pPr>
      <w:r>
        <w:t xml:space="preserve">18</w:t>
      </w:r>
    </w:p>
    <w:p>
      <w:pPr>
        <w:pStyle w:val="BodyText"/>
      </w:pPr>
      <w:r>
        <w:t xml:space="preserve">1</w:t>
      </w:r>
    </w:p>
    <w:p>
      <w:pPr>
        <w:pStyle w:val="BodyText"/>
      </w:pPr>
      <w:r>
        <w:t xml:space="preserve">10.6</w:t>
      </w:r>
    </w:p>
    <w:p>
      <w:pPr>
        <w:pStyle w:val="BodyText"/>
      </w:pPr>
      <w:r>
        <w:t xml:space="preserve">92336</w:t>
      </w:r>
    </w:p>
    <w:p>
      <w:pPr>
        <w:pStyle w:val="BodyText"/>
      </w:pPr>
      <w:r>
        <w:t xml:space="preserve">0</w:t>
      </w:r>
    </w:p>
    <w:p>
      <w:pPr>
        <w:pStyle w:val="BodyText"/>
      </w:pPr>
      <w:r>
        <w:t xml:space="preserve">817</w:t>
      </w:r>
    </w:p>
    <w:p>
      <w:pPr>
        <w:pStyle w:val="BodyText"/>
      </w:pPr>
      <w:r>
        <w:t xml:space="preserve">1984</w:t>
      </w:r>
    </w:p>
    <w:p>
      <w:pPr>
        <w:pStyle w:val="BodyText"/>
      </w:pPr>
      <w:r>
        <w:t xml:space="preserve">1</w:t>
      </w:r>
    </w:p>
    <w:p>
      <w:pPr>
        <w:pStyle w:val="BodyText"/>
      </w:pPr>
      <w:r>
        <w:t xml:space="preserve">0</w:t>
      </w:r>
    </w:p>
    <w:p>
      <w:pPr>
        <w:pStyle w:val="BodyText"/>
      </w:pPr>
      <w:r>
        <w:t xml:space="preserve">0.5</w:t>
      </w:r>
    </w:p>
    <w:p>
      <w:pPr>
        <w:pStyle w:val="BodyText"/>
      </w:pPr>
      <w:r>
        <w:t xml:space="preserve">5</w:t>
      </w:r>
    </w:p>
    <w:p>
      <w:pPr>
        <w:pStyle w:val="BodyText"/>
      </w:pPr>
      <w:r>
        <w:t xml:space="preserve">0</w:t>
      </w:r>
    </w:p>
    <w:p>
      <w:pPr>
        <w:pStyle w:val="BodyText"/>
      </w:pPr>
      <w:r>
        <w:t xml:space="preserve">8.2</w:t>
      </w:r>
    </w:p>
    <w:p>
      <w:pPr>
        <w:pStyle w:val="BodyText"/>
      </w:pPr>
      <w:r>
        <w:t xml:space="preserve">1</w:t>
      </w:r>
    </w:p>
    <w:p>
      <w:pPr>
        <w:pStyle w:val="BodyText"/>
      </w:pPr>
      <w:r>
        <w:t xml:space="preserve">3</w:t>
      </w:r>
    </w:p>
    <w:p>
      <w:pPr>
        <w:pStyle w:val="BodyText"/>
      </w:pPr>
      <w:r>
        <w:t xml:space="preserve">354</w:t>
      </w:r>
    </w:p>
    <w:p>
      <w:pPr>
        <w:pStyle w:val="BodyText"/>
      </w:pPr>
      <w:r>
        <w:t xml:space="preserve">776</w:t>
      </w:r>
    </w:p>
    <w:p>
      <w:pPr>
        <w:pStyle w:val="BodyText"/>
      </w:pPr>
      <w:r>
        <w:t xml:space="preserve">1</w:t>
      </w:r>
    </w:p>
    <w:p>
      <w:pPr>
        <w:pStyle w:val="BodyText"/>
      </w:pPr>
      <w:r>
        <w:t xml:space="preserve">0</w:t>
      </w:r>
    </w:p>
    <w:p>
      <w:pPr>
        <w:pStyle w:val="BodyText"/>
      </w:pPr>
      <w:r>
        <w:t xml:space="preserve">0.5</w:t>
      </w:r>
    </w:p>
    <w:p>
      <w:pPr>
        <w:pStyle w:val="BodyText"/>
      </w:pPr>
      <w:r>
        <w:t xml:space="preserve">25</w:t>
      </w:r>
    </w:p>
    <w:p>
      <w:pPr>
        <w:pStyle w:val="BodyText"/>
      </w:pPr>
      <w:r>
        <w:t xml:space="preserve">0</w:t>
      </w:r>
    </w:p>
    <w:p>
      <w:pPr>
        <w:pStyle w:val="BodyText"/>
      </w:pPr>
      <w:r>
        <w:t xml:space="preserve">3.5</w:t>
      </w:r>
    </w:p>
    <w:p>
      <w:pPr>
        <w:pStyle w:val="BodyText"/>
      </w:pPr>
      <w:r>
        <w:t xml:space="preserve">18446</w:t>
      </w:r>
    </w:p>
    <w:p>
      <w:pPr>
        <w:pStyle w:val="BodyText"/>
      </w:pPr>
      <w:r>
        <w:t xml:space="preserve">10</w:t>
      </w:r>
    </w:p>
    <w:p>
      <w:pPr>
        <w:pStyle w:val="BodyText"/>
      </w:pPr>
      <w:r>
        <w:drawing>
          <wp:inline>
            <wp:extent cx="5334000" cy="5334000"/>
            <wp:effectExtent b="0" l="0" r="0" t="0"/>
            <wp:docPr descr="" title="" id="1" name="Picture"/>
            <a:graphic>
              <a:graphicData uri="http://schemas.openxmlformats.org/drawingml/2006/picture">
                <pic:pic>
                  <pic:nvPicPr>
                    <pic:cNvPr descr="judgelord_files/figure-docx/hist-coalitions-sim-1.png" id="0" name="Picture"/>
                    <pic:cNvPicPr>
                      <a:picLocks noChangeArrowheads="1" noChangeAspect="1"/>
                    </pic:cNvPicPr>
                  </pic:nvPicPr>
                  <pic:blipFill>
                    <a:blip r:embed="rId14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2.png" id="0" name="Picture"/>
                    <pic:cNvPicPr>
                      <a:picLocks noChangeArrowheads="1" noChangeAspect="1"/>
                    </pic:cNvPicPr>
                  </pic:nvPicPr>
                  <pic:blipFill>
                    <a:blip r:embed="rId14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3.png" id="0" name="Picture"/>
                    <pic:cNvPicPr>
                      <a:picLocks noChangeArrowheads="1" noChangeAspect="1"/>
                    </pic:cNvPicPr>
                  </pic:nvPicPr>
                  <pic:blipFill>
                    <a:blip r:embed="rId1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judgelord_files/figure-docx/hist-comments-sim-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judgelord_files/figure-docx/hist-comments-sim-2.png" id="0" name="Picture"/>
                    <pic:cNvPicPr>
                      <a:picLocks noChangeArrowheads="1" noChangeAspect="1"/>
                    </pic:cNvPicPr>
                  </pic:nvPicPr>
                  <pic:blipFill>
                    <a:blip r:embed="rId14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46" w:name="simulated-results"/>
      <w:r>
        <w:t xml:space="preserve">3.4.2	Simulated Results</w:t>
      </w:r>
      <w:bookmarkEnd w:id="146"/>
    </w:p>
    <w:p>
      <w:pPr>
        <w:pStyle w:val="FirstParagraph"/>
      </w:pPr>
      <w:r>
        <w:t xml:space="preserve">Unsurprisingly this model yields no significant results (Figure</w:t>
      </w:r>
      <w:r>
        <w:t xml:space="preserve"> </w:t>
      </w:r>
      <w:r>
        <w:t xml:space="preserve">3.4</w:t>
      </w:r>
      <w:r>
        <w:t xml:space="preserve">, Table</w:t>
      </w:r>
      <w:r>
        <w:t xml:space="preserve"> </w:t>
      </w:r>
      <w:r>
        <w:t xml:space="preserve">3.2</w:t>
      </w:r>
      <w:r>
        <w:t xml:space="preserve">).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4: OLS model of coalition lobbying sucess with simulated data" title="" id="1" name="Picture"/>
            <a:graphic>
              <a:graphicData uri="http://schemas.openxmlformats.org/drawingml/2006/picture">
                <pic:pic>
                  <pic:nvPicPr>
                    <pic:cNvPr descr="judgelord_files/figure-docx/model-success-plot-sim-1.png" id="0" name="Picture"/>
                    <pic:cNvPicPr>
                      <a:picLocks noChangeArrowheads="1" noChangeAspect="1"/>
                    </pic:cNvPicPr>
                  </pic:nvPicPr>
                  <pic:blipFill>
                    <a:blip r:embed="rId14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3.4: OLS model of coalition lobbying sucess with simulated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3.2</w:t>
      </w:r>
      <w:r>
        <w:t xml:space="preserve"> </w:t>
      </w:r>
      <w:r>
        <w:t xml:space="preserve">replaces the dependent varible (lobbying success) with the mediator variable (the number of supportive members of Congress).</w:t>
      </w:r>
    </w:p>
    <w:p>
      <w:pPr>
        <w:pStyle w:val="BodyText"/>
      </w:pPr>
      <w:r>
        <w:t xml:space="preserve">Table 3.2: Lobbying success and congressional support with simulated data</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0.072</w:t>
      </w:r>
    </w:p>
    <w:p>
      <w:pPr>
        <w:pStyle w:val="BodyText"/>
      </w:pPr>
      <w:r>
        <w:t xml:space="preserve">0.072</w:t>
      </w:r>
    </w:p>
    <w:p>
      <w:pPr>
        <w:pStyle w:val="BodyText"/>
      </w:pPr>
      <w:r>
        <w:t xml:space="preserve">1.683***</w:t>
      </w:r>
    </w:p>
    <w:p>
      <w:pPr>
        <w:pStyle w:val="BodyText"/>
      </w:pPr>
      <w:r>
        <w:t xml:space="preserve">(0.057)</w:t>
      </w:r>
    </w:p>
    <w:p>
      <w:pPr>
        <w:pStyle w:val="BodyText"/>
      </w:pPr>
      <w:r>
        <w:t xml:space="preserve">(0.058)</w:t>
      </w:r>
    </w:p>
    <w:p>
      <w:pPr>
        <w:pStyle w:val="BodyText"/>
      </w:pPr>
      <w:r>
        <w:t xml:space="preserve">(0.309)</w:t>
      </w:r>
    </w:p>
    <w:p>
      <w:pPr>
        <w:pStyle w:val="BodyText"/>
      </w:pPr>
      <w:r>
        <w:t xml:space="preserve">log(comments)</w:t>
      </w:r>
    </w:p>
    <w:p>
      <w:pPr>
        <w:pStyle w:val="BodyText"/>
      </w:pPr>
      <w:r>
        <w:t xml:space="preserve">0.001</w:t>
      </w:r>
    </w:p>
    <w:p>
      <w:pPr>
        <w:pStyle w:val="BodyText"/>
      </w:pPr>
      <w:r>
        <w:t xml:space="preserve">0.001</w:t>
      </w:r>
    </w:p>
    <w:p>
      <w:pPr>
        <w:pStyle w:val="BodyText"/>
      </w:pPr>
      <w:r>
        <w:t xml:space="preserve">-0.003</w:t>
      </w:r>
    </w:p>
    <w:p>
      <w:pPr>
        <w:pStyle w:val="BodyText"/>
      </w:pPr>
      <w:r>
        <w:t xml:space="preserve">(0.002)</w:t>
      </w:r>
    </w:p>
    <w:p>
      <w:pPr>
        <w:pStyle w:val="BodyText"/>
      </w:pPr>
      <w:r>
        <w:t xml:space="preserve">(0.002)</w:t>
      </w:r>
    </w:p>
    <w:p>
      <w:pPr>
        <w:pStyle w:val="BodyText"/>
      </w:pPr>
      <w:r>
        <w:t xml:space="preserve">(0.013)</w:t>
      </w:r>
    </w:p>
    <w:p>
      <w:pPr>
        <w:pStyle w:val="BodyText"/>
      </w:pPr>
      <w:r>
        <w:t xml:space="preserve">comment_length</w:t>
      </w:r>
    </w:p>
    <w:p>
      <w:pPr>
        <w:pStyle w:val="BodyText"/>
      </w:pPr>
      <w:r>
        <w:t xml:space="preserve">-0.001</w:t>
      </w:r>
    </w:p>
    <w:p>
      <w:pPr>
        <w:pStyle w:val="BodyText"/>
      </w:pPr>
      <w:r>
        <w:t xml:space="preserve">-0.001</w:t>
      </w:r>
    </w:p>
    <w:p>
      <w:pPr>
        <w:pStyle w:val="BodyText"/>
      </w:pPr>
      <w:r>
        <w:t xml:space="preserve">0.008</w:t>
      </w:r>
    </w:p>
    <w:p>
      <w:pPr>
        <w:pStyle w:val="BodyText"/>
      </w:pPr>
      <w:r>
        <w:t xml:space="preserve">(0.004)</w:t>
      </w:r>
    </w:p>
    <w:p>
      <w:pPr>
        <w:pStyle w:val="BodyText"/>
      </w:pPr>
      <w:r>
        <w:t xml:space="preserve">(0.004)</w:t>
      </w:r>
    </w:p>
    <w:p>
      <w:pPr>
        <w:pStyle w:val="BodyText"/>
      </w:pPr>
      <w:r>
        <w:t xml:space="preserve">(0.019)</w:t>
      </w:r>
    </w:p>
    <w:p>
      <w:pPr>
        <w:pStyle w:val="BodyText"/>
      </w:pPr>
      <w:r>
        <w:t xml:space="preserve">coalition_business</w:t>
      </w:r>
    </w:p>
    <w:p>
      <w:pPr>
        <w:pStyle w:val="BodyText"/>
      </w:pPr>
      <w:r>
        <w:t xml:space="preserve">0.014</w:t>
      </w:r>
    </w:p>
    <w:p>
      <w:pPr>
        <w:pStyle w:val="BodyText"/>
      </w:pPr>
      <w:r>
        <w:t xml:space="preserve">0.014</w:t>
      </w:r>
    </w:p>
    <w:p>
      <w:pPr>
        <w:pStyle w:val="BodyText"/>
      </w:pPr>
      <w:r>
        <w:t xml:space="preserve">0.289*</w:t>
      </w:r>
    </w:p>
    <w:p>
      <w:pPr>
        <w:pStyle w:val="BodyText"/>
      </w:pPr>
      <w:r>
        <w:t xml:space="preserve">(0.029)</w:t>
      </w:r>
    </w:p>
    <w:p>
      <w:pPr>
        <w:pStyle w:val="BodyText"/>
      </w:pPr>
      <w:r>
        <w:t xml:space="preserve">(0.029)</w:t>
      </w:r>
    </w:p>
    <w:p>
      <w:pPr>
        <w:pStyle w:val="BodyText"/>
      </w:pPr>
      <w:r>
        <w:t xml:space="preserve">(0.158)</w:t>
      </w:r>
    </w:p>
    <w:p>
      <w:pPr>
        <w:pStyle w:val="BodyText"/>
      </w:pPr>
      <w:r>
        <w:t xml:space="preserve">coalition_size</w:t>
      </w:r>
    </w:p>
    <w:p>
      <w:pPr>
        <w:pStyle w:val="BodyText"/>
      </w:pPr>
      <w:r>
        <w:t xml:space="preserve">0.000</w:t>
      </w:r>
    </w:p>
    <w:p>
      <w:pPr>
        <w:pStyle w:val="BodyText"/>
      </w:pPr>
      <w:r>
        <w:t xml:space="preserve">0.000</w:t>
      </w:r>
    </w:p>
    <w:p>
      <w:pPr>
        <w:pStyle w:val="BodyText"/>
      </w:pPr>
      <w:r>
        <w:t xml:space="preserve">0.021*</w:t>
      </w:r>
    </w:p>
    <w:p>
      <w:pPr>
        <w:pStyle w:val="BodyText"/>
      </w:pPr>
      <w:r>
        <w:t xml:space="preserve">(0.002)</w:t>
      </w:r>
    </w:p>
    <w:p>
      <w:pPr>
        <w:pStyle w:val="BodyText"/>
      </w:pPr>
      <w:r>
        <w:t xml:space="preserve">(0.002)</w:t>
      </w:r>
    </w:p>
    <w:p>
      <w:pPr>
        <w:pStyle w:val="BodyText"/>
      </w:pPr>
      <w:r>
        <w:t xml:space="preserve">(0.011)</w:t>
      </w:r>
    </w:p>
    <w:p>
      <w:pPr>
        <w:pStyle w:val="BodyText"/>
      </w:pPr>
      <w:r>
        <w:t xml:space="preserve">coalition_unopposed</w:t>
      </w:r>
    </w:p>
    <w:p>
      <w:pPr>
        <w:pStyle w:val="BodyText"/>
      </w:pPr>
      <w:r>
        <w:t xml:space="preserve">0.000</w:t>
      </w:r>
    </w:p>
    <w:p>
      <w:pPr>
        <w:pStyle w:val="BodyText"/>
      </w:pPr>
      <w:r>
        <w:t xml:space="preserve">0.000</w:t>
      </w:r>
    </w:p>
    <w:p>
      <w:pPr>
        <w:pStyle w:val="BodyText"/>
      </w:pPr>
      <w:r>
        <w:t xml:space="preserve">0.149</w:t>
      </w:r>
    </w:p>
    <w:p>
      <w:pPr>
        <w:pStyle w:val="BodyText"/>
      </w:pPr>
      <w:r>
        <w:t xml:space="preserve">(0.027)</w:t>
      </w:r>
    </w:p>
    <w:p>
      <w:pPr>
        <w:pStyle w:val="BodyText"/>
      </w:pPr>
      <w:r>
        <w:t xml:space="preserve">(0.027)</w:t>
      </w:r>
    </w:p>
    <w:p>
      <w:pPr>
        <w:pStyle w:val="BodyText"/>
      </w:pPr>
      <w:r>
        <w:t xml:space="preserve">(0.146)</w:t>
      </w:r>
    </w:p>
    <w:p>
      <w:pPr>
        <w:pStyle w:val="BodyText"/>
      </w:pPr>
      <w:r>
        <w:t xml:space="preserve">cong_support</w:t>
      </w:r>
    </w:p>
    <w:p>
      <w:pPr>
        <w:pStyle w:val="BodyText"/>
      </w:pPr>
      <w:r>
        <w:t xml:space="preserve">0.000</w:t>
      </w:r>
    </w:p>
    <w:p>
      <w:pPr>
        <w:pStyle w:val="BodyText"/>
      </w:pPr>
      <w:r>
        <w:t xml:space="preserve">(0.004)</w:t>
      </w:r>
    </w:p>
    <w:p>
      <w:pPr>
        <w:pStyle w:val="BodyText"/>
      </w:pPr>
      <w:r>
        <w:t xml:space="preserve">Num.Obs.</w:t>
      </w:r>
    </w:p>
    <w:p>
      <w:pPr>
        <w:pStyle w:val="BodyText"/>
      </w:pPr>
      <w:r>
        <w:t xml:space="preserve">2000</w:t>
      </w:r>
    </w:p>
    <w:p>
      <w:pPr>
        <w:pStyle w:val="BodyText"/>
      </w:pPr>
      <w:r>
        <w:t xml:space="preserve">2000</w:t>
      </w:r>
    </w:p>
    <w:p>
      <w:pPr>
        <w:pStyle w:val="BodyText"/>
      </w:pPr>
      <w:r>
        <w:t xml:space="preserve">2000</w:t>
      </w:r>
    </w:p>
    <w:p>
      <w:pPr>
        <w:pStyle w:val="BodyText"/>
      </w:pPr>
      <w:r>
        <w:t xml:space="preserve">R2</w:t>
      </w:r>
    </w:p>
    <w:p>
      <w:pPr>
        <w:pStyle w:val="BodyText"/>
      </w:pPr>
      <w:r>
        <w:t xml:space="preserve">0.000</w:t>
      </w:r>
    </w:p>
    <w:p>
      <w:pPr>
        <w:pStyle w:val="BodyText"/>
      </w:pPr>
      <w:r>
        <w:t xml:space="preserve">0.000</w:t>
      </w:r>
    </w:p>
    <w:p>
      <w:pPr>
        <w:pStyle w:val="BodyText"/>
      </w:pPr>
      <w:r>
        <w:t xml:space="preserve">0.004</w:t>
      </w:r>
    </w:p>
    <w:p>
      <w:pPr>
        <w:pStyle w:val="BodyText"/>
      </w:pPr>
      <w:r>
        <w:t xml:space="preserve">R2 Adj.</w:t>
      </w:r>
    </w:p>
    <w:p>
      <w:pPr>
        <w:pStyle w:val="BodyText"/>
      </w:pPr>
      <w:r>
        <w:t xml:space="preserve">-0.002</w:t>
      </w:r>
    </w:p>
    <w:p>
      <w:pPr>
        <w:pStyle w:val="BodyText"/>
      </w:pPr>
      <w:r>
        <w:t xml:space="preserve">-0.003</w:t>
      </w:r>
    </w:p>
    <w:p>
      <w:pPr>
        <w:pStyle w:val="BodyText"/>
      </w:pPr>
      <w:r>
        <w:t xml:space="preserve">0.001</w:t>
      </w:r>
    </w:p>
    <w:p>
      <w:pPr>
        <w:pStyle w:val="BodyText"/>
      </w:pPr>
      <w:r>
        <w:t xml:space="preserve">AIC</w:t>
      </w:r>
    </w:p>
    <w:p>
      <w:pPr>
        <w:pStyle w:val="BodyText"/>
      </w:pPr>
      <w:r>
        <w:t xml:space="preserve">3668.9</w:t>
      </w:r>
    </w:p>
    <w:p>
      <w:pPr>
        <w:pStyle w:val="BodyText"/>
      </w:pPr>
      <w:r>
        <w:t xml:space="preserve">3670.9</w:t>
      </w:r>
    </w:p>
    <w:p>
      <w:pPr>
        <w:pStyle w:val="BodyText"/>
      </w:pPr>
      <w:r>
        <w:t xml:space="preserve">10412.1</w:t>
      </w:r>
    </w:p>
    <w:p>
      <w:pPr>
        <w:pStyle w:val="BodyText"/>
      </w:pPr>
      <w:r>
        <w:t xml:space="preserve">BIC</w:t>
      </w:r>
    </w:p>
    <w:p>
      <w:pPr>
        <w:pStyle w:val="BodyText"/>
      </w:pPr>
      <w:r>
        <w:t xml:space="preserve">3708.2</w:t>
      </w:r>
    </w:p>
    <w:p>
      <w:pPr>
        <w:pStyle w:val="BodyText"/>
      </w:pPr>
      <w:r>
        <w:t xml:space="preserve">3715.7</w:t>
      </w:r>
    </w:p>
    <w:p>
      <w:pPr>
        <w:pStyle w:val="BodyText"/>
      </w:pPr>
      <w:r>
        <w:t xml:space="preserve">10451.3</w:t>
      </w:r>
    </w:p>
    <w:p>
      <w:pPr>
        <w:pStyle w:val="BodyText"/>
      </w:pPr>
      <w:r>
        <w:t xml:space="preserve">Log.Lik.</w:t>
      </w:r>
    </w:p>
    <w:p>
      <w:pPr>
        <w:pStyle w:val="BodyText"/>
      </w:pPr>
      <w:r>
        <w:t xml:space="preserve">-1827.473</w:t>
      </w:r>
    </w:p>
    <w:p>
      <w:pPr>
        <w:pStyle w:val="BodyText"/>
      </w:pPr>
      <w:r>
        <w:t xml:space="preserve">-1827.466</w:t>
      </w:r>
    </w:p>
    <w:p>
      <w:pPr>
        <w:pStyle w:val="BodyText"/>
      </w:pPr>
      <w:r>
        <w:t xml:space="preserve">-5199.039</w:t>
      </w:r>
    </w:p>
    <w:p>
      <w:pPr>
        <w:pStyle w:val="BodyText"/>
      </w:pPr>
      <w:r>
        <w:t xml:space="preserve">F</w:t>
      </w:r>
    </w:p>
    <w:p>
      <w:pPr>
        <w:pStyle w:val="BodyText"/>
      </w:pPr>
      <w:r>
        <w:t xml:space="preserve">0.134</w:t>
      </w:r>
    </w:p>
    <w:p>
      <w:pPr>
        <w:pStyle w:val="BodyText"/>
      </w:pPr>
      <w:r>
        <w:t xml:space="preserve">0.113</w:t>
      </w:r>
    </w:p>
    <w:p>
      <w:pPr>
        <w:pStyle w:val="BodyText"/>
      </w:pPr>
      <w:r>
        <w:t xml:space="preserve">1.597</w:t>
      </w:r>
    </w:p>
    <w:p>
      <w:pPr>
        <w:pStyle w:val="BodyText"/>
      </w:pPr>
    </w:p>
    <w:p>
      <w:pPr>
        <w:pStyle w:val="BodyText"/>
      </w:pPr>
      <w:r>
        <w:t xml:space="preserve"> </w:t>
      </w:r>
      <w:r>
        <w:t xml:space="preserve">* p &lt; 0.1, ** p &lt; 0.05, *** p &lt; 0.01</w:t>
      </w:r>
    </w:p>
    <w:p>
      <w:pPr>
        <w:pStyle w:val="BodyText"/>
      </w:pPr>
      <w:r>
        <w:t xml:space="preserve">The average effect of the logged number of comments, conditional on letters from members of congress (the ACME) is 0, with a p value of 0.94.</w:t>
      </w:r>
    </w:p>
    <w:p>
      <w:pPr>
        <w:pStyle w:val="BodyText"/>
      </w:pPr>
      <w:r>
        <w:t xml:space="preserve">The average direct effect (ADE) of the logged number of comments on lobbying success is 0, with a p value of 0.63</w:t>
      </w:r>
    </w:p>
    <w:p>
      <w:pPr>
        <w:pStyle w:val="BodyText"/>
      </w:pPr>
      <w:r>
        <w:t xml:space="preserve">The Total Effect of a one-unit increase in the logged number of comments is 0, with a p value of 0.63. 0 of this is mediated through mobilizing congressional attention (p-value = 0.97).</w:t>
      </w:r>
    </w:p>
    <w:p>
      <w:r>
        <w:br w:type="page"/>
      </w:r>
    </w:p>
    <w:p>
      <w:pPr>
        <w:pStyle w:val="Heading2"/>
      </w:pPr>
      <w:bookmarkStart w:id="148" w:name="influence-results"/>
      <w:r>
        <w:t xml:space="preserve">3.5	Results (hand-coded data)</w:t>
      </w:r>
      <w:bookmarkEnd w:id="148"/>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Heading3"/>
      </w:pPr>
      <w:bookmarkStart w:id="149" w:name="hand-coded-data"/>
      <w:r>
        <w:t xml:space="preserve">3.5.1	Hand-coded Data</w:t>
      </w:r>
      <w:bookmarkEnd w:id="149"/>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Table</w:t>
      </w:r>
      <w:r>
        <w:t xml:space="preserve"> </w:t>
      </w:r>
      <w:r>
        <w:t xml:space="preserve">3.3</w:t>
      </w:r>
      <w:r>
        <w:t xml:space="preserve"> </w:t>
      </w:r>
      <w:r>
        <w:t xml:space="preserve">shows a sample of coded data, summarized at the coalition level.</w:t>
      </w:r>
    </w:p>
    <w:p>
      <w:pPr>
        <w:pStyle w:val="BodyText"/>
      </w:pPr>
      <w:r>
        <w:t xml:space="preserve">Table 3.3: A Sample of Hand-Coded Summarized by Coaltion</w:t>
      </w:r>
    </w:p>
    <w:p>
      <w:pPr>
        <w:pStyle w:val="BodyText"/>
      </w:pPr>
      <w:r>
        <w:t xml:space="preserve">docket_id</w:t>
      </w:r>
    </w:p>
    <w:p>
      <w:pPr>
        <w:pStyle w:val="BodyText"/>
      </w:pPr>
      <w:r>
        <w:t xml:space="preserve">coalition_id</w:t>
      </w:r>
    </w:p>
    <w:p>
      <w:pPr>
        <w:pStyle w:val="BodyText"/>
      </w:pPr>
      <w:r>
        <w:t xml:space="preserve">coalition_comment</w:t>
      </w:r>
    </w:p>
    <w:p>
      <w:pPr>
        <w:pStyle w:val="BodyText"/>
      </w:pPr>
      <w:r>
        <w:t xml:space="preserve">coalition_unopposed</w:t>
      </w:r>
    </w:p>
    <w:p>
      <w:pPr>
        <w:pStyle w:val="BodyText"/>
      </w:pPr>
      <w:r>
        <w:t xml:space="preserve">cong_support</w:t>
      </w:r>
    </w:p>
    <w:p>
      <w:pPr>
        <w:pStyle w:val="BodyText"/>
      </w:pPr>
      <w:r>
        <w:t xml:space="preserve">coalition_size</w:t>
      </w:r>
    </w:p>
    <w:p>
      <w:pPr>
        <w:pStyle w:val="BodyText"/>
      </w:pPr>
      <w:r>
        <w:t xml:space="preserve">coalition_business</w:t>
      </w:r>
    </w:p>
    <w:p>
      <w:pPr>
        <w:pStyle w:val="BodyText"/>
      </w:pPr>
      <w:r>
        <w:t xml:space="preserve">coalition_success</w:t>
      </w:r>
    </w:p>
    <w:p>
      <w:pPr>
        <w:pStyle w:val="BodyText"/>
      </w:pPr>
      <w:r>
        <w:t xml:space="preserve">comments</w:t>
      </w:r>
    </w:p>
    <w:p>
      <w:pPr>
        <w:pStyle w:val="BodyText"/>
      </w:pPr>
      <w:r>
        <w:t xml:space="preserve">CFPB-2016-0025</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18</w:t>
      </w:r>
    </w:p>
    <w:p>
      <w:pPr>
        <w:pStyle w:val="BodyText"/>
      </w:pPr>
      <w:r>
        <w:t xml:space="preserve">FALSE</w:t>
      </w:r>
    </w:p>
    <w:p>
      <w:pPr>
        <w:pStyle w:val="BodyText"/>
      </w:pPr>
      <w:r>
        <w:t xml:space="preserve">-0.6428571</w:t>
      </w:r>
    </w:p>
    <w:p>
      <w:pPr>
        <w:pStyle w:val="BodyText"/>
      </w:pPr>
      <w:r>
        <w:t xml:space="preserve">18</w:t>
      </w:r>
    </w:p>
    <w:p>
      <w:pPr>
        <w:pStyle w:val="BodyText"/>
      </w:pPr>
      <w:r>
        <w:t xml:space="preserve">CFPB-2016-0025</w:t>
      </w:r>
    </w:p>
    <w:p>
      <w:pPr>
        <w:pStyle w:val="BodyText"/>
      </w:pPr>
      <w:r>
        <w:t xml:space="preserve">46</w:t>
      </w:r>
    </w:p>
    <w:p>
      <w:pPr>
        <w:pStyle w:val="BodyText"/>
      </w:pPr>
      <w:r>
        <w:t xml:space="preserve">NCUA</w:t>
      </w:r>
    </w:p>
    <w:p>
      <w:pPr>
        <w:pStyle w:val="BodyText"/>
      </w:pPr>
      <w:r>
        <w:t xml:space="preserve">FALSE</w:t>
      </w:r>
    </w:p>
    <w:p>
      <w:pPr>
        <w:pStyle w:val="BodyText"/>
      </w:pPr>
      <w:r>
        <w:t xml:space="preserve">0</w:t>
      </w:r>
    </w:p>
    <w:p>
      <w:pPr>
        <w:pStyle w:val="BodyText"/>
      </w:pPr>
      <w:r>
        <w:t xml:space="preserve">4</w:t>
      </w:r>
    </w:p>
    <w:p>
      <w:pPr>
        <w:pStyle w:val="BodyText"/>
      </w:pPr>
      <w:r>
        <w:t xml:space="preserve">TRUE</w:t>
      </w:r>
    </w:p>
    <w:p>
      <w:pPr>
        <w:pStyle w:val="BodyText"/>
      </w:pPr>
      <w:r>
        <w:t xml:space="preserve">0.5000000</w:t>
      </w:r>
    </w:p>
    <w:p>
      <w:pPr>
        <w:pStyle w:val="BodyText"/>
      </w:pPr>
      <w:r>
        <w:t xml:space="preserve">4</w:t>
      </w:r>
    </w:p>
    <w:p>
      <w:pPr>
        <w:pStyle w:val="BodyText"/>
      </w:pPr>
      <w:r>
        <w:t xml:space="preserve">CFPB-2019-0006</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79</w:t>
      </w:r>
    </w:p>
    <w:p>
      <w:pPr>
        <w:pStyle w:val="BodyText"/>
      </w:pPr>
      <w:r>
        <w:t xml:space="preserve">FALSE</w:t>
      </w:r>
    </w:p>
    <w:p>
      <w:pPr>
        <w:pStyle w:val="BodyText"/>
      </w:pPr>
      <w:r>
        <w:t xml:space="preserve">-1.1176471</w:t>
      </w:r>
    </w:p>
    <w:p>
      <w:pPr>
        <w:pStyle w:val="BodyText"/>
      </w:pPr>
      <w:r>
        <w:t xml:space="preserve">79</w:t>
      </w:r>
    </w:p>
    <w:p>
      <w:pPr>
        <w:pStyle w:val="BodyText"/>
      </w:pPr>
      <w:r>
        <w:t xml:space="preserve">CFPB-2019-0006</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79</w:t>
      </w:r>
    </w:p>
    <w:p>
      <w:pPr>
        <w:pStyle w:val="BodyText"/>
      </w:pPr>
      <w:r>
        <w:t xml:space="preserve">TRUE</w:t>
      </w:r>
    </w:p>
    <w:p>
      <w:pPr>
        <w:pStyle w:val="BodyText"/>
      </w:pPr>
      <w:r>
        <w:t xml:space="preserve">-1.1176471</w:t>
      </w:r>
    </w:p>
    <w:p>
      <w:pPr>
        <w:pStyle w:val="BodyText"/>
      </w:pPr>
      <w:r>
        <w:t xml:space="preserve">79</w:t>
      </w:r>
    </w:p>
    <w:p>
      <w:pPr>
        <w:pStyle w:val="BodyText"/>
      </w:pPr>
      <w:r>
        <w:t xml:space="preserve">DEA-2018-0005</w:t>
      </w:r>
    </w:p>
    <w:p>
      <w:pPr>
        <w:pStyle w:val="BodyText"/>
      </w:pPr>
      <w:r>
        <w:t xml:space="preserve">33</w:t>
      </w:r>
    </w:p>
    <w:p>
      <w:pPr>
        <w:pStyle w:val="BodyText"/>
      </w:pPr>
      <w:r>
        <w:t xml:space="preserve">HSCA</w:t>
      </w:r>
    </w:p>
    <w:p>
      <w:pPr>
        <w:pStyle w:val="BodyText"/>
      </w:pPr>
      <w:r>
        <w:t xml:space="preserve">FALSE</w:t>
      </w:r>
    </w:p>
    <w:p>
      <w:pPr>
        <w:pStyle w:val="BodyText"/>
      </w:pPr>
      <w:r>
        <w:t xml:space="preserve">0</w:t>
      </w:r>
    </w:p>
    <w:p>
      <w:pPr>
        <w:pStyle w:val="BodyText"/>
      </w:pPr>
      <w:r>
        <w:t xml:space="preserve">9</w:t>
      </w:r>
    </w:p>
    <w:p>
      <w:pPr>
        <w:pStyle w:val="BodyText"/>
      </w:pPr>
      <w:r>
        <w:t xml:space="preserve">FALSE</w:t>
      </w:r>
    </w:p>
    <w:p>
      <w:pPr>
        <w:pStyle w:val="BodyText"/>
      </w:pPr>
      <w:r>
        <w:t xml:space="preserve">-1.7777778</w:t>
      </w:r>
    </w:p>
    <w:p>
      <w:pPr>
        <w:pStyle w:val="BodyText"/>
      </w:pPr>
      <w:r>
        <w:t xml:space="preserve">9</w:t>
      </w:r>
    </w:p>
    <w:p>
      <w:pPr>
        <w:pStyle w:val="BodyText"/>
      </w:pPr>
      <w:r>
        <w:t xml:space="preserve">DEA-2018-0005</w:t>
      </w:r>
    </w:p>
    <w:p>
      <w:pPr>
        <w:pStyle w:val="BodyText"/>
      </w:pPr>
      <w:r>
        <w:t xml:space="preserve">60</w:t>
      </w:r>
    </w:p>
    <w:p>
      <w:pPr>
        <w:pStyle w:val="BodyText"/>
      </w:pPr>
      <w:r>
        <w:t xml:space="preserve">PhRMA</w:t>
      </w:r>
    </w:p>
    <w:p>
      <w:pPr>
        <w:pStyle w:val="BodyText"/>
      </w:pPr>
      <w:r>
        <w:t xml:space="preserve">FALSE</w:t>
      </w:r>
    </w:p>
    <w:p>
      <w:pPr>
        <w:pStyle w:val="BodyText"/>
      </w:pPr>
      <w:r>
        <w:t xml:space="preserve">0</w:t>
      </w:r>
    </w:p>
    <w:p>
      <w:pPr>
        <w:pStyle w:val="BodyText"/>
      </w:pPr>
      <w:r>
        <w:t xml:space="preserve">3</w:t>
      </w:r>
    </w:p>
    <w:p>
      <w:pPr>
        <w:pStyle w:val="BodyText"/>
      </w:pPr>
      <w:r>
        <w:t xml:space="preserve">FALSE</w:t>
      </w:r>
    </w:p>
    <w:p>
      <w:pPr>
        <w:pStyle w:val="BodyText"/>
      </w:pPr>
      <w:r>
        <w:t xml:space="preserve">0.6666667</w:t>
      </w:r>
    </w:p>
    <w:p>
      <w:pPr>
        <w:pStyle w:val="BodyText"/>
      </w:pPr>
      <w:r>
        <w:t xml:space="preserve">3</w:t>
      </w:r>
    </w:p>
    <w:p>
      <w:pPr>
        <w:pStyle w:val="BodyText"/>
      </w:pPr>
      <w:r>
        <w:t xml:space="preserve">DO-2007-0015</w:t>
      </w:r>
    </w:p>
    <w:p>
      <w:pPr>
        <w:pStyle w:val="BodyText"/>
      </w:pPr>
      <w:r>
        <w:t xml:space="preserve">117</w:t>
      </w:r>
    </w:p>
    <w:p>
      <w:pPr>
        <w:pStyle w:val="BodyText"/>
      </w:pPr>
      <w:r>
        <w:t xml:space="preserve">TRUE;other gambling entities</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DO-2007-0015</w:t>
      </w:r>
    </w:p>
    <w:p>
      <w:pPr>
        <w:pStyle w:val="BodyText"/>
      </w:pPr>
      <w:r>
        <w:t xml:space="preserve">122</w:t>
      </w:r>
    </w:p>
    <w:p>
      <w:pPr>
        <w:pStyle w:val="BodyText"/>
      </w:pPr>
      <w:r>
        <w:t xml:space="preserve">TRUE;securities firms</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DOI-2015-0005</w:t>
      </w:r>
    </w:p>
    <w:p>
      <w:pPr>
        <w:pStyle w:val="BodyText"/>
      </w:pPr>
      <w:r>
        <w:t xml:space="preserve">7</w:t>
      </w:r>
    </w:p>
    <w:p>
      <w:pPr>
        <w:pStyle w:val="BodyText"/>
      </w:pPr>
      <w:r>
        <w:t xml:space="preserve">BIG AUTONOMY</w:t>
      </w:r>
    </w:p>
    <w:p>
      <w:pPr>
        <w:pStyle w:val="BodyText"/>
      </w:pPr>
      <w:r>
        <w:t xml:space="preserve">FALSE</w:t>
      </w:r>
    </w:p>
    <w:p>
      <w:pPr>
        <w:pStyle w:val="BodyText"/>
      </w:pPr>
      <w:r>
        <w:t xml:space="preserve">0</w:t>
      </w:r>
    </w:p>
    <w:p>
      <w:pPr>
        <w:pStyle w:val="BodyText"/>
      </w:pPr>
      <w:r>
        <w:t xml:space="preserve">8</w:t>
      </w:r>
    </w:p>
    <w:p>
      <w:pPr>
        <w:pStyle w:val="BodyText"/>
      </w:pPr>
      <w:r>
        <w:t xml:space="preserve">FALSE</w:t>
      </w:r>
    </w:p>
    <w:p>
      <w:pPr>
        <w:pStyle w:val="BodyText"/>
      </w:pPr>
      <w:r>
        <w:t xml:space="preserve">2.0000000</w:t>
      </w:r>
    </w:p>
    <w:p>
      <w:pPr>
        <w:pStyle w:val="BodyText"/>
      </w:pPr>
      <w:r>
        <w:t xml:space="preserve">8</w:t>
      </w:r>
    </w:p>
    <w:p>
      <w:pPr>
        <w:pStyle w:val="BodyText"/>
      </w:pPr>
      <w:r>
        <w:t xml:space="preserve">DOI-2015-0005</w:t>
      </w:r>
    </w:p>
    <w:p>
      <w:pPr>
        <w:pStyle w:val="BodyText"/>
      </w:pPr>
      <w:r>
        <w:t xml:space="preserve">8</w:t>
      </w:r>
    </w:p>
    <w:p>
      <w:pPr>
        <w:pStyle w:val="BodyText"/>
      </w:pPr>
      <w:r>
        <w:t xml:space="preserve">BLANKET CREW</w:t>
      </w:r>
    </w:p>
    <w:p>
      <w:pPr>
        <w:pStyle w:val="BodyText"/>
      </w:pPr>
      <w:r>
        <w:t xml:space="preserve">FALSE</w:t>
      </w:r>
    </w:p>
    <w:p>
      <w:pPr>
        <w:pStyle w:val="BodyText"/>
      </w:pPr>
      <w:r>
        <w:t xml:space="preserve">0</w:t>
      </w:r>
    </w:p>
    <w:p>
      <w:pPr>
        <w:pStyle w:val="BodyText"/>
      </w:pPr>
      <w:r>
        <w:t xml:space="preserve">11</w:t>
      </w:r>
    </w:p>
    <w:p>
      <w:pPr>
        <w:pStyle w:val="BodyText"/>
      </w:pPr>
      <w:r>
        <w:t xml:space="preserve">FALSE</w:t>
      </w:r>
    </w:p>
    <w:p>
      <w:pPr>
        <w:pStyle w:val="BodyText"/>
      </w:pPr>
      <w:r>
        <w:t xml:space="preserve">2.0000000</w:t>
      </w:r>
    </w:p>
    <w:p>
      <w:pPr>
        <w:pStyle w:val="BodyText"/>
      </w:pPr>
      <w:r>
        <w:t xml:space="preserve">11</w:t>
      </w:r>
    </w:p>
    <w:p>
      <w:pPr>
        <w:pStyle w:val="BodyText"/>
      </w:pPr>
      <w:r>
        <w:t xml:space="preserve">FEMA-2016-0003</w:t>
      </w:r>
    </w:p>
    <w:p>
      <w:pPr>
        <w:pStyle w:val="BodyText"/>
      </w:pPr>
      <w:r>
        <w:t xml:space="preserve">58</w:t>
      </w:r>
    </w:p>
    <w:p>
      <w:pPr>
        <w:pStyle w:val="BodyText"/>
      </w:pPr>
      <w:r>
        <w:t xml:space="preserve">Pew</w:t>
      </w:r>
    </w:p>
    <w:p>
      <w:pPr>
        <w:pStyle w:val="BodyText"/>
      </w:pPr>
      <w:r>
        <w:t xml:space="preserve">FALSE</w:t>
      </w:r>
    </w:p>
    <w:p>
      <w:pPr>
        <w:pStyle w:val="BodyText"/>
      </w:pPr>
      <w:r>
        <w:t xml:space="preserve">0</w:t>
      </w:r>
    </w:p>
    <w:p>
      <w:pPr>
        <w:pStyle w:val="BodyText"/>
      </w:pPr>
      <w:r>
        <w:t xml:space="preserve">223</w:t>
      </w:r>
    </w:p>
    <w:p>
      <w:pPr>
        <w:pStyle w:val="BodyText"/>
      </w:pPr>
      <w:r>
        <w:t xml:space="preserve">FALSE</w:t>
      </w:r>
    </w:p>
    <w:p>
      <w:pPr>
        <w:pStyle w:val="BodyText"/>
      </w:pPr>
      <w:r>
        <w:t xml:space="preserve">-1.8918919</w:t>
      </w:r>
    </w:p>
    <w:p>
      <w:pPr>
        <w:pStyle w:val="BodyText"/>
      </w:pPr>
      <w:r>
        <w:t xml:space="preserve">2982</w:t>
      </w:r>
    </w:p>
    <w:p>
      <w:pPr>
        <w:pStyle w:val="BodyText"/>
      </w:pPr>
      <w:r>
        <w:t xml:space="preserve">FEMA-2016-0003</w:t>
      </w:r>
    </w:p>
    <w:p>
      <w:pPr>
        <w:pStyle w:val="BodyText"/>
      </w:pPr>
      <w:r>
        <w:t xml:space="preserve">54</w:t>
      </w:r>
    </w:p>
    <w:p>
      <w:pPr>
        <w:pStyle w:val="BodyText"/>
      </w:pPr>
      <w:r>
        <w:t xml:space="preserve">NRECA</w:t>
      </w:r>
    </w:p>
    <w:p>
      <w:pPr>
        <w:pStyle w:val="BodyText"/>
      </w:pPr>
      <w:r>
        <w:t xml:space="preserve">FALSE</w:t>
      </w:r>
    </w:p>
    <w:p>
      <w:pPr>
        <w:pStyle w:val="BodyText"/>
      </w:pPr>
      <w:r>
        <w:t xml:space="preserve">1</w:t>
      </w:r>
    </w:p>
    <w:p>
      <w:pPr>
        <w:pStyle w:val="BodyText"/>
      </w:pPr>
      <w:r>
        <w:t xml:space="preserve">36</w:t>
      </w:r>
    </w:p>
    <w:p>
      <w:pPr>
        <w:pStyle w:val="BodyText"/>
      </w:pPr>
      <w:r>
        <w:t xml:space="preserve">FALSE</w:t>
      </w:r>
    </w:p>
    <w:p>
      <w:pPr>
        <w:pStyle w:val="BodyText"/>
      </w:pPr>
      <w:r>
        <w:t xml:space="preserve">2.0000000</w:t>
      </w:r>
    </w:p>
    <w:p>
      <w:pPr>
        <w:pStyle w:val="BodyText"/>
      </w:pPr>
      <w:r>
        <w:t xml:space="preserve">36</w:t>
      </w:r>
    </w:p>
    <w:p>
      <w:pPr>
        <w:pStyle w:val="BodyText"/>
      </w:pPr>
      <w:r>
        <w:t xml:space="preserve">MSHA-2011-0001</w:t>
      </w:r>
    </w:p>
    <w:p>
      <w:pPr>
        <w:pStyle w:val="BodyText"/>
      </w:pPr>
      <w:r>
        <w:t xml:space="preserve">87</w:t>
      </w:r>
    </w:p>
    <w:p>
      <w:pPr>
        <w:pStyle w:val="BodyText"/>
      </w:pPr>
      <w:r>
        <w:t xml:space="preserve">TRUE-WMA and WTP</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MSHA-2011-0001</w:t>
      </w:r>
    </w:p>
    <w:p>
      <w:pPr>
        <w:pStyle w:val="BodyText"/>
      </w:pPr>
      <w:r>
        <w:t xml:space="preserve">42</w:t>
      </w:r>
    </w:p>
    <w:p>
      <w:pPr>
        <w:pStyle w:val="BodyText"/>
      </w:pPr>
      <w:r>
        <w:t xml:space="preserve">National Mining Association</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NPS-2018-0007</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35</w:t>
      </w:r>
    </w:p>
    <w:p>
      <w:pPr>
        <w:pStyle w:val="BodyText"/>
      </w:pPr>
      <w:r>
        <w:t xml:space="preserve">TRUE</w:t>
      </w:r>
    </w:p>
    <w:p>
      <w:pPr>
        <w:pStyle w:val="BodyText"/>
      </w:pPr>
      <w:r>
        <w:t xml:space="preserve">1.9687500</w:t>
      </w:r>
    </w:p>
    <w:p>
      <w:pPr>
        <w:pStyle w:val="BodyText"/>
      </w:pPr>
      <w:r>
        <w:t xml:space="preserve">35</w:t>
      </w:r>
    </w:p>
    <w:p>
      <w:pPr>
        <w:pStyle w:val="BodyText"/>
      </w:pPr>
      <w:r>
        <w:t xml:space="preserve">NPS-2018-0007</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35</w:t>
      </w:r>
    </w:p>
    <w:p>
      <w:pPr>
        <w:pStyle w:val="BodyText"/>
      </w:pPr>
      <w:r>
        <w:t xml:space="preserve">FALSE</w:t>
      </w:r>
    </w:p>
    <w:p>
      <w:pPr>
        <w:pStyle w:val="BodyText"/>
      </w:pPr>
      <w:r>
        <w:t xml:space="preserve">1.9687500</w:t>
      </w:r>
    </w:p>
    <w:p>
      <w:pPr>
        <w:pStyle w:val="BodyText"/>
      </w:pPr>
      <w:r>
        <w:t xml:space="preserve">35</w:t>
      </w:r>
    </w:p>
    <w:p>
      <w:pPr>
        <w:pStyle w:val="BodyText"/>
      </w:pPr>
      <w:r>
        <w:t xml:space="preserve">USCBP-2007-0064</w:t>
      </w:r>
    </w:p>
    <w:p>
      <w:pPr>
        <w:pStyle w:val="BodyText"/>
      </w:pPr>
      <w:r>
        <w:t xml:space="preserve">22</w:t>
      </w:r>
    </w:p>
    <w:p>
      <w:pPr>
        <w:pStyle w:val="BodyText"/>
      </w:pPr>
      <w:r>
        <w:t xml:space="preserve">EBAA</w:t>
      </w:r>
    </w:p>
    <w:p>
      <w:pPr>
        <w:pStyle w:val="BodyText"/>
      </w:pPr>
      <w:r>
        <w:t xml:space="preserve">FALSE</w:t>
      </w:r>
    </w:p>
    <w:p>
      <w:pPr>
        <w:pStyle w:val="BodyText"/>
      </w:pPr>
      <w:r>
        <w:t xml:space="preserve">0</w:t>
      </w:r>
    </w:p>
    <w:p>
      <w:pPr>
        <w:pStyle w:val="BodyText"/>
      </w:pPr>
      <w:r>
        <w:t xml:space="preserve">5</w:t>
      </w:r>
    </w:p>
    <w:p>
      <w:pPr>
        <w:pStyle w:val="BodyText"/>
      </w:pPr>
      <w:r>
        <w:t xml:space="preserve">FALSE</w:t>
      </w:r>
    </w:p>
    <w:p>
      <w:pPr>
        <w:pStyle w:val="BodyText"/>
      </w:pPr>
      <w:r>
        <w:t xml:space="preserve">-1.2000000</w:t>
      </w:r>
    </w:p>
    <w:p>
      <w:pPr>
        <w:pStyle w:val="BodyText"/>
      </w:pPr>
      <w:r>
        <w:t xml:space="preserve">5</w:t>
      </w:r>
    </w:p>
    <w:p>
      <w:pPr>
        <w:pStyle w:val="BodyText"/>
      </w:pPr>
      <w:r>
        <w:t xml:space="preserve">USCBP-2007-0064</w:t>
      </w:r>
    </w:p>
    <w:p>
      <w:pPr>
        <w:pStyle w:val="BodyText"/>
      </w:pPr>
      <w:r>
        <w:t xml:space="preserve">6</w:t>
      </w:r>
    </w:p>
    <w:p>
      <w:pPr>
        <w:pStyle w:val="BodyText"/>
      </w:pPr>
      <w:r>
        <w:t xml:space="preserve">BBP</w:t>
      </w:r>
    </w:p>
    <w:p>
      <w:pPr>
        <w:pStyle w:val="BodyText"/>
      </w:pPr>
      <w:r>
        <w:t xml:space="preserve">FALSE</w:t>
      </w:r>
    </w:p>
    <w:p>
      <w:pPr>
        <w:pStyle w:val="BodyText"/>
      </w:pPr>
      <w:r>
        <w:t xml:space="preserve">0</w:t>
      </w:r>
    </w:p>
    <w:p>
      <w:pPr>
        <w:pStyle w:val="BodyText"/>
      </w:pPr>
      <w:r>
        <w:t xml:space="preserve">20</w:t>
      </w:r>
    </w:p>
    <w:p>
      <w:pPr>
        <w:pStyle w:val="BodyText"/>
      </w:pPr>
      <w:r>
        <w:t xml:space="preserve">FALSE</w:t>
      </w:r>
    </w:p>
    <w:p>
      <w:pPr>
        <w:pStyle w:val="BodyText"/>
      </w:pPr>
      <w:r>
        <w:t xml:space="preserve">-1.2000000</w:t>
      </w:r>
    </w:p>
    <w:p>
      <w:pPr>
        <w:pStyle w:val="BodyText"/>
      </w:pPr>
      <w:r>
        <w:t xml:space="preserve">20</w:t>
      </w:r>
    </w:p>
    <w:p>
      <w:pPr>
        <w:pStyle w:val="BodyText"/>
      </w:pPr>
      <w:r>
        <w:t xml:space="preserve">USCG-2010-0990</w:t>
      </w:r>
    </w:p>
    <w:p>
      <w:pPr>
        <w:pStyle w:val="BodyText"/>
      </w:pPr>
      <w:r>
        <w:t xml:space="preserve">49</w:t>
      </w:r>
    </w:p>
    <w:p>
      <w:pPr>
        <w:pStyle w:val="BodyText"/>
      </w:pPr>
      <w:r>
        <w:t xml:space="preserve">NMMA</w:t>
      </w:r>
    </w:p>
    <w:p>
      <w:pPr>
        <w:pStyle w:val="BodyText"/>
      </w:pPr>
      <w:r>
        <w:t xml:space="preserve">FALSE</w:t>
      </w:r>
    </w:p>
    <w:p>
      <w:pPr>
        <w:pStyle w:val="BodyText"/>
      </w:pPr>
      <w:r>
        <w:t xml:space="preserve">0</w:t>
      </w:r>
    </w:p>
    <w:p>
      <w:pPr>
        <w:pStyle w:val="BodyText"/>
      </w:pPr>
      <w:r>
        <w:t xml:space="preserve">4</w:t>
      </w:r>
    </w:p>
    <w:p>
      <w:pPr>
        <w:pStyle w:val="BodyText"/>
      </w:pPr>
      <w:r>
        <w:t xml:space="preserve">FALSE</w:t>
      </w:r>
    </w:p>
    <w:p>
      <w:pPr>
        <w:pStyle w:val="BodyText"/>
      </w:pPr>
      <w:r>
        <w:t xml:space="preserve">2.0000000</w:t>
      </w:r>
    </w:p>
    <w:p>
      <w:pPr>
        <w:pStyle w:val="BodyText"/>
      </w:pPr>
      <w:r>
        <w:t xml:space="preserve">4</w:t>
      </w:r>
    </w:p>
    <w:p>
      <w:pPr>
        <w:pStyle w:val="BodyText"/>
      </w:pPr>
      <w:r>
        <w:t xml:space="preserve">USCG-2010-0990</w:t>
      </w:r>
    </w:p>
    <w:p>
      <w:pPr>
        <w:pStyle w:val="BodyText"/>
      </w:pPr>
      <w:r>
        <w:t xml:space="preserve">9</w:t>
      </w:r>
    </w:p>
    <w:p>
      <w:pPr>
        <w:pStyle w:val="BodyText"/>
      </w:pPr>
      <w:r>
        <w:t xml:space="preserve">BoatUS</w:t>
      </w:r>
    </w:p>
    <w:p>
      <w:pPr>
        <w:pStyle w:val="BodyText"/>
      </w:pPr>
      <w:r>
        <w:t xml:space="preserve">FALSE</w:t>
      </w:r>
    </w:p>
    <w:p>
      <w:pPr>
        <w:pStyle w:val="BodyText"/>
      </w:pPr>
      <w:r>
        <w:t xml:space="preserve">0</w:t>
      </w:r>
    </w:p>
    <w:p>
      <w:pPr>
        <w:pStyle w:val="BodyText"/>
      </w:pPr>
      <w:r>
        <w:t xml:space="preserve">6</w:t>
      </w:r>
    </w:p>
    <w:p>
      <w:pPr>
        <w:pStyle w:val="BodyText"/>
      </w:pPr>
      <w:r>
        <w:t xml:space="preserve">FALSE</w:t>
      </w:r>
    </w:p>
    <w:p>
      <w:pPr>
        <w:pStyle w:val="BodyText"/>
      </w:pPr>
      <w:r>
        <w:t xml:space="preserve">-1.0000000</w:t>
      </w:r>
    </w:p>
    <w:p>
      <w:pPr>
        <w:pStyle w:val="BodyText"/>
      </w:pPr>
      <w:r>
        <w:t xml:space="preserve">6</w:t>
      </w:r>
    </w:p>
    <w:p>
      <w:pPr>
        <w:pStyle w:val="BodyText"/>
      </w:pPr>
      <w:r>
        <w:drawing>
          <wp:inline>
            <wp:extent cx="5334000" cy="5334000"/>
            <wp:effectExtent b="0" l="0" r="0" t="0"/>
            <wp:docPr descr="Figure 3.5: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5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5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52"/>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8: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3.8: Number of Comments Linked to Hand-Coded Coalitions</w:t>
      </w:r>
    </w:p>
    <w:p>
      <w:pPr>
        <w:pStyle w:val="Heading3"/>
      </w:pPr>
      <w:bookmarkStart w:id="154" w:name="results"/>
      <w:r>
        <w:t xml:space="preserve">3.5.2	Results</w:t>
      </w:r>
      <w:bookmarkEnd w:id="154"/>
    </w:p>
    <w:p>
      <w:pPr>
        <w:pStyle w:val="FirstParagraph"/>
      </w:pPr>
      <w:r>
        <w:t xml:space="preserve">The results of this model (Figure</w:t>
      </w:r>
      <w:r>
        <w:t xml:space="preserve"> </w:t>
      </w:r>
      <w:r>
        <w:t xml:space="preserve">3.9</w:t>
      </w:r>
      <w:r>
        <w:t xml:space="preserve">, Table</w:t>
      </w:r>
      <w:r>
        <w:t xml:space="preserve"> </w:t>
      </w:r>
      <w:r>
        <w:t xml:space="preserve">3.4</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9: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5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3.9: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3.4</w:t>
      </w:r>
      <w:r>
        <w:t xml:space="preserve"> </w:t>
      </w:r>
      <w:r>
        <w:t xml:space="preserve">replaces the dependent variable (lobbying success) with the mediator variable (the number of supportive members of Congress).</w:t>
      </w:r>
    </w:p>
    <w:p>
      <w:pPr>
        <w:pStyle w:val="BodyText"/>
      </w:pPr>
      <w:r>
        <w:t xml:space="preserve">Table 3.4: Lobbying success and congressional support</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0.262</w:t>
      </w:r>
    </w:p>
    <w:p>
      <w:pPr>
        <w:pStyle w:val="BodyText"/>
      </w:pPr>
      <w:r>
        <w:t xml:space="preserve">-0.028</w:t>
      </w:r>
    </w:p>
    <w:p>
      <w:pPr>
        <w:pStyle w:val="BodyText"/>
      </w:pPr>
      <w:r>
        <w:t xml:space="preserve">0.074</w:t>
      </w:r>
    </w:p>
    <w:p>
      <w:pPr>
        <w:pStyle w:val="BodyText"/>
      </w:pPr>
      <w:r>
        <w:t xml:space="preserve">(0.220)</w:t>
      </w:r>
    </w:p>
    <w:p>
      <w:pPr>
        <w:pStyle w:val="BodyText"/>
      </w:pPr>
      <w:r>
        <w:t xml:space="preserve">(0.419)</w:t>
      </w:r>
    </w:p>
    <w:p>
      <w:pPr>
        <w:pStyle w:val="BodyText"/>
      </w:pPr>
      <w:r>
        <w:t xml:space="preserve">(0.059)</w:t>
      </w:r>
    </w:p>
    <w:p>
      <w:pPr>
        <w:pStyle w:val="BodyText"/>
      </w:pPr>
      <w:r>
        <w:t xml:space="preserve">log(comments)</w:t>
      </w:r>
    </w:p>
    <w:p>
      <w:pPr>
        <w:pStyle w:val="BodyText"/>
      </w:pPr>
      <w:r>
        <w:t xml:space="preserve">0.428**</w:t>
      </w:r>
    </w:p>
    <w:p>
      <w:pPr>
        <w:pStyle w:val="BodyText"/>
      </w:pPr>
      <w:r>
        <w:t xml:space="preserve">0.372</w:t>
      </w:r>
    </w:p>
    <w:p>
      <w:pPr>
        <w:pStyle w:val="BodyText"/>
      </w:pPr>
      <w:r>
        <w:t xml:space="preserve">-0.013</w:t>
      </w:r>
    </w:p>
    <w:p>
      <w:pPr>
        <w:pStyle w:val="BodyText"/>
      </w:pPr>
      <w:r>
        <w:t xml:space="preserve">(0.181)</w:t>
      </w:r>
    </w:p>
    <w:p>
      <w:pPr>
        <w:pStyle w:val="BodyText"/>
      </w:pPr>
      <w:r>
        <w:t xml:space="preserve">(0.242)</w:t>
      </w:r>
    </w:p>
    <w:p>
      <w:pPr>
        <w:pStyle w:val="BodyText"/>
      </w:pPr>
      <w:r>
        <w:t xml:space="preserve">(0.035)</w:t>
      </w:r>
    </w:p>
    <w:p>
      <w:pPr>
        <w:pStyle w:val="BodyText"/>
      </w:pPr>
      <w:r>
        <w:t xml:space="preserve">coalition_businessTRUE</w:t>
      </w:r>
    </w:p>
    <w:p>
      <w:pPr>
        <w:pStyle w:val="BodyText"/>
      </w:pPr>
      <w:r>
        <w:t xml:space="preserve">-0.953***</w:t>
      </w:r>
    </w:p>
    <w:p>
      <w:pPr>
        <w:pStyle w:val="BodyText"/>
      </w:pPr>
      <w:r>
        <w:t xml:space="preserve">-0.011</w:t>
      </w:r>
    </w:p>
    <w:p>
      <w:pPr>
        <w:pStyle w:val="BodyText"/>
      </w:pPr>
      <w:r>
        <w:t xml:space="preserve">-0.062</w:t>
      </w:r>
    </w:p>
    <w:p>
      <w:pPr>
        <w:pStyle w:val="BodyText"/>
      </w:pPr>
      <w:r>
        <w:t xml:space="preserve">(0.288)</w:t>
      </w:r>
    </w:p>
    <w:p>
      <w:pPr>
        <w:pStyle w:val="BodyText"/>
      </w:pPr>
      <w:r>
        <w:t xml:space="preserve">(0.449)</w:t>
      </w:r>
    </w:p>
    <w:p>
      <w:pPr>
        <w:pStyle w:val="BodyText"/>
      </w:pPr>
      <w:r>
        <w:t xml:space="preserve">(0.064)</w:t>
      </w:r>
    </w:p>
    <w:p>
      <w:pPr>
        <w:pStyle w:val="BodyText"/>
      </w:pPr>
      <w:r>
        <w:t xml:space="preserve">coalition_size</w:t>
      </w:r>
    </w:p>
    <w:p>
      <w:pPr>
        <w:pStyle w:val="BodyText"/>
      </w:pPr>
      <w:r>
        <w:t xml:space="preserve">-0.025**</w:t>
      </w:r>
    </w:p>
    <w:p>
      <w:pPr>
        <w:pStyle w:val="BodyText"/>
      </w:pPr>
      <w:r>
        <w:t xml:space="preserve">-0.023**</w:t>
      </w:r>
    </w:p>
    <w:p>
      <w:pPr>
        <w:pStyle w:val="BodyText"/>
      </w:pPr>
      <w:r>
        <w:t xml:space="preserve">0.000</w:t>
      </w:r>
    </w:p>
    <w:p>
      <w:pPr>
        <w:pStyle w:val="BodyText"/>
      </w:pPr>
      <w:r>
        <w:t xml:space="preserve">(0.010)</w:t>
      </w:r>
    </w:p>
    <w:p>
      <w:pPr>
        <w:pStyle w:val="BodyText"/>
      </w:pPr>
      <w:r>
        <w:t xml:space="preserve">(0.011)</w:t>
      </w:r>
    </w:p>
    <w:p>
      <w:pPr>
        <w:pStyle w:val="BodyText"/>
      </w:pPr>
      <w:r>
        <w:t xml:space="preserve">(0.002)</w:t>
      </w:r>
    </w:p>
    <w:p>
      <w:pPr>
        <w:pStyle w:val="BodyText"/>
      </w:pPr>
      <w:r>
        <w:t xml:space="preserve">coalition_unopposedTRUE</w:t>
      </w:r>
    </w:p>
    <w:p>
      <w:pPr>
        <w:pStyle w:val="BodyText"/>
      </w:pPr>
      <w:r>
        <w:t xml:space="preserve">NA</w:t>
      </w:r>
    </w:p>
    <w:p>
      <w:pPr>
        <w:pStyle w:val="BodyText"/>
      </w:pPr>
      <w:r>
        <w:t xml:space="preserve">NA</w:t>
      </w:r>
    </w:p>
    <w:p>
      <w:pPr>
        <w:pStyle w:val="BodyText"/>
      </w:pPr>
      <w:r>
        <w:t xml:space="preserve">NA</w:t>
      </w:r>
    </w:p>
    <w:p>
      <w:pPr>
        <w:pStyle w:val="BodyText"/>
      </w:pPr>
      <w:r>
        <w:t xml:space="preserve">()</w:t>
      </w:r>
    </w:p>
    <w:p>
      <w:pPr>
        <w:pStyle w:val="BodyText"/>
      </w:pPr>
      <w:r>
        <w:t xml:space="preserve">()</w:t>
      </w:r>
    </w:p>
    <w:p>
      <w:pPr>
        <w:pStyle w:val="BodyText"/>
      </w:pPr>
      <w:r>
        <w:t xml:space="preserve">()</w:t>
      </w:r>
    </w:p>
    <w:p>
      <w:pPr>
        <w:pStyle w:val="BodyText"/>
      </w:pPr>
      <w:r>
        <w:t xml:space="preserve">cong_support</w:t>
      </w:r>
    </w:p>
    <w:p>
      <w:pPr>
        <w:pStyle w:val="BodyText"/>
      </w:pPr>
      <w:r>
        <w:t xml:space="preserve">1.778*</w:t>
      </w:r>
    </w:p>
    <w:p>
      <w:pPr>
        <w:pStyle w:val="BodyText"/>
      </w:pPr>
      <w:r>
        <w:t xml:space="preserve">(1.027)</w:t>
      </w:r>
    </w:p>
    <w:p>
      <w:pPr>
        <w:pStyle w:val="BodyText"/>
      </w:pPr>
      <w:r>
        <w:t xml:space="preserve">Num.Obs.</w:t>
      </w:r>
    </w:p>
    <w:p>
      <w:pPr>
        <w:pStyle w:val="BodyText"/>
      </w:pPr>
      <w:r>
        <w:t xml:space="preserve">130</w:t>
      </w:r>
    </w:p>
    <w:p>
      <w:pPr>
        <w:pStyle w:val="BodyText"/>
      </w:pPr>
      <w:r>
        <w:t xml:space="preserve">50</w:t>
      </w:r>
    </w:p>
    <w:p>
      <w:pPr>
        <w:pStyle w:val="BodyText"/>
      </w:pPr>
      <w:r>
        <w:t xml:space="preserve">50</w:t>
      </w:r>
    </w:p>
    <w:p>
      <w:pPr>
        <w:pStyle w:val="BodyText"/>
      </w:pPr>
      <w:r>
        <w:t xml:space="preserve">R2</w:t>
      </w:r>
    </w:p>
    <w:p>
      <w:pPr>
        <w:pStyle w:val="BodyText"/>
      </w:pPr>
      <w:r>
        <w:t xml:space="preserve">0.148</w:t>
      </w:r>
    </w:p>
    <w:p>
      <w:pPr>
        <w:pStyle w:val="BodyText"/>
      </w:pPr>
      <w:r>
        <w:t xml:space="preserve">0.142</w:t>
      </w:r>
    </w:p>
    <w:p>
      <w:pPr>
        <w:pStyle w:val="BodyText"/>
      </w:pPr>
      <w:r>
        <w:t xml:space="preserve">0.021</w:t>
      </w:r>
    </w:p>
    <w:p>
      <w:pPr>
        <w:pStyle w:val="BodyText"/>
      </w:pPr>
      <w:r>
        <w:t xml:space="preserve">R2 Adj.</w:t>
      </w:r>
    </w:p>
    <w:p>
      <w:pPr>
        <w:pStyle w:val="BodyText"/>
      </w:pPr>
      <w:r>
        <w:t xml:space="preserve">0.128</w:t>
      </w:r>
    </w:p>
    <w:p>
      <w:pPr>
        <w:pStyle w:val="BodyText"/>
      </w:pPr>
      <w:r>
        <w:t xml:space="preserve">0.066</w:t>
      </w:r>
    </w:p>
    <w:p>
      <w:pPr>
        <w:pStyle w:val="BodyText"/>
      </w:pPr>
      <w:r>
        <w:t xml:space="preserve">-0.043</w:t>
      </w:r>
    </w:p>
    <w:p>
      <w:pPr>
        <w:pStyle w:val="BodyText"/>
      </w:pPr>
      <w:r>
        <w:t xml:space="preserve">AIC</w:t>
      </w:r>
    </w:p>
    <w:p>
      <w:pPr>
        <w:pStyle w:val="BodyText"/>
      </w:pPr>
      <w:r>
        <w:t xml:space="preserve">489.5</w:t>
      </w:r>
    </w:p>
    <w:p>
      <w:pPr>
        <w:pStyle w:val="BodyText"/>
      </w:pPr>
      <w:r>
        <w:t xml:space="preserve">182.9</w:t>
      </w:r>
    </w:p>
    <w:p>
      <w:pPr>
        <w:pStyle w:val="BodyText"/>
      </w:pPr>
      <w:r>
        <w:t xml:space="preserve">-12.1</w:t>
      </w:r>
    </w:p>
    <w:p>
      <w:pPr>
        <w:pStyle w:val="BodyText"/>
      </w:pPr>
      <w:r>
        <w:t xml:space="preserve">BIC</w:t>
      </w:r>
    </w:p>
    <w:p>
      <w:pPr>
        <w:pStyle w:val="BodyText"/>
      </w:pPr>
      <w:r>
        <w:t xml:space="preserve">503.8</w:t>
      </w:r>
    </w:p>
    <w:p>
      <w:pPr>
        <w:pStyle w:val="BodyText"/>
      </w:pPr>
      <w:r>
        <w:t xml:space="preserve">194.4</w:t>
      </w:r>
    </w:p>
    <w:p>
      <w:pPr>
        <w:pStyle w:val="BodyText"/>
      </w:pPr>
      <w:r>
        <w:t xml:space="preserve">-2.6</w:t>
      </w:r>
    </w:p>
    <w:p>
      <w:pPr>
        <w:pStyle w:val="BodyText"/>
      </w:pPr>
      <w:r>
        <w:t xml:space="preserve">Log.Lik.</w:t>
      </w:r>
    </w:p>
    <w:p>
      <w:pPr>
        <w:pStyle w:val="BodyText"/>
      </w:pPr>
      <w:r>
        <w:t xml:space="preserve">-239.752</w:t>
      </w:r>
    </w:p>
    <w:p>
      <w:pPr>
        <w:pStyle w:val="BodyText"/>
      </w:pPr>
      <w:r>
        <w:t xml:space="preserve">-85.443</w:t>
      </w:r>
    </w:p>
    <w:p>
      <w:pPr>
        <w:pStyle w:val="BodyText"/>
      </w:pPr>
      <w:r>
        <w:t xml:space="preserve">11.073</w:t>
      </w:r>
    </w:p>
    <w:p>
      <w:pPr>
        <w:pStyle w:val="BodyText"/>
      </w:pPr>
      <w:r>
        <w:t xml:space="preserve">F</w:t>
      </w:r>
    </w:p>
    <w:p>
      <w:pPr>
        <w:pStyle w:val="BodyText"/>
      </w:pPr>
      <w:r>
        <w:t xml:space="preserve">7.294</w:t>
      </w:r>
    </w:p>
    <w:p>
      <w:pPr>
        <w:pStyle w:val="BodyText"/>
      </w:pPr>
      <w:r>
        <w:t xml:space="preserve">1.861</w:t>
      </w:r>
    </w:p>
    <w:p>
      <w:pPr>
        <w:pStyle w:val="BodyText"/>
      </w:pPr>
      <w:r>
        <w:t xml:space="preserve">0.327</w:t>
      </w:r>
    </w:p>
    <w:p>
      <w:pPr>
        <w:pStyle w:val="BodyText"/>
      </w:pPr>
    </w:p>
    <w:p>
      <w:pPr>
        <w:pStyle w:val="BodyText"/>
      </w:pPr>
      <w:r>
        <w:t xml:space="preserve"> </w:t>
      </w:r>
      <w:r>
        <w:t xml:space="preserve">* p &lt; 0.1, ** p &lt; 0.05, *** p &lt; 0.01</w:t>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 0, with a p value of 0.94.</w:t>
      </w:r>
    </w:p>
    <w:p>
      <w:pPr>
        <w:pStyle w:val="BodyText"/>
      </w:pPr>
      <w:r>
        <w:t xml:space="preserve">The average direct effect (ADE) of the logged number of comments on lobbying success is 0, with a p-value of 0.63</w:t>
      </w:r>
    </w:p>
    <w:p>
      <w:pPr>
        <w:pStyle w:val="BodyText"/>
      </w:pPr>
      <w:r>
        <w:t xml:space="preserve">The Total Effect of a one-unit increase in the logged number of comments is 0, with a p value of 0.63. 0 of this is mediated through mobilizing congressional attention (p-value = 0.97).</w:t>
      </w:r>
    </w:p>
    <w:p>
      <w:pPr>
        <w:pStyle w:val="Heading3"/>
      </w:pPr>
      <w:bookmarkStart w:id="156" w:name="preliminary-findings"/>
      <w:r>
        <w:t xml:space="preserve">3.5.3	Preliminary findings</w:t>
      </w:r>
      <w:bookmarkEnd w:id="156"/>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157" w:name="conclusion-1"/>
      <w:r>
        <w:t xml:space="preserve">3.6	Conclusion</w:t>
      </w:r>
      <w:bookmarkEnd w:id="157"/>
    </w:p>
    <w:p>
      <w:pPr>
        <w:pStyle w:val="BlockText"/>
      </w:pPr>
      <w:r>
        <w:t xml:space="preserve">TODO</w:t>
      </w:r>
    </w:p>
    <w:p>
      <w:pPr>
        <w:pStyle w:val="Heading1"/>
      </w:pPr>
      <w:bookmarkStart w:id="158" w:name="Xad1e5e3cf28743755c8bc9c8447ea666bb332bf"/>
      <w:r>
        <w:t xml:space="preserve">4	The Environmental Justice Movement and Technocratic Policymaking</w:t>
      </w:r>
      <w:bookmarkEnd w:id="158"/>
    </w:p>
    <w:p>
      <w:pPr>
        <w:pStyle w:val="FirstParagraph"/>
      </w:pPr>
      <w:r>
        <w:t xml:space="preserve">See the working paper version of this chapter</w:t>
      </w:r>
      <w:r>
        <w:t xml:space="preserve"> </w:t>
      </w:r>
      <w:hyperlink r:id="rId159">
        <w:r>
          <w:rPr>
            <w:rStyle w:val="Hyperlink"/>
            <w:i/>
          </w:rPr>
          <w:t xml:space="preserve">here</w:t>
        </w:r>
      </w:hyperlink>
      <w:r>
        <w:t xml:space="preserve">.</w:t>
      </w:r>
    </w:p>
    <w:p>
      <w:pPr>
        <w:pStyle w:val="Heading4"/>
      </w:pPr>
      <w:bookmarkStart w:id="160" w:name="abstract-2"/>
      <w:r>
        <w:t xml:space="preserve">Abstract</w:t>
      </w:r>
      <w:bookmarkEnd w:id="160"/>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161" w:name="introduction-2"/>
      <w:r>
        <w:t xml:space="preserve">4.1	Introduction</w:t>
      </w:r>
      <w:bookmarkEnd w:id="161"/>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162" w:name="theory"/>
      <w:r>
        <w:t xml:space="preserve">4.2	Theory</w:t>
      </w:r>
      <w:bookmarkEnd w:id="162"/>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63"/>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164" w:name="social-movements-and-policy-change"/>
      <w:r>
        <w:t xml:space="preserve">4.2.1	Social Movements and Policy Change</w:t>
      </w:r>
      <w:bookmarkEnd w:id="164"/>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Petition campaigns can build the organizational capacity to affect policy</w:t>
      </w:r>
      <w:r>
        <w:t xml:space="preserve"> </w:t>
      </w:r>
      <w:r>
        <w:t xml:space="preserve">(Carpenter,</w:t>
      </w:r>
      <w:r>
        <w:t xml:space="preserve"> </w:t>
      </w:r>
      <w:hyperlink w:anchor="ref-CarpenterPetitions">
        <w:r>
          <w:rPr>
            <w:rStyle w:val="Hyperlink"/>
          </w:rPr>
          <w:t xml:space="preserve">n.d.</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w:t>
      </w:r>
    </w:p>
    <w:p>
      <w:pPr>
        <w:pStyle w:val="BodyText"/>
      </w:pPr>
      <w:r>
        <w:t xml:space="preserve">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165" w:name="X1c3790d66e0c8fcd3dabc4541111806693f8d51"/>
      <w:r>
        <w:t xml:space="preserve">4.2.2	Technical Information: the Currency of Lobbying</w:t>
      </w:r>
      <w:bookmarkEnd w:id="165"/>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166" w:name="political-information"/>
      <w:r>
        <w:t xml:space="preserve">4.2.3	Political Information</w:t>
      </w:r>
      <w:bookmarkEnd w:id="166"/>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167" w:name="X21a46321adfedfeae14da998745a5e83b4f58d7"/>
      <w:r>
        <w:t xml:space="preserve">4.2.3.1	Information About a Policy’s Disparate Effects</w:t>
      </w:r>
      <w:bookmarkEnd w:id="167"/>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168" w:name="public-pressure-as-a-political-resource"/>
      <w:r>
        <w:t xml:space="preserve">4.2.3.2	Public pressure as a political resource</w:t>
      </w:r>
      <w:bookmarkEnd w:id="168"/>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169" w:name="hypotheses"/>
      <w:r>
        <w:t xml:space="preserve">4.2.4	Hypotheses</w:t>
      </w:r>
      <w:bookmarkEnd w:id="169"/>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170" w:name="distributive-information-hypotheses"/>
      <w:r>
        <w:t xml:space="preserve">4.2.4.1	Distributive Information Hypotheses</w:t>
      </w:r>
      <w:bookmarkEnd w:id="170"/>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171"/>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172" w:name="public-pressure-hypotheses"/>
      <w:r>
        <w:t xml:space="preserve">4.2.4.2	Public Pressure Hypotheses</w:t>
      </w:r>
      <w:bookmarkEnd w:id="172"/>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173" w:name="testing-the-theory-1"/>
      <w:r>
        <w:t xml:space="preserve">4.3	Testing the Theory</w:t>
      </w:r>
      <w:bookmarkEnd w:id="173"/>
    </w:p>
    <w:p>
      <w:pPr>
        <w:pStyle w:val="Heading3"/>
      </w:pPr>
      <w:bookmarkStart w:id="174"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174"/>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175" w:name="data"/>
      <w:r>
        <w:t xml:space="preserve">4.3.2	Data</w:t>
      </w:r>
      <w:bookmarkEnd w:id="175"/>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176"/>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177"/>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178"/>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179"/>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180" w:name="comments"/>
      <w:r>
        <w:t xml:space="preserve">4.3.2.1	Comments</w:t>
      </w:r>
      <w:bookmarkEnd w:id="180"/>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18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182" w:name="X5bc72fdd8ee21381c1bed30b551ba5f6b7d1f04"/>
      <w:r>
        <w:t xml:space="preserve">4.3.2.2	Interest Groups and Second-order Representation</w:t>
      </w:r>
      <w:bookmarkEnd w:id="182"/>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183" w:name="Xa0465661e073274b9a5bc0617e85f811e5e5137"/>
      <w:r>
        <w:t xml:space="preserve">4.3.2.2.1	Which Organizations Most often Raise EJ Concerns?</w:t>
      </w:r>
      <w:bookmarkEnd w:id="183"/>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184" w:name="commenter-race"/>
      <w:r>
        <w:t xml:space="preserve">4.3.2.2.2	Commenter Race</w:t>
      </w:r>
      <w:bookmarkEnd w:id="184"/>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185"/>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186"/>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187"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187"/>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188" w:name="Xcf30ced5e2318c2b966e4ae47416aff842c0b7c"/>
      <w:r>
        <w:t xml:space="preserve">4.3.3.1	The Evolving Distributional Politics of Mercury Pollution</w:t>
      </w:r>
      <w:bookmarkEnd w:id="188"/>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189" w:name="measuring-policy-change"/>
      <w:r>
        <w:t xml:space="preserve">4.3.4	Measuring Policy Change</w:t>
      </w:r>
      <w:bookmarkEnd w:id="189"/>
    </w:p>
    <w:p>
      <w:pPr>
        <w:pStyle w:val="FirstParagraph"/>
      </w:pPr>
      <w:r>
        <w:t xml:space="preserve">Having shown how public comments and pressure can influence policy texts, I assess the general relationship between comments and policy change across all rules. I use two indicators of policy change to model the effect of public comments on policy:</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appropriate given that prior research shows little to no effect of public comments from advocacy groups and little attention to EJ in particular.</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190" w:name="X31bf8ee7b1badcf23c858e7b743e74b4096d22d"/>
      <w:r>
        <w:t xml:space="preserve">4.3.4.1	Measure 1: Adding Text Addressing EJ to Final Rules</w:t>
      </w:r>
      <w:bookmarkEnd w:id="190"/>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191" w:name="X3d604303bfede2a71706b8d5c03a6208b82a9aa"/>
      <w:r>
        <w:t xml:space="preserve">4.3.4.2	Measure 2: Changing Text Addressing EJ in Final Rules</w:t>
      </w:r>
      <w:bookmarkEnd w:id="191"/>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192"/>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193"/>
      </w:r>
    </w:p>
    <w:p>
      <w:pPr>
        <w:pStyle w:val="Heading2"/>
      </w:pPr>
      <w:bookmarkStart w:id="194" w:name="results-1"/>
      <w:r>
        <w:t xml:space="preserve">4.4	Results</w:t>
      </w:r>
      <w:bookmarkEnd w:id="194"/>
    </w:p>
    <w:p>
      <w:pPr>
        <w:pStyle w:val="Heading3"/>
      </w:pPr>
      <w:bookmarkStart w:id="195" w:name="X3ac71875dcf4a6fa0ed5df60562bda96690e359"/>
      <w:r>
        <w:t xml:space="preserve">4.4.1	Are final rules more likely to address environmental justice after comments do so?</w:t>
      </w:r>
      <w:bookmarkEnd w:id="195"/>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4.1</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t xml:space="preserve">Table 4.1: Logit Regression Predicting Change in Rule Text</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Dependent Variable</w:t>
      </w:r>
    </w:p>
    <w:p>
      <w:pPr>
        <w:pStyle w:val="BodyText"/>
      </w:pPr>
      <w:r>
        <w:t xml:space="preserve">EJ Added</w:t>
      </w:r>
    </w:p>
    <w:p>
      <w:pPr>
        <w:pStyle w:val="BodyText"/>
      </w:pPr>
      <w:r>
        <w:t xml:space="preserve">EJ Added</w:t>
      </w:r>
    </w:p>
    <w:p>
      <w:pPr>
        <w:pStyle w:val="BodyText"/>
      </w:pPr>
      <w:r>
        <w:t xml:space="preserve">EJ Changed</w:t>
      </w:r>
    </w:p>
    <w:p>
      <w:pPr>
        <w:pStyle w:val="BodyText"/>
      </w:pPr>
      <w:r>
        <w:t xml:space="preserve">EJ Changed</w:t>
      </w:r>
    </w:p>
    <w:p>
      <w:pPr>
        <w:pStyle w:val="BodyText"/>
      </w:pPr>
      <w:r>
        <w:t xml:space="preserve">EJ Comment</w:t>
      </w:r>
    </w:p>
    <w:p>
      <w:pPr>
        <w:pStyle w:val="BodyText"/>
      </w:pPr>
      <w:r>
        <w:t xml:space="preserve">3.336***</w:t>
      </w:r>
    </w:p>
    <w:p>
      <w:pPr>
        <w:pStyle w:val="BodyText"/>
      </w:pPr>
      <w:r>
        <w:t xml:space="preserve">2.296***</w:t>
      </w:r>
    </w:p>
    <w:p>
      <w:pPr>
        <w:pStyle w:val="BodyText"/>
      </w:pPr>
      <w:r>
        <w:t xml:space="preserve">0.513**</w:t>
      </w:r>
    </w:p>
    <w:p>
      <w:pPr>
        <w:pStyle w:val="BodyText"/>
      </w:pPr>
      <w:r>
        <w:t xml:space="preserve">0.530**</w:t>
      </w:r>
    </w:p>
    <w:p>
      <w:pPr>
        <w:pStyle w:val="BodyText"/>
      </w:pPr>
      <w:r>
        <w:t xml:space="preserve">(0.229)</w:t>
      </w:r>
    </w:p>
    <w:p>
      <w:pPr>
        <w:pStyle w:val="BodyText"/>
      </w:pPr>
      <w:r>
        <w:t xml:space="preserve">(0.237)</w:t>
      </w:r>
    </w:p>
    <w:p>
      <w:pPr>
        <w:pStyle w:val="BodyText"/>
      </w:pPr>
      <w:r>
        <w:t xml:space="preserve">(0.237)</w:t>
      </w:r>
    </w:p>
    <w:p>
      <w:pPr>
        <w:pStyle w:val="BodyText"/>
      </w:pPr>
      <w:r>
        <w:t xml:space="preserve">(0.241)</w:t>
      </w:r>
    </w:p>
    <w:p>
      <w:pPr>
        <w:pStyle w:val="BodyText"/>
      </w:pPr>
      <w:r>
        <w:t xml:space="preserve">Log(Comments+1)</w:t>
      </w:r>
    </w:p>
    <w:p>
      <w:pPr>
        <w:pStyle w:val="BodyText"/>
      </w:pPr>
      <w:r>
        <w:t xml:space="preserve">0.068**</w:t>
      </w:r>
    </w:p>
    <w:p>
      <w:pPr>
        <w:pStyle w:val="BodyText"/>
      </w:pPr>
      <w:r>
        <w:t xml:space="preserve">0.234***</w:t>
      </w:r>
    </w:p>
    <w:p>
      <w:pPr>
        <w:pStyle w:val="BodyText"/>
      </w:pPr>
      <w:r>
        <w:t xml:space="preserve">-0.147***</w:t>
      </w:r>
    </w:p>
    <w:p>
      <w:pPr>
        <w:pStyle w:val="BodyText"/>
      </w:pPr>
      <w:r>
        <w:t xml:space="preserve">-0.156***</w:t>
      </w:r>
    </w:p>
    <w:p>
      <w:pPr>
        <w:pStyle w:val="BodyText"/>
      </w:pPr>
      <w:r>
        <w:t xml:space="preserve">(0.028)</w:t>
      </w:r>
    </w:p>
    <w:p>
      <w:pPr>
        <w:pStyle w:val="BodyText"/>
      </w:pPr>
      <w:r>
        <w:t xml:space="preserve">(0.036)</w:t>
      </w:r>
    </w:p>
    <w:p>
      <w:pPr>
        <w:pStyle w:val="BodyText"/>
      </w:pPr>
      <w:r>
        <w:t xml:space="preserve">(0.032)</w:t>
      </w:r>
    </w:p>
    <w:p>
      <w:pPr>
        <w:pStyle w:val="BodyText"/>
      </w:pPr>
      <w:r>
        <w:t xml:space="preserve">(0.033)</w:t>
      </w:r>
    </w:p>
    <w:p>
      <w:pPr>
        <w:pStyle w:val="BodyText"/>
      </w:pPr>
      <w:r>
        <w:t xml:space="preserve">Log(Unique EJ Comments+1)</w:t>
      </w:r>
    </w:p>
    <w:p>
      <w:pPr>
        <w:pStyle w:val="BodyText"/>
      </w:pPr>
      <w:r>
        <w:t xml:space="preserve">0.806***</w:t>
      </w:r>
    </w:p>
    <w:p>
      <w:pPr>
        <w:pStyle w:val="BodyText"/>
      </w:pPr>
      <w:r>
        <w:t xml:space="preserve">0.680***</w:t>
      </w:r>
    </w:p>
    <w:p>
      <w:pPr>
        <w:pStyle w:val="BodyText"/>
      </w:pPr>
      <w:r>
        <w:t xml:space="preserve">0.374***</w:t>
      </w:r>
    </w:p>
    <w:p>
      <w:pPr>
        <w:pStyle w:val="BodyText"/>
      </w:pPr>
      <w:r>
        <w:t xml:space="preserve">0.418***</w:t>
      </w:r>
    </w:p>
    <w:p>
      <w:pPr>
        <w:pStyle w:val="BodyText"/>
      </w:pPr>
      <w:r>
        <w:t xml:space="preserve">(0.198)</w:t>
      </w:r>
    </w:p>
    <w:p>
      <w:pPr>
        <w:pStyle w:val="BodyText"/>
      </w:pPr>
      <w:r>
        <w:t xml:space="preserve">(0.241)</w:t>
      </w:r>
    </w:p>
    <w:p>
      <w:pPr>
        <w:pStyle w:val="BodyText"/>
      </w:pPr>
      <w:r>
        <w:t xml:space="preserve">(0.123)</w:t>
      </w:r>
    </w:p>
    <w:p>
      <w:pPr>
        <w:pStyle w:val="BodyText"/>
      </w:pPr>
      <w:r>
        <w:t xml:space="preserve">(0.127)</w:t>
      </w:r>
    </w:p>
    <w:p>
      <w:pPr>
        <w:pStyle w:val="BodyText"/>
      </w:pPr>
      <w:r>
        <w:t xml:space="preserve">EJ Comment*Log(Comments+1)</w:t>
      </w:r>
    </w:p>
    <w:p>
      <w:pPr>
        <w:pStyle w:val="BodyText"/>
      </w:pPr>
      <w:r>
        <w:t xml:space="preserve">-0.350***</w:t>
      </w:r>
    </w:p>
    <w:p>
      <w:pPr>
        <w:pStyle w:val="BodyText"/>
      </w:pPr>
      <w:r>
        <w:t xml:space="preserve">-0.204***</w:t>
      </w:r>
    </w:p>
    <w:p>
      <w:pPr>
        <w:pStyle w:val="BodyText"/>
      </w:pPr>
      <w:r>
        <w:t xml:space="preserve">0.064</w:t>
      </w:r>
    </w:p>
    <w:p>
      <w:pPr>
        <w:pStyle w:val="BodyText"/>
      </w:pPr>
      <w:r>
        <w:t xml:space="preserve">0.059</w:t>
      </w:r>
    </w:p>
    <w:p>
      <w:pPr>
        <w:pStyle w:val="BodyText"/>
      </w:pPr>
      <w:r>
        <w:t xml:space="preserve">(0.065)</w:t>
      </w:r>
    </w:p>
    <w:p>
      <w:pPr>
        <w:pStyle w:val="BodyText"/>
      </w:pPr>
      <w:r>
        <w:t xml:space="preserve">(0.071)</w:t>
      </w:r>
    </w:p>
    <w:p>
      <w:pPr>
        <w:pStyle w:val="BodyText"/>
      </w:pPr>
      <w:r>
        <w:t xml:space="preserve">(0.051)</w:t>
      </w:r>
    </w:p>
    <w:p>
      <w:pPr>
        <w:pStyle w:val="BodyText"/>
      </w:pPr>
      <w:r>
        <w:t xml:space="preserve">(0.053)</w:t>
      </w:r>
    </w:p>
    <w:p>
      <w:pPr>
        <w:pStyle w:val="BodyText"/>
      </w:pPr>
      <w:r>
        <w:t xml:space="preserve">President FE</w:t>
      </w:r>
    </w:p>
    <w:p>
      <w:pPr>
        <w:pStyle w:val="BodyText"/>
      </w:pPr>
      <w:r>
        <w:t xml:space="preserve">X</w:t>
      </w:r>
    </w:p>
    <w:p>
      <w:pPr>
        <w:pStyle w:val="BodyText"/>
      </w:pPr>
      <w:r>
        <w:t xml:space="preserve">X</w:t>
      </w:r>
    </w:p>
    <w:p>
      <w:pPr>
        <w:pStyle w:val="BodyText"/>
      </w:pPr>
      <w:r>
        <w:t xml:space="preserve">X</w:t>
      </w:r>
    </w:p>
    <w:p>
      <w:pPr>
        <w:pStyle w:val="BodyText"/>
      </w:pPr>
      <w:r>
        <w:t xml:space="preserve">X</w:t>
      </w:r>
    </w:p>
    <w:p>
      <w:pPr>
        <w:pStyle w:val="BodyText"/>
      </w:pPr>
      <w:r>
        <w:t xml:space="preserve">Agency FE</w:t>
      </w:r>
    </w:p>
    <w:p>
      <w:pPr>
        <w:pStyle w:val="BodyText"/>
      </w:pPr>
      <w:r>
        <w:t xml:space="preserve">X</w:t>
      </w:r>
    </w:p>
    <w:p>
      <w:pPr>
        <w:pStyle w:val="BodyText"/>
      </w:pPr>
      <w:r>
        <w:t xml:space="preserve">X</w:t>
      </w:r>
    </w:p>
    <w:p>
      <w:pPr>
        <w:pStyle w:val="BodyText"/>
      </w:pPr>
      <w:r>
        <w:t xml:space="preserve">Num.Obs.</w:t>
      </w:r>
    </w:p>
    <w:p>
      <w:pPr>
        <w:pStyle w:val="BodyText"/>
      </w:pPr>
      <w:r>
        <w:t xml:space="preserve">11721</w:t>
      </w:r>
    </w:p>
    <w:p>
      <w:pPr>
        <w:pStyle w:val="BodyText"/>
      </w:pPr>
      <w:r>
        <w:t xml:space="preserve">11721</w:t>
      </w:r>
    </w:p>
    <w:p>
      <w:pPr>
        <w:pStyle w:val="BodyText"/>
      </w:pPr>
      <w:r>
        <w:t xml:space="preserve">1885</w:t>
      </w:r>
    </w:p>
    <w:p>
      <w:pPr>
        <w:pStyle w:val="BodyText"/>
      </w:pPr>
      <w:r>
        <w:t xml:space="preserve">1885</w:t>
      </w:r>
    </w:p>
    <w:p>
      <w:pPr>
        <w:pStyle w:val="BodyText"/>
      </w:pPr>
      <w:r>
        <w:t xml:space="preserve">AIC</w:t>
      </w:r>
    </w:p>
    <w:p>
      <w:pPr>
        <w:pStyle w:val="BodyText"/>
      </w:pPr>
      <w:r>
        <w:t xml:space="preserve">3850.5</w:t>
      </w:r>
    </w:p>
    <w:p>
      <w:pPr>
        <w:pStyle w:val="BodyText"/>
      </w:pPr>
      <w:r>
        <w:t xml:space="preserve">3132.8</w:t>
      </w:r>
    </w:p>
    <w:p>
      <w:pPr>
        <w:pStyle w:val="BodyText"/>
      </w:pPr>
      <w:r>
        <w:t xml:space="preserve">2182.6</w:t>
      </w:r>
    </w:p>
    <w:p>
      <w:pPr>
        <w:pStyle w:val="BodyText"/>
      </w:pPr>
      <w:r>
        <w:t xml:space="preserve">2168.1</w:t>
      </w:r>
    </w:p>
    <w:p>
      <w:pPr>
        <w:pStyle w:val="BodyText"/>
      </w:pPr>
      <w:r>
        <w:t xml:space="preserve">BIC</w:t>
      </w:r>
    </w:p>
    <w:p>
      <w:pPr>
        <w:pStyle w:val="BodyText"/>
      </w:pPr>
      <w:r>
        <w:t xml:space="preserve">3909.4</w:t>
      </w:r>
    </w:p>
    <w:p>
      <w:pPr>
        <w:pStyle w:val="BodyText"/>
      </w:pPr>
      <w:r>
        <w:t xml:space="preserve">3471.8</w:t>
      </w:r>
    </w:p>
    <w:p>
      <w:pPr>
        <w:pStyle w:val="BodyText"/>
      </w:pPr>
      <w:r>
        <w:t xml:space="preserve">2226.9</w:t>
      </w:r>
    </w:p>
    <w:p>
      <w:pPr>
        <w:pStyle w:val="BodyText"/>
      </w:pPr>
      <w:r>
        <w:t xml:space="preserve">2328.8</w:t>
      </w:r>
    </w:p>
    <w:p>
      <w:pPr>
        <w:pStyle w:val="BodyText"/>
      </w:pPr>
      <w:r>
        <w:t xml:space="preserve">Log.Lik.</w:t>
      </w:r>
    </w:p>
    <w:p>
      <w:pPr>
        <w:pStyle w:val="BodyText"/>
      </w:pPr>
      <w:r>
        <w:t xml:space="preserve">-1917.233</w:t>
      </w:r>
    </w:p>
    <w:p>
      <w:pPr>
        <w:pStyle w:val="BodyText"/>
      </w:pPr>
      <w:r>
        <w:t xml:space="preserve">-1520.387</w:t>
      </w:r>
    </w:p>
    <w:p>
      <w:pPr>
        <w:pStyle w:val="BodyText"/>
      </w:pPr>
      <w:r>
        <w:t xml:space="preserve">-1083.280</w:t>
      </w:r>
    </w:p>
    <w:p>
      <w:pPr>
        <w:pStyle w:val="BodyText"/>
      </w:pPr>
      <w:r>
        <w:t xml:space="preserve">-1055.069</w:t>
      </w:r>
    </w:p>
    <w:p>
      <w:pPr>
        <w:pStyle w:val="BodyText"/>
      </w:pPr>
    </w:p>
    <w:p>
      <w:pPr>
        <w:pStyle w:val="BodyText"/>
      </w:pPr>
      <w:r>
        <w:t xml:space="preserve"> </w:t>
      </w:r>
      <w:r>
        <w:t xml:space="preserve">* p &lt; 0.1, ** p &lt; 0.05, *** p &lt; 0.01</w:t>
      </w:r>
    </w:p>
    <w:p>
      <w:pPr>
        <w:pStyle w:val="Heading4"/>
      </w:pPr>
      <w:bookmarkStart w:id="196" w:name="the-predicted-probability-of-added-text"/>
      <w:r>
        <w:t xml:space="preserve">4.4.1.1	The Predicted Probability of Added Text</w:t>
      </w:r>
      <w:bookmarkEnd w:id="196"/>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197"/>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19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19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0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01" w:name="X359aa25eb254b4dd11d195bec28ae6b4f08071c"/>
      <w:r>
        <w:t xml:space="preserve">4.4.2	Are rules more likely to change how they address environmental justice when comments mention it?</w:t>
      </w:r>
      <w:bookmarkEnd w:id="201"/>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4.1</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02" w:name="X04127dd06ed2c9e81e39c0dab2ab957e3608a00"/>
      <w:r>
        <w:t xml:space="preserve">4.4.2.1	The Predicted Probability of Changed Text</w:t>
      </w:r>
      <w:bookmarkEnd w:id="202"/>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0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0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05" w:name="conclusion-2"/>
      <w:r>
        <w:t xml:space="preserve">4.5	Conclusion</w:t>
      </w:r>
      <w:bookmarkEnd w:id="205"/>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06" w:name="reforming-the-policy-process"/>
      <w:r>
        <w:t xml:space="preserve">5	Reforming the Policy Process</w:t>
      </w:r>
      <w:bookmarkEnd w:id="206"/>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proposed reforms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3"/>
      </w:pPr>
      <w:bookmarkStart w:id="207" w:name="the-debate-in-administrative-law"/>
      <w:r>
        <w:t xml:space="preserve">5.0.1	The Debate in Administrative Law</w:t>
      </w:r>
      <w:bookmarkEnd w:id="207"/>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08" w:name="participatory-democracy-optimists"/>
      <w:r>
        <w:t xml:space="preserve">Participatory democracy optimists</w:t>
      </w:r>
      <w:bookmarkEnd w:id="208"/>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09" w:name="regulatory-democracy-reformers"/>
      <w:r>
        <w:t xml:space="preserve">“</w:t>
      </w:r>
      <w:r>
        <w:t xml:space="preserve">Regulatory democracy</w:t>
      </w:r>
      <w:r>
        <w:t xml:space="preserve">”</w:t>
      </w:r>
      <w:r>
        <w:t xml:space="preserve"> </w:t>
      </w:r>
      <w:r>
        <w:t xml:space="preserve">reformers</w:t>
      </w:r>
      <w:bookmarkEnd w:id="209"/>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10" w:name="pluralist-reformers"/>
      <w:r>
        <w:t xml:space="preserve">Pluralist reformers</w:t>
      </w:r>
      <w:bookmarkEnd w:id="210"/>
    </w:p>
    <w:p>
      <w:pPr>
        <w:pStyle w:val="FirstParagraph"/>
      </w:pPr>
      <w:r>
        <w:t xml:space="preserve">A different brand of reformer focuses less on discourse and more on interest group representation. Pluralist reformers argue that lobbying groups should be required to disclose their membership, funding, and decision-making processes (Seifter 2016).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w:t>
      </w:r>
    </w:p>
    <w:p>
      <w:pPr>
        <w:pStyle w:val="Heading4"/>
      </w:pPr>
      <w:bookmarkStart w:id="211" w:name="rational-pluralists"/>
      <w:r>
        <w:t xml:space="preserve">Rational pluralists</w:t>
      </w:r>
      <w:bookmarkEnd w:id="211"/>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12" w:name="skeptics"/>
      <w:r>
        <w:t xml:space="preserve">Skeptics</w:t>
      </w:r>
      <w:bookmarkEnd w:id="212"/>
    </w:p>
    <w:p>
      <w:pPr>
        <w:pStyle w:val="FirstParagraph"/>
      </w:pPr>
      <w:r>
        <w:t xml:space="preserve">The most skeptical camp goes even further, arguing that open solicitations to the general public should be abolished.</w:t>
      </w:r>
    </w:p>
    <w:p>
      <w:pPr>
        <w:pStyle w:val="Heading3"/>
      </w:pPr>
      <w:bookmarkStart w:id="213" w:name="challenges"/>
      <w:r>
        <w:t xml:space="preserve">5.0.2	Challenges</w:t>
      </w:r>
      <w:bookmarkEnd w:id="213"/>
    </w:p>
    <w:p>
      <w:pPr>
        <w:pStyle w:val="Heading4"/>
      </w:pPr>
      <w:bookmarkStart w:id="214" w:name="fraud"/>
      <w:r>
        <w:t xml:space="preserve">Fraud</w:t>
      </w:r>
      <w:bookmarkEnd w:id="214"/>
    </w:p>
    <w:p>
      <w:pPr>
        <w:pStyle w:val="FirstParagraph"/>
      </w:pPr>
      <w:r>
        <w:t xml:space="preserve">(The Wall Street Journal](</w:t>
      </w:r>
      <w:hyperlink r:id="rId215">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3"/>
      </w:pPr>
      <w:bookmarkStart w:id="216" w:name="reforms"/>
      <w:r>
        <w:t xml:space="preserve">5.0.3	Reforms</w:t>
      </w:r>
      <w:bookmarkEnd w:id="216"/>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8"/>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8"/>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r>
        <w:t xml:space="preserve"> </w:t>
      </w:r>
      <w:r>
        <w:t xml:space="preserve">–&gt;</w:t>
      </w:r>
      <w:r>
        <w:t xml:space="preserve"> </w:t>
      </w:r>
      <w:r>
        <w:t xml:space="preserve">#### Aims of reform {-}</w:t>
      </w:r>
    </w:p>
    <w:p>
      <w:pPr>
        <w:pStyle w:val="BodyText"/>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17" w:name="parsing-the-questions"/>
      <w:r>
        <w:t xml:space="preserve">Parsing the questions</w:t>
      </w:r>
      <w:bookmarkEnd w:id="217"/>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18" w:name="offering-answers"/>
      <w:r>
        <w:t xml:space="preserve">Offering answers</w:t>
      </w:r>
      <w:bookmarkEnd w:id="218"/>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9"/>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19" w:name="acus-report"/>
      <w:r>
        <w:t xml:space="preserve">ACUS Report</w:t>
      </w:r>
      <w:bookmarkEnd w:id="219"/>
    </w:p>
    <w:p>
      <w:r>
        <w:pict>
          <v:rect style="width:0;height:1.5pt" o:hralign="center" o:hrstd="t" o:hr="t"/>
        </w:pict>
      </w:r>
    </w:p>
    <w:p>
      <w:pPr>
        <w:pStyle w:val="Heading4"/>
      </w:pPr>
      <w:bookmarkStart w:id="220" w:name="X373c49abac0f56889b518962547d41b908b2dc6"/>
      <w:r>
        <w:t xml:space="preserve">Increasing transparency and public participation (GSA-2019-02)</w:t>
      </w:r>
      <w:bookmarkEnd w:id="220"/>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21" w:name="gaurding-against-fraud"/>
      <w:r>
        <w:t xml:space="preserve">Gaurding against fraud</w:t>
      </w:r>
      <w:bookmarkEnd w:id="221"/>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1"/>
      </w:pPr>
      <w:bookmarkStart w:id="222" w:name="conclusion-3"/>
      <w:r>
        <w:t xml:space="preserve">6	Conclusion</w:t>
      </w:r>
      <w:bookmarkEnd w:id="222"/>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463" w:name="refs"/>
    <w:bookmarkStart w:id="224" w:name="ref-ACUS2018"/>
    <w:p>
      <w:pPr>
        <w:pStyle w:val="Bibliography"/>
      </w:pPr>
      <w:r>
        <w:t xml:space="preserve">ACUS. 2018. “Mass and Fake Comments in Agency Rulemaking.” Administrative Conference of the United States.</w:t>
      </w:r>
      <w:r>
        <w:t xml:space="preserve"> </w:t>
      </w:r>
      <w:hyperlink r:id="rId223">
        <w:r>
          <w:rPr>
            <w:rStyle w:val="Hyperlink"/>
          </w:rPr>
          <w:t xml:space="preserve">https://www.acus.gov/sites/default/files/documents/ACUS Recommendations Packet.pdf</w:t>
        </w:r>
      </w:hyperlink>
      <w:r>
        <w:t xml:space="preserve">.</w:t>
      </w:r>
    </w:p>
    <w:bookmarkEnd w:id="224"/>
    <w:bookmarkStart w:id="226"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25">
        <w:r>
          <w:rPr>
            <w:rStyle w:val="Hyperlink"/>
          </w:rPr>
          <w:t xml:space="preserve">https://doi.org/10.1146/annurev.soc.30.012703.110542</w:t>
        </w:r>
      </w:hyperlink>
      <w:r>
        <w:t xml:space="preserve">.</w:t>
      </w:r>
    </w:p>
    <w:bookmarkEnd w:id="226"/>
    <w:bookmarkStart w:id="228"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27">
        <w:r>
          <w:rPr>
            <w:rStyle w:val="Hyperlink"/>
          </w:rPr>
          <w:t xml:space="preserve">https://yalebooks.yale.edu/book/9780300025927/congress-and-bureaucracy</w:t>
        </w:r>
      </w:hyperlink>
      <w:r>
        <w:t xml:space="preserve">.</w:t>
      </w:r>
    </w:p>
    <w:bookmarkEnd w:id="228"/>
    <w:bookmarkStart w:id="230"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29">
        <w:r>
          <w:rPr>
            <w:rStyle w:val="Hyperlink"/>
          </w:rPr>
          <w:t xml:space="preserve">https://doi.org/10.2307/2585488</w:t>
        </w:r>
      </w:hyperlink>
      <w:r>
        <w:t xml:space="preserve">.</w:t>
      </w:r>
    </w:p>
    <w:bookmarkEnd w:id="230"/>
    <w:bookmarkStart w:id="231" w:name="ref-Balla2018"/>
    <w:p>
      <w:pPr>
        <w:pStyle w:val="Bibliography"/>
      </w:pPr>
      <w:r>
        <w:t xml:space="preserve">Balla, Steven J, Alexander R Beck, William C Cubbison, and Aryamala Prasad. 2018. “Where’s the Spam? Mass Comment Campaigns in Agency Rulemaking.”</w:t>
      </w:r>
    </w:p>
    <w:bookmarkEnd w:id="231"/>
    <w:bookmarkStart w:id="233"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32">
        <w:r>
          <w:rPr>
            <w:rStyle w:val="Hyperlink"/>
          </w:rPr>
          <w:t xml:space="preserve">https://doi.org/10.1515/9781400822485</w:t>
        </w:r>
      </w:hyperlink>
      <w:r>
        <w:t xml:space="preserve">.</w:t>
      </w:r>
    </w:p>
    <w:bookmarkEnd w:id="233"/>
    <w:bookmarkStart w:id="235"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34">
        <w:r>
          <w:rPr>
            <w:rStyle w:val="Hyperlink"/>
          </w:rPr>
          <w:t xml:space="preserve">https://www.brookings.edu/book/the-new-liberalism/</w:t>
        </w:r>
      </w:hyperlink>
      <w:r>
        <w:t xml:space="preserve">.</w:t>
      </w:r>
    </w:p>
    <w:bookmarkEnd w:id="235"/>
    <w:bookmarkStart w:id="236"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36"/>
    <w:bookmarkStart w:id="238"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37">
        <w:r>
          <w:rPr>
            <w:rStyle w:val="Hyperlink"/>
          </w:rPr>
          <w:t xml:space="preserve">https://doi.org/10.1177/0093650218808186</w:t>
        </w:r>
      </w:hyperlink>
      <w:r>
        <w:t xml:space="preserve">.</w:t>
      </w:r>
    </w:p>
    <w:bookmarkEnd w:id="238"/>
    <w:bookmarkStart w:id="240"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39">
        <w:r>
          <w:rPr>
            <w:rStyle w:val="Hyperlink"/>
          </w:rPr>
          <w:t xml:space="preserve">http://www.worldcat.org/title/confronting-environmental-racism-voices-from-the-grassroots/oclc/26351432</w:t>
        </w:r>
      </w:hyperlink>
      <w:r>
        <w:t xml:space="preserve">.</w:t>
      </w:r>
    </w:p>
    <w:bookmarkEnd w:id="240"/>
    <w:bookmarkStart w:id="242"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41">
        <w:r>
          <w:rPr>
            <w:rStyle w:val="Hyperlink"/>
          </w:rPr>
          <w:t xml:space="preserve">https://doi.org/10.33774/apsa-2020-k78wc</w:t>
        </w:r>
      </w:hyperlink>
      <w:r>
        <w:t xml:space="preserve">.</w:t>
      </w:r>
    </w:p>
    <w:bookmarkEnd w:id="242"/>
    <w:bookmarkStart w:id="244"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43">
        <w:r>
          <w:rPr>
            <w:rStyle w:val="Hyperlink"/>
          </w:rPr>
          <w:t xml:space="preserve">http://press.princeton.edu/titles/4385.html http://web.stanford.edu/class/polisci177a/Notes.Week2.pdf</w:t>
        </w:r>
      </w:hyperlink>
      <w:r>
        <w:t xml:space="preserve">.</w:t>
      </w:r>
    </w:p>
    <w:bookmarkEnd w:id="244"/>
    <w:bookmarkStart w:id="246" w:name="ref-CarpenterPetitions"/>
    <w:p>
      <w:pPr>
        <w:pStyle w:val="Bibliography"/>
      </w:pPr>
      <w:r>
        <w:t xml:space="preserve">Carpenter, Daniel. n.d. “The Petition as a Recruitment Device: Evidence from the Abolitionists’ Congressional Campaign.”</w:t>
      </w:r>
      <w:r>
        <w:t xml:space="preserve"> </w:t>
      </w:r>
      <w:hyperlink r:id="rId245">
        <w:r>
          <w:rPr>
            <w:rStyle w:val="Hyperlink"/>
          </w:rPr>
          <w:t xml:space="preserve">https://petitions.radcliffe.harvard.edu/files/petitions/files/petition-recruit-20040112.pdf</w:t>
        </w:r>
      </w:hyperlink>
      <w:r>
        <w:t xml:space="preserve">.</w:t>
      </w:r>
    </w:p>
    <w:bookmarkEnd w:id="246"/>
    <w:bookmarkStart w:id="248"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247">
        <w:r>
          <w:rPr>
            <w:rStyle w:val="Hyperlink"/>
          </w:rPr>
          <w:t xml:space="preserve">https://doi.org/10.1057/s41309-020-00094-w</w:t>
        </w:r>
      </w:hyperlink>
      <w:r>
        <w:t xml:space="preserve">.</w:t>
      </w:r>
    </w:p>
    <w:bookmarkEnd w:id="248"/>
    <w:bookmarkStart w:id="250"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249">
        <w:r>
          <w:rPr>
            <w:rStyle w:val="Hyperlink"/>
          </w:rPr>
          <w:t xml:space="preserve">https://doi.org/10.1017/S000305541400029X</w:t>
        </w:r>
      </w:hyperlink>
      <w:r>
        <w:t xml:space="preserve">.</w:t>
      </w:r>
    </w:p>
    <w:bookmarkEnd w:id="250"/>
    <w:bookmarkStart w:id="251"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251"/>
    <w:bookmarkStart w:id="252" w:name="ref-Casas2017"/>
    <w:p>
      <w:pPr>
        <w:pStyle w:val="Bibliography"/>
      </w:pPr>
      <w:r>
        <w:t xml:space="preserve">Casas, Andreu, Matthew J Denny, and John Wilkerson. 2017. “Legislative Hitchhikers: Re-envisioning Legislative Productivity and Bill Sponsorship Success.”</w:t>
      </w:r>
    </w:p>
    <w:bookmarkEnd w:id="252"/>
    <w:bookmarkStart w:id="254" w:name="ref-CBECAL2017"/>
    <w:p>
      <w:pPr>
        <w:pStyle w:val="Bibliography"/>
      </w:pPr>
      <w:r>
        <w:t xml:space="preserve">CBECAL. 2017. “Communities for a Better Environment.”</w:t>
      </w:r>
      <w:r>
        <w:t xml:space="preserve"> </w:t>
      </w:r>
      <w:hyperlink r:id="rId253">
        <w:r>
          <w:rPr>
            <w:rStyle w:val="Hyperlink"/>
          </w:rPr>
          <w:t xml:space="preserve">http://www.cbecal.org/</w:t>
        </w:r>
      </w:hyperlink>
      <w:r>
        <w:t xml:space="preserve">.</w:t>
      </w:r>
    </w:p>
    <w:bookmarkEnd w:id="254"/>
    <w:bookmarkStart w:id="256"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255">
        <w:r>
          <w:rPr>
            <w:rStyle w:val="Hyperlink"/>
          </w:rPr>
          <w:t xml:space="preserve">http://scholarship.law.upenn.edu/faculty{\_}scholarship</w:t>
        </w:r>
      </w:hyperlink>
      <w:r>
        <w:t xml:space="preserve">.</w:t>
      </w:r>
    </w:p>
    <w:bookmarkEnd w:id="256"/>
    <w:bookmarkStart w:id="258"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257">
        <w:r>
          <w:rPr>
            <w:rStyle w:val="Hyperlink"/>
          </w:rPr>
          <w:t xml:space="preserve">https://www.jstor.org/stable/pdf/40040532.pdf?refreqid=excelsior%3A3eeeeaa9f2da6db1832f107aa771d14f</w:t>
        </w:r>
      </w:hyperlink>
      <w:r>
        <w:t xml:space="preserve">.</w:t>
      </w:r>
    </w:p>
    <w:bookmarkEnd w:id="258"/>
    <w:bookmarkStart w:id="259"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259"/>
    <w:bookmarkStart w:id="261"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260">
        <w:r>
          <w:rPr>
            <w:rStyle w:val="Hyperlink"/>
          </w:rPr>
          <w:t xml:space="preserve">https://doi.org/10.1080/08913810608443650</w:t>
        </w:r>
      </w:hyperlink>
      <w:r>
        <w:t xml:space="preserve">.</w:t>
      </w:r>
    </w:p>
    <w:bookmarkEnd w:id="261"/>
    <w:bookmarkStart w:id="263"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262">
        <w:r>
          <w:rPr>
            <w:rStyle w:val="Hyperlink"/>
          </w:rPr>
          <w:t xml:space="preserve">https://mountainscholar.org/bitstream/handle/10217/181399/Cook{\_}colostate{\_}0053A14127.pdf?sequence=1</w:t>
        </w:r>
      </w:hyperlink>
      <w:r>
        <w:t xml:space="preserve">.</w:t>
      </w:r>
    </w:p>
    <w:bookmarkEnd w:id="263"/>
    <w:bookmarkStart w:id="264"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264"/>
    <w:bookmarkStart w:id="266"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265">
        <w:r>
          <w:rPr>
            <w:rStyle w:val="Hyperlink"/>
          </w:rPr>
          <w:t xml:space="preserve">http://chicagounbound.uchicago.edu/cgi/viewcontent.cgi?article=5219{\&amp;}context=uclrev</w:t>
        </w:r>
      </w:hyperlink>
      <w:r>
        <w:t xml:space="preserve">.</w:t>
      </w:r>
    </w:p>
    <w:bookmarkEnd w:id="266"/>
    <w:bookmarkStart w:id="268"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267">
        <w:r>
          <w:rPr>
            <w:rStyle w:val="Hyperlink"/>
          </w:rPr>
          <w:t xml:space="preserve">https://doi.org/10.1177/0095399715581040</w:t>
        </w:r>
      </w:hyperlink>
      <w:r>
        <w:t xml:space="preserve">.</w:t>
      </w:r>
    </w:p>
    <w:bookmarkEnd w:id="268"/>
    <w:bookmarkStart w:id="270"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269">
        <w:r>
          <w:rPr>
            <w:rStyle w:val="Hyperlink"/>
          </w:rPr>
          <w:t xml:space="preserve">https://about.jstor.org/terms https://papers.ssrn.com/sol3/papers.cfm?abstract{\_}id=595181{\&amp;}download=yes</w:t>
        </w:r>
      </w:hyperlink>
      <w:r>
        <w:t xml:space="preserve">.</w:t>
      </w:r>
    </w:p>
    <w:bookmarkEnd w:id="270"/>
    <w:bookmarkStart w:id="272"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271">
        <w:r>
          <w:rPr>
            <w:rStyle w:val="Hyperlink"/>
          </w:rPr>
          <w:t xml:space="preserve">http://law.wisc.edu/ils/2017speakerfiles/supplemental{\_}reading--administrative{\_}war.pdf</w:t>
        </w:r>
      </w:hyperlink>
      <w:r>
        <w:t xml:space="preserve">.</w:t>
      </w:r>
    </w:p>
    <w:bookmarkEnd w:id="272"/>
    <w:bookmarkStart w:id="274"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273">
        <w:r>
          <w:rPr>
            <w:rStyle w:val="Hyperlink"/>
          </w:rPr>
          <w:t xml:space="preserve">https://books.google.com/books/about/Democracy{\_}and{\_}Its{\_}Critics.html?id=l1RQngEACAAJ</w:t>
        </w:r>
      </w:hyperlink>
      <w:r>
        <w:t xml:space="preserve">.</w:t>
      </w:r>
    </w:p>
    <w:bookmarkEnd w:id="274"/>
    <w:bookmarkStart w:id="276"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275">
        <w:r>
          <w:rPr>
            <w:rStyle w:val="Hyperlink"/>
          </w:rPr>
          <w:t xml:space="preserve">https://doi.org/10.1093/acprof:oso/9780199891702.001.0001</w:t>
        </w:r>
      </w:hyperlink>
      <w:r>
        <w:t xml:space="preserve">.</w:t>
      </w:r>
    </w:p>
    <w:bookmarkEnd w:id="276"/>
    <w:bookmarkStart w:id="278"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277">
        <w:r>
          <w:rPr>
            <w:rStyle w:val="Hyperlink"/>
          </w:rPr>
          <w:t xml:space="preserve">https://books.google.com/books/about/Democracy{\_}Bureaucracy{\_}and{\_}Public{\_}Choice.html?id=dGu4AwAAQBAJ</w:t>
        </w:r>
      </w:hyperlink>
      <w:r>
        <w:t xml:space="preserve">.</w:t>
      </w:r>
    </w:p>
    <w:bookmarkEnd w:id="278"/>
    <w:bookmarkStart w:id="280"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279">
        <w:r>
          <w:rPr>
            <w:rStyle w:val="Hyperlink"/>
          </w:rPr>
          <w:t xml:space="preserve">https://doi.org/10.1111/1475-6765.12012</w:t>
        </w:r>
      </w:hyperlink>
      <w:r>
        <w:t xml:space="preserve">.</w:t>
      </w:r>
    </w:p>
    <w:bookmarkEnd w:id="280"/>
    <w:bookmarkStart w:id="282" w:name="ref-Earthjustice2017"/>
    <w:p>
      <w:pPr>
        <w:pStyle w:val="Bibliography"/>
      </w:pPr>
      <w:r>
        <w:t xml:space="preserve">Earthjustice. 2017. “Our Work.”</w:t>
      </w:r>
      <w:r>
        <w:t xml:space="preserve"> </w:t>
      </w:r>
      <w:hyperlink r:id="rId281">
        <w:r>
          <w:rPr>
            <w:rStyle w:val="Hyperlink"/>
          </w:rPr>
          <w:t xml:space="preserve">https://earthjustice.org/our{\_}work</w:t>
        </w:r>
      </w:hyperlink>
      <w:r>
        <w:t xml:space="preserve">.</w:t>
      </w:r>
    </w:p>
    <w:bookmarkEnd w:id="282"/>
    <w:bookmarkStart w:id="284"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283">
        <w:r>
          <w:rPr>
            <w:rStyle w:val="Hyperlink"/>
          </w:rPr>
          <w:t xml:space="preserve">https://doi.org/10.2307/2111603</w:t>
        </w:r>
      </w:hyperlink>
      <w:r>
        <w:t xml:space="preserve">.</w:t>
      </w:r>
    </w:p>
    <w:bookmarkEnd w:id="284"/>
    <w:bookmarkStart w:id="286"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285">
        <w:r>
          <w:rPr>
            <w:rStyle w:val="Hyperlink"/>
          </w:rPr>
          <w:t xml:space="preserve">https://doi.org/10.1332/174426514X13990325021128</w:t>
        </w:r>
      </w:hyperlink>
      <w:r>
        <w:t xml:space="preserve">.</w:t>
      </w:r>
    </w:p>
    <w:bookmarkEnd w:id="286"/>
    <w:bookmarkStart w:id="288"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287">
        <w:r>
          <w:rPr>
            <w:rStyle w:val="Hyperlink"/>
          </w:rPr>
          <w:t xml:space="preserve">https://doi.org/10.1111/ajps.12188</w:t>
        </w:r>
      </w:hyperlink>
      <w:r>
        <w:t xml:space="preserve">.</w:t>
      </w:r>
    </w:p>
    <w:bookmarkEnd w:id="288"/>
    <w:bookmarkStart w:id="290" w:name="ref-Farina2018"/>
    <w:p>
      <w:pPr>
        <w:pStyle w:val="Bibliography"/>
      </w:pPr>
      <w:r>
        <w:t xml:space="preserve">Farina, Cynthia R. 2018. “Comments on ACUS Proposed Recommendations on Public Engagement in Rulemaking.” Administrative Conference of the United States.</w:t>
      </w:r>
      <w:r>
        <w:t xml:space="preserve"> </w:t>
      </w:r>
      <w:hyperlink r:id="rId289">
        <w:r>
          <w:rPr>
            <w:rStyle w:val="Hyperlink"/>
          </w:rPr>
          <w:t xml:space="preserve">https://www.acus.gov/sites/default/files/documents/Public Engagement Draft Recommendation 9-10-18 Cynthia Farina Comments.pdf</w:t>
        </w:r>
      </w:hyperlink>
      <w:r>
        <w:t xml:space="preserve">.</w:t>
      </w:r>
    </w:p>
    <w:bookmarkEnd w:id="290"/>
    <w:bookmarkStart w:id="292"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291">
        <w:r>
          <w:rPr>
            <w:rStyle w:val="Hyperlink"/>
          </w:rPr>
          <w:t xml:space="preserve">http://scholarship.law.cornell.edu/cerihttp://scholarship.law.cornell.edu/ceri/1</w:t>
        </w:r>
      </w:hyperlink>
      <w:r>
        <w:t xml:space="preserve">.</w:t>
      </w:r>
    </w:p>
    <w:bookmarkEnd w:id="292"/>
    <w:bookmarkStart w:id="294"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293">
        <w:r>
          <w:rPr>
            <w:rStyle w:val="Hyperlink"/>
          </w:rPr>
          <w:t xml:space="preserve">https://papers.ssrn.com/sol3/papers.cfm?abstract{\_}id=1702491</w:t>
        </w:r>
      </w:hyperlink>
      <w:r>
        <w:t xml:space="preserve">.</w:t>
      </w:r>
    </w:p>
    <w:bookmarkEnd w:id="294"/>
    <w:bookmarkStart w:id="296" w:name="ref-Farina2014"/>
    <w:p>
      <w:pPr>
        <w:pStyle w:val="Bibliography"/>
      </w:pPr>
      <w:r>
        <w:t xml:space="preserve">Farina, Cynthia R, Mary J Newhart, and Josiah Heidt. 2014. “Rulemaking vs. Democracy: Judging and Nudging Public Participation That Counts.”</w:t>
      </w:r>
      <w:r>
        <w:t xml:space="preserve"> </w:t>
      </w:r>
      <w:hyperlink r:id="rId295">
        <w:r>
          <w:rPr>
            <w:rStyle w:val="Hyperlink"/>
          </w:rPr>
          <w:t xml:space="preserve">http://scholarship.law.cornell.edu/cerihttp://scholarship.law.cornell.edu/ceri/17</w:t>
        </w:r>
      </w:hyperlink>
      <w:r>
        <w:t xml:space="preserve">.</w:t>
      </w:r>
    </w:p>
    <w:bookmarkEnd w:id="296"/>
    <w:bookmarkStart w:id="298" w:name="ref-Feinstein2021"/>
    <w:p>
      <w:pPr>
        <w:pStyle w:val="Bibliography"/>
      </w:pPr>
      <w:r>
        <w:t xml:space="preserve">Feinstein, Brian D. 2021. “Identity-conscious Administrative Law.”</w:t>
      </w:r>
      <w:r>
        <w:t xml:space="preserve"> </w:t>
      </w:r>
      <w:hyperlink r:id="rId297">
        <w:r>
          <w:rPr>
            <w:rStyle w:val="Hyperlink"/>
          </w:rPr>
          <w:t xml:space="preserve">https://ssrn.com/abstract=3787704</w:t>
        </w:r>
      </w:hyperlink>
      <w:r>
        <w:t xml:space="preserve">.</w:t>
      </w:r>
    </w:p>
    <w:bookmarkEnd w:id="298"/>
    <w:bookmarkStart w:id="300"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299">
        <w:r>
          <w:rPr>
            <w:rStyle w:val="Hyperlink"/>
          </w:rPr>
          <w:t xml:space="preserve">https://doi.org/10.1177/009539979702900304</w:t>
        </w:r>
      </w:hyperlink>
      <w:r>
        <w:t xml:space="preserve">.</w:t>
      </w:r>
    </w:p>
    <w:bookmarkEnd w:id="300"/>
    <w:bookmarkStart w:id="302"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01">
        <w:r>
          <w:rPr>
            <w:rStyle w:val="Hyperlink"/>
          </w:rPr>
          <w:t xml:space="preserve">https://doi.org/10.1093/oxfordjournals.jpart.a024373</w:t>
        </w:r>
      </w:hyperlink>
      <w:r>
        <w:t xml:space="preserve">.</w:t>
      </w:r>
    </w:p>
    <w:bookmarkEnd w:id="302"/>
    <w:bookmarkStart w:id="304"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03">
        <w:r>
          <w:rPr>
            <w:rStyle w:val="Hyperlink"/>
          </w:rPr>
          <w:t xml:space="preserve">https://doi.org/10.1093/jopart/mui022</w:t>
        </w:r>
      </w:hyperlink>
      <w:r>
        <w:t xml:space="preserve">.</w:t>
      </w:r>
    </w:p>
    <w:bookmarkEnd w:id="304"/>
    <w:bookmarkStart w:id="306"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05">
        <w:r>
          <w:rPr>
            <w:rStyle w:val="Hyperlink"/>
          </w:rPr>
          <w:t xml:space="preserve">https://doi.org/10.1017/S0143814X16000106</w:t>
        </w:r>
      </w:hyperlink>
      <w:r>
        <w:t xml:space="preserve">.</w:t>
      </w:r>
    </w:p>
    <w:bookmarkEnd w:id="306"/>
    <w:bookmarkStart w:id="307"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07"/>
    <w:bookmarkStart w:id="309"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08">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09"/>
    <w:bookmarkStart w:id="311"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10">
        <w:r>
          <w:rPr>
            <w:rStyle w:val="Hyperlink"/>
          </w:rPr>
          <w:t xml:space="preserve">https://doi.org/10.1017/S1537592714001595</w:t>
        </w:r>
      </w:hyperlink>
      <w:r>
        <w:t xml:space="preserve">.</w:t>
      </w:r>
    </w:p>
    <w:bookmarkEnd w:id="311"/>
    <w:bookmarkStart w:id="313"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12">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13"/>
    <w:bookmarkStart w:id="314"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14"/>
    <w:bookmarkStart w:id="316" w:name="ref-Gordon2018"/>
    <w:p>
      <w:pPr>
        <w:pStyle w:val="Bibliography"/>
      </w:pPr>
      <w:r>
        <w:t xml:space="preserve">Gordon, Sanford C. Gordon, and Steven Rashin. 2018. “Citizen Participation in Policymaking:Evidence from Medicare Fee Schedule Revisions.”</w:t>
      </w:r>
      <w:r>
        <w:t xml:space="preserve"> </w:t>
      </w:r>
      <w:hyperlink r:id="rId315">
        <w:r>
          <w:rPr>
            <w:rStyle w:val="Hyperlink"/>
          </w:rPr>
          <w:t xml:space="preserve">https://www.dropbox.com/s/6ydopca7mx8ugqt/Gordon-Rashin-Private-Influence-10-24.pdf?dl=0</w:t>
        </w:r>
      </w:hyperlink>
      <w:r>
        <w:t xml:space="preserve">.</w:t>
      </w:r>
    </w:p>
    <w:bookmarkEnd w:id="316"/>
    <w:bookmarkStart w:id="317"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17"/>
    <w:bookmarkStart w:id="319"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18">
        <w:r>
          <w:rPr>
            <w:rStyle w:val="Hyperlink"/>
          </w:rPr>
          <w:t xml:space="preserve">https://doi.org/10.1017/S0003055415000246</w:t>
        </w:r>
      </w:hyperlink>
      <w:r>
        <w:t xml:space="preserve">.</w:t>
      </w:r>
    </w:p>
    <w:bookmarkEnd w:id="319"/>
    <w:bookmarkStart w:id="320"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20"/>
    <w:bookmarkStart w:id="322"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21">
        <w:r>
          <w:rPr>
            <w:rStyle w:val="Hyperlink"/>
          </w:rPr>
          <w:t xml:space="preserve">http://ojs.imodev.org/index.php/RIGO/article/view/62/154{\#}{\_}ftn6</w:t>
        </w:r>
      </w:hyperlink>
      <w:r>
        <w:t xml:space="preserve">.</w:t>
      </w:r>
    </w:p>
    <w:bookmarkEnd w:id="322"/>
    <w:bookmarkStart w:id="324" w:name="ref-Hobson2004"/>
    <w:p>
      <w:pPr>
        <w:pStyle w:val="Bibliography"/>
      </w:pPr>
      <w:r>
        <w:t xml:space="preserve">Hobson, Chris M. 2004. “Comment submitted by Chris M. Hobson, Southern Company.”</w:t>
      </w:r>
      <w:r>
        <w:t xml:space="preserve"> </w:t>
      </w:r>
      <w:hyperlink r:id="rId323">
        <w:r>
          <w:rPr>
            <w:rStyle w:val="Hyperlink"/>
          </w:rPr>
          <w:t xml:space="preserve">https://www.regulations.gov/document?D=EPA-HQ-OAR-2004-0018-0211</w:t>
        </w:r>
      </w:hyperlink>
      <w:r>
        <w:t xml:space="preserve">.</w:t>
      </w:r>
    </w:p>
    <w:bookmarkEnd w:id="324"/>
    <w:bookmarkStart w:id="326"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25">
        <w:r>
          <w:rPr>
            <w:rStyle w:val="Hyperlink"/>
          </w:rPr>
          <w:t xml:space="preserve">https://doi.org/10.1146/annurev-polisci-070910-104051</w:t>
        </w:r>
      </w:hyperlink>
      <w:r>
        <w:t xml:space="preserve">.</w:t>
      </w:r>
    </w:p>
    <w:bookmarkEnd w:id="326"/>
    <w:bookmarkStart w:id="328"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27">
        <w:r>
          <w:rPr>
            <w:rStyle w:val="Hyperlink"/>
          </w:rPr>
          <w:t xml:space="preserve">https://press.princeton.edu/titles/7656.html</w:t>
        </w:r>
      </w:hyperlink>
      <w:r>
        <w:t xml:space="preserve">.</w:t>
      </w:r>
    </w:p>
    <w:bookmarkEnd w:id="328"/>
    <w:bookmarkStart w:id="330"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29">
        <w:r>
          <w:rPr>
            <w:rStyle w:val="Hyperlink"/>
          </w:rPr>
          <w:t xml:space="preserve">https://books.google.com/books?id=8PIWAwAAQBAJ</w:t>
        </w:r>
      </w:hyperlink>
      <w:r>
        <w:t xml:space="preserve">.</w:t>
      </w:r>
    </w:p>
    <w:bookmarkEnd w:id="330"/>
    <w:bookmarkStart w:id="332"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31">
        <w:r>
          <w:rPr>
            <w:rStyle w:val="Hyperlink"/>
          </w:rPr>
          <w:t xml:space="preserve">https://about.jstor.org/terms</w:t>
        </w:r>
      </w:hyperlink>
      <w:r>
        <w:t xml:space="preserve">.</w:t>
      </w:r>
    </w:p>
    <w:bookmarkEnd w:id="332"/>
    <w:bookmarkStart w:id="334"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33">
        <w:r>
          <w:rPr>
            <w:rStyle w:val="Hyperlink"/>
          </w:rPr>
          <w:t xml:space="preserve">http://www.administrativelawreview.org/wp-content/uploads/2014/04/Beyond-the-Usual-Suspects-ACUS-Rulemaking-2-and-a-Vision-for-Broader-More-Informed-and-More-Transparent-Rulemaking.pdf</w:t>
        </w:r>
      </w:hyperlink>
      <w:r>
        <w:t xml:space="preserve">.</w:t>
      </w:r>
    </w:p>
    <w:bookmarkEnd w:id="334"/>
    <w:bookmarkStart w:id="335" w:name="ref-judgelord2016MPSA"/>
    <w:p>
      <w:pPr>
        <w:pStyle w:val="Bibliography"/>
      </w:pPr>
      <w:r>
        <w:t xml:space="preserve">Judge-Lord, Devin. 2016. “Why Courts Defer to Administrative Agency Judgement.” In. Midwest Political Science Association Annual Conference.</w:t>
      </w:r>
    </w:p>
    <w:bookmarkEnd w:id="335"/>
    <w:bookmarkStart w:id="336" w:name="ref-Judge-Lord2017"/>
    <w:p>
      <w:pPr>
        <w:pStyle w:val="Bibliography"/>
      </w:pPr>
      <w:r>
        <w:t xml:space="preserve">———. 2017. “Measuring Change and Influence in Budget Texts.” In. American Political Science Association Annual Conference.</w:t>
      </w:r>
    </w:p>
    <w:bookmarkEnd w:id="336"/>
    <w:bookmarkStart w:id="337" w:name="ref-Judge-Lord2019"/>
    <w:p>
      <w:pPr>
        <w:pStyle w:val="Bibliography"/>
      </w:pPr>
      <w:r>
        <w:t xml:space="preserve">———. 2019a. “Why Do Agencies (Sometimes) Get so Much Mail?” In. Southern Political Science Association Annual Conference.</w:t>
      </w:r>
    </w:p>
    <w:bookmarkEnd w:id="337"/>
    <w:bookmarkStart w:id="338"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338"/>
    <w:bookmarkStart w:id="340"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339">
        <w:r>
          <w:rPr>
            <w:rStyle w:val="Hyperlink"/>
          </w:rPr>
          <w:t xml:space="preserve">http://www.worldcat.org/title/going-public-new-strategies-of-presidential-leadership/oclc/1035368647</w:t>
        </w:r>
      </w:hyperlink>
      <w:r>
        <w:t xml:space="preserve">.</w:t>
      </w:r>
    </w:p>
    <w:bookmarkEnd w:id="340"/>
    <w:bookmarkStart w:id="342"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341">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42"/>
    <w:bookmarkStart w:id="344"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343">
        <w:r>
          <w:rPr>
            <w:rStyle w:val="Hyperlink"/>
          </w:rPr>
          <w:t xml:space="preserve">http://www.worldcat.org/title/public-opinion-and-american-democracy/oclc/480228689?referer=di{\&amp;}ht=edition</w:t>
        </w:r>
      </w:hyperlink>
      <w:r>
        <w:t xml:space="preserve">.</w:t>
      </w:r>
    </w:p>
    <w:bookmarkEnd w:id="344"/>
    <w:bookmarkStart w:id="346"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345">
        <w:r>
          <w:rPr>
            <w:rStyle w:val="Hyperlink"/>
          </w:rPr>
          <w:t xml:space="preserve">https://press.princeton.edu/titles/6254.html</w:t>
        </w:r>
      </w:hyperlink>
      <w:r>
        <w:t xml:space="preserve">.</w:t>
      </w:r>
    </w:p>
    <w:bookmarkEnd w:id="346"/>
    <w:bookmarkStart w:id="347"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347"/>
    <w:bookmarkStart w:id="349" w:name="ref-Libgober2018"/>
    <w:p>
      <w:pPr>
        <w:pStyle w:val="Bibliography"/>
      </w:pPr>
      <w:r>
        <w:t xml:space="preserve">Libgober, Brian. 2018. “What biased rulemaking looks like.”</w:t>
      </w:r>
      <w:r>
        <w:t xml:space="preserve"> </w:t>
      </w:r>
      <w:hyperlink r:id="rId348">
        <w:r>
          <w:rPr>
            <w:rStyle w:val="Hyperlink"/>
          </w:rPr>
          <w:t xml:space="preserve">https://libgober.files.wordpress.com/2018/09/what-biased-rulemaking-looks-like.pdf</w:t>
        </w:r>
      </w:hyperlink>
      <w:r>
        <w:t xml:space="preserve">.</w:t>
      </w:r>
    </w:p>
    <w:bookmarkEnd w:id="349"/>
    <w:bookmarkStart w:id="351" w:name="ref-LibgoberCarpenter2018"/>
    <w:p>
      <w:pPr>
        <w:pStyle w:val="Bibliography"/>
      </w:pPr>
      <w:r>
        <w:t xml:space="preserve">Libgober, Brian, and Daniel Carpenter. 2018. “Lobbying with Lawyers: Financial Market Evidence for Banks’ Influence on Rulemaking.”</w:t>
      </w:r>
      <w:r>
        <w:t xml:space="preserve"> </w:t>
      </w:r>
      <w:hyperlink r:id="rId350">
        <w:r>
          <w:rPr>
            <w:rStyle w:val="Hyperlink"/>
          </w:rPr>
          <w:t xml:space="preserve">http://equitablegrowth.org/working</w:t>
        </w:r>
      </w:hyperlink>
      <w:r>
        <w:t xml:space="preserve">.</w:t>
      </w:r>
    </w:p>
    <w:bookmarkEnd w:id="351"/>
    <w:bookmarkStart w:id="352"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352"/>
    <w:bookmarkStart w:id="354"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353">
        <w:r>
          <w:rPr>
            <w:rStyle w:val="Hyperlink"/>
          </w:rPr>
          <w:t xml:space="preserve">https://doi.org/10.2307/2009452</w:t>
        </w:r>
      </w:hyperlink>
      <w:r>
        <w:t xml:space="preserve">.</w:t>
      </w:r>
    </w:p>
    <w:bookmarkEnd w:id="354"/>
    <w:bookmarkStart w:id="355"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355"/>
    <w:bookmarkStart w:id="356" w:name="ref-Mahoney2007"/>
    <w:p>
      <w:pPr>
        <w:pStyle w:val="Bibliography"/>
      </w:pPr>
      <w:r>
        <w:t xml:space="preserve">Mahoney, Christine. 2007.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356"/>
    <w:bookmarkStart w:id="358"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357">
        <w:r>
          <w:rPr>
            <w:rStyle w:val="Hyperlink"/>
          </w:rPr>
          <w:t xml:space="preserve">https://books.google.com/books/about/The{\_}Public{\_}Congress.html?id=yD9OYgEACAAJ</w:t>
        </w:r>
      </w:hyperlink>
      <w:r>
        <w:t xml:space="preserve">.</w:t>
      </w:r>
    </w:p>
    <w:bookmarkEnd w:id="358"/>
    <w:bookmarkStart w:id="360"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359">
        <w:r>
          <w:rPr>
            <w:rStyle w:val="Hyperlink"/>
          </w:rPr>
          <w:t xml:space="preserve">http://eurogender.eige.europa.eu/sites/default/files/3593021.pdf</w:t>
        </w:r>
      </w:hyperlink>
      <w:r>
        <w:t xml:space="preserve">.</w:t>
      </w:r>
    </w:p>
    <w:bookmarkEnd w:id="360"/>
    <w:bookmarkStart w:id="362"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361">
        <w:r>
          <w:rPr>
            <w:rStyle w:val="Hyperlink"/>
          </w:rPr>
          <w:t xml:space="preserve">https://books.google.com/books/about/The{\_}Politics{\_}Of{\_}Interests.html?id=BtJMDwAAQBAJ</w:t>
        </w:r>
      </w:hyperlink>
      <w:r>
        <w:t xml:space="preserve">.</w:t>
      </w:r>
    </w:p>
    <w:bookmarkEnd w:id="362"/>
    <w:bookmarkStart w:id="364"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363">
        <w:r>
          <w:rPr>
            <w:rStyle w:val="Hyperlink"/>
          </w:rPr>
          <w:t xml:space="preserve">https://doi.org/10.1146/annurev.polisci.3.1.449</w:t>
        </w:r>
      </w:hyperlink>
      <w:r>
        <w:t xml:space="preserve">.</w:t>
      </w:r>
    </w:p>
    <w:bookmarkEnd w:id="364"/>
    <w:bookmarkStart w:id="366"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365">
        <w:r>
          <w:rPr>
            <w:rStyle w:val="Hyperlink"/>
          </w:rPr>
          <w:t xml:space="preserve">https://doi.org/10.1146/annurev-polisci-052615</w:t>
        </w:r>
      </w:hyperlink>
      <w:r>
        <w:t xml:space="preserve">.</w:t>
      </w:r>
    </w:p>
    <w:bookmarkEnd w:id="366"/>
    <w:bookmarkStart w:id="368"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367">
        <w:r>
          <w:rPr>
            <w:rStyle w:val="Hyperlink"/>
          </w:rPr>
          <w:t xml:space="preserve">https://doi.org/10.1093</w:t>
        </w:r>
      </w:hyperlink>
      <w:r>
        <w:t xml:space="preserve">.</w:t>
      </w:r>
    </w:p>
    <w:bookmarkEnd w:id="368"/>
    <w:bookmarkStart w:id="369"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369"/>
    <w:bookmarkStart w:id="371"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370">
        <w:r>
          <w:rPr>
            <w:rStyle w:val="Hyperlink"/>
          </w:rPr>
          <w:t xml:space="preserve">https://papers.ssrn.com/sol3/papers.cfm?abstract{\_}id=1860193</w:t>
        </w:r>
      </w:hyperlink>
      <w:r>
        <w:t xml:space="preserve">.</w:t>
      </w:r>
    </w:p>
    <w:bookmarkEnd w:id="371"/>
    <w:bookmarkStart w:id="373"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372">
        <w:r>
          <w:rPr>
            <w:rStyle w:val="Hyperlink"/>
          </w:rPr>
          <w:t xml:space="preserve">https://doi.org/10.2139/ssrn.1486272</w:t>
        </w:r>
      </w:hyperlink>
      <w:r>
        <w:t xml:space="preserve">.</w:t>
      </w:r>
    </w:p>
    <w:bookmarkEnd w:id="373"/>
    <w:bookmarkStart w:id="375"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374">
        <w:r>
          <w:rPr>
            <w:rStyle w:val="Hyperlink"/>
          </w:rPr>
          <w:t xml:space="preserve">https://doi.org/10.1146/annurev.soc.30.012703.110545</w:t>
        </w:r>
      </w:hyperlink>
      <w:r>
        <w:t xml:space="preserve">.</w:t>
      </w:r>
    </w:p>
    <w:bookmarkEnd w:id="375"/>
    <w:bookmarkStart w:id="377"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376">
        <w:r>
          <w:rPr>
            <w:rStyle w:val="Hyperlink"/>
          </w:rPr>
          <w:t xml:space="preserve">https://papers.ssrn.com/sol3/papers.cfm?abstract{\_}id=2444396</w:t>
        </w:r>
      </w:hyperlink>
      <w:r>
        <w:t xml:space="preserve">.</w:t>
      </w:r>
    </w:p>
    <w:bookmarkEnd w:id="377"/>
    <w:bookmarkStart w:id="378"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378"/>
    <w:bookmarkStart w:id="380" w:name="ref-Moore2017"/>
    <w:p>
      <w:pPr>
        <w:pStyle w:val="Bibliography"/>
      </w:pPr>
      <w:r>
        <w:t xml:space="preserve">Moore, Emily H. 2017. “Public Participation in Rulemaking.”</w:t>
      </w:r>
      <w:r>
        <w:t xml:space="preserve"> </w:t>
      </w:r>
      <w:hyperlink r:id="rId379">
        <w:r>
          <w:rPr>
            <w:rStyle w:val="Hyperlink"/>
          </w:rPr>
          <w:t xml:space="preserve">{https://graduate.artsci.wustl.edu/emilymoore/}</w:t>
        </w:r>
      </w:hyperlink>
      <w:r>
        <w:t xml:space="preserve">.</w:t>
      </w:r>
    </w:p>
    <w:bookmarkEnd w:id="380"/>
    <w:bookmarkStart w:id="382"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381">
        <w:r>
          <w:rPr>
            <w:rStyle w:val="Hyperlink"/>
          </w:rPr>
          <w:t xml:space="preserve">https://doi.org/10.1111/psq.12417</w:t>
        </w:r>
      </w:hyperlink>
      <w:r>
        <w:t xml:space="preserve">.</w:t>
      </w:r>
    </w:p>
    <w:bookmarkEnd w:id="382"/>
    <w:bookmarkStart w:id="384"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383">
        <w:r>
          <w:rPr>
            <w:rStyle w:val="Hyperlink"/>
          </w:rPr>
          <w:t xml:space="preserve">https://doi.org/10.1017/s0022381611001599</w:t>
        </w:r>
      </w:hyperlink>
      <w:r>
        <w:t xml:space="preserve">.</w:t>
      </w:r>
    </w:p>
    <w:bookmarkEnd w:id="384"/>
    <w:bookmarkStart w:id="386"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385">
        <w:r>
          <w:rPr>
            <w:rStyle w:val="Hyperlink"/>
          </w:rPr>
          <w:t xml:space="preserve">http://scholarship.law.cornell.edu/facpub</w:t>
        </w:r>
      </w:hyperlink>
      <w:r>
        <w:t xml:space="preserve">.</w:t>
      </w:r>
    </w:p>
    <w:bookmarkEnd w:id="386"/>
    <w:bookmarkStart w:id="387" w:name="ref-Noveck2004"/>
    <w:p>
      <w:pPr>
        <w:pStyle w:val="Bibliography"/>
      </w:pPr>
      <w:r>
        <w:t xml:space="preserve">Noveck, Beth Simone. 2004. “Public Participation in Electronic Rulemaking: Electronic Democracy or Notice-and-Spam?”</w:t>
      </w:r>
    </w:p>
    <w:bookmarkEnd w:id="387"/>
    <w:bookmarkStart w:id="389"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388">
        <w:r>
          <w:rPr>
            <w:rStyle w:val="Hyperlink"/>
          </w:rPr>
          <w:t xml:space="preserve">http://www.cei.org</w:t>
        </w:r>
      </w:hyperlink>
      <w:r>
        <w:t xml:space="preserve">.</w:t>
      </w:r>
    </w:p>
    <w:bookmarkEnd w:id="389"/>
    <w:bookmarkStart w:id="391"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390">
        <w:r>
          <w:rPr>
            <w:rStyle w:val="Hyperlink"/>
          </w:rPr>
          <w:t xml:space="preserve">https://books.google.com/books?id=bmSmcDo3kPoC{\&amp;}dq=info:3Iw8O7WHdEEJ:scholar.google.com{\&amp;}lr={\&amp;}source=gbs{\_}navlinks{\_}s</w:t>
        </w:r>
      </w:hyperlink>
      <w:r>
        <w:t xml:space="preserve">.</w:t>
      </w:r>
    </w:p>
    <w:bookmarkEnd w:id="391"/>
    <w:bookmarkStart w:id="393" w:name="ref-Potter2014dis"/>
    <w:p>
      <w:pPr>
        <w:pStyle w:val="Bibliography"/>
      </w:pPr>
      <w:r>
        <w:t xml:space="preserve">Potter, Rachel Augustine. 2014. “Writing the Rules of the Game: The Strategic Logic of Agency Rulemaking.” PhD thesis, University of Michigan.</w:t>
      </w:r>
      <w:r>
        <w:t xml:space="preserve"> </w:t>
      </w:r>
      <w:hyperlink r:id="rId392">
        <w:r>
          <w:rPr>
            <w:rStyle w:val="Hyperlink"/>
          </w:rPr>
          <w:t xml:space="preserve">https://core.ac.uk/download/pdf/73940560.pdf</w:t>
        </w:r>
      </w:hyperlink>
      <w:r>
        <w:t xml:space="preserve">.</w:t>
      </w:r>
    </w:p>
    <w:bookmarkEnd w:id="393"/>
    <w:bookmarkStart w:id="395" w:name="ref-Potter2017"/>
    <w:p>
      <w:pPr>
        <w:pStyle w:val="Bibliography"/>
      </w:pPr>
      <w:r>
        <w:t xml:space="preserve">———. 2017a. “More than Spam? Lobbying the EPA Through Public Comment Campaigns.” Brookings Series on Regulatory Process and Perspective.</w:t>
      </w:r>
      <w:r>
        <w:t xml:space="preserve"> </w:t>
      </w:r>
      <w:hyperlink r:id="rId394">
        <w:r>
          <w:rPr>
            <w:rStyle w:val="Hyperlink"/>
          </w:rPr>
          <w:t xml:space="preserve">https://www.brookings.edu/research/more-than-spam-lobbying-the-epa-through-public-comment-campaigns/</w:t>
        </w:r>
      </w:hyperlink>
      <w:r>
        <w:t xml:space="preserve">.</w:t>
      </w:r>
    </w:p>
    <w:bookmarkEnd w:id="395"/>
    <w:bookmarkStart w:id="397"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396">
        <w:r>
          <w:rPr>
            <w:rStyle w:val="Hyperlink"/>
          </w:rPr>
          <w:t xml:space="preserve">https://doi.org/10.2139/ssrn.2759117</w:t>
        </w:r>
      </w:hyperlink>
      <w:r>
        <w:t xml:space="preserve">.</w:t>
      </w:r>
    </w:p>
    <w:bookmarkEnd w:id="397"/>
    <w:bookmarkStart w:id="399"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398">
        <w:r>
          <w:rPr>
            <w:rStyle w:val="Hyperlink"/>
          </w:rPr>
          <w:t xml:space="preserve">https://doi.org/10.1017/S1049096519000520</w:t>
        </w:r>
      </w:hyperlink>
      <w:r>
        <w:t xml:space="preserve">.</w:t>
      </w:r>
    </w:p>
    <w:bookmarkEnd w:id="399"/>
    <w:bookmarkStart w:id="401"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00">
        <w:r>
          <w:rPr>
            <w:rStyle w:val="Hyperlink"/>
          </w:rPr>
          <w:t xml:space="preserve">http://digitalcommons.law.yale.edu/yjreg</w:t>
        </w:r>
      </w:hyperlink>
      <w:r>
        <w:t xml:space="preserve">.</w:t>
      </w:r>
    </w:p>
    <w:bookmarkEnd w:id="401"/>
    <w:bookmarkStart w:id="403" w:name="ref-Reich1966"/>
    <w:p>
      <w:pPr>
        <w:pStyle w:val="Bibliography"/>
      </w:pPr>
      <w:r>
        <w:t xml:space="preserve">Reich, Charles A. 1966. “The Law of the Planned Society.” Vol. 75.</w:t>
      </w:r>
      <w:r>
        <w:t xml:space="preserve"> </w:t>
      </w:r>
      <w:hyperlink r:id="rId402">
        <w:r>
          <w:rPr>
            <w:rStyle w:val="Hyperlink"/>
          </w:rPr>
          <w:t xml:space="preserve">http://digitalcommons.law.yale.edu/fss{\_}papers</w:t>
        </w:r>
      </w:hyperlink>
      <w:r>
        <w:t xml:space="preserve">.</w:t>
      </w:r>
    </w:p>
    <w:bookmarkEnd w:id="403"/>
    <w:bookmarkStart w:id="404"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04"/>
    <w:bookmarkStart w:id="405"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05"/>
    <w:bookmarkStart w:id="407"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06">
        <w:r>
          <w:rPr>
            <w:rStyle w:val="Hyperlink"/>
          </w:rPr>
          <w:t xml:space="preserve">https://papers.ssrn.com/sol3/papers.cfm?abstract{\_}id=571127</w:t>
        </w:r>
      </w:hyperlink>
      <w:r>
        <w:t xml:space="preserve">.</w:t>
      </w:r>
    </w:p>
    <w:bookmarkEnd w:id="407"/>
    <w:bookmarkStart w:id="409" w:name="ref-SantAmbrogio2018"/>
    <w:p>
      <w:pPr>
        <w:pStyle w:val="Bibliography"/>
      </w:pPr>
      <w:r>
        <w:t xml:space="preserve">Sant’Ambrogio, Michael, and Glen Staszewski. 2018. “Public Engagement in Agency Rulemaking.” Administrative Conference of the United States.</w:t>
      </w:r>
      <w:r>
        <w:t xml:space="preserve"> </w:t>
      </w:r>
      <w:hyperlink r:id="rId408">
        <w:r>
          <w:rPr>
            <w:rStyle w:val="Hyperlink"/>
          </w:rPr>
          <w:t xml:space="preserve">https://www.acus.gov/report/public-engagement-rulemaking-draft-report</w:t>
        </w:r>
      </w:hyperlink>
      <w:r>
        <w:t xml:space="preserve">.</w:t>
      </w:r>
    </w:p>
    <w:bookmarkEnd w:id="409"/>
    <w:bookmarkStart w:id="411"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10">
        <w:r>
          <w:rPr>
            <w:rStyle w:val="Hyperlink"/>
          </w:rPr>
          <w:t xml:space="preserve">https://doi.org/10.2307/1949637</w:t>
        </w:r>
      </w:hyperlink>
      <w:r>
        <w:t xml:space="preserve">.</w:t>
      </w:r>
    </w:p>
    <w:bookmarkEnd w:id="411"/>
    <w:bookmarkStart w:id="413"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12">
        <w:r>
          <w:rPr>
            <w:rStyle w:val="Hyperlink"/>
          </w:rPr>
          <w:t xml:space="preserve">http://wikisum.com/w/Schattschneider:{\_}The{\_}semisovereign{\_}people https://books.google.com/books/about/The{\_}semisovereign{\_}people.html?id=GXdHAAAAMAAJ</w:t>
        </w:r>
      </w:hyperlink>
      <w:r>
        <w:t xml:space="preserve">.</w:t>
      </w:r>
    </w:p>
    <w:bookmarkEnd w:id="413"/>
    <w:bookmarkStart w:id="414"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14"/>
    <w:bookmarkStart w:id="415"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15"/>
    <w:bookmarkStart w:id="417"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16">
        <w:r>
          <w:rPr>
            <w:rStyle w:val="Hyperlink"/>
          </w:rPr>
          <w:t xml:space="preserve">https://papers.ssrn.com/sol3/papers.cfm?abstract{\_}id=2662504</w:t>
        </w:r>
      </w:hyperlink>
      <w:r>
        <w:t xml:space="preserve">.</w:t>
      </w:r>
    </w:p>
    <w:bookmarkEnd w:id="417"/>
    <w:bookmarkStart w:id="419"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18">
        <w:r>
          <w:rPr>
            <w:rStyle w:val="Hyperlink"/>
          </w:rPr>
          <w:t xml:space="preserve">https://doi.org/10.1111/ajps.12161</w:t>
        </w:r>
      </w:hyperlink>
      <w:r>
        <w:t xml:space="preserve">.</w:t>
      </w:r>
    </w:p>
    <w:bookmarkEnd w:id="419"/>
    <w:bookmarkStart w:id="421"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20">
        <w:r>
          <w:rPr>
            <w:rStyle w:val="Hyperlink"/>
          </w:rPr>
          <w:t xml:space="preserve">https://doi.org/10.1007/s11077-007-9051-x</w:t>
        </w:r>
      </w:hyperlink>
      <w:r>
        <w:t xml:space="preserve">.</w:t>
      </w:r>
    </w:p>
    <w:bookmarkEnd w:id="421"/>
    <w:bookmarkStart w:id="422"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422"/>
    <w:bookmarkStart w:id="423" w:name="ref-Skocpol2013"/>
    <w:p>
      <w:pPr>
        <w:pStyle w:val="Bibliography"/>
      </w:pPr>
      <w:r>
        <w:t xml:space="preserve">———. 2013. “Naming the Problem: What It Will Take to Counter Extremism and Engage Americans in the Fight Against Global Warming.”</w:t>
      </w:r>
    </w:p>
    <w:bookmarkEnd w:id="423"/>
    <w:bookmarkStart w:id="424"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424"/>
    <w:bookmarkStart w:id="426"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425">
        <w:r>
          <w:rPr>
            <w:rStyle w:val="Hyperlink"/>
          </w:rPr>
          <w:t xml:space="preserve">http://www.loc.gov/catdir/toc/ecip0716/2007015183.html</w:t>
        </w:r>
      </w:hyperlink>
      <w:r>
        <w:t xml:space="preserve">.</w:t>
      </w:r>
    </w:p>
    <w:bookmarkEnd w:id="426"/>
    <w:bookmarkStart w:id="428"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427">
        <w:r>
          <w:rPr>
            <w:rStyle w:val="Hyperlink"/>
          </w:rPr>
          <w:t xml:space="preserve">https://books.google.com/books/about/Republic{\_}com.html?id=O7AG9TxDJdgC</w:t>
        </w:r>
      </w:hyperlink>
      <w:r>
        <w:t xml:space="preserve">.</w:t>
      </w:r>
    </w:p>
    <w:bookmarkEnd w:id="428"/>
    <w:bookmarkStart w:id="430"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429">
        <w:r>
          <w:rPr>
            <w:rStyle w:val="Hyperlink"/>
          </w:rPr>
          <w:t xml:space="preserve">https://books.google.com/books?id=9K5fdvfmGREC{\&amp;}dq=verba+and+nie+participation+in+america{\&amp;}lr={\&amp;}source=gbs{\_}navlinks{\_}s</w:t>
        </w:r>
      </w:hyperlink>
      <w:r>
        <w:t xml:space="preserve">.</w:t>
      </w:r>
    </w:p>
    <w:bookmarkEnd w:id="430"/>
    <w:bookmarkStart w:id="432" w:name="ref-Wagner2010"/>
    <w:p>
      <w:pPr>
        <w:pStyle w:val="Bibliography"/>
      </w:pPr>
      <w:r>
        <w:t xml:space="preserve">Wagner, Wendy E. 2010. “Administrative Law, Filter Failure, and Information Capture” 59: 1321.</w:t>
      </w:r>
      <w:r>
        <w:t xml:space="preserve"> </w:t>
      </w:r>
      <w:hyperlink r:id="rId431">
        <w:r>
          <w:rPr>
            <w:rStyle w:val="Hyperlink"/>
          </w:rPr>
          <w:t xml:space="preserve">https://scholarship.law.duke.edu/cgi/viewcontent.cgi?referer=https://www.google.com/{\&amp;}httpsredir=1{\&amp;}article=1463{\&amp;}context=dlj</w:t>
        </w:r>
      </w:hyperlink>
      <w:r>
        <w:t xml:space="preserve">.</w:t>
      </w:r>
    </w:p>
    <w:bookmarkEnd w:id="432"/>
    <w:bookmarkStart w:id="434"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433">
        <w:r>
          <w:rPr>
            <w:rStyle w:val="Hyperlink"/>
          </w:rPr>
          <w:t xml:space="preserve">https://papers.ssrn.com/sol3/papers.cfm?abstract{\_}id=1531243</w:t>
        </w:r>
      </w:hyperlink>
      <w:r>
        <w:t xml:space="preserve">.</w:t>
      </w:r>
    </w:p>
    <w:bookmarkEnd w:id="434"/>
    <w:bookmarkStart w:id="435"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435"/>
    <w:bookmarkStart w:id="437"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436">
        <w:r>
          <w:rPr>
            <w:rStyle w:val="Hyperlink"/>
          </w:rPr>
          <w:t xml:space="preserve">https://books.google.com/books?id=36bgO4FaOEoC{\&amp;}lr={\&amp;}source=gbs{\_}navlinks{\_}s</w:t>
        </w:r>
      </w:hyperlink>
      <w:r>
        <w:t xml:space="preserve">.</w:t>
      </w:r>
    </w:p>
    <w:bookmarkEnd w:id="437"/>
    <w:bookmarkStart w:id="439"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438">
        <w:r>
          <w:rPr>
            <w:rStyle w:val="Hyperlink"/>
          </w:rPr>
          <w:t xml:space="preserve">http://scholarship.law.upenn.edu/faculty{\_}scholarshiphttp://scholarship.law.upenn.edu/faculty{\_}scholarship/1969</w:t>
        </w:r>
      </w:hyperlink>
      <w:r>
        <w:t xml:space="preserve">.</w:t>
      </w:r>
    </w:p>
    <w:bookmarkEnd w:id="439"/>
    <w:bookmarkStart w:id="441" w:name="ref-WEACT2017"/>
    <w:p>
      <w:pPr>
        <w:pStyle w:val="Bibliography"/>
      </w:pPr>
      <w:r>
        <w:t xml:space="preserve">WEACT. 2017. “WE ACT for Environmental Justice: Empowering Communities to Power Change.”</w:t>
      </w:r>
      <w:r>
        <w:t xml:space="preserve"> </w:t>
      </w:r>
      <w:hyperlink r:id="rId440">
        <w:r>
          <w:rPr>
            <w:rStyle w:val="Hyperlink"/>
          </w:rPr>
          <w:t xml:space="preserve">https://www.weact.org/</w:t>
        </w:r>
      </w:hyperlink>
      <w:r>
        <w:t xml:space="preserve">.</w:t>
      </w:r>
    </w:p>
    <w:bookmarkEnd w:id="441"/>
    <w:bookmarkStart w:id="443"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442">
        <w:r>
          <w:rPr>
            <w:rStyle w:val="Hyperlink"/>
          </w:rPr>
          <w:t xml:space="preserve">https://doi.org/10.1177/0095399709339013</w:t>
        </w:r>
      </w:hyperlink>
      <w:r>
        <w:t xml:space="preserve">.</w:t>
      </w:r>
    </w:p>
    <w:bookmarkEnd w:id="443"/>
    <w:bookmarkStart w:id="445"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444">
        <w:r>
          <w:rPr>
            <w:rStyle w:val="Hyperlink"/>
          </w:rPr>
          <w:t xml:space="preserve">https://doi.org/10.1093/jopart/mus028</w:t>
        </w:r>
      </w:hyperlink>
      <w:r>
        <w:t xml:space="preserve">.</w:t>
      </w:r>
    </w:p>
    <w:bookmarkEnd w:id="445"/>
    <w:bookmarkStart w:id="447" w:name="ref-White2018"/>
    <w:p>
      <w:pPr>
        <w:pStyle w:val="Bibliography"/>
      </w:pPr>
      <w:r>
        <w:t xml:space="preserve">White, Adam J. 2018. “Comments on ACUS Proposed Recommendations on Public Engagement in Rulemaking.” Administrative Conference of the United States.</w:t>
      </w:r>
      <w:r>
        <w:t xml:space="preserve"> </w:t>
      </w:r>
      <w:hyperlink r:id="rId446">
        <w:r>
          <w:rPr>
            <w:rStyle w:val="Hyperlink"/>
          </w:rPr>
          <w:t xml:space="preserve">https://www.acus.gov/sites/default/files/documents/Public Engagement Draft Recommendation 9-10-18 Adam White Comments.pdf</w:t>
        </w:r>
      </w:hyperlink>
      <w:r>
        <w:t xml:space="preserve">.</w:t>
      </w:r>
    </w:p>
    <w:bookmarkEnd w:id="447"/>
    <w:bookmarkStart w:id="449"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448">
        <w:r>
          <w:rPr>
            <w:rStyle w:val="Hyperlink"/>
          </w:rPr>
          <w:t xml:space="preserve">https://doi.org/10.1111/rego.12139</w:t>
        </w:r>
      </w:hyperlink>
      <w:r>
        <w:t xml:space="preserve">.</w:t>
      </w:r>
    </w:p>
    <w:bookmarkEnd w:id="449"/>
    <w:bookmarkStart w:id="451"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450">
        <w:r>
          <w:rPr>
            <w:rStyle w:val="Hyperlink"/>
          </w:rPr>
          <w:t xml:space="preserve">https://doi.org/10.1111/j.1468-2508.2006.00375.x</w:t>
        </w:r>
      </w:hyperlink>
      <w:r>
        <w:t xml:space="preserve">.</w:t>
      </w:r>
    </w:p>
    <w:bookmarkEnd w:id="451"/>
    <w:bookmarkStart w:id="453"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452">
        <w:r>
          <w:rPr>
            <w:rStyle w:val="Hyperlink"/>
          </w:rPr>
          <w:t xml:space="preserve">https://doi.org/10.1111/j.1748-5991.2009.01051.x</w:t>
        </w:r>
      </w:hyperlink>
      <w:r>
        <w:t xml:space="preserve">.</w:t>
      </w:r>
    </w:p>
    <w:bookmarkEnd w:id="453"/>
    <w:bookmarkStart w:id="454"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454"/>
    <w:bookmarkStart w:id="456"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455">
        <w:r>
          <w:rPr>
            <w:rStyle w:val="Hyperlink"/>
          </w:rPr>
          <w:t xml:space="preserve">https://doi.org/10.1093/jopart/mui042</w:t>
        </w:r>
      </w:hyperlink>
      <w:r>
        <w:t xml:space="preserve">.</w:t>
      </w:r>
    </w:p>
    <w:bookmarkEnd w:id="456"/>
    <w:bookmarkStart w:id="458"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457">
        <w:r>
          <w:rPr>
            <w:rStyle w:val="Hyperlink"/>
          </w:rPr>
          <w:t xml:space="preserve">https://doi.org/10.1093/jopart/mur061</w:t>
        </w:r>
      </w:hyperlink>
      <w:r>
        <w:t xml:space="preserve">.</w:t>
      </w:r>
    </w:p>
    <w:bookmarkEnd w:id="458"/>
    <w:bookmarkStart w:id="460"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459">
        <w:r>
          <w:rPr>
            <w:rStyle w:val="Hyperlink"/>
          </w:rPr>
          <w:t xml:space="preserve">https://doi.org/10.1093/jopart/muu007</w:t>
        </w:r>
      </w:hyperlink>
      <w:r>
        <w:t xml:space="preserve">.</w:t>
      </w:r>
    </w:p>
    <w:bookmarkEnd w:id="460"/>
    <w:bookmarkStart w:id="462"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461">
        <w:r>
          <w:rPr>
            <w:rStyle w:val="Hyperlink"/>
          </w:rPr>
          <w:t xml:space="preserve">https://doi.org/10.1146/annurev-polisci-050817-092302</w:t>
        </w:r>
      </w:hyperlink>
      <w:r>
        <w:t xml:space="preserve">.</w:t>
      </w:r>
    </w:p>
    <w:bookmarkEnd w:id="462"/>
    <w:bookmarkEnd w:id="4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3">
    <w:p>
      <w:pPr>
        <w:pStyle w:val="FootnoteText"/>
      </w:pPr>
      <w:r>
        <w:rPr>
          <w:rStyle w:val="FootnoteReference"/>
        </w:rPr>
        <w:footnoteRef/>
      </w:r>
      <w:r>
        <w:t xml:space="preserve"> </w:t>
      </w:r>
      <w:r>
        <w:t xml:space="preserve">As I show elsewhere</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w:t>
      </w:r>
      <w:r>
        <w:t xml:space="preserve">,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p>
  </w:footnote>
  <w:footnote w:id="24">
    <w:p>
      <w:pPr>
        <w:pStyle w:val="FootnoteText"/>
      </w:pPr>
      <w:r>
        <w:rPr>
          <w:rStyle w:val="FootnoteReference"/>
        </w:rPr>
        <w:footnoteRef/>
      </w:r>
      <w:r>
        <w:t xml:space="preserve"> </w:t>
      </w: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footnote>
  <w:footnote w:id="26">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35">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44">
    <w:p>
      <w:pPr>
        <w:pStyle w:val="FootnoteText"/>
      </w:pPr>
      <w:r>
        <w:rPr>
          <w:rStyle w:val="FootnoteReference"/>
        </w:rPr>
        <w:footnoteRef/>
      </w:r>
      <w:r>
        <w:t xml:space="preserve"> </w:t>
      </w:r>
      <w:r>
        <w:t xml:space="preserve">Future research could search for additional activity using keywords in rule abstracts.</w:t>
      </w:r>
    </w:p>
  </w:footnote>
  <w:footnote w:id="51">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52">
    <w:p>
      <w:pPr>
        <w:pStyle w:val="FootnoteText"/>
      </w:pPr>
      <w:r>
        <w:rPr>
          <w:rStyle w:val="FootnoteReference"/>
        </w:rPr>
        <w:footnoteRef/>
      </w:r>
      <w:r>
        <w:t xml:space="preserve"> </w:t>
      </w:r>
      <w:r>
        <w:t xml:space="preserve">Some of the most contentious recent public controversies involve</w:t>
      </w:r>
      <w:r>
        <w:t xml:space="preserve"> </w:t>
      </w:r>
      <w:r>
        <w:t xml:space="preserve">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w:t>
      </w:r>
      <w:r>
        <w:t xml:space="preserve"> </w:t>
      </w:r>
      <w:r>
        <w:t xml:space="preserve">of comments. Alongside protest actions that included shutting down</w:t>
      </w:r>
      <w:r>
        <w:t xml:space="preserve"> </w:t>
      </w:r>
      <w:r>
        <w:t xml:space="preserve">many websites, the Federal Communications Commission’s open internet</w:t>
      </w:r>
      <w:r>
        <w:t xml:space="preserve"> </w:t>
      </w:r>
      <w:r>
        <w:t xml:space="preserve">rule received 22 million comments. While some of these comments</w:t>
      </w:r>
      <w:r>
        <w:t xml:space="preserve"> </w:t>
      </w:r>
      <w:r>
        <w:t xml:space="preserve">appear to be fake, the scale of public engagement is remarkable</w:t>
      </w:r>
      <w:r>
        <w:t xml:space="preserve"> </w:t>
      </w:r>
      <w:r>
        <w:t xml:space="preserve">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53">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54">
    <w:p>
      <w:pPr>
        <w:pStyle w:val="FootnoteText"/>
      </w:pPr>
      <w:r>
        <w:rPr>
          <w:rStyle w:val="FootnoteReference"/>
        </w:rPr>
        <w:footnoteRef/>
      </w:r>
      <w:r>
        <w:t xml:space="preserve"> </w:t>
      </w:r>
      <w:r>
        <w:t xml:space="preserve">I focus on public comments in rulemaking, but the theories and</w:t>
      </w:r>
      <w:r>
        <w:t xml:space="preserve"> </w:t>
      </w:r>
      <w:r>
        <w:t xml:space="preserve">methods here may also apply to other kinds of political engagement</w:t>
      </w:r>
      <w:r>
        <w:t xml:space="preserve"> </w:t>
      </w:r>
      <w:r>
        <w:t xml:space="preserve">such as through social media or protests as well as to other</w:t>
      </w:r>
      <w:r>
        <w:t xml:space="preserve"> </w:t>
      </w:r>
      <w:r>
        <w:t xml:space="preserve">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58">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2.5</w:t>
      </w:r>
      <w:r>
        <w:t xml:space="preserve"> </w:t>
      </w:r>
      <w:r>
        <w:t xml:space="preserve">and</w:t>
      </w:r>
      <w:r>
        <w:t xml:space="preserve"> </w:t>
      </w:r>
      <w:r>
        <w:t xml:space="preserve">2.6</w:t>
      </w:r>
      <w:r>
        <w:t xml:space="preserve"> </w:t>
      </w:r>
      <w:r>
        <w:t xml:space="preserve">for my definition and methods for identifying mass comments.</w:t>
      </w:r>
    </w:p>
  </w:footnote>
  <w:footnote w:id="59">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6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65">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 but such campaigns have observably different patterns of engagement.</w:t>
      </w:r>
    </w:p>
  </w:footnote>
  <w:footnote w:id="6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69">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72">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drum-up and channel public support</w:t>
      </w:r>
      <w:r>
        <w:t xml:space="preserve"> </w:t>
      </w:r>
      <w:r>
        <w:t xml:space="preserve">(Cooper 1985).</w:t>
      </w:r>
    </w:p>
  </w:footnote>
  <w:footnote w:id="73">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74">
    <w:p>
      <w:pPr>
        <w:pStyle w:val="FootnoteText"/>
      </w:pPr>
      <w:r>
        <w:rPr>
          <w:rStyle w:val="FootnoteReference"/>
        </w:rPr>
        <w:footnoteRef/>
      </w:r>
      <w:r>
        <w:t xml:space="preserve"> </w:t>
      </w:r>
      <w:r>
        <w:t xml:space="preserve">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77">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79">
    <w:p>
      <w:pPr>
        <w:pStyle w:val="FootnoteText"/>
      </w:pPr>
      <w:r>
        <w:rPr>
          <w:rStyle w:val="FootnoteReference"/>
        </w:rPr>
        <w:footnoteRef/>
      </w:r>
      <w:r>
        <w:t xml:space="preserve"> </w:t>
      </w:r>
      <w:r>
        <w:t xml:space="preserve">It is possible that some people in this latter category engage</w:t>
      </w:r>
      <w:r>
        <w:t xml:space="preserve"> </w:t>
      </w:r>
      <w:r>
        <w:t xml:space="preserve">purely on their own initiative, but any impact they have likely</w:t>
      </w:r>
      <w:r>
        <w:t xml:space="preserve"> </w:t>
      </w:r>
      <w:r>
        <w:t xml:space="preserve">comes from their alignment with a coalition. Furthermore, as I show</w:t>
      </w:r>
      <w:r>
        <w:t xml:space="preserve"> </w:t>
      </w:r>
      <w:r>
        <w:t xml:space="preserve">below, wholly original comments are rare.</w:t>
      </w:r>
    </w:p>
  </w:footnote>
  <w:footnote w:id="87">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10">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so mass-mobilizers may often send</w:t>
      </w:r>
      <w:r>
        <w:t xml:space="preserve"> </w:t>
      </w:r>
      <w:r>
        <w:t xml:space="preserve">such information to elected officials.</w:t>
      </w:r>
    </w:p>
  </w:footnote>
  <w:footnote w:id="113">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14">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15">
    <w:p>
      <w:pPr>
        <w:pStyle w:val="FootnoteText"/>
      </w:pPr>
      <w:r>
        <w:rPr>
          <w:rStyle w:val="FootnoteReference"/>
        </w:rPr>
        <w:footnoteRef/>
      </w:r>
      <w:r>
        <w:t xml:space="preserve"> </w:t>
      </w:r>
      <w:r>
        <w:t xml:space="preserve">For more on policy area coding, see</w:t>
      </w:r>
      <w:r>
        <w:t xml:space="preserve"> </w:t>
      </w:r>
      <w:hyperlink r:id="rId116">
        <w:r>
          <w:rPr>
            <w:rStyle w:val="Hyperlink"/>
          </w:rPr>
          <w:t xml:space="preserve">“</w:t>
        </w:r>
        <w:r>
          <w:rPr>
            <w:rStyle w:val="Hyperlink"/>
          </w:rPr>
          <w:t xml:space="preserve">Trends in U.S. Executive-branch Policymaking 1980-2016</w:t>
        </w:r>
        <w:r>
          <w:rPr>
            <w:rStyle w:val="Hyperlink"/>
          </w:rPr>
          <w:t xml:space="preserve">”</w:t>
        </w:r>
      </w:hyperlink>
      <w:r>
        <w:t xml:space="preserve"> </w:t>
      </w:r>
      <w:r>
        <w:t xml:space="preserve">in Chapter 1.</w:t>
      </w:r>
    </w:p>
  </w:footnote>
  <w:footnote w:id="117">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1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20">
        <w:r>
          <w:rPr>
            <w:rStyle w:val="Hyperlink"/>
          </w:rPr>
          <w:t xml:space="preserve">here</w:t>
        </w:r>
      </w:hyperlink>
      <w:r>
        <w:t xml:space="preserve">. See examples of coded cases</w:t>
      </w:r>
      <w:r>
        <w:t xml:space="preserve"> </w:t>
      </w:r>
      <w:hyperlink r:id="rId121">
        <w:r>
          <w:rPr>
            <w:rStyle w:val="Hyperlink"/>
          </w:rPr>
          <w:t xml:space="preserve">here</w:t>
        </w:r>
      </w:hyperlink>
      <w:r>
        <w:t xml:space="preserve">.</w:t>
      </w:r>
    </w:p>
  </w:footnote>
  <w:footnote w:id="122">
    <w:p>
      <w:pPr>
        <w:pStyle w:val="FootnoteText"/>
      </w:pPr>
      <w:r>
        <w:rPr>
          <w:rStyle w:val="FootnoteReference"/>
        </w:rPr>
        <w:footnoteRef/>
      </w:r>
      <w:r>
        <w:t xml:space="preserve"> </w:t>
      </w:r>
      <w:r>
        <w:t xml:space="preserve">For the subset of rules with five or more organizational comments, I create a more sophisticated measure of word frequency similarity by averaging the absolute value of differences in topic proportions</w:t>
      </w:r>
      <w:r>
        <w:t xml:space="preserve"> </w:t>
      </w:r>
      <m:oMath>
        <m:r>
          <m:t>θ</m:t>
        </m:r>
      </m:oMath>
      <w:r>
        <w:t xml:space="preserve"> </w:t>
      </w:r>
      <w:r>
        <w:t xml:space="preserve">between the comment and new rule text across 45 LDA models of all organizational comments estimated with 5 through 50 topics, normalized by the number of topics</w:t>
      </w:r>
      <w:r>
        <w:t xml:space="preserve"> </w:t>
      </w:r>
      <m:oMath>
        <m:sSub>
          <m:e>
            <m:r>
              <m:t>k</m:t>
            </m:r>
          </m:e>
          <m:sub>
            <m:r>
              <m:t>n</m:t>
            </m:r>
          </m:sub>
        </m:sSub>
      </m:oMath>
      <w:r>
        <w:t xml:space="preserve"> </w:t>
      </w:r>
      <w:r>
        <w:t xml:space="preserve">and the number of models such that</w:t>
      </w:r>
      <w:r>
        <w:t xml:space="preserve"> </w:t>
      </w:r>
      <m:oMath>
        <m:sSub>
          <m:e>
            <m:r>
              <m:t>y</m:t>
            </m:r>
          </m:e>
          <m:sub>
            <m:r>
              <m:t>i</m:t>
            </m:r>
          </m:sub>
        </m:sSub>
      </m:oMath>
      <w:r>
        <w:t xml:space="preserve"> </w:t>
      </w:r>
      <w:r>
        <w:t xml:space="preserve">falls between 0 (completely different estimated topic proportions) and 1 (exactly the same topic proportions),</w:t>
      </w:r>
      <w:r>
        <w:t xml:space="preserve"> </w:t>
      </w:r>
      <m:oMath>
        <m:sSub>
          <m:e>
            <m:r>
              <m:t>y</m:t>
            </m:r>
          </m:e>
          <m:sub>
            <m:r>
              <m:t>i</m:t>
            </m:r>
          </m:sub>
        </m:sSub>
        <m:r>
          <m:t>=</m:t>
        </m:r>
        <m:nary>
          <m:naryPr>
            <m:chr m:val="∑"/>
            <m:limLoc m:val="undOvr"/>
            <m:subHide m:val="0"/>
            <m:supHide m:val="0"/>
          </m:naryPr>
          <m:sub>
            <m:r>
              <m:t>5</m:t>
            </m:r>
          </m:sub>
          <m:sup>
            <m:r>
              <m:t>n</m:t>
            </m:r>
            <m:r>
              <m:t>=</m:t>
            </m:r>
            <m:r>
              <m:t>50</m:t>
            </m:r>
          </m:sup>
          <m:e>
            <m:r>
              <m:t>(</m:t>
            </m:r>
          </m:e>
        </m:nary>
        <m:f>
          <m:fPr>
            <m:type m:val="bar"/>
          </m:fPr>
          <m:num>
            <m:r>
              <m:t>∑</m:t>
            </m:r>
            <m:r>
              <m:t>|</m:t>
            </m:r>
            <m:sSub>
              <m:e>
                <m:r>
                  <m:t>θ</m:t>
                </m:r>
              </m:e>
              <m:sub>
                <m:r>
                  <m:t>r</m:t>
                </m:r>
                <m:r>
                  <m:t>u</m:t>
                </m:r>
                <m:r>
                  <m:t>l</m:t>
                </m:r>
                <m:r>
                  <m:t>e</m:t>
                </m:r>
                <m:r>
                  <m:t> </m:t>
                </m:r>
                <m:r>
                  <m:t>c</m:t>
                </m:r>
                <m:r>
                  <m:t>h</m:t>
                </m:r>
                <m:r>
                  <m:t>a</m:t>
                </m:r>
                <m:r>
                  <m:t>n</m:t>
                </m:r>
                <m:r>
                  <m:t>g</m:t>
                </m:r>
                <m:sSub>
                  <m:e>
                    <m:r>
                      <m:t>e</m:t>
                    </m:r>
                  </m:e>
                  <m:sub>
                    <m:r>
                      <m:t>i</m:t>
                    </m:r>
                  </m:sub>
                </m:sSub>
                <m:r>
                  <m:t>|</m:t>
                </m:r>
                <m:r>
                  <m:t>k</m:t>
                </m:r>
                <m:r>
                  <m:t>=</m:t>
                </m:r>
                <m:r>
                  <m:t>n</m:t>
                </m:r>
              </m:sub>
            </m:sSub>
            <m:r>
              <m:t>−</m:t>
            </m:r>
            <m:sSub>
              <m:e>
                <m:r>
                  <m:t>θ</m:t>
                </m:r>
              </m:e>
              <m:sub>
                <m:r>
                  <m:t>c</m:t>
                </m:r>
                <m:r>
                  <m:t>o</m:t>
                </m:r>
                <m:r>
                  <m:t>m</m:t>
                </m:r>
                <m:r>
                  <m:t>m</m:t>
                </m:r>
                <m:r>
                  <m:t>e</m:t>
                </m:r>
                <m:r>
                  <m:t>n</m:t>
                </m:r>
                <m:sSub>
                  <m:e>
                    <m:r>
                      <m:t>t</m:t>
                    </m:r>
                  </m:e>
                  <m:sub>
                    <m:r>
                      <m:t>i</m:t>
                    </m:r>
                  </m:sub>
                </m:sSub>
                <m:r>
                  <m:t>|</m:t>
                </m:r>
                <m:r>
                  <m:t>k</m:t>
                </m:r>
                <m:r>
                  <m:t>=</m:t>
                </m:r>
                <m:r>
                  <m:t>n</m:t>
                </m:r>
              </m:sub>
            </m:sSub>
            <m:r>
              <m:t>|</m:t>
            </m:r>
          </m:num>
          <m:den>
            <m:r>
              <m:t>n</m:t>
            </m:r>
          </m:den>
        </m:f>
        <m:r>
          <m:t>)</m:t>
        </m:r>
        <m:r>
          <m:t>*</m:t>
        </m:r>
        <m:f>
          <m:fPr>
            <m:type m:val="bar"/>
          </m:fPr>
          <m:num>
            <m:r>
              <m:t>1</m:t>
            </m:r>
          </m:num>
          <m:den>
            <m:r>
              <m:t>45</m:t>
            </m:r>
          </m:den>
        </m:f>
      </m:oMath>
      <w:r>
        <w:t xml:space="preserve">. For more on these methods of measuring textual similarity, see</w:t>
      </w:r>
      <w:r>
        <w:t xml:space="preserve"> </w:t>
      </w:r>
      <w:hyperlink r:id="rId123">
        <w:r>
          <w:rPr>
            <w:rStyle w:val="Hyperlink"/>
          </w:rPr>
          <w:t xml:space="preserve">“</w:t>
        </w:r>
        <w:r>
          <w:rPr>
            <w:rStyle w:val="Hyperlink"/>
          </w:rPr>
          <w:t xml:space="preserve">Measuring Change and Influence in Budget Texts</w:t>
        </w:r>
        <w:r>
          <w:rPr>
            <w:rStyle w:val="Hyperlink"/>
          </w:rPr>
          <w:t xml:space="preserve">”</w:t>
        </w:r>
      </w:hyperlink>
      <w:r>
        <w:t xml:space="preserve">.</w:t>
      </w:r>
    </w:p>
  </w:footnote>
  <w:footnote w:id="126">
    <w:p>
      <w:pPr>
        <w:pStyle w:val="FootnoteText"/>
      </w:pPr>
      <w:r>
        <w:rPr>
          <w:rStyle w:val="FootnoteReference"/>
        </w:rPr>
        <w:footnoteRef/>
      </w:r>
      <w:r>
        <w:t xml:space="preserve"> </w:t>
      </w:r>
      <w:r>
        <w:t xml:space="preserve">For more on how I identify types of organizations and coalitions, see</w:t>
      </w:r>
      <w:r>
        <w:t xml:space="preserve"> </w:t>
      </w:r>
      <w:hyperlink r:id="rId48">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28">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30">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32">
    <w:p>
      <w:pPr>
        <w:pStyle w:val="FootnoteText"/>
      </w:pPr>
      <w:r>
        <w:rPr>
          <w:rStyle w:val="FootnoteReference"/>
        </w:rPr>
        <w:footnoteRef/>
      </w:r>
      <w:r>
        <w:t xml:space="preserve"> </w:t>
      </w:r>
      <w:r>
        <w:t xml:space="preserve">See</w:t>
      </w:r>
      <w:r>
        <w:t xml:space="preserve"> </w:t>
      </w:r>
      <w:hyperlink r:id="rId133">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163">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171">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176">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185">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192">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193">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197">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57" Target="media/rId57.pdf" /><Relationship Type="http://schemas.openxmlformats.org/officeDocument/2006/relationships/image" Id="rId181" Target="media/rId181.png" /><Relationship Type="http://schemas.openxmlformats.org/officeDocument/2006/relationships/image" Id="rId179" Target="media/rId179.png" /><Relationship Type="http://schemas.openxmlformats.org/officeDocument/2006/relationships/image" Id="rId178" Target="media/rId178.png" /><Relationship Type="http://schemas.openxmlformats.org/officeDocument/2006/relationships/image" Id="rId177" Target="media/rId177.png" /><Relationship Type="http://schemas.openxmlformats.org/officeDocument/2006/relationships/image" Id="rId200" Target="media/rId200.png" /><Relationship Type="http://schemas.openxmlformats.org/officeDocument/2006/relationships/image" Id="rId199" Target="media/rId199.png" /><Relationship Type="http://schemas.openxmlformats.org/officeDocument/2006/relationships/image" Id="rId198" Target="media/rId198.png" /><Relationship Type="http://schemas.openxmlformats.org/officeDocument/2006/relationships/image" Id="rId204" Target="media/rId204.png" /><Relationship Type="http://schemas.openxmlformats.org/officeDocument/2006/relationships/image" Id="rId203" Target="media/rId203.png" /><Relationship Type="http://schemas.openxmlformats.org/officeDocument/2006/relationships/image" Id="rId88" Target="media/rId88.png" /><Relationship Type="http://schemas.openxmlformats.org/officeDocument/2006/relationships/image" Id="rId186" Target="media/rId18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5" Target="media/rId75.jpg" /><Relationship Type="http://schemas.openxmlformats.org/officeDocument/2006/relationships/image" Id="rId37" Target="media/rId37.png" /><Relationship Type="http://schemas.openxmlformats.org/officeDocument/2006/relationships/image" Id="rId95" Target="media/rId95.png" /><Relationship Type="http://schemas.openxmlformats.org/officeDocument/2006/relationships/image" Id="rId84" Target="media/rId84.png" /><Relationship Type="http://schemas.openxmlformats.org/officeDocument/2006/relationships/image" Id="rId137" Target="media/rId137.png" /><Relationship Type="http://schemas.openxmlformats.org/officeDocument/2006/relationships/image" Id="rId106" Target="media/rId106.png" /><Relationship Type="http://schemas.openxmlformats.org/officeDocument/2006/relationships/image" Id="rId136" Target="media/rId136.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53" Target="media/rId15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55" Target="media/rId155.png" /><Relationship Type="http://schemas.openxmlformats.org/officeDocument/2006/relationships/image" Id="rId147" Target="media/rId147.png" /><Relationship Type="http://schemas.openxmlformats.org/officeDocument/2006/relationships/hyperlink" Id="rId379" Target="%7Bhttps://graduate.artsci.wustl.edu/emilymoore/%7D" TargetMode="External" /><Relationship Type="http://schemas.openxmlformats.org/officeDocument/2006/relationships/hyperlink" Id="rId265" Target="http://chicagounbound.uchicago.edu/cgi/viewcontent.cgi?article=5219%7B\&amp;%7Dcontext=uclrev" TargetMode="External" /><Relationship Type="http://schemas.openxmlformats.org/officeDocument/2006/relationships/hyperlink" Id="rId402" Target="http://digitalcommons.law.yale.edu/fss%7B\_%7Dpapers" TargetMode="External" /><Relationship Type="http://schemas.openxmlformats.org/officeDocument/2006/relationships/hyperlink" Id="rId400" Target="http://digitalcommons.law.yale.edu/yjreg" TargetMode="External" /><Relationship Type="http://schemas.openxmlformats.org/officeDocument/2006/relationships/hyperlink" Id="rId350" Target="http://equitablegrowth.org/working" TargetMode="External" /><Relationship Type="http://schemas.openxmlformats.org/officeDocument/2006/relationships/hyperlink" Id="rId359" Target="http://eurogender.eige.europa.eu/sites/default/files/3593021.pdf" TargetMode="External" /><Relationship Type="http://schemas.openxmlformats.org/officeDocument/2006/relationships/hyperlink" Id="rId271" Target="http://law.wisc.edu/ils/2017speakerfiles/supplemental%7B\_%7Dreading--administrative%7B\_%7Dwar.pdf" TargetMode="External" /><Relationship Type="http://schemas.openxmlformats.org/officeDocument/2006/relationships/hyperlink" Id="rId321" Target="http://ojs.imodev.org/index.php/RIGO/article/view/62/154%7B\#%7D%7B\_%7Dftn6" TargetMode="External" /><Relationship Type="http://schemas.openxmlformats.org/officeDocument/2006/relationships/hyperlink" Id="rId243" Target="http://press.princeton.edu/titles/4385.html%20http://web.stanford.edu/class/polisci177a/Notes.Week2.pdf" TargetMode="External" /><Relationship Type="http://schemas.openxmlformats.org/officeDocument/2006/relationships/hyperlink" Id="rId291" Target="http://scholarship.law.cornell.edu/cerihttp://scholarship.law.cornell.edu/ceri/1" TargetMode="External" /><Relationship Type="http://schemas.openxmlformats.org/officeDocument/2006/relationships/hyperlink" Id="rId295" Target="http://scholarship.law.cornell.edu/cerihttp://scholarship.law.cornell.edu/ceri/17" TargetMode="External" /><Relationship Type="http://schemas.openxmlformats.org/officeDocument/2006/relationships/hyperlink" Id="rId385" Target="http://scholarship.law.cornell.edu/facpub" TargetMode="External" /><Relationship Type="http://schemas.openxmlformats.org/officeDocument/2006/relationships/hyperlink" Id="rId255" Target="http://scholarship.law.upenn.edu/faculty%7B\_%7Dscholarship" TargetMode="External" /><Relationship Type="http://schemas.openxmlformats.org/officeDocument/2006/relationships/hyperlink" Id="rId438" Target="http://scholarship.law.upenn.edu/faculty%7B\_%7Dscholarshiphttp://scholarship.law.upenn.edu/faculty%7B\_%7Dscholarship/1969" TargetMode="External" /><Relationship Type="http://schemas.openxmlformats.org/officeDocument/2006/relationships/hyperlink" Id="rId412" Target="http://wikisum.com/w/Schattschneider:%7B\_%7DThe%7B\_%7Dsemisovereign%7B\_%7Dpeople%20https://books.google.com/books/about/The%7B\_%7Dsemisovereign%7B\_%7Dpeople.html?id=GXdHAAAAMAAJ" TargetMode="External" /><Relationship Type="http://schemas.openxmlformats.org/officeDocument/2006/relationships/hyperlink" Id="rId333" Target="http://www.administrativelawreview.org/wp-content/uploads/2014/04/Beyond-the-Usual-Suspects-ACUS-Rulemaking-2-and-a-Vision-for-Broader-More-Informed-and-More-Transparent-Rulemaking.pdf" TargetMode="External" /><Relationship Type="http://schemas.openxmlformats.org/officeDocument/2006/relationships/hyperlink" Id="rId308"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3" Target="http://www.cbecal.org/" TargetMode="External" /><Relationship Type="http://schemas.openxmlformats.org/officeDocument/2006/relationships/hyperlink" Id="rId388" Target="http://www.cei.org" TargetMode="External" /><Relationship Type="http://schemas.openxmlformats.org/officeDocument/2006/relationships/hyperlink" Id="rId425" Target="http://www.loc.gov/catdir/toc/ecip0716/2007015183.html" TargetMode="External" /><Relationship Type="http://schemas.openxmlformats.org/officeDocument/2006/relationships/hyperlink" Id="rId239" Target="http://www.worldcat.org/title/confronting-environmental-racism-voices-from-the-grassroots/oclc/26351432" TargetMode="External" /><Relationship Type="http://schemas.openxmlformats.org/officeDocument/2006/relationships/hyperlink" Id="rId339" Target="http://www.worldcat.org/title/going-public-new-strategies-of-presidential-leadership/oclc/1035368647" TargetMode="External" /><Relationship Type="http://schemas.openxmlformats.org/officeDocument/2006/relationships/hyperlink" Id="rId343" Target="http://www.worldcat.org/title/public-opinion-and-american-democracy/oclc/480228689?referer=di%7B\&amp;%7Dht=edition" TargetMode="External" /><Relationship Type="http://schemas.openxmlformats.org/officeDocument/2006/relationships/hyperlink" Id="rId331" Target="https://about.jstor.org/terms" TargetMode="External" /><Relationship Type="http://schemas.openxmlformats.org/officeDocument/2006/relationships/hyperlink" Id="rId269" Target="https://about.jstor.org/terms%20https://papers.ssrn.com/sol3/papers.cfm?abstract%7B\_%7Did=595181%7B\&amp;%7Ddownload=yes" TargetMode="External" /><Relationship Type="http://schemas.openxmlformats.org/officeDocument/2006/relationships/hyperlink" Id="rId277" Target="https://books.google.com/books/about/Democracy%7B\_%7DBureaucracy%7B\_%7Dand%7B\_%7DPublic%7B\_%7DChoice.html?id=dGu4AwAAQBAJ" TargetMode="External" /><Relationship Type="http://schemas.openxmlformats.org/officeDocument/2006/relationships/hyperlink" Id="rId273" Target="https://books.google.com/books/about/Democracy%7B\_%7Dand%7B\_%7DIts%7B\_%7DCritics.html?id=l1RQngEACAAJ" TargetMode="External" /><Relationship Type="http://schemas.openxmlformats.org/officeDocument/2006/relationships/hyperlink" Id="rId427" Target="https://books.google.com/books/about/Republic%7B\_%7Dcom.html?id=O7AG9TxDJdgC" TargetMode="External" /><Relationship Type="http://schemas.openxmlformats.org/officeDocument/2006/relationships/hyperlink" Id="rId361" Target="https://books.google.com/books/about/The%7B\_%7DPolitics%7B\_%7DOf%7B\_%7DInterests.html?id=BtJMDwAAQBAJ" TargetMode="External" /><Relationship Type="http://schemas.openxmlformats.org/officeDocument/2006/relationships/hyperlink" Id="rId357" Target="https://books.google.com/books/about/The%7B\_%7DPublic%7B\_%7DCongress.html?id=yD9OYgEACAAJ" TargetMode="External" /><Relationship Type="http://schemas.openxmlformats.org/officeDocument/2006/relationships/hyperlink" Id="rId312"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6" Target="https://books.google.com/books?id=36bgO4FaOEoC%7B\&amp;%7Dlr=%7B\&amp;%7Dsource=gbs%7B\_%7Dnavlinks%7B\_%7Ds" TargetMode="External" /><Relationship Type="http://schemas.openxmlformats.org/officeDocument/2006/relationships/hyperlink" Id="rId329" Target="https://books.google.com/books?id=8PIWAwAAQBAJ" TargetMode="External" /><Relationship Type="http://schemas.openxmlformats.org/officeDocument/2006/relationships/hyperlink" Id="rId429" Target="https://books.google.com/books?id=9K5fdvfmGREC%7B\&amp;%7Ddq=verba+and+nie+participation+in+america%7B\&amp;%7Dlr=%7B\&amp;%7Dsource=gbs%7B\_%7Dnavlinks%7B\_%7Ds" TargetMode="External" /><Relationship Type="http://schemas.openxmlformats.org/officeDocument/2006/relationships/hyperlink" Id="rId390" Target="https://books.google.com/books?id=bmSmcDo3kPoC%7B\&amp;%7Ddq=info:3Iw8O7WHdEEJ:scholar.google.com%7B\&amp;%7Dlr=%7B\&amp;%7Dsource=gbs%7B\_%7Dnavlinks%7B\_%7Ds" TargetMode="External" /><Relationship Type="http://schemas.openxmlformats.org/officeDocument/2006/relationships/hyperlink" Id="rId392"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0" Target="https://doi.org/10.1007/s11077-007-9051-x" TargetMode="External" /><Relationship Type="http://schemas.openxmlformats.org/officeDocument/2006/relationships/hyperlink" Id="rId249" Target="https://doi.org/10.1017/S000305541400029X" TargetMode="External" /><Relationship Type="http://schemas.openxmlformats.org/officeDocument/2006/relationships/hyperlink" Id="rId318" Target="https://doi.org/10.1017/S0003055415000246" TargetMode="External" /><Relationship Type="http://schemas.openxmlformats.org/officeDocument/2006/relationships/hyperlink" Id="rId305" Target="https://doi.org/10.1017/S0143814X16000106" TargetMode="External" /><Relationship Type="http://schemas.openxmlformats.org/officeDocument/2006/relationships/hyperlink" Id="rId398" Target="https://doi.org/10.1017/S1049096519000520" TargetMode="External" /><Relationship Type="http://schemas.openxmlformats.org/officeDocument/2006/relationships/hyperlink" Id="rId310" Target="https://doi.org/10.1017/S1537592714001595" TargetMode="External" /><Relationship Type="http://schemas.openxmlformats.org/officeDocument/2006/relationships/hyperlink" Id="rId383" Target="https://doi.org/10.1017/s0022381611001599" TargetMode="External" /><Relationship Type="http://schemas.openxmlformats.org/officeDocument/2006/relationships/hyperlink" Id="rId247" Target="https://doi.org/10.1057/s41309-020-00094-w" TargetMode="External" /><Relationship Type="http://schemas.openxmlformats.org/officeDocument/2006/relationships/hyperlink" Id="rId260" Target="https://doi.org/10.1080/08913810608443650" TargetMode="External" /><Relationship Type="http://schemas.openxmlformats.org/officeDocument/2006/relationships/hyperlink" Id="rId367" Target="https://doi.org/10.1093" TargetMode="External" /><Relationship Type="http://schemas.openxmlformats.org/officeDocument/2006/relationships/hyperlink" Id="rId275" Target="https://doi.org/10.1093/acprof:oso/9780199891702.001.0001" TargetMode="External" /><Relationship Type="http://schemas.openxmlformats.org/officeDocument/2006/relationships/hyperlink" Id="rId303" Target="https://doi.org/10.1093/jopart/mui022" TargetMode="External" /><Relationship Type="http://schemas.openxmlformats.org/officeDocument/2006/relationships/hyperlink" Id="rId455" Target="https://doi.org/10.1093/jopart/mui042" TargetMode="External" /><Relationship Type="http://schemas.openxmlformats.org/officeDocument/2006/relationships/hyperlink" Id="rId457" Target="https://doi.org/10.1093/jopart/mur061" TargetMode="External" /><Relationship Type="http://schemas.openxmlformats.org/officeDocument/2006/relationships/hyperlink" Id="rId444" Target="https://doi.org/10.1093/jopart/mus028" TargetMode="External" /><Relationship Type="http://schemas.openxmlformats.org/officeDocument/2006/relationships/hyperlink" Id="rId459" Target="https://doi.org/10.1093/jopart/muu007" TargetMode="External" /><Relationship Type="http://schemas.openxmlformats.org/officeDocument/2006/relationships/hyperlink" Id="rId301" Target="https://doi.org/10.1093/oxfordjournals.jpart.a024373" TargetMode="External" /><Relationship Type="http://schemas.openxmlformats.org/officeDocument/2006/relationships/hyperlink" Id="rId279" Target="https://doi.org/10.1111/1475-6765.12012" TargetMode="External" /><Relationship Type="http://schemas.openxmlformats.org/officeDocument/2006/relationships/hyperlink" Id="rId418" Target="https://doi.org/10.1111/ajps.12161" TargetMode="External" /><Relationship Type="http://schemas.openxmlformats.org/officeDocument/2006/relationships/hyperlink" Id="rId287" Target="https://doi.org/10.1111/ajps.12188" TargetMode="External" /><Relationship Type="http://schemas.openxmlformats.org/officeDocument/2006/relationships/hyperlink" Id="rId450" Target="https://doi.org/10.1111/j.1468-2508.2006.00375.x" TargetMode="External" /><Relationship Type="http://schemas.openxmlformats.org/officeDocument/2006/relationships/hyperlink" Id="rId452" Target="https://doi.org/10.1111/j.1748-5991.2009.01051.x" TargetMode="External" /><Relationship Type="http://schemas.openxmlformats.org/officeDocument/2006/relationships/hyperlink" Id="rId381" Target="https://doi.org/10.1111/psq.12417" TargetMode="External" /><Relationship Type="http://schemas.openxmlformats.org/officeDocument/2006/relationships/hyperlink" Id="rId448" Target="https://doi.org/10.1111/rego.12139" TargetMode="External" /><Relationship Type="http://schemas.openxmlformats.org/officeDocument/2006/relationships/hyperlink" Id="rId461" Target="https://doi.org/10.1146/annurev-polisci-050817-092302" TargetMode="External" /><Relationship Type="http://schemas.openxmlformats.org/officeDocument/2006/relationships/hyperlink" Id="rId365" Target="https://doi.org/10.1146/annurev-polisci-052615" TargetMode="External" /><Relationship Type="http://schemas.openxmlformats.org/officeDocument/2006/relationships/hyperlink" Id="rId325" Target="https://doi.org/10.1146/annurev-polisci-070910-104051" TargetMode="External" /><Relationship Type="http://schemas.openxmlformats.org/officeDocument/2006/relationships/hyperlink" Id="rId363" Target="https://doi.org/10.1146/annurev.polisci.3.1.449" TargetMode="External" /><Relationship Type="http://schemas.openxmlformats.org/officeDocument/2006/relationships/hyperlink" Id="rId225" Target="https://doi.org/10.1146/annurev.soc.30.012703.110542" TargetMode="External" /><Relationship Type="http://schemas.openxmlformats.org/officeDocument/2006/relationships/hyperlink" Id="rId374" Target="https://doi.org/10.1146/annurev.soc.30.012703.110545" TargetMode="External" /><Relationship Type="http://schemas.openxmlformats.org/officeDocument/2006/relationships/hyperlink" Id="rId237" Target="https://doi.org/10.1177/0093650218808186" TargetMode="External" /><Relationship Type="http://schemas.openxmlformats.org/officeDocument/2006/relationships/hyperlink" Id="rId442" Target="https://doi.org/10.1177/0095399709339013" TargetMode="External" /><Relationship Type="http://schemas.openxmlformats.org/officeDocument/2006/relationships/hyperlink" Id="rId267" Target="https://doi.org/10.1177/0095399715581040" TargetMode="External" /><Relationship Type="http://schemas.openxmlformats.org/officeDocument/2006/relationships/hyperlink" Id="rId299" Target="https://doi.org/10.1177/009539979702900304" TargetMode="External" /><Relationship Type="http://schemas.openxmlformats.org/officeDocument/2006/relationships/hyperlink" Id="rId285" Target="https://doi.org/10.1332/174426514X13990325021128" TargetMode="External" /><Relationship Type="http://schemas.openxmlformats.org/officeDocument/2006/relationships/hyperlink" Id="rId232" Target="https://doi.org/10.1515/9781400822485" TargetMode="External" /><Relationship Type="http://schemas.openxmlformats.org/officeDocument/2006/relationships/hyperlink" Id="rId372" Target="https://doi.org/10.2139/ssrn.1486272" TargetMode="External" /><Relationship Type="http://schemas.openxmlformats.org/officeDocument/2006/relationships/hyperlink" Id="rId396" Target="https://doi.org/10.2139/ssrn.2759117" TargetMode="External" /><Relationship Type="http://schemas.openxmlformats.org/officeDocument/2006/relationships/hyperlink" Id="rId410" Target="https://doi.org/10.2307/1949637" TargetMode="External" /><Relationship Type="http://schemas.openxmlformats.org/officeDocument/2006/relationships/hyperlink" Id="rId353" Target="https://doi.org/10.2307/2009452" TargetMode="External" /><Relationship Type="http://schemas.openxmlformats.org/officeDocument/2006/relationships/hyperlink" Id="rId283" Target="https://doi.org/10.2307/2111603" TargetMode="External" /><Relationship Type="http://schemas.openxmlformats.org/officeDocument/2006/relationships/hyperlink" Id="rId229" Target="https://doi.org/10.2307/2585488" TargetMode="External" /><Relationship Type="http://schemas.openxmlformats.org/officeDocument/2006/relationships/hyperlink" Id="rId241" Target="https://doi.org/10.33774/apsa-2020-k78wc" TargetMode="External" /><Relationship Type="http://schemas.openxmlformats.org/officeDocument/2006/relationships/hyperlink" Id="rId281"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59"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48" Target="https://libgober.files.wordpress.com/2018/09/what-biased-rulemaking-looks-like.pdf" TargetMode="External" /><Relationship Type="http://schemas.openxmlformats.org/officeDocument/2006/relationships/hyperlink" Id="rId262" Target="https://mountainscholar.org/bitstream/handle/10217/181399/Cook%7B\_%7Dcolostate%7B\_%7D0053A14127.pdf?sequence=1" TargetMode="External" /><Relationship Type="http://schemas.openxmlformats.org/officeDocument/2006/relationships/hyperlink" Id="rId433" Target="https://papers.ssrn.com/sol3/papers.cfm?abstract%7B\_%7Did=1531243" TargetMode="External" /><Relationship Type="http://schemas.openxmlformats.org/officeDocument/2006/relationships/hyperlink" Id="rId293" Target="https://papers.ssrn.com/sol3/papers.cfm?abstract%7B\_%7Did=1702491" TargetMode="External" /><Relationship Type="http://schemas.openxmlformats.org/officeDocument/2006/relationships/hyperlink" Id="rId370" Target="https://papers.ssrn.com/sol3/papers.cfm?abstract%7B\_%7Did=1860193" TargetMode="External" /><Relationship Type="http://schemas.openxmlformats.org/officeDocument/2006/relationships/hyperlink" Id="rId376" Target="https://papers.ssrn.com/sol3/papers.cfm?abstract%7B\_%7Did=2444396" TargetMode="External" /><Relationship Type="http://schemas.openxmlformats.org/officeDocument/2006/relationships/hyperlink" Id="rId416" Target="https://papers.ssrn.com/sol3/papers.cfm?abstract%7B\_%7Did=2662504" TargetMode="External" /><Relationship Type="http://schemas.openxmlformats.org/officeDocument/2006/relationships/hyperlink" Id="rId406" Target="https://papers.ssrn.com/sol3/papers.cfm?abstract%7B\_%7Did=571127" TargetMode="External" /><Relationship Type="http://schemas.openxmlformats.org/officeDocument/2006/relationships/hyperlink" Id="rId245" Target="https://petitions.radcliffe.harvard.edu/files/petitions/files/petition-recruit-20040112.pdf" TargetMode="External" /><Relationship Type="http://schemas.openxmlformats.org/officeDocument/2006/relationships/hyperlink" Id="rId345" Target="https://press.princeton.edu/titles/6254.html" TargetMode="External" /><Relationship Type="http://schemas.openxmlformats.org/officeDocument/2006/relationships/hyperlink" Id="rId327" Target="https://press.princeton.edu/titles/7656.html" TargetMode="External" /><Relationship Type="http://schemas.openxmlformats.org/officeDocument/2006/relationships/hyperlink" Id="rId431" Target="https://scholarship.law.duke.edu/cgi/viewcontent.cgi?referer=https://www.google.com/%7B\&amp;%7Dhttpsredir=1%7B\&amp;%7Darticle=1463%7B\&amp;%7Dcontext=dlj" TargetMode="External" /><Relationship Type="http://schemas.openxmlformats.org/officeDocument/2006/relationships/hyperlink" Id="rId297" Target="https://ssrn.com/abstract=3787704" TargetMode="External" /><Relationship Type="http://schemas.openxmlformats.org/officeDocument/2006/relationships/hyperlink" Id="rId408" Target="https://www.acus.gov/report/public-engagement-rulemaking-draft-report" TargetMode="External" /><Relationship Type="http://schemas.openxmlformats.org/officeDocument/2006/relationships/hyperlink" Id="rId223" Target="https://www.acus.gov/sites/default/files/documents/ACUS%20Recommendations%20Packet.pdf" TargetMode="External" /><Relationship Type="http://schemas.openxmlformats.org/officeDocument/2006/relationships/hyperlink" Id="rId446" Target="https://www.acus.gov/sites/default/files/documents/Public%20Engagement%20Draft%20Recommendation%209-10-18%20Adam%20White%20Comments.pdf" TargetMode="External" /><Relationship Type="http://schemas.openxmlformats.org/officeDocument/2006/relationships/hyperlink" Id="rId289" Target="https://www.acus.gov/sites/default/files/documents/Public%20Engagement%20Draft%20Recommendation%209-10-18%20Cynthia%20Farina%20Comments.pdf" TargetMode="External" /><Relationship Type="http://schemas.openxmlformats.org/officeDocument/2006/relationships/hyperlink" Id="rId234" Target="https://www.brookings.edu/book/the-new-liberalism/" TargetMode="External" /><Relationship Type="http://schemas.openxmlformats.org/officeDocument/2006/relationships/hyperlink" Id="rId394" Target="https://www.brookings.edu/research/more-than-spam-lobbying-the-epa-through-public-comment-campaigns/" TargetMode="External" /><Relationship Type="http://schemas.openxmlformats.org/officeDocument/2006/relationships/hyperlink" Id="rId315" Target="https://www.dropbox.com/s/6ydopca7mx8ugqt/Gordon-Rashin-Private-Influence-10-24.pdf?dl=0" TargetMode="External" /><Relationship Type="http://schemas.openxmlformats.org/officeDocument/2006/relationships/hyperlink" Id="rId257" Target="https://www.jstor.org/stable/pdf/40040532.pdf?refreqid=excelsior%3A3eeeeaa9f2da6db1832f107aa771d14f" TargetMode="External" /><Relationship Type="http://schemas.openxmlformats.org/officeDocument/2006/relationships/hyperlink" Id="rId323" Target="https://www.regulations.gov/document?D=EPA-HQ-OAR-2004-0018-0211" TargetMode="External" /><Relationship Type="http://schemas.openxmlformats.org/officeDocument/2006/relationships/hyperlink" Id="rId440" Target="https://www.weact.org/" TargetMode="External" /><Relationship Type="http://schemas.openxmlformats.org/officeDocument/2006/relationships/hyperlink" Id="rId215" Target="https://www.wsj.com/articles/many-comments-critical-of-fiduciary-rule-are-fake-1514370601" TargetMode="External" /><Relationship Type="http://schemas.openxmlformats.org/officeDocument/2006/relationships/hyperlink" Id="rId227"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379" Target="%7Bhttps://graduate.artsci.wustl.edu/emilymoore/%7D" TargetMode="External" /><Relationship Type="http://schemas.openxmlformats.org/officeDocument/2006/relationships/hyperlink" Id="rId265" Target="http://chicagounbound.uchicago.edu/cgi/viewcontent.cgi?article=5219%7B\&amp;%7Dcontext=uclrev" TargetMode="External" /><Relationship Type="http://schemas.openxmlformats.org/officeDocument/2006/relationships/hyperlink" Id="rId402" Target="http://digitalcommons.law.yale.edu/fss%7B\_%7Dpapers" TargetMode="External" /><Relationship Type="http://schemas.openxmlformats.org/officeDocument/2006/relationships/hyperlink" Id="rId400" Target="http://digitalcommons.law.yale.edu/yjreg" TargetMode="External" /><Relationship Type="http://schemas.openxmlformats.org/officeDocument/2006/relationships/hyperlink" Id="rId350" Target="http://equitablegrowth.org/working" TargetMode="External" /><Relationship Type="http://schemas.openxmlformats.org/officeDocument/2006/relationships/hyperlink" Id="rId359" Target="http://eurogender.eige.europa.eu/sites/default/files/3593021.pdf" TargetMode="External" /><Relationship Type="http://schemas.openxmlformats.org/officeDocument/2006/relationships/hyperlink" Id="rId271" Target="http://law.wisc.edu/ils/2017speakerfiles/supplemental%7B\_%7Dreading--administrative%7B\_%7Dwar.pdf" TargetMode="External" /><Relationship Type="http://schemas.openxmlformats.org/officeDocument/2006/relationships/hyperlink" Id="rId321" Target="http://ojs.imodev.org/index.php/RIGO/article/view/62/154%7B\#%7D%7B\_%7Dftn6" TargetMode="External" /><Relationship Type="http://schemas.openxmlformats.org/officeDocument/2006/relationships/hyperlink" Id="rId243" Target="http://press.princeton.edu/titles/4385.html%20http://web.stanford.edu/class/polisci177a/Notes.Week2.pdf" TargetMode="External" /><Relationship Type="http://schemas.openxmlformats.org/officeDocument/2006/relationships/hyperlink" Id="rId291" Target="http://scholarship.law.cornell.edu/cerihttp://scholarship.law.cornell.edu/ceri/1" TargetMode="External" /><Relationship Type="http://schemas.openxmlformats.org/officeDocument/2006/relationships/hyperlink" Id="rId295" Target="http://scholarship.law.cornell.edu/cerihttp://scholarship.law.cornell.edu/ceri/17" TargetMode="External" /><Relationship Type="http://schemas.openxmlformats.org/officeDocument/2006/relationships/hyperlink" Id="rId385" Target="http://scholarship.law.cornell.edu/facpub" TargetMode="External" /><Relationship Type="http://schemas.openxmlformats.org/officeDocument/2006/relationships/hyperlink" Id="rId255" Target="http://scholarship.law.upenn.edu/faculty%7B\_%7Dscholarship" TargetMode="External" /><Relationship Type="http://schemas.openxmlformats.org/officeDocument/2006/relationships/hyperlink" Id="rId438" Target="http://scholarship.law.upenn.edu/faculty%7B\_%7Dscholarshiphttp://scholarship.law.upenn.edu/faculty%7B\_%7Dscholarship/1969" TargetMode="External" /><Relationship Type="http://schemas.openxmlformats.org/officeDocument/2006/relationships/hyperlink" Id="rId412" Target="http://wikisum.com/w/Schattschneider:%7B\_%7DThe%7B\_%7Dsemisovereign%7B\_%7Dpeople%20https://books.google.com/books/about/The%7B\_%7Dsemisovereign%7B\_%7Dpeople.html?id=GXdHAAAAMAAJ" TargetMode="External" /><Relationship Type="http://schemas.openxmlformats.org/officeDocument/2006/relationships/hyperlink" Id="rId333" Target="http://www.administrativelawreview.org/wp-content/uploads/2014/04/Beyond-the-Usual-Suspects-ACUS-Rulemaking-2-and-a-Vision-for-Broader-More-Informed-and-More-Transparent-Rulemaking.pdf" TargetMode="External" /><Relationship Type="http://schemas.openxmlformats.org/officeDocument/2006/relationships/hyperlink" Id="rId308"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3" Target="http://www.cbecal.org/" TargetMode="External" /><Relationship Type="http://schemas.openxmlformats.org/officeDocument/2006/relationships/hyperlink" Id="rId388" Target="http://www.cei.org" TargetMode="External" /><Relationship Type="http://schemas.openxmlformats.org/officeDocument/2006/relationships/hyperlink" Id="rId425" Target="http://www.loc.gov/catdir/toc/ecip0716/2007015183.html" TargetMode="External" /><Relationship Type="http://schemas.openxmlformats.org/officeDocument/2006/relationships/hyperlink" Id="rId239" Target="http://www.worldcat.org/title/confronting-environmental-racism-voices-from-the-grassroots/oclc/26351432" TargetMode="External" /><Relationship Type="http://schemas.openxmlformats.org/officeDocument/2006/relationships/hyperlink" Id="rId339" Target="http://www.worldcat.org/title/going-public-new-strategies-of-presidential-leadership/oclc/1035368647" TargetMode="External" /><Relationship Type="http://schemas.openxmlformats.org/officeDocument/2006/relationships/hyperlink" Id="rId343" Target="http://www.worldcat.org/title/public-opinion-and-american-democracy/oclc/480228689?referer=di%7B\&amp;%7Dht=edition" TargetMode="External" /><Relationship Type="http://schemas.openxmlformats.org/officeDocument/2006/relationships/hyperlink" Id="rId331" Target="https://about.jstor.org/terms" TargetMode="External" /><Relationship Type="http://schemas.openxmlformats.org/officeDocument/2006/relationships/hyperlink" Id="rId269" Target="https://about.jstor.org/terms%20https://papers.ssrn.com/sol3/papers.cfm?abstract%7B\_%7Did=595181%7B\&amp;%7Ddownload=yes" TargetMode="External" /><Relationship Type="http://schemas.openxmlformats.org/officeDocument/2006/relationships/hyperlink" Id="rId277" Target="https://books.google.com/books/about/Democracy%7B\_%7DBureaucracy%7B\_%7Dand%7B\_%7DPublic%7B\_%7DChoice.html?id=dGu4AwAAQBAJ" TargetMode="External" /><Relationship Type="http://schemas.openxmlformats.org/officeDocument/2006/relationships/hyperlink" Id="rId273" Target="https://books.google.com/books/about/Democracy%7B\_%7Dand%7B\_%7DIts%7B\_%7DCritics.html?id=l1RQngEACAAJ" TargetMode="External" /><Relationship Type="http://schemas.openxmlformats.org/officeDocument/2006/relationships/hyperlink" Id="rId427" Target="https://books.google.com/books/about/Republic%7B\_%7Dcom.html?id=O7AG9TxDJdgC" TargetMode="External" /><Relationship Type="http://schemas.openxmlformats.org/officeDocument/2006/relationships/hyperlink" Id="rId361" Target="https://books.google.com/books/about/The%7B\_%7DPolitics%7B\_%7DOf%7B\_%7DInterests.html?id=BtJMDwAAQBAJ" TargetMode="External" /><Relationship Type="http://schemas.openxmlformats.org/officeDocument/2006/relationships/hyperlink" Id="rId357" Target="https://books.google.com/books/about/The%7B\_%7DPublic%7B\_%7DCongress.html?id=yD9OYgEACAAJ" TargetMode="External" /><Relationship Type="http://schemas.openxmlformats.org/officeDocument/2006/relationships/hyperlink" Id="rId312"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6" Target="https://books.google.com/books?id=36bgO4FaOEoC%7B\&amp;%7Dlr=%7B\&amp;%7Dsource=gbs%7B\_%7Dnavlinks%7B\_%7Ds" TargetMode="External" /><Relationship Type="http://schemas.openxmlformats.org/officeDocument/2006/relationships/hyperlink" Id="rId329" Target="https://books.google.com/books?id=8PIWAwAAQBAJ" TargetMode="External" /><Relationship Type="http://schemas.openxmlformats.org/officeDocument/2006/relationships/hyperlink" Id="rId429" Target="https://books.google.com/books?id=9K5fdvfmGREC%7B\&amp;%7Ddq=verba+and+nie+participation+in+america%7B\&amp;%7Dlr=%7B\&amp;%7Dsource=gbs%7B\_%7Dnavlinks%7B\_%7Ds" TargetMode="External" /><Relationship Type="http://schemas.openxmlformats.org/officeDocument/2006/relationships/hyperlink" Id="rId390" Target="https://books.google.com/books?id=bmSmcDo3kPoC%7B\&amp;%7Ddq=info:3Iw8O7WHdEEJ:scholar.google.com%7B\&amp;%7Dlr=%7B\&amp;%7Dsource=gbs%7B\_%7Dnavlinks%7B\_%7Ds" TargetMode="External" /><Relationship Type="http://schemas.openxmlformats.org/officeDocument/2006/relationships/hyperlink" Id="rId392"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0" Target="https://doi.org/10.1007/s11077-007-9051-x" TargetMode="External" /><Relationship Type="http://schemas.openxmlformats.org/officeDocument/2006/relationships/hyperlink" Id="rId249" Target="https://doi.org/10.1017/S000305541400029X" TargetMode="External" /><Relationship Type="http://schemas.openxmlformats.org/officeDocument/2006/relationships/hyperlink" Id="rId318" Target="https://doi.org/10.1017/S0003055415000246" TargetMode="External" /><Relationship Type="http://schemas.openxmlformats.org/officeDocument/2006/relationships/hyperlink" Id="rId305" Target="https://doi.org/10.1017/S0143814X16000106" TargetMode="External" /><Relationship Type="http://schemas.openxmlformats.org/officeDocument/2006/relationships/hyperlink" Id="rId398" Target="https://doi.org/10.1017/S1049096519000520" TargetMode="External" /><Relationship Type="http://schemas.openxmlformats.org/officeDocument/2006/relationships/hyperlink" Id="rId310" Target="https://doi.org/10.1017/S1537592714001595" TargetMode="External" /><Relationship Type="http://schemas.openxmlformats.org/officeDocument/2006/relationships/hyperlink" Id="rId383" Target="https://doi.org/10.1017/s0022381611001599" TargetMode="External" /><Relationship Type="http://schemas.openxmlformats.org/officeDocument/2006/relationships/hyperlink" Id="rId247" Target="https://doi.org/10.1057/s41309-020-00094-w" TargetMode="External" /><Relationship Type="http://schemas.openxmlformats.org/officeDocument/2006/relationships/hyperlink" Id="rId260" Target="https://doi.org/10.1080/08913810608443650" TargetMode="External" /><Relationship Type="http://schemas.openxmlformats.org/officeDocument/2006/relationships/hyperlink" Id="rId367" Target="https://doi.org/10.1093" TargetMode="External" /><Relationship Type="http://schemas.openxmlformats.org/officeDocument/2006/relationships/hyperlink" Id="rId275" Target="https://doi.org/10.1093/acprof:oso/9780199891702.001.0001" TargetMode="External" /><Relationship Type="http://schemas.openxmlformats.org/officeDocument/2006/relationships/hyperlink" Id="rId303" Target="https://doi.org/10.1093/jopart/mui022" TargetMode="External" /><Relationship Type="http://schemas.openxmlformats.org/officeDocument/2006/relationships/hyperlink" Id="rId455" Target="https://doi.org/10.1093/jopart/mui042" TargetMode="External" /><Relationship Type="http://schemas.openxmlformats.org/officeDocument/2006/relationships/hyperlink" Id="rId457" Target="https://doi.org/10.1093/jopart/mur061" TargetMode="External" /><Relationship Type="http://schemas.openxmlformats.org/officeDocument/2006/relationships/hyperlink" Id="rId444" Target="https://doi.org/10.1093/jopart/mus028" TargetMode="External" /><Relationship Type="http://schemas.openxmlformats.org/officeDocument/2006/relationships/hyperlink" Id="rId459" Target="https://doi.org/10.1093/jopart/muu007" TargetMode="External" /><Relationship Type="http://schemas.openxmlformats.org/officeDocument/2006/relationships/hyperlink" Id="rId301" Target="https://doi.org/10.1093/oxfordjournals.jpart.a024373" TargetMode="External" /><Relationship Type="http://schemas.openxmlformats.org/officeDocument/2006/relationships/hyperlink" Id="rId279" Target="https://doi.org/10.1111/1475-6765.12012" TargetMode="External" /><Relationship Type="http://schemas.openxmlformats.org/officeDocument/2006/relationships/hyperlink" Id="rId418" Target="https://doi.org/10.1111/ajps.12161" TargetMode="External" /><Relationship Type="http://schemas.openxmlformats.org/officeDocument/2006/relationships/hyperlink" Id="rId287" Target="https://doi.org/10.1111/ajps.12188" TargetMode="External" /><Relationship Type="http://schemas.openxmlformats.org/officeDocument/2006/relationships/hyperlink" Id="rId450" Target="https://doi.org/10.1111/j.1468-2508.2006.00375.x" TargetMode="External" /><Relationship Type="http://schemas.openxmlformats.org/officeDocument/2006/relationships/hyperlink" Id="rId452" Target="https://doi.org/10.1111/j.1748-5991.2009.01051.x" TargetMode="External" /><Relationship Type="http://schemas.openxmlformats.org/officeDocument/2006/relationships/hyperlink" Id="rId381" Target="https://doi.org/10.1111/psq.12417" TargetMode="External" /><Relationship Type="http://schemas.openxmlformats.org/officeDocument/2006/relationships/hyperlink" Id="rId448" Target="https://doi.org/10.1111/rego.12139" TargetMode="External" /><Relationship Type="http://schemas.openxmlformats.org/officeDocument/2006/relationships/hyperlink" Id="rId461" Target="https://doi.org/10.1146/annurev-polisci-050817-092302" TargetMode="External" /><Relationship Type="http://schemas.openxmlformats.org/officeDocument/2006/relationships/hyperlink" Id="rId365" Target="https://doi.org/10.1146/annurev-polisci-052615" TargetMode="External" /><Relationship Type="http://schemas.openxmlformats.org/officeDocument/2006/relationships/hyperlink" Id="rId325" Target="https://doi.org/10.1146/annurev-polisci-070910-104051" TargetMode="External" /><Relationship Type="http://schemas.openxmlformats.org/officeDocument/2006/relationships/hyperlink" Id="rId363" Target="https://doi.org/10.1146/annurev.polisci.3.1.449" TargetMode="External" /><Relationship Type="http://schemas.openxmlformats.org/officeDocument/2006/relationships/hyperlink" Id="rId225" Target="https://doi.org/10.1146/annurev.soc.30.012703.110542" TargetMode="External" /><Relationship Type="http://schemas.openxmlformats.org/officeDocument/2006/relationships/hyperlink" Id="rId374" Target="https://doi.org/10.1146/annurev.soc.30.012703.110545" TargetMode="External" /><Relationship Type="http://schemas.openxmlformats.org/officeDocument/2006/relationships/hyperlink" Id="rId237" Target="https://doi.org/10.1177/0093650218808186" TargetMode="External" /><Relationship Type="http://schemas.openxmlformats.org/officeDocument/2006/relationships/hyperlink" Id="rId442" Target="https://doi.org/10.1177/0095399709339013" TargetMode="External" /><Relationship Type="http://schemas.openxmlformats.org/officeDocument/2006/relationships/hyperlink" Id="rId267" Target="https://doi.org/10.1177/0095399715581040" TargetMode="External" /><Relationship Type="http://schemas.openxmlformats.org/officeDocument/2006/relationships/hyperlink" Id="rId299" Target="https://doi.org/10.1177/009539979702900304" TargetMode="External" /><Relationship Type="http://schemas.openxmlformats.org/officeDocument/2006/relationships/hyperlink" Id="rId285" Target="https://doi.org/10.1332/174426514X13990325021128" TargetMode="External" /><Relationship Type="http://schemas.openxmlformats.org/officeDocument/2006/relationships/hyperlink" Id="rId232" Target="https://doi.org/10.1515/9781400822485" TargetMode="External" /><Relationship Type="http://schemas.openxmlformats.org/officeDocument/2006/relationships/hyperlink" Id="rId372" Target="https://doi.org/10.2139/ssrn.1486272" TargetMode="External" /><Relationship Type="http://schemas.openxmlformats.org/officeDocument/2006/relationships/hyperlink" Id="rId396" Target="https://doi.org/10.2139/ssrn.2759117" TargetMode="External" /><Relationship Type="http://schemas.openxmlformats.org/officeDocument/2006/relationships/hyperlink" Id="rId410" Target="https://doi.org/10.2307/1949637" TargetMode="External" /><Relationship Type="http://schemas.openxmlformats.org/officeDocument/2006/relationships/hyperlink" Id="rId353" Target="https://doi.org/10.2307/2009452" TargetMode="External" /><Relationship Type="http://schemas.openxmlformats.org/officeDocument/2006/relationships/hyperlink" Id="rId283" Target="https://doi.org/10.2307/2111603" TargetMode="External" /><Relationship Type="http://schemas.openxmlformats.org/officeDocument/2006/relationships/hyperlink" Id="rId229" Target="https://doi.org/10.2307/2585488" TargetMode="External" /><Relationship Type="http://schemas.openxmlformats.org/officeDocument/2006/relationships/hyperlink" Id="rId241" Target="https://doi.org/10.33774/apsa-2020-k78wc" TargetMode="External" /><Relationship Type="http://schemas.openxmlformats.org/officeDocument/2006/relationships/hyperlink" Id="rId281"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59"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48" Target="https://libgober.files.wordpress.com/2018/09/what-biased-rulemaking-looks-like.pdf" TargetMode="External" /><Relationship Type="http://schemas.openxmlformats.org/officeDocument/2006/relationships/hyperlink" Id="rId262" Target="https://mountainscholar.org/bitstream/handle/10217/181399/Cook%7B\_%7Dcolostate%7B\_%7D0053A14127.pdf?sequence=1" TargetMode="External" /><Relationship Type="http://schemas.openxmlformats.org/officeDocument/2006/relationships/hyperlink" Id="rId433" Target="https://papers.ssrn.com/sol3/papers.cfm?abstract%7B\_%7Did=1531243" TargetMode="External" /><Relationship Type="http://schemas.openxmlformats.org/officeDocument/2006/relationships/hyperlink" Id="rId293" Target="https://papers.ssrn.com/sol3/papers.cfm?abstract%7B\_%7Did=1702491" TargetMode="External" /><Relationship Type="http://schemas.openxmlformats.org/officeDocument/2006/relationships/hyperlink" Id="rId370" Target="https://papers.ssrn.com/sol3/papers.cfm?abstract%7B\_%7Did=1860193" TargetMode="External" /><Relationship Type="http://schemas.openxmlformats.org/officeDocument/2006/relationships/hyperlink" Id="rId376" Target="https://papers.ssrn.com/sol3/papers.cfm?abstract%7B\_%7Did=2444396" TargetMode="External" /><Relationship Type="http://schemas.openxmlformats.org/officeDocument/2006/relationships/hyperlink" Id="rId416" Target="https://papers.ssrn.com/sol3/papers.cfm?abstract%7B\_%7Did=2662504" TargetMode="External" /><Relationship Type="http://schemas.openxmlformats.org/officeDocument/2006/relationships/hyperlink" Id="rId406" Target="https://papers.ssrn.com/sol3/papers.cfm?abstract%7B\_%7Did=571127" TargetMode="External" /><Relationship Type="http://schemas.openxmlformats.org/officeDocument/2006/relationships/hyperlink" Id="rId245" Target="https://petitions.radcliffe.harvard.edu/files/petitions/files/petition-recruit-20040112.pdf" TargetMode="External" /><Relationship Type="http://schemas.openxmlformats.org/officeDocument/2006/relationships/hyperlink" Id="rId345" Target="https://press.princeton.edu/titles/6254.html" TargetMode="External" /><Relationship Type="http://schemas.openxmlformats.org/officeDocument/2006/relationships/hyperlink" Id="rId327" Target="https://press.princeton.edu/titles/7656.html" TargetMode="External" /><Relationship Type="http://schemas.openxmlformats.org/officeDocument/2006/relationships/hyperlink" Id="rId431" Target="https://scholarship.law.duke.edu/cgi/viewcontent.cgi?referer=https://www.google.com/%7B\&amp;%7Dhttpsredir=1%7B\&amp;%7Darticle=1463%7B\&amp;%7Dcontext=dlj" TargetMode="External" /><Relationship Type="http://schemas.openxmlformats.org/officeDocument/2006/relationships/hyperlink" Id="rId297" Target="https://ssrn.com/abstract=3787704" TargetMode="External" /><Relationship Type="http://schemas.openxmlformats.org/officeDocument/2006/relationships/hyperlink" Id="rId408" Target="https://www.acus.gov/report/public-engagement-rulemaking-draft-report" TargetMode="External" /><Relationship Type="http://schemas.openxmlformats.org/officeDocument/2006/relationships/hyperlink" Id="rId223" Target="https://www.acus.gov/sites/default/files/documents/ACUS%20Recommendations%20Packet.pdf" TargetMode="External" /><Relationship Type="http://schemas.openxmlformats.org/officeDocument/2006/relationships/hyperlink" Id="rId446" Target="https://www.acus.gov/sites/default/files/documents/Public%20Engagement%20Draft%20Recommendation%209-10-18%20Adam%20White%20Comments.pdf" TargetMode="External" /><Relationship Type="http://schemas.openxmlformats.org/officeDocument/2006/relationships/hyperlink" Id="rId289" Target="https://www.acus.gov/sites/default/files/documents/Public%20Engagement%20Draft%20Recommendation%209-10-18%20Cynthia%20Farina%20Comments.pdf" TargetMode="External" /><Relationship Type="http://schemas.openxmlformats.org/officeDocument/2006/relationships/hyperlink" Id="rId234" Target="https://www.brookings.edu/book/the-new-liberalism/" TargetMode="External" /><Relationship Type="http://schemas.openxmlformats.org/officeDocument/2006/relationships/hyperlink" Id="rId394" Target="https://www.brookings.edu/research/more-than-spam-lobbying-the-epa-through-public-comment-campaigns/" TargetMode="External" /><Relationship Type="http://schemas.openxmlformats.org/officeDocument/2006/relationships/hyperlink" Id="rId315" Target="https://www.dropbox.com/s/6ydopca7mx8ugqt/Gordon-Rashin-Private-Influence-10-24.pdf?dl=0" TargetMode="External" /><Relationship Type="http://schemas.openxmlformats.org/officeDocument/2006/relationships/hyperlink" Id="rId257" Target="https://www.jstor.org/stable/pdf/40040532.pdf?refreqid=excelsior%3A3eeeeaa9f2da6db1832f107aa771d14f" TargetMode="External" /><Relationship Type="http://schemas.openxmlformats.org/officeDocument/2006/relationships/hyperlink" Id="rId323" Target="https://www.regulations.gov/document?D=EPA-HQ-OAR-2004-0018-0211" TargetMode="External" /><Relationship Type="http://schemas.openxmlformats.org/officeDocument/2006/relationships/hyperlink" Id="rId440" Target="https://www.weact.org/" TargetMode="External" /><Relationship Type="http://schemas.openxmlformats.org/officeDocument/2006/relationships/hyperlink" Id="rId215" Target="https://www.wsj.com/articles/many-comments-critical-of-fiduciary-rule-are-fake-1514370601" TargetMode="External" /><Relationship Type="http://schemas.openxmlformats.org/officeDocument/2006/relationships/hyperlink" Id="rId227"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2021-04-24T20:29:14Z</dcterms:created>
  <dcterms:modified xsi:type="dcterms:W3CDTF">2021-04-24T20:29:14Z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2021-04-24</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