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136.png" ContentType="image/png"/>
  <Override PartName="/word/media/rId130.pdf" ContentType="application/pdf"/>
  <Override PartName="/word/media/rId215.png" ContentType="image/png"/>
  <Override PartName="/word/media/rId214.png" ContentType="image/png"/>
  <Override PartName="/word/media/rId213.png" ContentType="image/png"/>
  <Override PartName="/word/media/rId212.png" ContentType="image/png"/>
  <Override PartName="/word/media/rId235.png" ContentType="image/png"/>
  <Override PartName="/word/media/rId234.png" ContentType="image/png"/>
  <Override PartName="/word/media/rId233.png" ContentType="image/png"/>
  <Override PartName="/word/media/rId239.png" ContentType="image/png"/>
  <Override PartName="/word/media/rId238.png" ContentType="image/png"/>
  <Override PartName="/word/media/rId99.png" ContentType="image/png"/>
  <Override PartName="/word/media/rId219.png" ContentType="image/png"/>
  <Override PartName="/word/media/rId61.png" ContentType="image/png"/>
  <Override PartName="/word/media/rId100.png" ContentType="image/png"/>
  <Override PartName="/word/media/rId81.jpg" ContentType="image/jpeg"/>
  <Override PartName="/word/media/rId47.png" ContentType="image/png"/>
  <Override PartName="/word/media/rId134.png" ContentType="image/png"/>
  <Override PartName="/word/media/rId186.png" ContentType="image/png"/>
  <Override PartName="/word/media/rId154.png" ContentType="image/png"/>
  <Override PartName="/word/media/rId167.png" ContentType="image/png"/>
  <Override PartName="/word/media/rId119.png" ContentType="image/png"/>
  <Override PartName="/word/media/rId231.png" ContentType="image/png"/>
  <Override PartName="/word/media/rId191.png" ContentType="image/png"/>
  <Override PartName="/word/media/rId173.png" ContentType="image/png"/>
  <Override PartName="/word/media/rId179.png" ContentType="image/png"/>
  <Override PartName="/word/media/rId180.png" ContentType="image/png"/>
  <Override PartName="/word/media/rId181.png" ContentType="image/png"/>
  <Override PartName="/word/media/rId182.png" ContentType="image/png"/>
  <Override PartName="/word/media/rId190.png" ContentType="image/png"/>
  <Override PartName="/word/media/rId189.png" ContentType="image/png"/>
  <Override PartName="/word/media/rId1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2021-06-08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who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Comments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2.3.2</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the comment text claims to represent the organization. An employee using letterhead is insufficient. Letters from elected officials are only considered to represent their institution if they are in a position to do so (e.g., a governor, attorney general, or committee chair)</w:t>
      </w:r>
      <w:r>
        <w:t xml:space="preserve"> </w:t>
      </w:r>
      <w:r>
        <w:rPr>
          <w:iCs/>
          <w:i/>
        </w:rPr>
        <w:t xml:space="preserve">and</w:t>
      </w:r>
      <w:r>
        <w:t xml:space="preserve"> </w:t>
      </w:r>
      <w:r>
        <w:t xml:space="preserve">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interests.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call</w:t>
      </w:r>
      <w:r>
        <w:t xml:space="preserve"> </w:t>
      </w:r>
      <w:r>
        <w:t xml:space="preserve">“</w:t>
      </w:r>
      <w:r>
        <w:t xml:space="preserve">procedural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literature on social movement pressure. As these chapters address literatures on public opinion, party politics, interest groups, lobbying, and social movements in turn, my review of these literatures in this introdcution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effect policy that I advance and test in following chapters may apply to many contexts where public pressure is aimed at decisionmakers. My empirical terrian, however, is policymaking by U.S. federal agencies, specifically a policymaking process called Notice-and-comment rulemaking perscribed in the Administrative Proceedures Act. The APA governs the process by which federal agencies develop and issue legally-binding policy.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XXXX">
        <w:r>
          <w:rPr>
            <w:rStyle w:val="Hyperlink"/>
            <w:bCs/>
            <w:b/>
          </w:rPr>
          <w:t xml:space="preserve">GoldenXXXX?</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and poorly captured given the structure of government.</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40" w:name="whymail"/>
    <w:p>
      <w:pPr>
        <w:pStyle w:val="Heading1"/>
      </w:pPr>
      <w:r>
        <w:rPr>
          <w:rStyle w:val="SectionNumber"/>
        </w:rPr>
        <w:t xml:space="preserve">2</w:t>
      </w:r>
      <w:r>
        <w:tab/>
      </w:r>
      <w:r>
        <w:t xml:space="preserve">Public Pressure: Why Do Agencies (sometimes) Get So Much Mail?</w:t>
      </w:r>
    </w:p>
    <w:bookmarkStart w:id="59"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 by narrow private interests or</w:t>
      </w:r>
      <w:r>
        <w:t xml:space="preserve"> </w:t>
      </w:r>
      <w:r>
        <w:t xml:space="preserve">“</w:t>
      </w:r>
      <w:r>
        <w:t xml:space="preserve">astroturf</w:t>
      </w:r>
      <w:r>
        <w:t xml:space="preserve">”</w:t>
      </w:r>
      <w:r>
        <w:t xml:space="preserve"> </w:t>
      </w:r>
      <w:r>
        <w:t xml:space="preserve">campaigns. However, the resources and capacities required to launch a campaign do limit who can use public pressure tactics to a few larger policy advocacy organizations. Over 80% of public comments on proposed rules posted to regulations.gov were mobilized by just 100 organizations, most of which lobby in coalitions with each other. As a result, the public attention that pressure campaigns generate is concentrated on a small portion of policies on which these organizations focus. Contrary to other forms of political participation, I find no evidence of negativity bias in public comments. Instead, most commenters supported draft policies during the Obama administration but opposed those of the Trump administration, reflecting the asymmetry in mobilizing groups.</w:t>
      </w:r>
    </w:p>
    <w:bookmarkEnd w:id="59"/>
    <w:bookmarkStart w:id="62"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WilsonXXXX">
        <w:r>
          <w:rPr>
            <w:rStyle w:val="Hyperlink"/>
            <w:bCs/>
            <w:b/>
          </w:rPr>
          <w:t xml:space="preserve">WilsonXXXX?</w:t>
        </w:r>
      </w:hyperlink>
      <w:r>
        <w:t xml:space="preserve">)</w:t>
      </w:r>
      <w:r>
        <w:t xml:space="preserve">. Agency policymakers are often experts who are deeply embedded in the professional and epistemic networks of the industries they support and regulate</w:t>
      </w:r>
      <w:r>
        <w:t xml:space="preserve"> </w:t>
      </w:r>
      <w:r>
        <w:t xml:space="preserve">(</w:t>
      </w:r>
      <w:hyperlink w:anchor="ref-Gormley1986">
        <w:r>
          <w:rPr>
            <w:rStyle w:val="Hyperlink"/>
          </w:rPr>
          <w:t xml:space="preserve">Gormley 1986</w:t>
        </w:r>
      </w:hyperlink>
      <w:r>
        <w:t xml:space="preserve">;</w:t>
      </w:r>
      <w:r>
        <w:t xml:space="preserve"> </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in the specific legal context of bureaucratic policymaking and in technocratic rationality more broadly</w:t>
      </w:r>
      <w:r>
        <w:t xml:space="preserve"> </w:t>
      </w:r>
      <w:r>
        <w:t xml:space="preserve">(</w:t>
      </w:r>
      <w:hyperlink w:anchor="ref-Wagner2010">
        <w:r>
          <w:rPr>
            <w:rStyle w:val="Hyperlink"/>
          </w:rPr>
          <w:t xml:space="preserve">Wendy E. Wagner 2010</w:t>
        </w:r>
      </w:hyperlink>
      <w:r>
        <w:t xml:space="preserve">)</w:t>
      </w:r>
      <w:r>
        <w:t xml:space="preserve">. Because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are framed as derivative of (often decades-old) legislative statutes. The assumption that Congress makes political decisions, not agencies, persists even as agencies write and re-write policies that cite the same old statutes, advancing and reversing major policy programs under each subsequent president. All of these features empower legal and technical experts and thus the organizations with the resources to deploy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Below, I show that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nearly all comments are mobilized to support more sophisticated lobbying efforts.</w:t>
      </w:r>
    </w:p>
    <w:p>
      <w:pPr>
        <w:pStyle w:val="BodyText"/>
      </w:pPr>
      <w:r>
        <w:t xml:space="preserve">Without a systematic understanding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That said, even a fairly elite segment of the public could be more representative than the handful of political insiders who participate in most policy processes.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 misleading impression of public support for their policy positions, it may merely legitimize the demands of the same group of powerful interest groups that would dominate without broader public engagement. If, however, public pressure is mobilized by groups that are typically excluded or disadvantaged in the policy process, then public comment processes may democratize bureaucratic policymaking.</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Much of our knowledge about civic participation beyond voting comes from surveys 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that target the bureaucracy is surprising given that most people are only aware of bureaucratic policymaking when it is the target of a public pressure campaign.</w:t>
      </w:r>
      <w:r>
        <w:rPr>
          <w:rStyle w:val="FootnoteReference"/>
        </w:rPr>
        <w:footnoteReference w:id="60"/>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p>
    <w:p>
      <w:pPr>
        <w:pStyle w:val="BodyText"/>
      </w:pP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draft agency policies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r>
        <w:t xml:space="preserve"> </w:t>
      </w:r>
      <w:r>
        <w:t xml:space="preserve"> </w:t>
      </w:r>
      <w:r>
        <w:t xml:space="preserve">And yet, political scientists have paid little empirical or theoretical attention to the role of public pressure in bureaucratic policymaking.^[While administrative law scholars have had much to say about public participation and mass comment campaigns [see, e.g.,</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oveck2004">
        <w:r>
          <w:rPr>
            <w:rStyle w:val="Hyperlink"/>
          </w:rPr>
          <w:t xml:space="preserve">Noveck</w:t>
        </w:r>
      </w:hyperlink>
      <w:r>
        <w:t xml:space="preserve"> </w:t>
      </w:r>
      <w:r>
        <w:t xml:space="preserve">(</w:t>
      </w:r>
      <w:hyperlink w:anchor="ref-Noveck2004">
        <w:r>
          <w:rPr>
            <w:rStyle w:val="Hyperlink"/>
          </w:rPr>
          <w:t xml:space="preserve">2004</w:t>
        </w:r>
      </w:hyperlink>
      <w:r>
        <w:t xml:space="preserve">)</w:t>
      </w:r>
      <w:r>
        <w:t xml:space="preserve">; Noveck2009;</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hyperlink w:anchor="ref-Farina2012">
        <w:r>
          <w:rPr>
            <w:rStyle w:val="Hyperlink"/>
          </w:rPr>
          <w:t xml:space="preserve">Cynthia R. Farina et al.</w:t>
        </w:r>
      </w:hyperlink>
      <w:r>
        <w:t xml:space="preserve"> </w:t>
      </w:r>
      <w:r>
        <w:t xml:space="preserve">(</w:t>
      </w:r>
      <w:hyperlink w:anchor="ref-Farina2012">
        <w:r>
          <w:rPr>
            <w:rStyle w:val="Hyperlink"/>
          </w:rPr>
          <w:t xml:space="preserve">2012</w:t>
        </w:r>
      </w:hyperlink>
      <w:r>
        <w:t xml:space="preserve">)</w:t>
      </w:r>
      <w:r>
        <w:t xml:space="preserve">;</w:t>
      </w:r>
      <w:r>
        <w:t xml:space="preserve"> </w:t>
      </w:r>
      <w:hyperlink w:anchor="ref-Farina2014">
        <w:r>
          <w:rPr>
            <w:rStyle w:val="Hyperlink"/>
          </w:rPr>
          <w:t xml:space="preserve">Cynthia R. Farina, Newhart, and Heidt</w:t>
        </w:r>
      </w:hyperlink>
      <w:r>
        <w:t xml:space="preserve"> </w:t>
      </w:r>
      <w:r>
        <w:t xml:space="preserve">(</w:t>
      </w:r>
      <w:hyperlink w:anchor="ref-Farina2014">
        <w:r>
          <w:rPr>
            <w:rStyle w:val="Hyperlink"/>
          </w:rPr>
          <w:t xml:space="preserve">2014</w:t>
        </w:r>
      </w:hyperlink>
      <w:r>
        <w:t xml:space="preserve">)</w:t>
      </w:r>
      <w:r>
        <w:t xml:space="preserve">), political science scholarship is limited to a few studies</w:t>
      </w:r>
      <w:r>
        <w:t xml:space="preserve"> </w:t>
      </w:r>
      <w:r>
        <w:t xml:space="preserve">(</w:t>
      </w:r>
      <w:hyperlink w:anchor="ref-Shapiro2008b">
        <w:r>
          <w:rPr>
            <w:rStyle w:val="Hyperlink"/>
          </w:rPr>
          <w:t xml:space="preserve">Shapiro 2008</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two unpublished dissertations</w:t>
      </w:r>
      <w:r>
        <w:t xml:space="preserve"> </w:t>
      </w:r>
      <w:r>
        <w:t xml:space="preserve">(</w:t>
      </w:r>
      <w:hyperlink w:anchor="ref-Moore2017">
        <w:r>
          <w:rPr>
            <w:rStyle w:val="Hyperlink"/>
          </w:rPr>
          <w:t xml:space="preserve">Emily H. Moore 2017</w:t>
        </w:r>
      </w:hyperlink>
      <w:r>
        <w:t xml:space="preserve">;</w:t>
      </w:r>
      <w:r>
        <w:t xml:space="preserve"> </w:t>
      </w:r>
      <w:hyperlink w:anchor="ref-Cook2017">
        <w:r>
          <w:rPr>
            <w:rStyle w:val="Hyperlink"/>
          </w:rPr>
          <w:t xml:space="preserve">Cook 2017</w:t>
        </w:r>
      </w:hyperlink>
      <w:r>
        <w:t xml:space="preserve">)</w:t>
      </w:r>
      <w:r>
        <w:t xml:space="preserve">, and a blog post</w:t>
      </w:r>
      <w:r>
        <w:t xml:space="preserve"> </w:t>
      </w:r>
      <w:r>
        <w:t xml:space="preserve">(</w:t>
      </w:r>
      <w:hyperlink w:anchor="ref-Potter2017">
        <w:r>
          <w:rPr>
            <w:rStyle w:val="Hyperlink"/>
          </w:rPr>
          <w:t xml:space="preserve">Potter 2017a</w:t>
        </w:r>
      </w:hyperlink>
      <w:r>
        <w:t xml:space="preserve">)</w:t>
      </w:r>
      <w:r>
        <w:t xml:space="preserve">, which I discuss below.]</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1"/>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theories of conflict expansion and pressure tactics into theories of bureaucratic policymaking. Because theories of bureaucratic policymaking focus on the power of information and expertise in policymaking, I highlight the way that public pressure campaigns create new information about the political context (</w:t>
      </w:r>
      <w:r>
        <w:t xml:space="preserve">“</w:t>
      </w:r>
      <w:r>
        <w:t xml:space="preserve">poltical information</w:t>
      </w:r>
      <w:r>
        <w:t xml:space="preserve">”</w:t>
      </w:r>
      <w:r>
        <w:t xml:space="preserve">).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scholarship on bureaucratic decision-making and interest group lobbying. It predicts that groups with more resources will dominate all forms of lobbying, including public pressure campaigns. The other emerges from theories of democratic politics. It predicts that groups with fewer material resources but more popular support will more often use public pressure campaigns.</w:t>
      </w:r>
      <w:r>
        <w:t xml:space="preserve"> </w:t>
      </w:r>
      <w:r>
        <w:t xml:space="preserve">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The extent to which public comment periods serve the functions and provide the normative benefits that proponents assert depends on who participates.</w:t>
      </w:r>
      <w:r>
        <w:t xml:space="preserve"> </w:t>
      </w:r>
      <w:r>
        <w:t xml:space="preserve">To the extent that public pressure campaigns drive participation, the normative value of participatory processes like public comment periods depends on who organizes these campaigns.</w:t>
      </w:r>
    </w:p>
    <w:p>
      <w:pPr>
        <w:pStyle w:val="BodyText"/>
      </w:pP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diversifying the available information, they would merely reinforce powerful insiders’ claims and issue frames. We would expect pressure campaigns to push policy further in the direction desired by the most powerful insiders.</w:t>
      </w:r>
    </w:p>
    <w:p>
      <w:pPr>
        <w:pStyle w:val="BodyText"/>
      </w:pP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theory about the conditions under which we should see private and public interest group campaigns. I argue that public interest groups more often have incentives to launch public pressure campaigns than private interests. Private interests have incentives to sponsor campaigns (including astroturf campaigns) under much more limited conditions. Campaigns from private interests should thus be less common than campaigns from public interest groups. However, the resources required to run a campaign will lead a few large public interest groups to dominate.</w:t>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all public comments. Traditional membership organizations and unaffiliated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my theory anticipates.</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2.3.1</w:t>
      </w:r>
      <w:r>
        <w:t xml:space="preserve"> </w:t>
      </w:r>
      <w:r>
        <w:t xml:space="preserve">introduces a novel dataset that systematically captures public participation in federal agency rulemaking. Section</w:t>
      </w:r>
      <w:r>
        <w:t xml:space="preserve"> </w:t>
      </w:r>
      <w:r>
        <w:t xml:space="preserve">2.3.2</w:t>
      </w:r>
      <w:r>
        <w:t xml:space="preserve"> </w:t>
      </w:r>
      <w:r>
        <w:t xml:space="preserve">outlines methods to assess my hypotheses using text analysis to leverage comment texts as both content-rich and large-n observational data. Section</w:t>
      </w:r>
      <w:r>
        <w:t xml:space="preserve"> </w:t>
      </w:r>
      <w:r>
        <w:t xml:space="preserve">2.4</w:t>
      </w:r>
      <w:r>
        <w:t xml:space="preserve"> </w:t>
      </w:r>
      <w:r>
        <w:t xml:space="preserve">reviews the results of this analysis.</w:t>
      </w:r>
    </w:p>
    <w:bookmarkEnd w:id="62"/>
    <w:bookmarkStart w:id="97" w:name="why-theory"/>
    <w:p>
      <w:pPr>
        <w:pStyle w:val="Heading2"/>
      </w:pPr>
      <w:r>
        <w:rPr>
          <w:rStyle w:val="SectionNumber"/>
        </w:rPr>
        <w:t xml:space="preserve">2.2</w:t>
      </w:r>
      <w:r>
        <w:tab/>
      </w:r>
      <w:r>
        <w:t xml:space="preserve">Theory: Interest Groups as Mobilizers and Influencers</w:t>
      </w:r>
    </w:p>
    <w:p>
      <w:pPr>
        <w:pStyle w:val="FirstParagraph"/>
      </w:pPr>
      <w:r>
        <w:t xml:space="preserve">&lt;!–&gt; TODO: PLURALIST THEORIES AND GROUP MEDIATION–&gt;</w:t>
      </w:r>
    </w:p>
    <w:p>
      <w:pPr>
        <w:pStyle w:val="BodyText"/>
      </w:pPr>
      <w:r>
        <w:t xml:space="preserve">Interest groups play a critical role in American politics.</w:t>
      </w:r>
      <w:r>
        <w:t xml:space="preserve"> </w:t>
      </w:r>
      <w:r>
        <w:t xml:space="preserve"> </w:t>
      </w: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FirstParagraph"/>
      </w:pPr>
      <w:r>
        <w:t xml:space="preserve">Organized groups play at least two key functions in a large democracy: (1) organizing and mobilizing people around ideas and interests and (2) sophisticated lobbying to affect policy.</w:t>
      </w:r>
    </w:p>
    <w:bookmarkStart w:id="70" w:name="the-mobilization-of-interest"/>
    <w:p>
      <w:pPr>
        <w:pStyle w:val="Heading3"/>
      </w:pPr>
      <w:r>
        <w:rPr>
          <w:rStyle w:val="SectionNumber"/>
        </w:rPr>
        <w:t xml:space="preserve">2.2.1</w:t>
      </w:r>
      <w:r>
        <w:tab/>
      </w:r>
      <w:r>
        <w:t xml:space="preserve">The Mobilization of Interest</w:t>
      </w:r>
    </w:p>
    <w:p>
      <w:pPr>
        <w:pStyle w:val="FirstParagraph"/>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w:t>
      </w:r>
    </w:p>
    <w:bookmarkStart w:id="64" w:name="forms-and-drivers-of-civic-participation"/>
    <w:p>
      <w:pPr>
        <w:pStyle w:val="Heading4"/>
      </w:pPr>
      <w:r>
        <w:rPr>
          <w:rStyle w:val="SectionNumber"/>
        </w:rPr>
        <w:t xml:space="preserve">2.2.1.1</w:t>
      </w:r>
      <w:r>
        <w:tab/>
      </w:r>
      <w:r>
        <w:t xml:space="preserve">Forms and Drivers of Civic Participation</w:t>
      </w:r>
    </w:p>
    <w:p>
      <w:pPr>
        <w:pStyle w:val="FirstParagraph"/>
      </w:pPr>
      <w:r>
        <w:t xml:space="preserve">Classic examples of civic engagement include participation in letter-writing, signing petitions, protesting, or attending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with government from</w:t>
      </w:r>
      <w:r>
        <w:t xml:space="preserve"> </w:t>
      </w:r>
      <w:r>
        <w:t xml:space="preserve">“</w:t>
      </w:r>
      <w:r>
        <w:t xml:space="preserve">cooperative activity</w:t>
      </w:r>
      <w:r>
        <w:t xml:space="preserve">”</w:t>
      </w:r>
      <w:r>
        <w:t xml:space="preserve"> </w:t>
      </w:r>
      <w:r>
        <w:t xml:space="preserve">(pg. 54).</w:t>
      </w:r>
      <w:r>
        <w:t xml:space="preserve"> </w:t>
      </w:r>
      <w:r>
        <w:t xml:space="preserve">Political behavior research tends to focus on the choices of individuals. For example, survey research on political participation often studies activities like letter-writing as is they are citizen-initiated contacts rather than a group activity.</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3"/>
      </w:r>
    </w:p>
    <w:p>
      <w:pPr>
        <w:pStyle w:val="BodyText"/>
      </w:pPr>
      <w:r>
        <w:t xml:space="preserve">Self-selection may not be ideal for representation, but</w:t>
      </w:r>
      <w:r>
        <w:t xml:space="preserve"> </w:t>
      </w:r>
      <w:r>
        <w:t xml:space="preserve">opt-in forms of participation—including voting, attending a hearing, or</w:t>
      </w:r>
      <w:r>
        <w:t xml:space="preserve"> </w:t>
      </w:r>
      <w:r>
        <w:t xml:space="preserve">commenting on proposed a policy—are often one of the few heuristics decisionmakers have</w:t>
      </w:r>
      <w:r>
        <w:t xml:space="preserve"> </w:t>
      </w:r>
      <w:r>
        <w:t xml:space="preserve">about public preferences.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However limited and slanted, this information is directed at policymakers who may often be unclear how the public and other political actors will react to their policy decisions.</w:t>
      </w:r>
    </w:p>
    <w:p>
      <w:pPr>
        <w:pStyle w:val="BodyText"/>
      </w:pPr>
      <w:r>
        <w:t xml:space="preserve">Forms of civic participation beyond voting, such as protests and petitioning, offer unique opportunities for minority interests in particular. Protests to be an effective mechanism for minority interests to communicate preferences to policymakers when electoral mechanisms fail to do so. Policymakers learn and take informational cues from political behaviors like protests</w:t>
      </w:r>
      <w:r>
        <w:t xml:space="preserve"> </w:t>
      </w:r>
      <w:r>
        <w:t xml:space="preserve">(</w:t>
      </w:r>
      <w:hyperlink w:anchor="ref-Gillion2013">
        <w:r>
          <w:rPr>
            <w:rStyle w:val="Hyperlink"/>
          </w:rPr>
          <w:t xml:space="preserve">Gillion 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4"/>
    <w:bookmarkStart w:id="65" w:name="Xa020aadf1a2f6da8efd55fe673a176983927c71"/>
    <w:p>
      <w:pPr>
        <w:pStyle w:val="Heading4"/>
      </w:pPr>
      <w:r>
        <w:rPr>
          <w:rStyle w:val="SectionNumber"/>
        </w:rPr>
        <w:t xml:space="preserve">2.2.1.2</w:t>
      </w:r>
      <w:r>
        <w:tab/>
      </w:r>
      <w:r>
        <w:t xml:space="preserve">Pluralism and Group Conflict in Democratic Theory</w:t>
      </w:r>
    </w:p>
    <w:p>
      <w:pPr>
        <w:pStyle w:val="FirstParagraph"/>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 </w:t>
      </w:r>
      <w:r>
        <w:t xml:space="preserve">Political actors bring new people into a political fight by using press releases, mass mailing, and phonebanking to drum up and channel public support</w:t>
      </w:r>
      <w:r>
        <w:t xml:space="preserve"> </w:t>
      </w:r>
      <w:r>
        <w:t xml:space="preserve">(</w:t>
      </w:r>
      <w:hyperlink w:anchor="ref-Cooper1985">
        <w:r>
          <w:rPr>
            <w:rStyle w:val="Hyperlink"/>
            <w:bCs/>
            <w:b/>
          </w:rPr>
          <w:t xml:space="preserve">Cooper1985?</w:t>
        </w:r>
      </w:hyperlink>
      <w:r>
        <w:t xml:space="preserve">)</w:t>
      </w:r>
      <w:r>
        <w:t xml:space="preserve">. Conflict expansion strategies that attempt to engage the broader public are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w:t>
      </w:r>
      <w:r>
        <w:t xml:space="preserve"> </w:t>
      </w:r>
      <w:r>
        <w:t xml:space="preserve">For example, when presidents face difficult negotiations with Congress, they often use their bully pulpit to mobilize segments of the public to pressure elected representatives. Likewise, interest groups mobilize segments of the public to pressure policymakers as part of their lobbying strategy.</w:t>
      </w:r>
      <w:r>
        <w:t xml:space="preserve"> </w:t>
      </w:r>
      <w:r>
        <w:t xml:space="preserve">The ability to mobilize a large number of people can thus be a valuable political resource.</w:t>
      </w:r>
    </w:p>
    <w:p>
      <w:pPr>
        <w:pStyle w:val="BodyText"/>
      </w:pP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w:t>
      </w:r>
    </w:p>
    <w:bookmarkEnd w:id="65"/>
    <w:bookmarkStart w:id="66" w:name="public-pressure-as-a-resource"/>
    <w:p>
      <w:pPr>
        <w:pStyle w:val="Heading4"/>
      </w:pPr>
      <w:r>
        <w:rPr>
          <w:rStyle w:val="SectionNumber"/>
        </w:rPr>
        <w:t xml:space="preserve">2.2.1.3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policy advocacy organizations and pressure groups often mobilize.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two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issue networks</w:t>
      </w:r>
      <w:r>
        <w:t xml:space="preserve"> </w:t>
      </w:r>
      <w:r>
        <w:t xml:space="preserve">(</w:t>
      </w:r>
      <w:hyperlink w:anchor="ref-Gormley1986">
        <w:r>
          <w:rPr>
            <w:rStyle w:val="Hyperlink"/>
          </w:rPr>
          <w:t xml:space="preserve">Gormley 1986</w:t>
        </w:r>
      </w:hyperlink>
      <w:r>
        <w:t xml:space="preserve">;</w:t>
      </w:r>
      <w:r>
        <w:t xml:space="preserve"> </w:t>
      </w:r>
      <w:hyperlink w:anchor="ref-Golden1998">
        <w:r>
          <w:rPr>
            <w:rStyle w:val="Hyperlink"/>
          </w:rPr>
          <w:t xml:space="preserve">Golden 1998</w:t>
        </w:r>
      </w:hyperlink>
      <w:r>
        <w:t xml:space="preserve">)</w:t>
      </w:r>
      <w:r>
        <w:t xml:space="preserve"> </w:t>
      </w:r>
      <w:r>
        <w:t xml:space="preserve">and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as a tactic</w:t>
      </w:r>
      <w:r>
        <w:t xml:space="preserve"> </w:t>
      </w:r>
      <w:r>
        <w:t xml:space="preserve">aimed at producing political information.</w:t>
      </w:r>
    </w:p>
    <w:bookmarkEnd w:id="66"/>
    <w:bookmarkStart w:id="69" w:name="second-order-representation"/>
    <w:p>
      <w:pPr>
        <w:pStyle w:val="Heading4"/>
      </w:pPr>
      <w:r>
        <w:rPr>
          <w:rStyle w:val="SectionNumber"/>
        </w:rPr>
        <w:t xml:space="preserve">2.2.1.4</w:t>
      </w:r>
      <w:r>
        <w:tab/>
      </w:r>
      <w:r>
        <w:t xml:space="preserve">Second-order Representation</w:t>
      </w:r>
    </w:p>
    <w:p>
      <w:pPr>
        <w:pStyle w:val="FirstParagraph"/>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67">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base of public support.</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r>
        <w:t xml:space="preserve"> </w:t>
      </w: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w:t>
      </w:r>
    </w:p>
    <w:p>
      <w:pPr>
        <w:pStyle w:val="BodyText"/>
      </w:pPr>
      <w:r>
        <w:t xml:space="preserve">Membership organizations often claim to represent more than their membership.</w:t>
      </w:r>
      <w:r>
        <w:t xml:space="preserve"> </w:t>
      </w:r>
      <w:r>
        <w:t xml:space="preserve">While political science theories often assume that membership organizations advocate for the exclusive private interests of their members, many membership organizations also lobby for broader policy agendas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 The link between an organizations’ policy agenda and the preferences of its members is sometimes more plausible than others.</w:t>
      </w:r>
    </w:p>
    <w:p>
      <w:pPr>
        <w:pStyle w:val="BodyText"/>
      </w:pPr>
      <w:r>
        <w:t xml:space="preserve">Mobilizing people to write or sign comments is one way–perhaps the best way—for organizations to provide evidence that they represent who they say they do</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68">
        <w:r>
          <w:rPr>
            <w:rStyle w:val="Hyperlink"/>
          </w:rPr>
          <w:t xml:space="preserve">https://www.nrdc.org/about</w:t>
        </w:r>
      </w:hyperlink>
      <w:r>
        <w:t xml:space="preserve">), presumably including anyone who has donated to or participated in one of its campaigns. Mobilizing comments is one way that NRDC can demonstrate real support for their specific position on any given issue. To be sure, officials may better understand the true number and politics of people who support NRDC than those claimed by the Poker Players Alliance. Still, the scale and intensity with which the attentive public responds to a pressure campaign may provide information about the politics of the issue. A large showing for a campaign supporting a proposed policy may give bureaucrats a talking point with their political superiors. A surprising level of opposition may raise questions about political tactics.</w:t>
      </w:r>
    </w:p>
    <w:p>
      <w:pPr>
        <w:pStyle w:val="BodyText"/>
      </w:pPr>
      <w:r>
        <w:t xml:space="preserve">Furthermore, if D.C. professionals primarily make advocacy group decisions, these</w:t>
      </w:r>
      <w:r>
        <w:t xml:space="preserve"> </w:t>
      </w:r>
      <w:r>
        <w:t xml:space="preserve">advocates themselves may be unsure how broadly their claims resonate</w:t>
      </w:r>
      <w:r>
        <w:t xml:space="preserve"> </w:t>
      </w:r>
      <w:r>
        <w:t xml:space="preserve">until potentially attentive segments of the public are engaged. A large amount of support my encourage professional policy influences to push officials harder to accommodate their requests.</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w:t>
      </w:r>
      <w:r>
        <w:t xml:space="preserve"> </w:t>
      </w:r>
      <w:r>
        <w:t xml:space="preserve">distinguish themselves from truly narrower ones. It suggests that the 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 can demonstrate some verifiable public support. An organization mobilizing its members and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project the image of a larger base of support than they truly have</w:t>
      </w:r>
      <w:r>
        <w:t xml:space="preserve"> </w:t>
      </w:r>
      <w:r>
        <w:t xml:space="preserve">(</w:t>
      </w:r>
      <w:hyperlink w:anchor="ref-RashinXXXX">
        <w:r>
          <w:rPr>
            <w:rStyle w:val="Hyperlink"/>
            <w:bCs/>
            <w:b/>
          </w:rPr>
          <w:t xml:space="preserve">RashinXXXX?</w:t>
        </w:r>
      </w:hyperlink>
      <w:r>
        <w:t xml:space="preserve">)</w:t>
      </w:r>
      <w:r>
        <w:t xml:space="preser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less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complements technical information, supporting sophisticated lobbying efforts, providing fake political information is a risky strategy. Organizations lobbying in repeated interactions with agencies, and an organization’s reputation–critical to its ability to provide credible technical information–may be harmed if policymakers lean that an organization provided false political information. One observable implication is that astroturf campaigns will often be anonymous or by organizations that do not also engage in sophisticated lobbying. This may provide sophisticated lobbying organizations plausible deniability. However,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bookmarkEnd w:id="69"/>
    <w:bookmarkEnd w:id="70"/>
    <w:bookmarkStart w:id="73" w:name="lobbying-in-bureaucratic-policymaking"/>
    <w:p>
      <w:pPr>
        <w:pStyle w:val="Heading3"/>
      </w:pPr>
      <w:r>
        <w:rPr>
          <w:rStyle w:val="SectionNumber"/>
        </w:rPr>
        <w:t xml:space="preserve">2.2.2</w:t>
      </w:r>
      <w:r>
        <w:tab/>
      </w:r>
      <w:r>
        <w:t xml:space="preserve">Lobbying in Bureaucratic Policymaking</w:t>
      </w:r>
    </w:p>
    <w:p>
      <w:pPr>
        <w:pStyle w:val="FirstParagraph"/>
      </w:pPr>
      <w:r>
        <w:t xml:space="preserve">Theories of bureaucratic policymaking have focused more on sophisticated lobbying than the mobilizing functions of interest groups. Broadly, this scholarship has concluded that The key insight from this scholarship is that</w:t>
      </w:r>
      <w:r>
        <w:t xml:space="preserve"> </w:t>
      </w:r>
      <w:r>
        <w:t xml:space="preserve">technical information is the currency of insider lobbying and that businesses are best positioned to influence bureaucratic policymaking.</w:t>
      </w:r>
    </w:p>
    <w:p>
      <w:pPr>
        <w:pStyle w:val="BodyText"/>
      </w:pP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and empirical scholarship has focused on how interest groups help agencies learn about policy problems</w:t>
      </w:r>
      <w:r>
        <w:t xml:space="preserve"> </w:t>
      </w:r>
      <w:r>
        <w:t xml:space="preserve">(</w:t>
      </w:r>
      <w:hyperlink w:anchor="ref-Yackee2012">
        <w:r>
          <w:rPr>
            <w:rStyle w:val="Hyperlink"/>
          </w:rPr>
          <w:t xml:space="preserve">S. W. Yackee 2012</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 Formal models of rulemaking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are information-based models where public comments reveal information to the agency. Technical information is so important that flooding policymakers with technical information is a highly effective lobbying strategy</w:t>
      </w:r>
      <w:r>
        <w:t xml:space="preserve"> </w:t>
      </w:r>
      <w:r>
        <w:t xml:space="preserve">(</w:t>
      </w:r>
      <w:hyperlink w:anchor="ref-Wagner2010">
        <w:r>
          <w:rPr>
            <w:rStyle w:val="Hyperlink"/>
          </w:rPr>
          <w:t xml:space="preserve">Wendy E. Wagner 2010</w:t>
        </w:r>
      </w:hyperlink>
      <w:r>
        <w:t xml:space="preserve">)</w:t>
      </w:r>
      <w:r>
        <w:t xml:space="preserve">.</w:t>
      </w:r>
    </w:p>
    <w:p>
      <w:pPr>
        <w:pStyle w:val="BodyText"/>
      </w:pPr>
      <w:r>
        <w:t xml:space="preserve">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1"/>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r>
        <w:t xml:space="preserve"> </w:t>
      </w:r>
    </w:p>
    <w:bookmarkEnd w:id="73"/>
    <w:bookmarkStart w:id="79" w:name="why-mobilize"/>
    <w:p>
      <w:pPr>
        <w:pStyle w:val="Heading3"/>
      </w:pPr>
      <w:r>
        <w:rPr>
          <w:rStyle w:val="SectionNumber"/>
        </w:rPr>
        <w:t xml:space="preserve">2.2.3</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I argue that mass engagement produces potentially valuable political information about the coalition that mobilized it. To the extent that groups aim to influence policy, public pressure campaigns support sophisticated lobbying. That is, public pressure should be studied as a potential complement, not an alternative to sophisticated lobbying. This means that the role that public pressure may play in policymaking depends on who mobilized it and why. The first step in understanding the potential impact of public pressure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theory that specifies the conditions under which we should see different kinds of public pressure campaigns.</w:t>
      </w:r>
    </w:p>
    <w:bookmarkStart w:id="74" w:name="ususal-suspects-or-underdogs"/>
    <w:p>
      <w:pPr>
        <w:pStyle w:val="Heading4"/>
      </w:pPr>
      <w:r>
        <w:rPr>
          <w:rStyle w:val="SectionNumber"/>
        </w:rPr>
        <w:t xml:space="preserve">2.2.3.1</w:t>
      </w:r>
      <w:r>
        <w:tab/>
      </w:r>
      <w:r>
        <w:t xml:space="preserve">“</w:t>
      </w:r>
      <w:r>
        <w:t xml:space="preserve">Ususal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Existing scholarship suggests two possible reasons why agencies may receive millions of public comments. From a conflict expansion perspective, groups that are disadvantaged by the status quo ought to utilize public pressure campaigns. Existing theories of lobbying the bureaucracy suggest that well-resourced and concentrated interests will dominate.</w:t>
      </w:r>
      <w:r>
        <w:t xml:space="preserve"> </w:t>
      </w:r>
      <w:r>
        <w:t xml:space="preserve">Political information may thus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they serve to strengthen and legitimize demands of the same powerful interests that usually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information—an impression of public support generated by signatures or form letters. Even groups with few members or a narrow or non-existent base of support among the public may create the appearance of public support by sponsoring an astroturf campaign.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The literature on conflict expansion suggests a different possible dynamic. To the extent that less-resourced groups (</w:t>
      </w:r>
      <w:r>
        <w:t xml:space="preserve">“</w:t>
      </w:r>
      <w:r>
        <w:t xml:space="preserve">underdogs</w:t>
      </w:r>
      <w:r>
        <w:t xml:space="preserve">”</w:t>
      </w:r>
      <w:r>
        <w:t xml:space="preserve">) use public pressure campaigns as a conflict expansion tactic,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decisions.</w:t>
      </w:r>
    </w:p>
    <w:p>
      <w:pPr>
        <w:pStyle w:val="BodyText"/>
      </w:pP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74"/>
    <w:bookmarkStart w:id="78" w:name="X2299d75aecc0a76f4324302a3a0ed014a6896bc"/>
    <w:p>
      <w:pPr>
        <w:pStyle w:val="Heading4"/>
      </w:pPr>
      <w:r>
        <w:rPr>
          <w:rStyle w:val="SectionNumber"/>
        </w:rPr>
        <w:t xml:space="preserve">2.2.3.2</w:t>
      </w:r>
      <w:r>
        <w:tab/>
      </w:r>
      <w:r>
        <w:t xml:space="preserve">The Conditions Under Which Public and Private Interests Mobilize</w:t>
      </w:r>
    </w:p>
    <w:p>
      <w:pPr>
        <w:pStyle w:val="FirstParagraph"/>
      </w:pPr>
      <w:r>
        <w:t xml:space="preserve">This section draws on insights from interest group lobbying and conflict expansion intuitions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public participation.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suggest a similar reform whereby people could</w:t>
      </w:r>
      <w:r>
        <w:t xml:space="preserve"> </w:t>
      </w:r>
      <w:r>
        <w:t xml:space="preserve">“</w:t>
      </w:r>
      <w:r>
        <w:t xml:space="preserve">upvote</w:t>
      </w:r>
      <w:r>
        <w:t xml:space="preserve">”</w:t>
      </w:r>
      <w:r>
        <w:t xml:space="preserve"> </w:t>
      </w:r>
      <w:r>
        <w:t xml:space="preserve">comments with which they agree.</w:t>
      </w:r>
      <w:r>
        <w:rPr>
          <w:rStyle w:val="FootnoteReference"/>
        </w:rPr>
        <w:footnoteReference w:id="75"/>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interest group lobbying during bureaucratic policymaking (Figure</w:t>
      </w:r>
      <w:r>
        <w:t xml:space="preserve"> </w:t>
      </w:r>
      <w:r>
        <w:t xml:space="preserve">2.3</w:t>
      </w:r>
      <w:r>
        <w:t xml:space="preserve">. Public demands shape the decisions of</w:t>
      </w:r>
      <w:r>
        <w:t xml:space="preserve"> </w:t>
      </w:r>
      <w:r>
        <w:t xml:space="preserve">organizations that lobby. If they believe the attentive public could be rallied to their cause, an organization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 * to support* 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76"/>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Interest Group Lobbying in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Interest Group Lobbying in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78"/>
    <w:bookmarkEnd w:id="79"/>
    <w:bookmarkStart w:id="82" w:name="types-of-pressure-campaign-motivations"/>
    <w:p>
      <w:pPr>
        <w:pStyle w:val="Heading3"/>
      </w:pPr>
      <w:r>
        <w:rPr>
          <w:rStyle w:val="SectionNumber"/>
        </w:rPr>
        <w:t xml:space="preserve">2.2.4</w:t>
      </w:r>
      <w:r>
        <w:tab/>
      </w:r>
      <w:r>
        <w:t xml:space="preserve">Types of Pressure Campaign Motivations</w:t>
      </w:r>
    </w:p>
    <w:p>
      <w:pPr>
        <w:pStyle w:val="FirstParagraph"/>
      </w:pPr>
      <w:r>
        <w:t xml:space="preserve">The potential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around thanking the Obama EPA for new draft environmental policies and the agency to not back down, thus simultaneously engaging members, implying that the Sierra Club had advanced its policy agenda, and pressure policymakers to hold course or strengthen policy rather than bend to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who would be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r>
        <w:t xml:space="preserve"> </w:t>
      </w:r>
      <w:r>
        <w:t xml:space="preserve">More people may also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w:t>
      </w:r>
      <w:r>
        <w:rPr>
          <w:rStyle w:val="FootnoteReference"/>
        </w:rPr>
        <w:footnoteReference w:id="80"/>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I expect such campaigns to engage</w:t>
      </w:r>
      <w:r>
        <w:t xml:space="preserve"> </w:t>
      </w:r>
      <w:r>
        <w:t xml:space="preserve">fewer people, less effort per person, and yield a smaller portion of</w:t>
      </w:r>
      <w:r>
        <w:t xml:space="preserve"> </w:t>
      </w:r>
      <w:r>
        <w:t xml:space="preserve">indirect engagement. In the extreme, these campaigns may rely on various forms of deception to compensate for their lack of genuine public support (i.e., astroturf campaigns).</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audiences other than</w:t>
      </w:r>
      <w:r>
        <w:t xml:space="preserve"> </w:t>
      </w:r>
      <w:r>
        <w:t xml:space="preserve">policymakers. When they expect to win, organizations may launch a campaign to draw attention to and associate their organization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These more</w:t>
      </w:r>
      <w:r>
        <w:t xml:space="preserve"> </w:t>
      </w:r>
      <w:r>
        <w:t xml:space="preserve">“</w:t>
      </w:r>
      <w:r>
        <w:t xml:space="preserve">performative</w:t>
      </w:r>
      <w:r>
        <w:t xml:space="preserve">”</w:t>
      </w:r>
      <w:r>
        <w:t xml:space="preserve"> </w:t>
      </w:r>
      <w:r>
        <w:t xml:space="preserve">reasons for organizing a campaign may help engage existing supporters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Still,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1"/>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inspire countermobilization.</w:t>
      </w:r>
      <w:r>
        <w:t xml:space="preserve"> </w:t>
      </w:r>
      <w:r>
        <w:t xml:space="preserve"> </w:t>
      </w:r>
      <w:r>
        <w:t xml:space="preserve">To the extent that an organization</w:t>
      </w:r>
      <w:r>
        <w:t xml:space="preserve"> </w:t>
      </w:r>
      <w:r>
        <w:t xml:space="preserve">mobilizes for reasons other than influencing policy, opposing organizations</w:t>
      </w:r>
      <w:r>
        <w:t xml:space="preserve"> </w:t>
      </w:r>
      <w:r>
        <w:t xml:space="preserve">with less public support have little reason to countermobilize. The reverse is not true. Private interest groups ought to only launch campaigns when the policy is in play, and when they do, public interest groups also have incentives to mobilize. Thus, member-funded public interest groups should be more common than campaigns sponsored by narrow private interests, simply because they have more occasions where mobilizing has benefits. Campaigns sponsored by narrow private interest should occur in opposition to another campaign, but public interest groups have reasons to launch a campaign even when policy is unlikely to move.</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organizations likely know their chances of success and should</w:t>
      </w:r>
      <w:r>
        <w:t xml:space="preserve"> </w:t>
      </w:r>
      <w:r>
        <w:t xml:space="preserve">thus invest less in providing technical information when they see little opportunity to affect policy. By identifying cases where coalitions engage in large</w:t>
      </w:r>
      <w:r>
        <w:t xml:space="preserve"> </w:t>
      </w:r>
      <w:r>
        <w:t xml:space="preserve">public campaigns without corresponding investment in technical information, we may be able to assess whether countermobilization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w:t>
      </w:r>
    </w:p>
    <w:bookmarkEnd w:id="82"/>
    <w:bookmarkStart w:id="96" w:name="X82e681ce8f86c704962111d90f542ae06d5ce18"/>
    <w:p>
      <w:pPr>
        <w:pStyle w:val="Heading3"/>
      </w:pPr>
      <w:r>
        <w:rPr>
          <w:rStyle w:val="SectionNumber"/>
        </w:rPr>
        <w:t xml:space="preserve">2.2.5</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to the extent that participation is mediated through public pressure campaigns as my theory suggests, we should consider public commenting to be a</w:t>
      </w:r>
      <w:r>
        <w:t xml:space="preserve"> </w:t>
      </w:r>
      <w:r>
        <w:t xml:space="preserve">“</w:t>
      </w:r>
      <w:r>
        <w:t xml:space="preserve">cooperative activity.</w:t>
      </w:r>
      <w:r>
        <w:t xml:space="preserve">”</w:t>
      </w:r>
      <w:r>
        <w:t xml:space="preserve"> </w:t>
      </w:r>
      <w:r>
        <w:t xml:space="preserve">While observers frequently talk about ordinary people engaging in policymaking as individuals, political science theory suggests that an organized group will almost always mediate the participation of individuals who are not professional policy influencers. Political science has shown that national politics in the United States is the terrain of organized groups. Given the technocratic nature of bureaucratic policymaking,</w:t>
      </w:r>
      <w:r>
        <w:t xml:space="preserve"> </w:t>
      </w:r>
      <w:r>
        <w:t xml:space="preserve">“</w:t>
      </w:r>
      <w:r>
        <w:t xml:space="preserve">citizen-initiated contacts</w:t>
      </w:r>
      <w:r>
        <w:t xml:space="preserve">”</w:t>
      </w:r>
      <w:r>
        <w:t xml:space="preserve"> </w:t>
      </w:r>
      <w:r>
        <w:t xml:space="preserve">should be especially rare.</w:t>
      </w:r>
    </w:p>
    <w:p>
      <w:pPr>
        <w:pStyle w:val="BodyText"/>
      </w:pPr>
    </w:p>
    <w:p>
      <w:pPr>
        <w:pStyle w:val="BodyText"/>
      </w:pPr>
      <w:bookmarkStart w:id="84" w:name="hyp:meditated"/>
      <w:bookmarkStart w:id="83" w:name="hyp:meditated"/>
      <w:bookmarkEnd w:id="83"/>
      <w:r>
        <w:t xml:space="preserve">Hypothesis 2.1</w:t>
      </w:r>
      <w:r>
        <w:t xml:space="preserve"> </w:t>
      </w:r>
      <w:bookmarkEnd w:id="84"/>
      <w:r>
        <w:t xml:space="preserve">Most people engage in national policy processes as a result of organized public pressure campaigns.</w:t>
      </w:r>
    </w:p>
    <w:p>
      <w:pPr>
        <w:pStyle w:val="BodyText"/>
      </w:pPr>
      <w:r>
        <w:t xml:space="preserve">Stated another way, Hypothesis</w:t>
      </w:r>
      <w:r>
        <w:t xml:space="preserve"> </w:t>
      </w:r>
      <w:r>
        <w:t xml:space="preserve">??</w:t>
      </w:r>
      <w:r>
        <w:t xml:space="preserve"> </w:t>
      </w:r>
      <w:r>
        <w:t xml:space="preserve">posits that people engage in behaviors like letter-writing and petition-signing as part of a coordinated and cooperative activity—</w:t>
      </w:r>
      <w:r>
        <w:t xml:space="preserve">“</w:t>
      </w:r>
      <w:r>
        <w:t xml:space="preserve">citizen-initiated contacts</w:t>
      </w:r>
      <w:r>
        <w:t xml:space="preserve">”</w:t>
      </w:r>
      <w:r>
        <w:t xml:space="preserve"> </w:t>
      </w:r>
      <w:r>
        <w:t xml:space="preserve">on matters of national policy are relatively rare.</w:t>
      </w:r>
    </w:p>
    <w:p>
      <w:pPr>
        <w:pStyle w:val="BodyText"/>
      </w:pP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technical information.</w:t>
      </w:r>
    </w:p>
    <w:p>
      <w:pPr>
        <w:pStyle w:val="BodyText"/>
      </w:pPr>
      <w:r>
        <w:t xml:space="preserve">I argue that public pressure tactics are a compliment, not a substitute for sophisticated technical lobbying. Whereas previous studies compare mass comment campaigns to technical lobbying efforts, I argue that the relevant unit of analysis is the lobbying coalition. Coalitions may use both sophisticated technical lobbying and public pressure tactics.</w:t>
      </w:r>
    </w:p>
    <w:p>
      <w:pPr>
        <w:pStyle w:val="BodyText"/>
      </w:pPr>
    </w:p>
    <w:p>
      <w:pPr>
        <w:pStyle w:val="BodyText"/>
      </w:pPr>
      <w:bookmarkStart w:id="86" w:name="hyp:coalitions"/>
      <w:bookmarkStart w:id="85" w:name="hyp:coalitions"/>
      <w:bookmarkEnd w:id="85"/>
      <w:r>
        <w:t xml:space="preserve">Hypothesis 2.2</w:t>
      </w:r>
      <w:r>
        <w:t xml:space="preserve"> </w:t>
      </w:r>
      <w:bookmarkEnd w:id="86"/>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p>
    <w:p>
      <w:pPr>
        <w:pStyle w:val="BodyText"/>
      </w:pPr>
      <w:r>
        <w:t xml:space="preserve">Building on Lowi and Wilson,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When policy fight pits broad public interests against narrower private interests, the public interest groups more often incentives to launch public pressure campaigns, both for policy and organizational reasons. Because outside lobbying can alter the decision environment, those who have the advantage in the usual rulemaking process (where a more limited set of actors participate) have little incentive to expand the scope of the conflict. Additionally, I argue, public interest groups have greater incentives than businesses to launch public pressure campaigns for reasons other than influencing policy. Both policy and non-policy reasons to launch a campaign suggest that public interest groups will use outside strategies more often.</w:t>
      </w:r>
    </w:p>
    <w:p>
      <w:pPr>
        <w:pStyle w:val="BodyText"/>
      </w:pPr>
    </w:p>
    <w:p>
      <w:pPr>
        <w:pStyle w:val="BodyText"/>
      </w:pPr>
      <w:bookmarkStart w:id="88" w:name="hyp:public"/>
      <w:bookmarkStart w:id="87" w:name="hyp:public"/>
      <w:bookmarkEnd w:id="87"/>
      <w:r>
        <w:t xml:space="preserve">Hypothesis 2.3</w:t>
      </w:r>
      <w:r>
        <w:t xml:space="preserve"> </w:t>
      </w:r>
      <w:bookmarkEnd w:id="88"/>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use public pressure campaigns when they lobby than private interests are.</w:t>
      </w:r>
    </w:p>
    <w:p>
      <w:pPr>
        <w:pStyle w:val="BodyText"/>
      </w:pPr>
      <w:r>
        <w:t xml:space="preserve">The</w:t>
      </w:r>
      <w:r>
        <w:t xml:space="preserve"> </w:t>
      </w:r>
      <w:r>
        <w:t xml:space="preserve">converse could also be true. Business groups that are</w:t>
      </w:r>
      <w:r>
        <w:t xml:space="preserve"> </w:t>
      </w:r>
      <w:r>
        <w:t xml:space="preserve">already advantaged in the policy process may leverage</w:t>
      </w:r>
      <w:r>
        <w:t xml:space="preserve"> </w:t>
      </w:r>
      <w:r>
        <w:t xml:space="preserve">their superior resources to further mobilize support or bolster claims that they represent more than their private</w:t>
      </w:r>
      <w:r>
        <w:t xml:space="preserve"> </w:t>
      </w:r>
      <w:r>
        <w:t xml:space="preserve">interest. If mobilization most often takes this 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90" w:name="hyp:public-success"/>
      <w:bookmarkStart w:id="89" w:name="hyp:public-success"/>
      <w:bookmarkEnd w:id="89"/>
      <w:r>
        <w:t xml:space="preserve">Hypothesis 2.4</w:t>
      </w:r>
      <w:r>
        <w:t xml:space="preserve"> </w:t>
      </w:r>
      <w:bookmarkEnd w:id="90"/>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a successful mobilization campaign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that should lead coalitions advancing broad public interests to mobilize public support more often and more successfully than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 This means that public pressure tactics are only an option for a small subset of large public interest organizations.</w:t>
      </w:r>
    </w:p>
    <w:p>
      <w:pPr>
        <w:pStyle w:val="BodyText"/>
      </w:pPr>
      <w:r>
        <w:t xml:space="preserve">Mobilizing people just for a particular policy fight requires a significant organizing capacity.</w:t>
      </w:r>
      <w:r>
        <w:rPr>
          <w:rStyle w:val="FootnoteReference"/>
        </w:rPr>
        <w:footnoteReference w:id="91"/>
      </w:r>
      <w:r>
        <w:t xml:space="preserve"> </w:t>
      </w:r>
      <w:hyperlink w:anchor="ref-McNutt2007">
        <w:r>
          <w:rPr>
            <w:rStyle w:val="Hyperlink"/>
          </w:rPr>
          <w:t xml:space="preserve">McNutt and Boland</w:t>
        </w:r>
      </w:hyperlink>
      <w:r>
        <w:t xml:space="preserve"> </w:t>
      </w:r>
      <w:r>
        <w:t xml:space="preserve">(</w:t>
      </w:r>
      <w:hyperlink w:anchor="ref-McNutt2007">
        <w:r>
          <w:rPr>
            <w:rStyle w:val="Hyperlink"/>
          </w:rPr>
          <w:t xml:space="preserve">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r>
        <w:t xml:space="preserve"> </w:t>
      </w:r>
    </w:p>
    <w:p>
      <w:pPr>
        <w:pStyle w:val="BodyText"/>
      </w:pPr>
    </w:p>
    <w:p>
      <w:pPr>
        <w:pStyle w:val="BodyText"/>
      </w:pPr>
      <w:bookmarkStart w:id="93" w:name="hyp:resources"/>
      <w:bookmarkStart w:id="92" w:name="hyp:resources"/>
      <w:bookmarkEnd w:id="92"/>
      <w:r>
        <w:t xml:space="preserve">Hypothesis 2.5</w:t>
      </w:r>
      <w:r>
        <w:t xml:space="preserve"> </w:t>
      </w:r>
      <w:bookmarkEnd w:id="93"/>
      <w:r>
        <w:t xml:space="preserve">Public pressure campaigns targeting national policy are most often run by large national policy advocacy organizations.</w:t>
      </w:r>
    </w:p>
    <w:p>
      <w:pPr>
        <w:pStyle w:val="BodyText"/>
      </w:pPr>
      <w:r>
        <w:t xml:space="preserve">If, instead, lay commenters are mobilized through their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would likely require a large coalition of membership organizations. We would expect commenters to identify themselves as members of these many organizations.</w:t>
      </w:r>
    </w:p>
    <w:p>
      <w:pPr>
        <w:pStyle w:val="BodyText"/>
      </w:pPr>
      <w:r>
        <w:t xml:space="preserve">If conflict expansion theory is correct, narrow private interests only have incentives to mobilize public support to counteract an opposing campaign.</w:t>
      </w:r>
      <w:r>
        <w:t xml:space="preserve"> </w:t>
      </w:r>
      <w:r>
        <w:t xml:space="preserve">If private interest groups like businesses primarily use public pressure campaigns to counter a message of public consensus advanced by an opposing lobbying coalition, we should rarely see private interest groups lobbying unopposed.</w:t>
      </w:r>
    </w:p>
    <w:p>
      <w:pPr>
        <w:pStyle w:val="BodyText"/>
      </w:pPr>
    </w:p>
    <w:p>
      <w:pPr>
        <w:pStyle w:val="BodyText"/>
      </w:pPr>
      <w:bookmarkStart w:id="95" w:name="hyp:disrupt"/>
      <w:bookmarkStart w:id="94" w:name="hyp:disrupt"/>
      <w:bookmarkEnd w:id="94"/>
      <w:r>
        <w:t xml:space="preserve">Hypothesis 2.6</w:t>
      </w:r>
      <w:r>
        <w:t xml:space="preserve"> </w:t>
      </w:r>
      <w:bookmarkEnd w:id="95"/>
      <w:r>
        <w:t xml:space="preserve">If narrow private interest groups (e.g., businesses) lunch public pressure campaigns, it is a response to an opposing campaign.</w:t>
      </w:r>
    </w:p>
    <w:p>
      <w:pPr>
        <w:pStyle w:val="BodyText"/>
      </w:pPr>
      <w:r>
        <w:t xml:space="preserve">Hypothesis</w:t>
      </w:r>
      <w:r>
        <w:t xml:space="preserve"> </w:t>
      </w:r>
      <w:r>
        <w:t xml:space="preserve">2.6</w:t>
      </w:r>
      <w:r>
        <w:t xml:space="preserve"> </w:t>
      </w:r>
      <w:r>
        <w:t xml:space="preserve">would be supported by evidence that public interest group coalitions more often lobby unopposed than private interest groups.</w:t>
      </w:r>
    </w:p>
    <w:bookmarkEnd w:id="96"/>
    <w:bookmarkEnd w:id="97"/>
    <w:bookmarkStart w:id="128" w:name="why-data-methods"/>
    <w:p>
      <w:pPr>
        <w:pStyle w:val="Heading2"/>
      </w:pPr>
      <w:r>
        <w:rPr>
          <w:rStyle w:val="SectionNumber"/>
        </w:rPr>
        <w:t xml:space="preserve">2.3</w:t>
      </w:r>
      <w:r>
        <w:tab/>
      </w:r>
      <w:r>
        <w:t xml:space="preserve">Testing the Theory</w:t>
      </w:r>
    </w:p>
    <w:p>
      <w:pPr>
        <w:pStyle w:val="FirstParagraph"/>
      </w:pPr>
      <w:r>
        <w:t xml:space="preserve">To assess my theory about which groups should mobilize public participation in bureaucratic policymaking, I use public comments in federal agency rulemaking. However, my theories and methods should also apply to other kinds of political engagement such as through social media or protests as well as to other political decisions, including state-level rulemaking.</w:t>
      </w:r>
      <w:r>
        <w:rPr>
          <w:rStyle w:val="FootnoteReference"/>
        </w:rPr>
        <w:footnoteReference w:id="98"/>
      </w:r>
    </w:p>
    <w:bookmarkStart w:id="113" w:name="why-data"/>
    <w:p>
      <w:pPr>
        <w:pStyle w:val="Heading3"/>
      </w:pPr>
      <w:r>
        <w:rPr>
          <w:rStyle w:val="SectionNumber"/>
        </w:rPr>
        <w:t xml:space="preserve">2.3.1</w:t>
      </w:r>
      <w:r>
        <w:tab/>
      </w:r>
      <w:r>
        <w:t xml:space="preserve">Data</w:t>
      </w:r>
    </w:p>
    <w:p>
      <w:pPr>
        <w:pStyle w:val="FirstParagraph"/>
      </w:pPr>
      <w:r>
        <w:t xml:space="preserve">I collected a corpus of over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of these rulemaking dockets received more than 100 comments, but this small share of rules garnered 99.78% (76,065,254) of the comments. The top 10 rulemaking dockets account for 43.53% (33,182,975), of the comments.</w:t>
      </w:r>
    </w:p>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 The modal number of comments for all types of rules, including major and economically significant rules, is less than ten. Indeed, the majority of rules that are open for public comment received no comments.</w:t>
      </w:r>
    </w:p>
    <w:p>
      <w:pPr>
        <w:pStyle w:val="CaptionedFigure"/>
      </w:pPr>
      <w:r>
        <w:drawing>
          <wp:inline>
            <wp:extent cx="5334000" cy="4078941"/>
            <wp:effectExtent b="0" l="0" r="0" t="0"/>
            <wp:docPr descr="Figure 2.5: Comments on Posted to Regulations.gov on Rules Reviewed by OIRA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99"/>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r>
        <w:t xml:space="preserve">Figure 2.5: Comments on Posted to Regulations.gov on Rules Reviewed by OIRA 2005-2020</w:t>
      </w:r>
    </w:p>
    <w:p>
      <w:pPr>
        <w:pStyle w:val="BodyText"/>
      </w:pPr>
      <w:r>
        <w:t xml:space="preserve">Table</w:t>
      </w:r>
      <w:r>
        <w:t xml:space="preserve"> </w:t>
      </w:r>
      <w:r>
        <w:t xml:space="preserve">2.2</w:t>
      </w:r>
      <w:r>
        <w:t xml:space="preserve"> </w:t>
      </w:r>
      <w:r>
        <w:t xml:space="preserve">shows the rules that received the most comments on regulations.gov.</w:t>
      </w:r>
    </w:p>
    <w:p>
      <w:pPr>
        <w:pStyle w:val="TableCaption"/>
      </w:pPr>
      <w:r>
        <w:t xml:space="preserve">Table 2.2:</w:t>
      </w:r>
      <w:r>
        <w:t xml:space="preserve"> </w:t>
      </w:r>
      <w:bookmarkStart w:id="62404b4b-cbd6-4012-8214-fbc0bb6d85ab" w:name="tab:dockets"/>
      <w:r>
        <w:t xml:space="preserve">Rulemaking Dockets by Number of Comments on regulations.gov, 2005-2020</w:t>
      </w:r>
      <w:bookmarkEnd w:id="62404b4b-cbd6-4012-8214-fbc0bb6d85a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Number of Comments (log scale) per Proposed Rule 2005-2020"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00"/>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Number of Comments (log scale) per Proposed Rule 2005-2020</w:t>
      </w:r>
    </w:p>
    <w:bookmarkStart w:id="112" w:name="Xe5c95492632ea86eef5ce5aa15b900f8e4e7c51"/>
    <w:p>
      <w:pPr>
        <w:pStyle w:val="Heading4"/>
      </w:pPr>
      <w:r>
        <w:rPr>
          <w:rStyle w:val="SectionNumber"/>
        </w:rPr>
        <w:t xml:space="preserve">2.3.1.1</w:t>
      </w:r>
      <w:r>
        <w:tab/>
      </w:r>
      <w:r>
        <w:t xml:space="preserve">Policy Advocacy Organizations: From Grassroots to Astroturf</w:t>
      </w:r>
    </w:p>
    <w:p>
      <w:pPr>
        <w:pStyle w:val="FirstParagraph"/>
      </w:pPr>
      <w:r>
        <w:t xml:space="preserve">Testing my hypotheses requires that I classify campaigns as driven primarily by public or private interest groups. This is a challenge because appeals to the government are almost always couched in the language of</w:t>
      </w:r>
      <w:r>
        <w:t xml:space="preserve"> </w:t>
      </w:r>
      <w:r>
        <w:t xml:space="preserve">public interest, even when true motivations are private</w:t>
      </w:r>
      <w:r>
        <w:t xml:space="preserve"> </w:t>
      </w:r>
      <w:r>
        <w:t xml:space="preserve">(</w:t>
      </w:r>
      <w:hyperlink w:anchor="ref-Schattschneider1975">
        <w:r>
          <w:rPr>
            <w:rStyle w:val="Hyperlink"/>
          </w:rPr>
          <w:t xml:space="preserve">E. E. Schattschneider 1975</w:t>
        </w:r>
      </w:hyperlink>
      <w:r>
        <w:t xml:space="preserve">)</w:t>
      </w:r>
      <w:r>
        <w:t xml:space="preserve">. Public pressure campaigns are no exception, and mobilizing organizations almost always evoke some version of the public interest. Classifying thus involves judgment calls.</w:t>
      </w:r>
      <w:r>
        <w:t xml:space="preserve"> </w:t>
      </w:r>
      <w:r>
        <w:t xml:space="preserve">I describe my classification methods in section @ref{classify-public-private}. To provide empirical context, this subsection sketches out the range of public and private campaigns with some concrete examples of</w:t>
      </w:r>
      <w:r>
        <w:t xml:space="preserve"> </w:t>
      </w:r>
      <w:r>
        <w:t xml:space="preserve">“</w:t>
      </w:r>
      <w:r>
        <w:t xml:space="preserve">public</w:t>
      </w:r>
      <w:r>
        <w:t xml:space="preserve">”</w:t>
      </w:r>
      <w:r>
        <w:t xml:space="preserve"> </w:t>
      </w:r>
      <w:r>
        <w:t xml:space="preserve">pressure campaigns that primarily advance private interests.</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r>
        <w:t xml:space="preserve"> </w:t>
      </w: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01">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02"/>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04"/>
      </w:r>
      <w:r>
        <w:t xml:space="preserve"> </w:t>
      </w:r>
      <w:r>
        <w:t xml:space="preserve">paying actors to pose as concerned citizens, and skirting Facebook’s policy against deceptive advertising.</w:t>
      </w:r>
      <w:r>
        <w:rPr>
          <w:rStyle w:val="FootnoteReference"/>
        </w:rPr>
        <w:footnoteReference w:id="106"/>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fees,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Axcess Financial) was engaged in serial re-lending that put this customer deeper in debt. In their own comments, Axcess claimed that it did not do this kind of serial re-lending. To the extent that this campaign relied on deception and not the customer’s genuine interests (even as the customers understood them), this would count as astroturf. Second, Axcess sponsored an effort to gather signatures at churches. Finally, Axcess and other payday loan companies uploaded supportive notes from community organizations to which they had given money. These people had no reason to comment except that they had received money from the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rPr>
          <w:t xml:space="preserve">Lyon and Maxwell 2004</w:t>
        </w:r>
      </w:hyperlink>
      <w:r>
        <w:t xml:space="preserve">)</w:t>
      </w:r>
      <w:r>
        <w:t xml:space="preserve">.</w:t>
      </w:r>
    </w:p>
    <w:p>
      <w:pPr>
        <w:pStyle w:val="BodyText"/>
      </w:pPr>
      <w:r>
        <w:t xml:space="preserve">Not all campaigns on behalf of private interests fall decisively on the astroturf side of the spectrum. In a cover letter to a batch of comments opposing the regulation of glyphosate herbicides, major glyphosate manufacture, Monsanto, described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08">
        <w:r>
          <w:rPr>
            <w:rStyle w:val="Hyperlink"/>
          </w:rPr>
          <w:t xml:space="preserve">EPA-HQ-OPP-2009-0361-0891</w:t>
        </w:r>
      </w:hyperlink>
      <w:r>
        <w:t xml:space="preserve">)</w:t>
      </w:r>
    </w:p>
    <w:p>
      <w:pPr>
        <w:pStyle w:val="FirstParagraph"/>
      </w:pPr>
      <w:r>
        <w:t xml:space="preserve">Monsanto may have, like Energy Citizens, given out shirts in exchange for many of these signers,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09"/>
      </w:r>
    </w:p>
    <w:p>
      <w:pPr>
        <w:pStyle w:val="FirstParagraph"/>
      </w:pPr>
      <w:r>
        <w:t xml:space="preserve">Though Shell’s private interests stood to benefit from the rule, the signers of this form letter were mostly companies and workers in the oil and gas sector. Several elected officials also used Shell’s form letter (e.g. </w:t>
      </w:r>
      <w:hyperlink r:id="rId110">
        <w:r>
          <w:rPr>
            <w:rStyle w:val="Hyperlink"/>
          </w:rPr>
          <w:t xml:space="preserve">BSEE-2013-0011-0033</w:t>
        </w:r>
      </w:hyperlink>
      <w:r>
        <w:t xml:space="preserve"> </w:t>
      </w:r>
      <w:r>
        <w:t xml:space="preserve">and</w:t>
      </w:r>
      <w:r>
        <w:t xml:space="preserve"> </w:t>
      </w:r>
      <w:hyperlink r:id="rId111">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12"/>
    <w:bookmarkEnd w:id="113"/>
    <w:bookmarkStart w:id="127" w:name="why-methods"/>
    <w:p>
      <w:pPr>
        <w:pStyle w:val="Heading3"/>
      </w:pPr>
      <w:r>
        <w:rPr>
          <w:rStyle w:val="SectionNumber"/>
        </w:rPr>
        <w:t xml:space="preserve">2.3.2</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20" w:name="reuse"/>
    <w:p>
      <w:pPr>
        <w:pStyle w:val="Heading4"/>
      </w:pPr>
      <w:r>
        <w:rPr>
          <w:rStyle w:val="SectionNumber"/>
        </w:rPr>
        <w:t xml:space="preserve">2.3.2.1</w:t>
      </w:r>
      <w:r>
        <w:tab/>
      </w:r>
      <w:r>
        <w:t xml:space="preserve">Identifying Organizations and Coalitions using Text Reuse</w:t>
      </w:r>
    </w:p>
    <w:p>
      <w:pPr>
        <w:pStyle w:val="FirstParagraph"/>
      </w:pPr>
      <w:r>
        <w:t xml:space="preserve">The primary unit of analysis is a lobbying coalition–a group of organizations advocating for the same policy changes in their comments on a draft rule.</w:t>
      </w:r>
      <w:r>
        <w:t xml:space="preserve"> </w:t>
      </w:r>
      <w:r>
        <w:t xml:space="preserve">Advocacy organizations work together on campaigns. For example,</w:t>
      </w:r>
      <w:r>
        <w:t xml:space="preserve"> </w:t>
      </w:r>
      <w:r>
        <w:t xml:space="preserve">“</w:t>
      </w:r>
      <w:r>
        <w:t xml:space="preserve">Save our Environment</w:t>
      </w:r>
      <w:r>
        <w:t xml:space="preserve">”</w:t>
      </w:r>
      <w:r>
        <w:t xml:space="preserve"> </w:t>
      </w:r>
      <w:r>
        <w:t xml:space="preserve">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(SaveOurEnvironment.org).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r>
        <w:rPr>
          <w:rStyle w:val="FootnoteReference"/>
        </w:rPr>
        <w:footnoteReference w:id="114"/>
      </w:r>
    </w:p>
    <w:p>
      <w:pPr>
        <w:pStyle w:val="BodyText"/>
      </w:pPr>
      <w:r>
        <w:t xml:space="preserve">For each comment on a rulemaking docket</w:t>
      </w:r>
      <w:r>
        <w:rPr>
          <w:rStyle w:val="FootnoteReference"/>
        </w:rPr>
        <w:footnoteReference w:id="115"/>
      </w:r>
      <w:r>
        <w:t xml:space="preserve">,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16"/>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cluster of grey tiles indicates a coalition of commenters using some identical text.</w:t>
      </w:r>
      <w:r>
        <w:t xml:space="preserve"> </w:t>
      </w:r>
      <w:r>
        <w:t xml:space="preserve">Comments</w:t>
      </w:r>
      <w:r>
        <w:t xml:space="preserve"> </w:t>
      </w:r>
      <w:hyperlink r:id="rId117">
        <w:r>
          <w:rPr>
            <w:rStyle w:val="Hyperlink"/>
          </w:rPr>
          <w:t xml:space="preserve">91130</w:t>
        </w:r>
      </w:hyperlink>
      <w:r>
        <w:t xml:space="preserve"> </w:t>
      </w:r>
      <w:r>
        <w:t xml:space="preserve">through</w:t>
      </w:r>
      <w:r>
        <w:t xml:space="preserve"> </w:t>
      </w:r>
      <w:hyperlink r:id="rId118">
        <w:r>
          <w:rPr>
            <w:rStyle w:val="Hyperlink"/>
          </w:rPr>
          <w:t xml:space="preserve">91156</w:t>
        </w:r>
      </w:hyperlink>
      <w:r>
        <w:t xml:space="preserve"> </w:t>
      </w:r>
      <w:r>
        <w:t xml:space="preserve">are all partial or exact matches. All are part of a mass comment campaign by Access Financial. The percent of the identical text is lower than many mass-comment campaigns because these are hand-written comments, but the n-gram method still picks up overlap in the OCRed text in the header and footer. Tengrams that appear in 100 or more comments indicate a mass comment campaign. Some agencies use similar</w:t>
      </w:r>
      <w:r>
        <w:t xml:space="preserve"> </w:t>
      </w:r>
      <w:r>
        <w:t xml:space="preserve">“</w:t>
      </w:r>
      <w:r>
        <w:t xml:space="preserve">de-duping</w:t>
      </w:r>
      <w:r>
        <w:t xml:space="preserve">”</w:t>
      </w:r>
      <w:r>
        <w:t xml:space="preserve"> </w:t>
      </w:r>
      <w:r>
        <w:t xml:space="preserve">software [CITE] and only provide a representative sample comment. In these cases, my linking method assumes that the example comment is representative, and I link these comments to others based on the text of the sample comment provided.</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19"/>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20"/>
    <w:bookmarkStart w:id="121" w:name="hand-coded-organizations-and-coalitions"/>
    <w:p>
      <w:pPr>
        <w:pStyle w:val="Heading4"/>
      </w:pPr>
      <w:r>
        <w:rPr>
          <w:rStyle w:val="SectionNumber"/>
        </w:rPr>
        <w:t xml:space="preserve">2.3.2.2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A second sample includes nearly all comments on a random sample of rules. A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in all three samples of comments. I identify the organizations responsible for over 40 million comments, including all organizations responsible for mobilizing 100 or more comments with repeated text–either identical text or partially unique texts that contain shared language. I then searched all remaining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samples as businesses, industry associations, other nonprofits, governments, or individual elected officials and a range of sub-types within these broader categories.</w:t>
      </w:r>
    </w:p>
    <w:bookmarkEnd w:id="121"/>
    <w:bookmarkStart w:id="123" w:name="classify-public-private"/>
    <w:p>
      <w:pPr>
        <w:pStyle w:val="Heading4"/>
      </w:pPr>
      <w:r>
        <w:rPr>
          <w:rStyle w:val="SectionNumber"/>
        </w:rPr>
        <w:t xml:space="preserve">2.3.2.3</w:t>
      </w:r>
      <w:r>
        <w:tab/>
      </w:r>
      <w:r>
        <w:t xml:space="preserve">Classifying Public and Private Interests</w:t>
      </w:r>
    </w:p>
    <w:p>
      <w:pPr>
        <w:pStyle w:val="FirstParagraph"/>
      </w:pPr>
      <w:r>
        <w:t xml:space="preserve">Classifying coalitions as primarily driven by private or public interest provides analytic leverage, but scholars have not converged on an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especially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 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 public interest groups on public health or safety issues, I classify this as a public interest group coalition.</w:t>
      </w:r>
    </w:p>
    <w:p>
      <w:pPr>
        <w:pStyle w:val="BodyText"/>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22">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23"/>
    <w:bookmarkStart w:id="125" w:name="coding-policy-positions"/>
    <w:p>
      <w:pPr>
        <w:pStyle w:val="Heading4"/>
      </w:pPr>
      <w:r>
        <w:rPr>
          <w:rStyle w:val="SectionNumber"/>
        </w:rPr>
        <w:t xml:space="preserve">2.3.2.4</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given the direction of change from the current policy. In Figure</w:t>
      </w:r>
      <w:r>
        <w:t xml:space="preserve"> </w:t>
      </w:r>
      <w:r>
        <w:t xml:space="preserve">2.8</w:t>
      </w:r>
      <w:r>
        <w:t xml:space="preserve">,</w:t>
      </w:r>
      <w:r>
        <w:t xml:space="preserve"> </w:t>
      </w:r>
      <m:oMath>
        <m:sSub>
          <m:e>
            <m:r>
              <m:t>x</m:t>
            </m:r>
          </m:e>
          <m:sub>
            <m:r>
              <m:t>1</m:t>
            </m:r>
          </m:sub>
        </m:sSub>
      </m:oMath>
      <w:r>
        <w:t xml:space="preserve"> </w:t>
      </w:r>
      <w:r>
        <w:t xml:space="preserve">is the current policy</w:t>
      </w:r>
      <w:r>
        <w:t xml:space="preserve"> </w:t>
      </w:r>
      <m:oMath>
        <m:sSub>
          <m:e>
            <m:r>
              <m:t>x</m:t>
            </m:r>
          </m:e>
          <m:sub>
            <m:r>
              <m:t>2</m:t>
            </m:r>
          </m:sub>
        </m:sSub>
      </m:oMath>
      <w:r>
        <w:t xml:space="preserve"> </w:t>
      </w:r>
      <w:r>
        <w:t xml:space="preserve">is the new proposed policy. Let</w:t>
      </w:r>
      <w:r>
        <w:t xml:space="preserve"> </w:t>
      </w:r>
      <m:oMath>
        <m:sSub>
          <m:e>
            <m:r>
              <m:t>p</m:t>
            </m:r>
          </m:e>
          <m:sub>
            <m:r>
              <m:t>i</m:t>
            </m:r>
          </m:sub>
        </m:sSub>
      </m:oMath>
      <w:r>
        <w:t xml:space="preserve"> </w:t>
      </w:r>
      <w:r>
        <w:t xml:space="preserve">be commenter</w:t>
      </w:r>
      <w:r>
        <w:t xml:space="preserve"> </w:t>
      </w:r>
      <m:oMath>
        <m:r>
          <m:t>i</m:t>
        </m:r>
      </m:oMath>
      <w:r>
        <w:t xml:space="preserve">’s ideal policy. In spatial models, whether an organization supports or opposes a proposed policy change often depends on whether it is moving closer or further from its ideal policy. For example, if the ideal point of the commenter</w:t>
      </w:r>
      <w:r>
        <w:t xml:space="preserve"> </w:t>
      </w:r>
      <m:oMath>
        <m:r>
          <m:t>i</m:t>
        </m:r>
      </m:oMath>
      <w:r>
        <w:t xml:space="preserve"> </w:t>
      </w:r>
      <w:r>
        <w:t xml:space="preserve">is the current policy (</w:t>
      </w:r>
      <m:oMath>
        <m:sSub>
          <m:e>
            <m:r>
              <m:t>p</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p</m:t>
            </m:r>
          </m:e>
          <m:sub>
            <m:r>
              <m:t>i</m:t>
            </m:r>
          </m:sub>
        </m:sSub>
        <m:r>
          <m:rPr>
            <m:sty m:val="p"/>
          </m:rPr>
          <m:t>=</m:t>
        </m:r>
        <m:sSub>
          <m:e>
            <m:r>
              <m:t>x</m:t>
            </m:r>
          </m:e>
          <m:sub>
            <m:r>
              <m:t>1</m:t>
            </m:r>
          </m:sub>
        </m:sSub>
      </m:oMath>
      <w:r>
        <w:t xml:space="preserve">) or closer to it, they likely support the proposal. While incompatible with an assumption of single-peaked preferences assumed by most models,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For example, if a commenter’s prefers a more extreme change (</w:t>
      </w:r>
      <m:oMath>
        <m:sSub>
          <m:e>
            <m:r>
              <m:t>p</m:t>
            </m:r>
          </m:e>
          <m:sub>
            <m:r>
              <m:t>i</m:t>
            </m:r>
          </m:sub>
        </m:sSub>
        <m:r>
          <m:rPr>
            <m:sty m:val="p"/>
          </m:rPr>
          <m:t>=</m:t>
        </m:r>
        <m:sSub>
          <m:e>
            <m:r>
              <m:t>x</m:t>
            </m:r>
          </m:e>
          <m:sub>
            <m:r>
              <m:t>1</m:t>
            </m:r>
          </m:sub>
        </m:sSub>
      </m:oMath>
      <w:r>
        <w:t xml:space="preserve">), they may oppose</w:t>
      </w:r>
      <w:r>
        <w:t xml:space="preserve"> </w:t>
      </w:r>
      <m:oMath>
        <m:sSub>
          <m:e>
            <m:r>
              <m:t>x</m:t>
            </m:r>
          </m:e>
          <m:sub>
            <m:r>
              <m:t>2</m:t>
            </m:r>
          </m:sub>
        </m:sSub>
      </m:oMath>
      <w:r>
        <w:t xml:space="preserve"> </w:t>
      </w:r>
      <w:r>
        <w:t xml:space="preserve">as</w:t>
      </w:r>
      <w:r>
        <w:t xml:space="preserve"> </w:t>
      </w:r>
      <w:r>
        <w:t xml:space="preserve">“</w:t>
      </w:r>
      <w:r>
        <w:t xml:space="preserve">insufficient.</w:t>
      </w:r>
      <w:r>
        <w:t xml:space="preserve">”</w:t>
      </w:r>
      <w:r>
        <w:t xml:space="preserve"> </w:t>
      </w:r>
      <w:r>
        <w:t xml:space="preserve">This is likely a result of the repeated game nature of policymaking, where commenters believe that rejecting a small change in their preferred direction (</w:t>
      </w:r>
      <m:oMath>
        <m:sSub>
          <m:e>
            <m:r>
              <m:t>x</m:t>
            </m:r>
          </m:e>
          <m:sub>
            <m:r>
              <m:t>2</m:t>
            </m:r>
          </m:sub>
        </m:sSub>
      </m:oMath>
      <w:r>
        <w:t xml:space="preserve">) now is likely to result in a more extreme change (</w:t>
      </w:r>
      <m:oMath>
        <m:sSub>
          <m:e>
            <m:r>
              <m:t>x</m:t>
            </m:r>
          </m:e>
          <m:sub>
            <m:r>
              <m:t>3</m:t>
            </m:r>
          </m:sub>
        </m:sSub>
      </m:oMath>
      <w:r>
        <w:t xml:space="preserve">) later.</w:t>
      </w:r>
    </w:p>
    <w:p>
      <w:pPr>
        <w:pStyle w:val="CaptionedFigure"/>
      </w:pPr>
      <w:r>
        <w:drawing>
          <wp:inline>
            <wp:extent cx="5334000" cy="762000"/>
            <wp:effectExtent b="0" l="0" r="0" t="0"/>
            <wp:docPr descr="Figure 2.8: Coding the Spatial Position of Commener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24"/>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Commeners on Proposed Policy Changes</w:t>
      </w:r>
    </w:p>
    <w:p>
      <w:pPr>
        <w:pStyle w:val="BodyText"/>
      </w:pPr>
      <w:r>
        <w:t xml:space="preserve">Having identified the coalition lobbying on each proposed rule and the position of each organization, I assign the position of each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consider diverging interests to be one coalition only if the asks are entirely compatible with the position of organizations that did not ask for them. Incompatible policy demands indicate different coalitions.</w:t>
      </w:r>
    </w:p>
    <w:bookmarkEnd w:id="125"/>
    <w:bookmarkStart w:id="126" w:name="differences-with-prior-studies"/>
    <w:p>
      <w:pPr>
        <w:pStyle w:val="Heading4"/>
      </w:pPr>
      <w:r>
        <w:rPr>
          <w:rStyle w:val="SectionNumber"/>
        </w:rPr>
        <w:t xml:space="preserve">2.3.2.5</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w:t>
      </w:r>
    </w:p>
    <w:p>
      <w:pPr>
        <w:pStyle w:val="BodyText"/>
      </w:pPr>
      <w:r>
        <w:t xml:space="preserve">This is important because many comments nominally submitted by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For example, campaigns by industry associations are often officially submitted by much smaller nonprofit coalition partners.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By measuring comments per coalition, both through hand-coding and text reuse, I capture different levels of public pressure than we would see if we were to look only at comments per organization.</w:t>
      </w:r>
    </w:p>
    <w:bookmarkEnd w:id="126"/>
    <w:bookmarkEnd w:id="127"/>
    <w:bookmarkEnd w:id="128"/>
    <w:bookmarkStart w:id="138" w:name="why-results"/>
    <w:p>
      <w:pPr>
        <w:pStyle w:val="Heading2"/>
      </w:pPr>
      <w:r>
        <w:rPr>
          <w:rStyle w:val="SectionNumber"/>
        </w:rPr>
        <w:t xml:space="preserve">2.4</w:t>
      </w:r>
      <w:r>
        <w:tab/>
      </w:r>
      <w:r>
        <w:t xml:space="preserve">Results: Patterns of Public Engagement in Rulemaking</w:t>
      </w:r>
    </w:p>
    <w:bookmarkStart w:id="131"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Figure</w:t>
      </w:r>
      <w:r>
        <w:t xml:space="preserve"> </w:t>
      </w:r>
      <w:r>
        <w:t xml:space="preserve">2.9</w:t>
      </w:r>
      <w:r>
        <w:t xml:space="preserve"> </w:t>
      </w:r>
      <w:r>
        <w:t xml:space="preserve">shows that every year since 2007, the vast majority of</w:t>
      </w:r>
      <w:r>
        <w:t xml:space="preserve"> </w:t>
      </w:r>
      <w:r>
        <w:t xml:space="preserve">comments on draft regulations posted to regulations.gov were a result of a public pressure campaign.</w:t>
      </w:r>
      <w:r>
        <w:rPr>
          <w:rStyle w:val="FootnoteReference"/>
        </w:rPr>
        <w:footnoteReference w:id="129"/>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30"/>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31"/>
    <w:bookmarkStart w:id="132"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almost exclusively organized by coalitions that include groups that engage in sophisticated technical lobbying.</w:t>
      </w:r>
      <w:r>
        <w:t xml:space="preserve"> </w:t>
      </w:r>
      <w:r>
        <w:t xml:space="preserve">Just 100 organizations mobilized over 80% of comments on proposed rules posted to regulations.gov.</w:t>
      </w:r>
      <w:r>
        <w:t xml:space="preserve"> </w:t>
      </w:r>
    </w:p>
    <w:p>
      <w:pPr>
        <w:pStyle w:val="TableCaption"/>
      </w:pPr>
      <w:r>
        <w:t xml:space="preserve">Table 2.3:</w:t>
      </w:r>
      <w:r>
        <w:t xml:space="preserve"> </w:t>
      </w:r>
      <w:bookmarkStart w:id="f26eb531-414c-47fc-8195-68a67ef01342" w:name="tab:toporgs"/>
      <w:r>
        <w:t xml:space="preserve">Organizations Mobilizing the Most Public Comments 2005-2020</w:t>
      </w:r>
      <w:bookmarkEnd w:id="f26eb531-414c-47fc-8195-68a67ef0134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campaigns also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br/>
      </w:r>
      <w:r>
        <w:t xml:space="preserve">1. Update with 2019-2020 data</w:t>
      </w:r>
      <w:r>
        <w:br/>
      </w:r>
      <w:r>
        <w:t xml:space="preserve">2. ADD TABLE OF TOP ORGS AND DESCRIPTIVES ABOUT HOW MANY ARE MEMBERSHIP VS ADVOCACY ORGS</w:t>
      </w:r>
      <w:r>
        <w:br/>
      </w:r>
      <w:r>
        <w:t xml:space="preserve">3. 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 with only XX% led by private interest coalitions.</w:t>
      </w:r>
    </w:p>
    <w:p>
      <w:pPr>
        <w:pStyle w:val="FirstParagraph"/>
      </w:pPr>
      <w:r>
        <w:t xml:space="preserve">In line with Hypothesis</w:t>
      </w:r>
      <w:r>
        <w:t xml:space="preserve"> </w:t>
      </w:r>
      <w:r>
        <w:t xml:space="preserve">2.4</w:t>
      </w:r>
      <w:r>
        <w:t xml:space="preserve">, public interest campaigns, on average, garner a larger response. The average number of comments for a public interest campaign is XXXX. In contrast, the average number of comments for a private interest campaign is XXX. On rules where both public and private interest coalitions ran campaigns, the average response to the public interest campaign was XXX. The private interest campaigns were only XX.</w:t>
      </w:r>
    </w:p>
    <w:p>
      <w:pPr>
        <w:pStyle w:val="BodyText"/>
      </w:pPr>
      <w:r>
        <w:t xml:space="preserve">In line with Hypothesis</w:t>
      </w:r>
      <w:r>
        <w:t xml:space="preserve"> </w:t>
      </w:r>
      <w:r>
        <w:t xml:space="preserve">2.5</w:t>
      </w:r>
      <w:r>
        <w:t xml:space="preserve">, large national policy advocacy organizations are responsible for most pressure campaigns targeting national policy. These organizations have both the incentive and the resources and organizational capacity to launch campaigns.</w:t>
      </w:r>
    </w:p>
    <w:bookmarkEnd w:id="132"/>
    <w:bookmarkStart w:id="133"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In line with Hypothesis</w:t>
      </w:r>
      <w:r>
        <w:t xml:space="preserve"> </w:t>
      </w:r>
      <w:r>
        <w:t xml:space="preserve">2.6</w:t>
      </w:r>
      <w:r>
        <w:t xml:space="preserve">, environmental groups ran much larger campaigns on these same dockets. API only attached their name to one of these campaigns.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Table</w:t>
      </w:r>
      <w:r>
        <w:t xml:space="preserve"> </w:t>
      </w:r>
      <w:r>
        <w:t xml:space="preserve">2.3</w:t>
      </w:r>
      <w:r>
        <w:t xml:space="preserve"> </w:t>
      </w:r>
      <w:r>
        <w:t xml:space="preserve">shows the most commented-on dockets. The most prolific mobilizers are</w:t>
      </w:r>
      <w:r>
        <w:t xml:space="preserve"> </w:t>
      </w:r>
      <w:r>
        <w:t xml:space="preserve">national environmental organizations. A coalition of environmental organizations and their allies mobilized a majority of public comments five out of the top ten dockets (Figure</w:t>
      </w:r>
      <w:r>
        <w:t xml:space="preserve"> </w:t>
      </w:r>
      <w:r>
        <w:t xml:space="preserve">2.10</w:t>
      </w:r>
      <w:r>
        <w:t xml:space="preserve">.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The top private-interest mobilizer on these ten dockets was America’s Energy Cooperatives (AEC).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more grassroots participation than astroturf.</w:t>
      </w:r>
    </w:p>
    <w:bookmarkEnd w:id="133"/>
    <w:bookmarkStart w:id="135"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3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35"/>
    <w:bookmarkStart w:id="137"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of these organizations,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more comments mention support, until 2018 when there is</w:t>
      </w:r>
      <w:r>
        <w:t xml:space="preserve"> </w:t>
      </w:r>
      <w:r>
        <w:t xml:space="preserve">a fairly dramatic reversal in the share of comments mentioning</w:t>
      </w:r>
      <w:r>
        <w:t xml:space="preserve"> </w:t>
      </w:r>
      <w:r>
        <w:t xml:space="preserve">“</w:t>
      </w:r>
      <w:r>
        <w:t xml:space="preserve">support</w:t>
      </w:r>
      <w:r>
        <w:t xml:space="preserve">”</w:t>
      </w:r>
      <w:r>
        <w:t xml:space="preserve"> </w:t>
      </w:r>
      <w:r>
        <w:t xml:space="preserve">compared to those mentioning</w:t>
      </w:r>
      <w:r>
        <w:t xml:space="preserve"> </w:t>
      </w:r>
      <w:r>
        <w:t xml:space="preserve">“</w:t>
      </w:r>
      <w:r>
        <w:t xml:space="preserve">oppose.</w:t>
      </w:r>
      <w:r>
        <w:t xml:space="preserve">”</w:t>
      </w:r>
      <w:r>
        <w:t xml:space="preserve"> </w:t>
      </w:r>
      <w:r>
        <w:t xml:space="preserve">Whether the comment text includes</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is a noisy signal. These words are not used in all comments</w:t>
      </w:r>
      <w:r>
        <w:t xml:space="preserve"> </w:t>
      </w:r>
      <w:r>
        <w:t xml:space="preserve">and do not always indicate support for or opposition to a rule. Still, given the partisan asymmetry in the mobilizing groups, it is plausible that this pattern is a result of the</w:t>
      </w:r>
      <w:r>
        <w:t xml:space="preserve"> </w:t>
      </w:r>
      <w:r>
        <w:t xml:space="preserve">changing regulatory agenda due to the change in the presidential</w:t>
      </w:r>
      <w:r>
        <w:t xml:space="preserve"> </w:t>
      </w:r>
      <w:r>
        <w:t xml:space="preserve">administration.</w:t>
      </w:r>
    </w:p>
    <w:p>
      <w:pPr>
        <w:pStyle w:val="CaptionedFigure"/>
      </w:pPr>
      <w:r>
        <w:drawing>
          <wp:inline>
            <wp:extent cx="4595937" cy="2848523"/>
            <wp:effectExtent b="0" l="0" r="0" t="0"/>
            <wp:docPr descr="Figure 2.11: Comments Containing “Support” or “Oppose”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36"/>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Containing</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on Draft Rules Posted to Regulations.gov 2006-2018</w:t>
      </w:r>
    </w:p>
    <w:bookmarkEnd w:id="137"/>
    <w:bookmarkEnd w:id="138"/>
    <w:bookmarkStart w:id="139" w:name="conclusion-1"/>
    <w:p>
      <w:pPr>
        <w:pStyle w:val="Heading2"/>
      </w:pPr>
      <w:r>
        <w:rPr>
          <w:rStyle w:val="SectionNumber"/>
        </w:rPr>
        <w:t xml:space="preserve">2.5</w:t>
      </w:r>
      <w:r>
        <w:tab/>
      </w:r>
      <w:r>
        <w:t xml:space="preserve">Conclusion</w:t>
      </w:r>
    </w:p>
    <w:p>
      <w:pPr>
        <w:pStyle w:val="FirstParagraph"/>
      </w:pPr>
      <w:r>
        <w:t xml:space="preserve">Most comments are ordinary people voicing opinions on a proposed policy. They do not provide useful technical information or</w:t>
      </w:r>
      <w:r>
        <w:t xml:space="preserve"> </w:t>
      </w:r>
      <w:r>
        <w:t xml:space="preserve">suggest specific edits to policy texts like the interest group comments 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Few campaigns push for narrow private interests. Even fewer are astroturf, which are often anonymous, making it more difficult for them to support lobbying efforts. Compared to the usual suspects found lobbying, especially in rulemaking, both the participants and organizations that mobilized them represent broader segments of the public. However, astroturf campaigns are most likely to occur precisely when public pressure is most decisive, so they may still present a normative concern.</w:t>
      </w:r>
    </w:p>
    <w:p>
      <w:pPr>
        <w:pStyle w:val="BodyText"/>
      </w:pPr>
      <w:r>
        <w:t xml:space="preserve">When private interest coalitions use public pressure tactics, it is almost always in response to a much larger effort by public interest groups. They are never unopposed. I argue that this is because narrow private interests do not generally have incentives to expand the scope of conflict; their campaigns merely aim to disrupt any potential perceptions of a public consensus. In contrast, public interest group campaigns often go unopposed. I argue that this is because public interest groups often have incentives to mobilize supporters, even when their opponents do not.</w:t>
      </w:r>
    </w:p>
    <w:p>
      <w:pPr>
        <w:pStyle w:val="BodyText"/>
      </w:pPr>
      <w:r>
        <w:t xml:space="preserve">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p>
      <w:pPr>
        <w:pStyle w:val="BodyText"/>
      </w:pPr>
      <w:r>
        <w:t xml:space="preserve">In the end, public participation in bureaucratic policymaking is better explained by theories of democratic politics that focus on the dynamics of public conflicts than theories of bureaucratic policymaking that focus on technical information and expertise. Hope remains that public commenters may advance normative values that depend on diversifying voices in the policy process, resisting concentrated interests, and providing new information to policymakers. More research is required. Specifically, we need to know the extent to which campaigns aim to influence policy or build organizational capacity (e.g., by recruiting members) for future policy fights. The extent to which campaigns aim to affect policy determines the likely effects of any particular campaign and campaigns in general. Second, it matters whether campaigns affect policy. Finally, because public participation is mediated through organizations, it matters how well these organizations represent the constituents they claim to represent.</w:t>
      </w:r>
    </w:p>
    <w:bookmarkEnd w:id="139"/>
    <w:bookmarkEnd w:id="140"/>
    <w:bookmarkStart w:id="195" w:name="X161de8945e9e99c59f2e14a370cb32bddbf8df0"/>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41">
        <w:r>
          <w:rPr>
            <w:rStyle w:val="Hyperlink"/>
            <w:iCs/>
            <w:i/>
          </w:rPr>
          <w:t xml:space="preserve">here</w:t>
        </w:r>
      </w:hyperlink>
      <w:r>
        <w:t xml:space="preserve">.</w:t>
      </w:r>
    </w:p>
    <w:bookmarkStart w:id="142"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42"/>
    <w:bookmarkStart w:id="146"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lobbing rarely include pubic pressure as a tactic. Studies of public pressure rarely include specific policy outcomes as their dependent variable. When they do, the tend to focus on landmark policies.</w:t>
      </w:r>
    </w:p>
    <w:p>
      <w:pPr>
        <w:pStyle w:val="BlockText"/>
      </w:pPr>
      <w:r>
        <w:t xml:space="preserve">TODO</w:t>
      </w:r>
    </w:p>
    <w:bookmarkStart w:id="143" w:name="interest-group-influence"/>
    <w:p>
      <w:pPr>
        <w:pStyle w:val="Heading3"/>
      </w:pPr>
      <w:r>
        <w:rPr>
          <w:rStyle w:val="SectionNumber"/>
        </w:rPr>
        <w:t xml:space="preserve">3.1.1</w:t>
      </w:r>
      <w:r>
        <w:tab/>
      </w:r>
      <w:r>
        <w:t xml:space="preserve">Interest Group Influence</w:t>
      </w:r>
    </w:p>
    <w:p>
      <w:pPr>
        <w:pStyle w:val="BlockText"/>
      </w:pPr>
      <w:r>
        <w:t xml:space="preserve">TODO For studies attempting to study interest group influence, measuring lobbying success is a major challenge</w:t>
      </w:r>
      <w:r>
        <w:t xml:space="preserve"> </w:t>
      </w:r>
      <w:r>
        <w:t xml:space="preserve">(</w:t>
      </w:r>
      <w:hyperlink w:anchor="ref-RashinXXXX">
        <w:r>
          <w:rPr>
            <w:rStyle w:val="Hyperlink"/>
            <w:bCs/>
            <w:b/>
          </w:rPr>
          <w:t xml:space="preserve">RashinXXXX?</w:t>
        </w:r>
      </w:hyperlink>
      <w:r>
        <w:t xml:space="preserve">)</w:t>
      </w:r>
      <w:r>
        <w:t xml:space="preserve">.</w:t>
      </w:r>
    </w:p>
    <w:p>
      <w:pPr>
        <w:pStyle w:val="BlockText"/>
      </w:pPr>
      <w:r>
        <w:t xml:space="preserve">“</w:t>
      </w:r>
      <w:r>
        <w:t xml:space="preserve">A client agency will have to struggle mightily to avoid having its work influenced by the single, organized group with which it must deal on a daily basis. Many do not succceed, a few do not even try.</w:t>
      </w:r>
      <w:r>
        <w:t xml:space="preserve">”</w:t>
      </w:r>
      <w:r>
        <w:t xml:space="preserve"> </w:t>
      </w:r>
      <w:r>
        <w:t xml:space="preserve">(</w:t>
      </w:r>
      <w:hyperlink w:anchor="ref-Wilson1989">
        <w:r>
          <w:rPr>
            <w:rStyle w:val="Hyperlink"/>
          </w:rPr>
          <w:t xml:space="preserve">Wilson 1989, pg.79</w:t>
        </w:r>
      </w:hyperlink>
      <w:r>
        <w:t xml:space="preserve">)</w:t>
      </w:r>
    </w:p>
    <w:bookmarkEnd w:id="143"/>
    <w:bookmarkStart w:id="145"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Social movements and activist pressure occasionally lead to the creattion of new agencies, but these agencies may be left voulerable when pressure wanes.</w:t>
      </w:r>
    </w:p>
    <w:p>
      <w:pPr>
        <w:pStyle w:val="BodyText"/>
      </w:pPr>
      <w:r>
        <w:t xml:space="preserve">Public engagement in rulemaking is highly</w:t>
      </w:r>
      <w:r>
        <w:t xml:space="preserve"> </w:t>
      </w:r>
      <w:r>
        <w:t xml:space="preserve">clustered on a few rules made salient by public pressure campaigns.</w:t>
      </w:r>
    </w:p>
    <w:p>
      <w:pPr>
        <w:pStyle w:val="BodyText"/>
      </w:pPr>
      <w:r>
        <w:t xml:space="preserve">Responding to public pressure campaings, agency officials often reject the notion that public pressure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44">
        <w:r>
          <w:rPr>
            <w:rStyle w:val="Hyperlink"/>
          </w:rPr>
          <w:t xml:space="preserve">CFPB-2020-14935</w:t>
        </w:r>
      </w:hyperlink>
    </w:p>
    <w:p>
      <w:pPr>
        <w:pStyle w:val="FirstParagraph"/>
      </w:pPr>
      <w:r>
        <w:t xml:space="preserve">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45"/>
    <w:bookmarkEnd w:id="146"/>
    <w:bookmarkStart w:id="164" w:name="influence-theory"/>
    <w:p>
      <w:pPr>
        <w:pStyle w:val="Heading2"/>
      </w:pPr>
      <w:r>
        <w:rPr>
          <w:rStyle w:val="SectionNumber"/>
        </w:rPr>
        <w:t xml:space="preserve">3.2</w:t>
      </w:r>
      <w:r>
        <w:tab/>
      </w:r>
      <w:r>
        <w:t xml:space="preserve">Theory</w:t>
      </w:r>
    </w:p>
    <w:p>
      <w:pPr>
        <w:pStyle w:val="FirstParagraph"/>
      </w:pPr>
      <w:r>
        <w:t xml:space="preserve">Scholars of bureaucratic policymaking have focused either on</w:t>
      </w:r>
      <w:r>
        <w:t xml:space="preserve"> </w:t>
      </w:r>
      <w:r>
        <w:t xml:space="preserve">the sophisticated lobbying efforts of powerful interest groups such as</w:t>
      </w:r>
      <w:r>
        <w:t xml:space="preserve"> </w:t>
      </w:r>
      <w:r>
        <w:t xml:space="preserve">business coalitions or principal agent dynamics, especially with respect to congress. In this section is first discuss the</w:t>
      </w:r>
      <w:r>
        <w:t xml:space="preserve"> </w:t>
      </w:r>
      <w:r>
        <w:t xml:space="preserve">“</w:t>
      </w:r>
      <w:r>
        <w:t xml:space="preserve">classic model</w:t>
      </w:r>
      <w:r>
        <w:t xml:space="preserve">”</w:t>
      </w:r>
      <w:r>
        <w:t xml:space="preserve"> </w:t>
      </w:r>
      <w:r>
        <w:t xml:space="preserve">of interest group influence and then amend it to incorporate public pressure campaigns. I then do the same with a simiple principal-agent model. The result is one model of interest group influence that includes interactions among sophisiticated lobbying strategies, political principals, and public pressure capaigns.</w:t>
      </w:r>
    </w:p>
    <w:p>
      <w:pPr>
        <w:pStyle w:val="BodyText"/>
      </w:pPr>
      <w:r>
        <w:t xml:space="preserve">The first model focuses on interest group lobbying.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 Diamonds indicate observable choices, ovals indicate latent preferences, and rectangles indicate information–the mechanism of influence in this model.</w:t>
      </w:r>
    </w:p>
    <w:p>
      <w:pPr>
        <w:pStyle w:val="BodyText"/>
      </w:pPr>
      <w:r>
        <w:t xml:space="preserve">The first broadly observable step in the ruemaking process is usually the publication of a draft rule in the Federal Register.</w:t>
      </w:r>
      <w:r>
        <w:t xml:space="preserve"> </w:t>
      </w:r>
      <w:r>
        <w:t xml:space="preserve">While organized groups certianly shape the content of draft policies, the public portion of the policy process begins when the draft is officially published. Organized groups’ latent policy prefrences then take the form of concrete demands for changes the draft policy document. These demands lead to an lobbying strategy that a research may, in theory, observrve. The provision of technical information is the the mechanism of policy influence on which scholars have thusfar focused. There are many reasons to beleive that this is a powerful, likely the primary way that organized groups can affect policymaking, especially in the bureaucracy. Finally, we observe the resutling policy. Inferences about the extent to which lobbying caused any changes (or lack of changes) between the draft and final rule are challenging, but studies of policy generally use observational data and thus require some assumptions linking policy success (a lobbying group getting their desired result) and policy influence (causeing a policy outcome). Groups inveset in providing information</w:t>
      </w:r>
      <w:r>
        <w:t xml:space="preserve"> </w:t>
      </w:r>
      <w:r>
        <w:t xml:space="preserve">“</w:t>
      </w:r>
      <w:r>
        <w:t xml:space="preserve">relevant</w:t>
      </w:r>
      <w:r>
        <w:t xml:space="preserve">”</w:t>
      </w:r>
      <w:r>
        <w:t xml:space="preserve"> </w:t>
      </w:r>
      <w:r>
        <w:t xml:space="preserve">to technocratic policymakers, and the policy response is assumped to be a function of this information.</w:t>
      </w:r>
    </w:p>
    <w:p>
      <w:pPr>
        <w:pStyle w:val="BodyText"/>
      </w:pPr>
      <w:r>
        <w:t xml:space="preserve">Public pressure campaigns have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bookmarkStart w:id="149" w:name="public-support-a-political-resource"/>
    <w:p>
      <w:pPr>
        <w:pStyle w:val="Heading3"/>
      </w:pPr>
      <w:r>
        <w:rPr>
          <w:rStyle w:val="SectionNumber"/>
        </w:rPr>
        <w:t xml:space="preserve">3.2.1</w:t>
      </w:r>
      <w:r>
        <w:tab/>
      </w:r>
      <w:r>
        <w:t xml:space="preserve">Public Support: a Political Resource</w:t>
      </w:r>
    </w:p>
    <w:p>
      <w:pPr>
        <w:pStyle w:val="FirstParagraph"/>
      </w:pPr>
      <w:r>
        <w:t xml:space="preserve">Skepticism about bureaucratic policymaking as a venue for collective action, has led most scholars to dismiss public pressure campaigns as epiphenomenal to bargaining among agency officials, their political principals, and interest groups. Indeed, almost all empirical studies of rulemaking</w:t>
      </w:r>
      <w:r>
        <w:t xml:space="preserve"> </w:t>
      </w:r>
      <w:r>
        <w:t xml:space="preserve">discard unsophisticated comments from ordinary people.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who finds skepticism about the influence of citizen comments, but no studies</w:t>
      </w:r>
      <w:r>
        <w:t xml:space="preserve"> </w:t>
      </w:r>
      <w:r>
        <w:t xml:space="preserve">analyzing public pressure campaigns as a lobbying tactic:</w:t>
      </w:r>
    </w:p>
    <w:p>
      <w:pPr>
        <w:pStyle w:val="BlockText"/>
      </w:pPr>
      <w:r>
        <w:t xml:space="preserve">“</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Thus, I investigate the value of ordinary people’s comments not individual, but as a result and attribute of lobbying campaings by organzations.</w:t>
      </w:r>
    </w:p>
    <w:p>
      <w:pPr>
        <w:pStyle w:val="BodyText"/>
      </w:pPr>
      <w:r>
        <w:t xml:space="preserve">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Public engagement and mobilization can be a</w:t>
      </w:r>
      <w:r>
        <w:t xml:space="preserve"> </w:t>
      </w:r>
      <w:r>
        <w:t xml:space="preserve">tactic to gain power. Scholars who understand mobilization</w:t>
      </w:r>
      <w:r>
        <w:t xml:space="preserve"> </w:t>
      </w:r>
      <w:r>
        <w:t xml:space="preserve">as a lobbying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beyond to include the mobilizing of broader audiences–the</w:t>
      </w:r>
      <w:r>
        <w:t xml:space="preserve"> </w:t>
      </w:r>
      <w:r>
        <w:t xml:space="preserve">“</w:t>
      </w:r>
      <w:r>
        <w:t xml:space="preserve">attentive public</w:t>
      </w:r>
      <w:r>
        <w:t xml:space="preserve">”</w:t>
      </w:r>
      <w:r>
        <w:t xml:space="preserve"> </w:t>
      </w:r>
      <w:r>
        <w:t xml:space="preserve">(</w:t>
      </w:r>
      <w:hyperlink w:anchor="ref-Key1961">
        <w:r>
          <w:rPr>
            <w:rStyle w:val="Hyperlink"/>
          </w:rPr>
          <w:t xml:space="preserve">Key 1961</w:t>
        </w:r>
      </w:hyperlink>
      <w:r>
        <w:t xml:space="preserve">)</w:t>
      </w:r>
      <w:r>
        <w:t xml:space="preserve"> </w:t>
      </w:r>
      <w:r>
        <w:t xml:space="preserve">or</w:t>
      </w:r>
      <w:r>
        <w:t xml:space="preserve"> </w:t>
      </w:r>
      <w:r>
        <w:t xml:space="preserve">“</w:t>
      </w:r>
      <w:r>
        <w:t xml:space="preserve">issue public</w:t>
      </w:r>
      <w:r>
        <w:t xml:space="preserve">”</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w:t>
      </w:r>
    </w:p>
    <w:p>
      <w:pPr>
        <w:pStyle w:val="BodyText"/>
      </w:pPr>
      <w:r>
        <w:t xml:space="preserve">Second, as a tactic, public pressure campaings generate political support and information about the coalition that mobilized it.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w:t>
      </w:r>
    </w:p>
    <w:p>
      <w:pPr>
        <w:pStyle w:val="BodyText"/>
      </w:pPr>
      <w:r>
        <w:t xml:space="preserve">Third,</w:t>
      </w:r>
      <w:r>
        <w:t xml:space="preserve"> </w:t>
      </w:r>
      <w:hyperlink w:anchor="ref-Furlong1998">
        <w:r>
          <w:rPr>
            <w:rStyle w:val="Hyperlink"/>
          </w:rPr>
          <w:t xml:space="preserve">S. R. Furlong</w:t>
        </w:r>
      </w:hyperlink>
      <w:r>
        <w:t xml:space="preserve"> </w:t>
      </w:r>
      <w:r>
        <w:t xml:space="preserve">(</w:t>
      </w:r>
      <w:hyperlink w:anchor="ref-Furlong1998">
        <w:r>
          <w:rPr>
            <w:rStyle w:val="Hyperlink"/>
          </w:rPr>
          <w:t xml:space="preserve">1998</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 and others distinguish</w:t>
      </w:r>
      <w:r>
        <w:t xml:space="preserve"> </w:t>
      </w:r>
      <w:r>
        <w:t xml:space="preserve">between</w:t>
      </w:r>
      <w:r>
        <w:t xml:space="preserve"> </w:t>
      </w:r>
      <w:r>
        <w:rPr>
          <w:iCs/>
          <w:i/>
        </w:rPr>
        <w:t xml:space="preserve">direct</w:t>
      </w:r>
      <w:r>
        <w:t xml:space="preserve"> </w:t>
      </w:r>
      <w:r>
        <w:t xml:space="preserve">and</w:t>
      </w:r>
      <w:r>
        <w:t xml:space="preserve"> </w:t>
      </w:r>
      <w:r>
        <w:rPr>
          <w:iCs/>
          <w:i/>
        </w:rPr>
        <w:t xml:space="preserve">indirect</w:t>
      </w:r>
      <w:r>
        <w:t xml:space="preserve"> </w:t>
      </w:r>
      <w:r>
        <w:t xml:space="preserve">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agency officials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reforms to the public comment process to include</w:t>
      </w:r>
      <w:r>
        <w:t xml:space="preserve"> </w:t>
      </w:r>
      <w:r>
        <w:t xml:space="preserve">opinion polls. I build from a similar intuition that mass comment</w:t>
      </w:r>
      <w:r>
        <w:t xml:space="preserve"> </w:t>
      </w:r>
      <w:r>
        <w:t xml:space="preserve">campaigns currently function like a poll or</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4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 Campaigns inform agency officials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r>
        <w:t xml:space="preserve"> </w:t>
      </w:r>
      <w:r>
        <w:t xml:space="preserve"> </w:t>
      </w:r>
      <w:r>
        <w:t xml:space="preserve">If a lobbying strategist believes the attentive public is</w:t>
      </w:r>
      <w:r>
        <w:t xml:space="preserve"> </w:t>
      </w:r>
      <w:r>
        <w:t xml:space="preserve">on their side, they may attempt to reveal this political information</w:t>
      </w:r>
      <w:r>
        <w:t xml:space="preserve"> </w:t>
      </w:r>
      <w:r>
        <w:t xml:space="preserve">to policymakers by launching a public pressure campaign.</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or coalition of organizations may provide political information by mobilizing supporters.</w:t>
      </w:r>
      <w:r>
        <w:t xml:space="preserve"> </w:t>
      </w:r>
      <w:r>
        <w:t xml:space="preserve"> </w:t>
      </w:r>
      <w:r>
        <w:t xml:space="preserve">Large-scale public engagement may produce several types of relevant political</w:t>
      </w:r>
      <w:r>
        <w:t xml:space="preserve"> </w:t>
      </w:r>
      <w:r>
        <w:t xml:space="preserve">information. For simplicity,</w:t>
      </w:r>
      <w:r>
        <w:t xml:space="preserve"> </w:t>
      </w:r>
      <w:r>
        <w:t xml:space="preserve">3.2</w:t>
      </w:r>
      <w:r>
        <w:t xml:space="preserve"> </w:t>
      </w:r>
      <w:r>
        <w:t xml:space="preserve">focuses 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 I address other types of political information that mass engagement may create below (see Figures</w:t>
      </w:r>
      <w:r>
        <w:t xml:space="preserve"> </w:t>
      </w:r>
      <w:r>
        <w:t xml:space="preserve">3.10</w:t>
      </w:r>
      <w:r>
        <w:t xml:space="preserve"> </w:t>
      </w:r>
      <w:r>
        <w:t xml:space="preserve">and</w:t>
      </w:r>
      <w:r>
        <w:t xml:space="preserve"> </w:t>
      </w:r>
      <w:r>
        <w:t xml:space="preserve">??</w:t>
      </w:r>
      <w:r>
        <w:t xml:space="preserve">).</w:t>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w:t>
      </w:r>
      <w:r>
        <w:t xml:space="preserve"> </w:t>
      </w: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agency officials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w:t>
      </w:r>
    </w:p>
    <w:bookmarkStart w:id="148" w:name="mass-comment-campaigns"/>
    <w:p>
      <w:pPr>
        <w:pStyle w:val="Heading4"/>
      </w:pPr>
      <w:r>
        <w:rPr>
          <w:rStyle w:val="SectionNumber"/>
        </w:rPr>
        <w:t xml:space="preserve">3.2.1.1</w:t>
      </w:r>
      <w:r>
        <w:tab/>
      </w:r>
      <w:r>
        <w:t xml:space="preserve">Mass comment campaigns</w:t>
      </w:r>
    </w:p>
    <w:p>
      <w:pPr>
        <w:pStyle w:val="FirstParagraph"/>
      </w:pPr>
      <w:r>
        <w:t xml:space="preserve">Understanding civic participation in rulemaking as a mediated process aimed at generating political information posits a different role for mass comment campaigns than that posited by existing (albiet limited) literature on this topic.</w:t>
      </w:r>
    </w:p>
    <w:p>
      <w:pPr>
        <w:pStyle w:val="BlockText"/>
      </w:pPr>
      <w:r>
        <w:t xml:space="preserve">TODO Critique of Balla et al.</w:t>
      </w:r>
    </w:p>
    <w:bookmarkEnd w:id="148"/>
    <w:bookmarkEnd w:id="149"/>
    <w:bookmarkStart w:id="150" w:name="formal"/>
    <w:p>
      <w:pPr>
        <w:pStyle w:val="Heading3"/>
      </w:pPr>
      <w:r>
        <w:rPr>
          <w:rStyle w:val="SectionNumber"/>
        </w:rPr>
        <w:t xml:space="preserve">3.2.2</w:t>
      </w:r>
      <w:r>
        <w:tab/>
      </w:r>
      <w:r>
        <w:t xml:space="preserve">Incorporating Political Information into Formal Models of Rulemaking</w:t>
      </w:r>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posits a utility function for policymaker</w:t>
      </w:r>
      <w:r>
        <w:t xml:space="preserve"> </w:t>
      </w:r>
      <m:oMath>
        <m:r>
          <m:t>G</m:t>
        </m:r>
      </m:oMath>
      <w:r>
        <w:t xml:space="preserve"> </w:t>
      </w:r>
      <w:r>
        <w:t xml:space="preserve">as</w:t>
      </w:r>
      <w:r>
        <w:t xml:space="preserve"> </w:t>
      </w:r>
      <m:oMath>
        <m:sSub>
          <m:e>
            <m:r>
              <m:t>u</m:t>
            </m:r>
          </m:e>
          <m:sub>
            <m:r>
              <m:t>G</m:t>
            </m:r>
          </m:sub>
        </m:sSub>
        <m:r>
          <m:rPr>
            <m:sty m:val="p"/>
          </m:rPr>
          <m:t>(</m:t>
        </m:r>
        <m:sSub>
          <m:e>
            <m:r>
              <m:t>x</m:t>
            </m:r>
          </m:e>
          <m:sub>
            <m:r>
              <m:t>F</m:t>
            </m:r>
          </m:sub>
        </m:sSub>
        <m:r>
          <m:rPr>
            <m:sty m:val="p"/>
          </m:rPr>
          <m:t>)</m:t>
        </m:r>
        <m:r>
          <m:rPr>
            <m:sty m:val="p"/>
          </m:rPr>
          <m:t>=</m:t>
        </m:r>
        <m:sSub>
          <m:e>
            <m:r>
              <m:t>α</m:t>
            </m:r>
          </m:e>
          <m:sub>
            <m:r>
              <m:t>0</m:t>
            </m:r>
          </m:sub>
        </m:sSub>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sSub>
              <m:e>
                <m:r>
                  <m:t>α</m:t>
                </m:r>
              </m:e>
              <m:sub>
                <m:r>
                  <m:t>i</m:t>
                </m:r>
              </m:sub>
            </m:sSub>
          </m:e>
        </m:nary>
        <m:sSub>
          <m:e>
            <m:r>
              <m:t>u</m:t>
            </m:r>
          </m:e>
          <m:sub>
            <m:r>
              <m:t>i</m:t>
            </m:r>
          </m:sub>
        </m:sSub>
        <m:r>
          <m:rPr>
            <m:sty m:val="p"/>
          </m:rPr>
          <m:t>(</m:t>
        </m:r>
        <m:sSub>
          <m:e>
            <m:r>
              <m:t>x</m:t>
            </m:r>
          </m:e>
          <m:sub>
            <m:r>
              <m:t>f</m:t>
            </m:r>
          </m:sub>
        </m:sSub>
        <m:r>
          <m:rPr>
            <m:sty m:val="p"/>
          </m:rP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w:t>
      </w:r>
      <w:r>
        <w:t xml:space="preserve"> </w:t>
      </w:r>
      <w:r>
        <w:t xml:space="preserve">“</w:t>
      </w:r>
      <w:r>
        <w:t xml:space="preserve">allocational bias</w:t>
      </w:r>
      <w:r>
        <w:t xml:space="preserve">”</w:t>
      </w:r>
      <w:r>
        <w:t xml:space="preserve">—i.e. how much the agency decisionmakers</w:t>
      </w:r>
      <w:r>
        <w:t xml:space="preserve"> </w:t>
      </w:r>
      <w:r>
        <w:t xml:space="preserve">care about their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rPr>
                <m:sty m:val="p"/>
              </m:rPr>
              <m:t>=</m:t>
            </m:r>
            <m:r>
              <m:t>1</m:t>
            </m:r>
            <m:r>
              <m:rPr>
                <m:sty m:val="p"/>
              </m:rP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Incorporating the insight about the power of technical information , we might consider</w:t>
      </w:r>
      <w:r>
        <w:t xml:space="preserve"> </w:t>
      </w:r>
      <m:oMath>
        <m:sSub>
          <m:e>
            <m:r>
              <m:t>α</m:t>
            </m:r>
          </m:e>
          <m:sub>
            <m:r>
              <m:t>0</m:t>
            </m:r>
          </m:sub>
        </m:sSub>
      </m:oMath>
      <w:r>
        <w:t xml:space="preserve"> </w:t>
      </w:r>
      <w:r>
        <w:t xml:space="preserve">(the policymakers’ understanding of their own prefrences) to be affected by technical information. 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agency officials care?</w:t>
      </w:r>
      <w:r>
        <w:t xml:space="preserve">”</w:t>
      </w:r>
      <w:r>
        <w:t xml:space="preserve"> </w:t>
      </w:r>
    </w:p>
    <w:p>
      <w:pPr>
        <w:pStyle w:val="BodyText"/>
      </w:pPr>
      <w:r>
        <w:t xml:space="preserve">Like other lobbying strategies, public attention and pressure may shift the</w:t>
      </w:r>
      <w:r>
        <w:t xml:space="preserve"> </w:t>
      </w:r>
      <w:r>
        <w:t xml:space="preserve">strategic environment, leading policymakers to shift their allocation in</w:t>
      </w:r>
      <w:r>
        <w:t xml:space="preserve"> </w:t>
      </w:r>
      <w:r>
        <w:t xml:space="preserve">favor of some groups and away from others. Let this strategic shift in allocation be a</w:t>
      </w:r>
      <w:r>
        <w:t xml:space="preserve"> </w:t>
      </w:r>
      <w:r>
        <w:t xml:space="preserve">vector</w:t>
      </w:r>
      <w:r>
        <w:t xml:space="preserve"> </w:t>
      </w:r>
      <m:oMath>
        <m:sSub>
          <m:e>
            <m:r>
              <m:t>α</m:t>
            </m:r>
          </m:e>
          <m:sub>
            <m:r>
              <m:t>s</m:t>
            </m:r>
          </m:sub>
        </m:sSub>
      </m:oMath>
      <w:r>
        <w:t xml:space="preserve">. Second, campaigns may directly persuade agency officials to</w:t>
      </w:r>
      <w:r>
        <w:t xml:space="preserve"> </w:t>
      </w:r>
      <w:r>
        <w:t xml:space="preserve">adjust their allocational bias, for example by supporting claims about</w:t>
      </w:r>
      <w:r>
        <w:t xml:space="preserve"> </w:t>
      </w:r>
      <w:r>
        <w:t xml:space="preserve">the number of people a group represents or the intensity or legitimacy</w:t>
      </w:r>
      <w:r>
        <w:t xml:space="preserve"> </w:t>
      </w:r>
      <w:r>
        <w:t xml:space="preserve">of their policy demands. Let this direct shift in allocations be</w:t>
      </w:r>
      <w:r>
        <w:t xml:space="preserve"> </w:t>
      </w:r>
      <m:oMath>
        <m:sSub>
          <m:e>
            <m:r>
              <m:t>α</m:t>
            </m:r>
          </m:e>
          <m:sub>
            <m:r>
              <m:t>d</m:t>
            </m:r>
          </m:sub>
        </m:sSub>
      </m:oMath>
      <w:r>
        <w:t xml:space="preserve">. Let policymakers’ immutable taste now be</w:t>
      </w:r>
      <w:r>
        <w:t xml:space="preserve"> </w:t>
      </w:r>
      <m:oMath>
        <m:sSub>
          <m:e>
            <m:r>
              <m:t>α</m:t>
            </m:r>
          </m:e>
          <m:sub>
            <m:r>
              <m:t>t</m:t>
            </m:r>
          </m:sub>
        </m:sSub>
      </m:oMath>
      <w:r>
        <w:t xml:space="preserve">. Having decomposed an policymaker’s</w:t>
      </w:r>
      <w:r>
        <w:t xml:space="preserve"> </w:t>
      </w:r>
      <w:r>
        <w:t xml:space="preserve">allocative bias into three parts (its fixed tastes, shifting strategic</w:t>
      </w:r>
      <w:r>
        <w:t xml:space="preserve"> </w:t>
      </w:r>
      <w:r>
        <w:t xml:space="preserve">environment, and potential to be convinced), the policymaker’s utility</w:t>
      </w:r>
      <w:r>
        <w:t xml:space="preserve"> </w:t>
      </w:r>
      <w:r>
        <w:t xml:space="preserve">function is now</w:t>
      </w:r>
      <w:r>
        <w:t xml:space="preserve"> </w:t>
      </w:r>
      <m:oMath>
        <m:sSub>
          <m:e>
            <m:r>
              <m:t>u</m:t>
            </m:r>
          </m:e>
          <m:sub>
            <m:r>
              <m:t>G</m:t>
            </m:r>
          </m:sub>
        </m:sSub>
        <m:r>
          <m:rPr>
            <m:sty m:val="p"/>
          </m:rPr>
          <m:t>(</m:t>
        </m:r>
        <m:sSub>
          <m:e>
            <m:r>
              <m:t>x</m:t>
            </m:r>
          </m:e>
          <m:sub>
            <m:r>
              <m:t>F</m:t>
            </m:r>
          </m:sub>
        </m:sSub>
        <m:r>
          <m:rPr>
            <m:sty m:val="p"/>
          </m:rPr>
          <m:t>)</m:t>
        </m:r>
        <m:r>
          <m:rPr>
            <m:sty m:val="p"/>
          </m:rPr>
          <m:t>=</m:t>
        </m:r>
        <m:r>
          <m:rPr>
            <m:sty m:val="p"/>
          </m:rPr>
          <m:t>(</m:t>
        </m:r>
        <m:sSub>
          <m:e>
            <m:r>
              <m:t>α</m:t>
            </m:r>
          </m:e>
          <m:sub>
            <m:r>
              <m:t>t</m:t>
            </m:r>
            <m:r>
              <m:t>0</m:t>
            </m:r>
          </m:sub>
        </m:sSub>
        <m:r>
          <m:rPr>
            <m:sty m:val="p"/>
          </m:rPr>
          <m:t>+</m:t>
        </m:r>
        <m:sSub>
          <m:e>
            <m:r>
              <m:t>α</m:t>
            </m:r>
          </m:e>
          <m:sub>
            <m:r>
              <m:t>s</m:t>
            </m:r>
            <m:r>
              <m:t>0</m:t>
            </m:r>
          </m:sub>
        </m:sSub>
        <m:r>
          <m:rPr>
            <m:sty m:val="p"/>
          </m:rPr>
          <m:t>+</m:t>
        </m:r>
        <m:sSub>
          <m:e>
            <m:r>
              <m:t>α</m:t>
            </m:r>
          </m:e>
          <m:sub>
            <m:r>
              <m:t>d</m:t>
            </m:r>
            <m:r>
              <m:t>0</m:t>
            </m:r>
          </m:sub>
        </m:sSub>
        <m:r>
          <m:rPr>
            <m:sty m:val="p"/>
          </m:rPr>
          <m:t>)</m:t>
        </m:r>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r>
              <m:rPr>
                <m:sty m:val="p"/>
              </m:rPr>
              <m:t>(</m:t>
            </m:r>
          </m:e>
        </m:nary>
        <m:sSub>
          <m:e>
            <m:r>
              <m:t>α</m:t>
            </m:r>
          </m:e>
          <m:sub>
            <m:r>
              <m:t>t</m:t>
            </m:r>
            <m:r>
              <m:t>i</m:t>
            </m:r>
          </m:sub>
        </m:sSub>
        <m:r>
          <m:rPr>
            <m:sty m:val="p"/>
          </m:rPr>
          <m:t>+</m:t>
        </m:r>
        <m:sSub>
          <m:e>
            <m:r>
              <m:t>α</m:t>
            </m:r>
          </m:e>
          <m:sub>
            <m:r>
              <m:t>s</m:t>
            </m:r>
            <m:r>
              <m:t>i</m:t>
            </m:r>
          </m:sub>
        </m:sSub>
        <m:r>
          <m:rPr>
            <m:sty m:val="p"/>
          </m:rPr>
          <m:t>+</m:t>
        </m:r>
        <m:sSub>
          <m:e>
            <m:r>
              <m:t>α</m:t>
            </m:r>
          </m:e>
          <m:sub>
            <m:r>
              <m:t>d</m:t>
            </m:r>
            <m:r>
              <m:t>i</m:t>
            </m:r>
          </m:sub>
        </m:sSub>
        <m:r>
          <m:rPr>
            <m:sty m:val="p"/>
          </m:rPr>
          <m:t>)</m:t>
        </m:r>
        <m:sSub>
          <m:e>
            <m:r>
              <m:t>u</m:t>
            </m:r>
          </m:e>
          <m:sub>
            <m:r>
              <m:t>i</m:t>
            </m:r>
          </m:sub>
        </m:sSub>
        <m:r>
          <m:rPr>
            <m:sty m:val="p"/>
          </m:rPr>
          <m:t>(</m:t>
        </m:r>
        <m:sSub>
          <m:e>
            <m:r>
              <m:t>x</m:t>
            </m:r>
          </m:e>
          <m:sub>
            <m:r>
              <m:t>f</m:t>
            </m:r>
          </m:sub>
        </m:sSub>
        <m:r>
          <m:rPr>
            <m:sty m:val="p"/>
          </m:rPr>
          <m:t>)</m:t>
        </m:r>
      </m:oMath>
      <w:r>
        <w:t xml:space="preserve">.</w:t>
      </w:r>
      <w:r>
        <w:t xml:space="preserve"> </w:t>
      </w:r>
      <w:r>
        <w:t xml:space="preserve">If, after the comment period, the strategic environment is</w:t>
      </w:r>
      <w:r>
        <w:t xml:space="preserve"> </w:t>
      </w:r>
      <w:r>
        <w:t xml:space="preserve">unchanged and officials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tastes. This outcome is less</w:t>
      </w:r>
      <w:r>
        <w:t xml:space="preserve"> </w:t>
      </w:r>
      <w:r>
        <w:t xml:space="preserve">plausible when groups go public and expand the scope of conflict.</w:t>
      </w:r>
    </w:p>
    <w:p>
      <w:pPr>
        <w:pStyle w:val="BodyText"/>
      </w:pPr>
      <w:r>
        <w:t xml:space="preserve">Adding these parameters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are either wrong about an agency’s allocative bias</w:t>
      </w:r>
      <w:r>
        <w:t xml:space="preserve"> </w:t>
      </w:r>
      <w:r>
        <w:t xml:space="preserve">or their ability to shift it. Incorporating political information allows</w:t>
      </w:r>
      <w:r>
        <w:t xml:space="preserve"> </w:t>
      </w:r>
      <w:r>
        <w:t xml:space="preserve">change and uncertainty in an agency’s biases.</w:t>
      </w:r>
    </w:p>
    <w:bookmarkEnd w:id="150"/>
    <w:bookmarkStart w:id="153" w:name="oversight-theory"/>
    <w:p>
      <w:pPr>
        <w:pStyle w:val="Heading3"/>
      </w:pPr>
      <w:r>
        <w:rPr>
          <w:rStyle w:val="SectionNumber"/>
        </w:rPr>
        <w:t xml:space="preserve">3.2.3</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(FTC)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reversing Clinton-era</w:t>
      </w:r>
      <w:r>
        <w:t xml:space="preserve"> </w:t>
      </w:r>
      <w:r>
        <w:t xml:space="preserve">policies. Policy entrepreneurs within the agency saw a political window of</w:t>
      </w:r>
      <w:r>
        <w:t xml:space="preserve"> </w:t>
      </w:r>
      <w:r>
        <w:t xml:space="preserve">opportunity to initiate a new regulatory agenda to curb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overcoming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reported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to support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 Public attention and support gave agency officials the</w:t>
      </w:r>
      <w:r>
        <w:t xml:space="preserve"> </w:t>
      </w:r>
      <w:r>
        <w:t xml:space="preserve">“</w:t>
      </w:r>
      <w:r>
        <w:t xml:space="preserve">political cover</w:t>
      </w:r>
      <w:r>
        <w:t xml:space="preserve">”</w:t>
      </w:r>
      <w:r>
        <w:t xml:space="preserve"> </w:t>
      </w:r>
      <w:r>
        <w:t xml:space="preserve">(personal communication, 2018) to advance their policy agenda. Public pressure campaigns demobilized political opposition, changing the agency’s political environment and policy outcomes.</w:t>
      </w:r>
    </w:p>
    <w:p>
      <w:pPr>
        <w:pStyle w:val="BodyText"/>
      </w:pPr>
      <w:r>
        <w:t xml:space="preserve">Members of Congress often learn about and are often spurred to act by public pressure campaigns. Legislators often submit comments from their constituents, either on their own or attached to their own comments.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Practice Rule and Used Car Rule:</w:t>
      </w:r>
    </w:p>
    <w:p>
      <w:pPr>
        <w:pStyle w:val="BlockText"/>
      </w:pPr>
      <w:r>
        <w:t xml:space="preserve">“</w:t>
      </w:r>
      <w:r>
        <w:t xml:space="preserve">Undertakers and used-car dealers were outraged by these proposed rules. Very quickly, members of Congress discovered just how many undertakers and car dealers they had in their districts and how well-connected they were. The FTC suddenly had activated large, hostile interests who were successful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Public pressure campaigns often seek to influence policy by informing elected officials of their constituents’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51">
        <w:r>
          <w:rPr>
            <w:rStyle w:val="Hyperlink"/>
          </w:rPr>
          <w:t xml:space="preserve">EPA-HQ-OAR-2005-0161-2624</w:t>
        </w:r>
      </w:hyperlink>
      <w:r>
        <w:t xml:space="preserve">).</w:t>
      </w:r>
    </w:p>
    <w:p>
      <w:pPr>
        <w:pStyle w:val="BodyText"/>
      </w:pPr>
      <w:r>
        <w:t xml:space="preserve">Lobbying campaigns increase the salience of the rulemakings they target. In addition to attracting allies in Congress, increased public attention may capture the attention of members of Congress on the opposite side of the issue. For example, in 2016, a group of Democratic legislators wrote encouraging words to Obama’s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bookmarkStart w:id="152" w:name="Xb7ad59683a2b61bcbb6b497794c66cb873a4d0c"/>
    <w:p>
      <w:pPr>
        <w:pStyle w:val="Heading4"/>
      </w:pPr>
      <w:r>
        <w:rPr>
          <w:rStyle w:val="SectionNumber"/>
        </w:rPr>
        <w:t xml:space="preserve">3.2.3.1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w:t>
      </w:r>
    </w:p>
    <w:p>
      <w:pPr>
        <w:pStyle w:val="BodyText"/>
      </w:pPr>
      <w:r>
        <w:t xml:space="preserve">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influence are</w:t>
      </w:r>
      <w:r>
        <w:t xml:space="preserve"> </w:t>
      </w:r>
      <w:r>
        <w:t xml:space="preserve">debated.</w:t>
      </w:r>
    </w:p>
    <w:p>
      <w:pPr>
        <w:pStyle w:val="BodyText"/>
      </w:pPr>
      <w:r>
        <w:t xml:space="preserve">I focus on lobbying influence in the period between the publication of draft and final rules and thus on information about principals’ preferences</w:t>
      </w:r>
      <w:r>
        <w:t xml:space="preserve"> </w:t>
      </w:r>
      <w:r>
        <w:t xml:space="preserve">revealed to the agency in this period. In principal-agent terms, this means I am focusing on</w:t>
      </w:r>
      <w:r>
        <w:t xml:space="preserve"> </w:t>
      </w:r>
      <w:r>
        <w:t xml:space="preserve">“</w:t>
      </w:r>
      <w:r>
        <w:t xml:space="preserve">agency policy-making</w:t>
      </w:r>
      <w:r>
        <w:t xml:space="preserve">”</w:t>
      </w:r>
      <w:r>
        <w:t xml:space="preserve"> </w:t>
      </w:r>
      <w:r>
        <w:t xml:space="preserve">where the agency makes the first move and members of Congress react, perhaps threatening future sanctions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w:t>
      </w:r>
      <w:r>
        <w:t xml:space="preserve"> </w:t>
      </w:r>
      <w:r>
        <w:t xml:space="preserve">Elected officials may also engage in procedural oversight, but these procedural demands almost always accompany substantive policy demands</w:t>
      </w:r>
      <w:r>
        <w:t xml:space="preserve"> </w:t>
      </w:r>
      <w:r>
        <w:t xml:space="preserve">(</w:t>
      </w:r>
      <w:hyperlink w:anchor="ref-Lowande2021">
        <w:r>
          <w:rPr>
            <w:rStyle w:val="Hyperlink"/>
          </w:rPr>
          <w:t xml:space="preserve">Lowande and Augustine Potter 2021</w:t>
        </w:r>
      </w:hyperlink>
      <w:r>
        <w:t xml:space="preserve">)</w:t>
      </w:r>
      <w:r>
        <w:t xml:space="preserve">.</w:t>
      </w:r>
    </w:p>
    <w:p>
      <w:pPr>
        <w:pStyle w:val="BodyText"/>
      </w:pPr>
      <w:r>
        <w:t xml:space="preserve">There is an ongoing debate</w:t>
      </w:r>
      <w:r>
        <w:t xml:space="preserve"> </w:t>
      </w:r>
      <w:r>
        <w:t xml:space="preserve">among scholars over how political oversight operates–i.e., how the behaviors of elected officials inform agency decisions.</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both proactive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52"/>
    <w:bookmarkEnd w:id="153"/>
    <w:bookmarkStart w:id="155" w:name="X740691dbc1d13859f3bf171ce470f133d6a4896"/>
    <w:p>
      <w:pPr>
        <w:pStyle w:val="Heading3"/>
      </w:pPr>
      <w:r>
        <w:rPr>
          <w:rStyle w:val="SectionNumber"/>
        </w:rPr>
        <w:t xml:space="preserve">3.2.4</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 Call</w:t>
      </w:r>
      <w:r>
        <w:t xml:space="preserve">”</w:t>
      </w:r>
      <w:r>
        <w:t xml:space="preserve"> </w:t>
      </w:r>
      <w:r>
        <w:t xml:space="preserve">rule and subsequent legislation, mass engagement functioned more 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 allies, effectively enabling and empowering rather than restraining the agency as the classic</w:t>
      </w:r>
      <w:r>
        <w:t xml:space="preserve"> </w:t>
      </w:r>
      <w:r>
        <w:t xml:space="preserve">“</w:t>
      </w:r>
      <w:r>
        <w:t xml:space="preserve">police patrol</w:t>
      </w:r>
      <w:r>
        <w:t xml:space="preserve">”</w:t>
      </w:r>
      <w:r>
        <w:t xml:space="preserve"> </w:t>
      </w:r>
      <w:r>
        <w:t xml:space="preserve">and</w:t>
      </w:r>
      <w:r>
        <w:t xml:space="preserve"> </w:t>
      </w:r>
      <w:r>
        <w:t xml:space="preserve">“</w:t>
      </w:r>
      <w:r>
        <w:t xml:space="preserve">fire alarm</w:t>
      </w:r>
      <w:r>
        <w:t xml:space="preserve">”</w:t>
      </w:r>
      <w:r>
        <w:t xml:space="preserve"> </w:t>
      </w:r>
      <w:r>
        <w:t xml:space="preserve">concept suggests.</w:t>
      </w:r>
      <w:r>
        <w:t xml:space="preserve"> </w:t>
      </w:r>
    </w:p>
    <w:p>
      <w:pPr>
        <w:pStyle w:val="BodyText"/>
      </w:pPr>
      <w:r>
        <w:t xml:space="preserve">The fire alarm, beacon, and warning sight mechanisms have a common thread; political oversight is affected by interest group’s public pressure campaigns. To the extent that this is strategic, pressure campaigns aim to influence policy indirectly by affecting the behavior of elected officials.</w:t>
      </w:r>
    </w:p>
    <w:p>
      <w:pPr>
        <w:pStyle w:val="BodyText"/>
      </w:pPr>
      <w:r>
        <w:t xml:space="preserve">Figure</w:t>
      </w:r>
      <w:r>
        <w:t xml:space="preserve"> </w:t>
      </w:r>
      <w:r>
        <w:t xml:space="preserve">3.10</w:t>
      </w:r>
      <w:r>
        <w:t xml:space="preserve"> </w:t>
      </w:r>
      <w:r>
        <w:t xml:space="preserve">incorporates these insights to the model set out in</w:t>
      </w:r>
      <w:r>
        <w:t xml:space="preserve"> </w:t>
      </w:r>
      <w:r>
        <w:t xml:space="preserve">3.2</w:t>
      </w:r>
      <w:r>
        <w:t xml:space="preserve">. Specifically, it considers how elected officials’ decisions to engage in agency rulemaking are affected by political information created by public pressure campaigns</w:t>
      </w:r>
      <w:r>
        <w:t xml:space="preserve"> </w:t>
      </w:r>
      <w:r>
        <w:rPr>
          <w:iCs/>
          <w:i/>
        </w:rPr>
        <w:t xml:space="preserve">and</w:t>
      </w:r>
      <w:r>
        <w:t xml:space="preserve"> </w:t>
      </w:r>
      <w:r>
        <w:t xml:space="preserve">creates new, additional political information.</w:t>
      </w:r>
      <w:r>
        <w:t xml:space="preserve"> </w:t>
      </w:r>
      <w:r>
        <w:t xml:space="preserve"> </w:t>
      </w:r>
      <w:r>
        <w:t xml:space="preserve">When lobbying organizations use a public pressure strategy, the political information they create (e.g., about the scale and intensity of public support) may affect agency policymakers directly. Perceived level of public support may also affect policy indirectly if it affects the behavior of an agency’s political principles. When political principals engage, they create at least two additional kinds of political information. First, they express their opinion on what they think the agency should do, which may have normative power for bureaucrats. Second, principles signal political consequences that agencies may want to avoid</w:t>
      </w:r>
      <w:r>
        <w:t xml:space="preserve"> </w:t>
      </w:r>
      <w:r>
        <w:t xml:space="preserve">(</w:t>
      </w:r>
      <w:hyperlink w:anchor="ref-Potter2017">
        <w:r>
          <w:rPr>
            <w:rStyle w:val="Hyperlink"/>
          </w:rPr>
          <w:t xml:space="preserve">Potter 2017a</w:t>
        </w:r>
      </w:hyperlink>
      <w:r>
        <w:t xml:space="preserve">)</w:t>
      </w:r>
      <w:r>
        <w:t xml:space="preserve">.</w:t>
      </w:r>
    </w:p>
    <w:p>
      <w:pPr>
        <w:pStyle w:val="CaptionedFigure"/>
      </w:pPr>
      <w:r>
        <w:drawing>
          <wp:inline>
            <wp:extent cx="5334000" cy="2374952"/>
            <wp:effectExtent b="0" l="0" r="0" t="0"/>
            <wp:docPr descr="Figure 3.3: Integrating Public Pressure and Congressional Oversight into a Model of Lobbying in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54"/>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Integrating Public Pressure and Congressional Oversight into a Model of Lobbying in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may be more likely to intervene on their behalf and less likely to</w:t>
      </w:r>
      <w:r>
        <w:t xml:space="preserve"> </w:t>
      </w:r>
      <w:r>
        <w:t xml:space="preserve">intervene against them. Hypotheses</w:t>
      </w:r>
      <w:r>
        <w:t xml:space="preserve"> </w:t>
      </w:r>
      <w:r>
        <w:t xml:space="preserve">3.2</w:t>
      </w:r>
      <w:r>
        <w:t xml:space="preserve"> </w:t>
      </w:r>
      <w:r>
        <w:t xml:space="preserve">and</w:t>
      </w:r>
      <w:r>
        <w:t xml:space="preserve"> </w:t>
      </w:r>
      <w:r>
        <w:t xml:space="preserve">3.3</w:t>
      </w:r>
      <w:r>
        <w:t xml:space="preserve"> </w:t>
      </w:r>
      <w:r>
        <w:t xml:space="preserve">set out these intuitions.</w:t>
      </w:r>
    </w:p>
    <w:bookmarkEnd w:id="155"/>
    <w:bookmarkStart w:id="163" w:name="oversight-hypotheses"/>
    <w:p>
      <w:pPr>
        <w:pStyle w:val="Heading3"/>
      </w:pPr>
      <w:r>
        <w:rPr>
          <w:rStyle w:val="SectionNumber"/>
        </w:rPr>
        <w:t xml:space="preserve">3.2.5</w:t>
      </w:r>
      <w:r>
        <w:tab/>
      </w:r>
      <w:r>
        <w:t xml:space="preserve">Hypotheses about the relationship between mass engagement and oversight</w:t>
      </w:r>
    </w:p>
    <w:p>
      <w:pPr>
        <w:pStyle w:val="FirstParagraph"/>
      </w:pPr>
      <w:r>
        <w:t xml:space="preserve">It may be the case that both principals and most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w:t>
      </w:r>
      <w:r>
        <w:br/>
      </w:r>
    </w:p>
    <w:p>
      <w:pPr>
        <w:pStyle w:val="BodyText"/>
      </w:pPr>
    </w:p>
    <w:p>
      <w:pPr>
        <w:pStyle w:val="BodyText"/>
      </w:pPr>
      <w:bookmarkStart w:id="157" w:name="hyp:oversight"/>
      <w:bookmarkStart w:id="156" w:name="hyp:oversight"/>
      <w:bookmarkEnd w:id="156"/>
      <w:r>
        <w:t xml:space="preserve">Hypothesis 3.1</w:t>
      </w:r>
      <w:r>
        <w:t xml:space="preserve"> </w:t>
      </w:r>
      <w:bookmarkEnd w:id="157"/>
      <w:r>
        <w:t xml:space="preserve">The scale of public engagement moderates elected officials’ engagement in agency rulemaking</w:t>
      </w:r>
      <w:r>
        <w:t xml:space="preserve"> </w:t>
      </w:r>
      <w:r>
        <w:t xml:space="preserve">engagement.</w:t>
      </w:r>
    </w:p>
    <w:p>
      <w:pPr>
        <w:pStyle w:val="BodyText"/>
      </w:pPr>
      <w:r>
        <w:t xml:space="preserve">Because members of Congress are some of the most relevant political principals for federal policymakers, I focus on these principals. The relationship between public engagement and legislator engagement can be modeled by Equation (3.1) where</w:t>
      </w:r>
      <w:r>
        <w:t xml:space="preserve"> </w:t>
      </w:r>
      <m:oMath>
        <m:r>
          <m:t>P</m:t>
        </m:r>
        <m:r>
          <m:t>r</m:t>
        </m:r>
        <m:r>
          <m:rPr>
            <m:sty m:val="p"/>
          </m:rPr>
          <m:t>(</m:t>
        </m:r>
        <m:r>
          <m:t>C</m:t>
        </m:r>
        <m:r>
          <m:t>o</m:t>
        </m:r>
        <m:r>
          <m:t>m</m:t>
        </m:r>
        <m:r>
          <m:t>m</m:t>
        </m:r>
        <m:r>
          <m:t>e</m:t>
        </m:r>
        <m:r>
          <m:t>n</m:t>
        </m:r>
        <m:sSub>
          <m:e>
            <m:r>
              <m:t>t</m:t>
            </m:r>
          </m:e>
          <m:sub>
            <m:r>
              <m:t>i</m:t>
            </m:r>
          </m:sub>
        </m:sSub>
        <m:r>
          <m:rPr>
            <m:sty m:val="p"/>
          </m:rPr>
          <m:t>)</m:t>
        </m:r>
      </m:oMath>
      <w:r>
        <w:t xml:space="preserve"> </w:t>
      </w:r>
      <w:r>
        <w:t xml:space="preserve">is the probability that legislator</w:t>
      </w:r>
      <w:r>
        <w:t xml:space="preserve"> </w:t>
      </w:r>
      <m:oMath>
        <m:r>
          <m:t>i</m:t>
        </m:r>
      </m:oMath>
      <w:r>
        <w:t xml:space="preserve"> </w:t>
      </w:r>
      <w:r>
        <w:t xml:space="preserve">comments on a proposed rule,</w:t>
      </w:r>
      <w:r>
        <w:t xml:space="preserve"> </w:t>
      </w:r>
      <m:oMath>
        <m:r>
          <m:t>β</m:t>
        </m:r>
        <m:r>
          <m:t>1</m:t>
        </m:r>
      </m:oMath>
      <w:r>
        <w:t xml:space="preserve"> </w:t>
      </w:r>
      <w:r>
        <w:t xml:space="preserve">is the total number of public comments, and</w:t>
      </w:r>
      <w:r>
        <w:t xml:space="preserve"> </w:t>
      </w:r>
      <m:oMath>
        <m:r>
          <m:t>η</m:t>
        </m:r>
      </m:oMath>
      <w:r>
        <w:t xml:space="preserve"> </w:t>
      </w:r>
      <w:r>
        <w:t xml:space="preserve">is a vector of coefficients on other factors (</w:t>
      </w:r>
      <m:oMath>
        <m:sSub>
          <m:e>
            <m:r>
              <m:t>X</m:t>
            </m:r>
          </m:e>
          <m:sub>
            <m:r>
              <m:t>i</m:t>
            </m:r>
          </m:sub>
        </m:sSub>
      </m:oMath>
      <w:r>
        <w:t xml:space="preserve">) that may affect whether a legislator engages.</w:t>
      </w:r>
    </w:p>
    <w:p>
      <w:pPr>
        <w:pStyle w:val="BodyText"/>
      </w:pPr>
      <m:oMathPara>
        <m:oMathParaPr>
          <m:jc m:val="center"/>
        </m:oMathParaPr>
        <m:oMath>
          <m:r>
            <m:t>l</m:t>
          </m:r>
          <m:r>
            <m:t>o</m:t>
          </m:r>
          <m:r>
            <m:t>g</m:t>
          </m:r>
          <m:r>
            <m:t>i</m:t>
          </m:r>
          <m:r>
            <m:t>t</m:t>
          </m:r>
          <m:r>
            <m:rPr>
              <m:sty m:val="p"/>
            </m:rPr>
            <m:t>(</m:t>
          </m:r>
          <m:r>
            <m:t>P</m:t>
          </m:r>
          <m:r>
            <m:t>r</m:t>
          </m:r>
          <m:r>
            <m:rPr>
              <m:sty m:val="p"/>
            </m:rPr>
            <m:t>(</m:t>
          </m:r>
          <m:r>
            <m:t>C</m:t>
          </m:r>
          <m:r>
            <m:t>o</m:t>
          </m:r>
          <m:r>
            <m:t>m</m:t>
          </m:r>
          <m:r>
            <m:t>m</m:t>
          </m:r>
          <m:r>
            <m:t>e</m:t>
          </m:r>
          <m:r>
            <m:t>n</m:t>
          </m:r>
          <m:sSub>
            <m:e>
              <m:r>
                <m:t>t</m:t>
              </m:r>
            </m:e>
            <m:sub>
              <m:r>
                <m:t>i</m:t>
              </m:r>
            </m:sub>
          </m:sSub>
          <m:r>
            <m:rPr>
              <m:sty m:val="p"/>
            </m:rPr>
            <m:t>)</m:t>
          </m:r>
          <m:r>
            <m:rPr>
              <m:sty m:val="p"/>
            </m:rPr>
            <m:t>)</m:t>
          </m:r>
          <m:r>
            <m:rPr>
              <m:sty m:val="p"/>
            </m:rPr>
            <m:t>=</m:t>
          </m:r>
          <m:sSub>
            <m:e>
              <m:r>
                <m:t>β</m:t>
              </m:r>
            </m:e>
            <m:sub>
              <m:r>
                <m:t>0</m:t>
              </m:r>
            </m:sub>
          </m:sSub>
          <m:r>
            <m:rPr>
              <m:sty m:val="p"/>
            </m:rPr>
            <m:t>+</m:t>
          </m:r>
          <m:sSub>
            <m:e>
              <m:r>
                <m:t>β</m:t>
              </m:r>
            </m:e>
            <m:sub>
              <m:r>
                <m:t>1</m:t>
              </m:r>
            </m:sub>
          </m:sSub>
          <m:r>
            <m:t>N</m:t>
          </m:r>
          <m:r>
            <m:t>u</m:t>
          </m:r>
          <m:r>
            <m:t>m</m:t>
          </m:r>
          <m:r>
            <m:t>b</m:t>
          </m:r>
          <m:r>
            <m:t>e</m:t>
          </m:r>
          <m:r>
            <m:t>r</m:t>
          </m:r>
          <m:r>
            <m:t> </m:t>
          </m:r>
          <m:r>
            <m:t>o</m:t>
          </m:r>
          <m:r>
            <m:t>f</m:t>
          </m:r>
          <m:r>
            <m:t> </m:t>
          </m:r>
          <m:r>
            <m:t>c</m:t>
          </m:r>
          <m:r>
            <m:t>o</m:t>
          </m:r>
          <m:r>
            <m:t>m</m:t>
          </m:r>
          <m:r>
            <m:t>m</m:t>
          </m:r>
          <m:r>
            <m:t>e</m:t>
          </m:r>
          <m:r>
            <m:t>n</m:t>
          </m:r>
          <m:r>
            <m:t>t</m:t>
          </m:r>
          <m:r>
            <m:t>s</m:t>
          </m:r>
          <m:r>
            <m:rPr>
              <m:sty m:val="p"/>
            </m:rPr>
            <m:t>+</m:t>
          </m:r>
          <m:r>
            <m:t>η</m:t>
          </m:r>
          <m:sSub>
            <m:e>
              <m:r>
                <m:t>X</m:t>
              </m:r>
            </m:e>
            <m:sub>
              <m:r>
                <m:t>i</m:t>
              </m:r>
            </m:sub>
          </m:sSub>
          <m:r>
            <m:rPr>
              <m:sty m:val="p"/>
            </m:rPr>
            <m:t>+</m:t>
          </m:r>
          <m:sSub>
            <m:e>
              <m:r>
                <m:t>ϵ</m:t>
              </m:r>
            </m:e>
            <m:sub>
              <m:r>
                <m:t>i</m:t>
              </m:r>
            </m:sub>
          </m:sSub>
          <m:r>
            <m:rPr>
              <m:sty m:val="p"/>
            </m:rPr>
            <m:t>(</m:t>
          </m:r>
          <m:r>
            <m:rPr>
              <m:sty m:val="p"/>
            </m:rPr>
            <m:t>#</m:t>
          </m:r>
          <m:r>
            <m:t>e</m:t>
          </m:r>
          <m:r>
            <m:t>q</m:t>
          </m:r>
          <m:r>
            <m:rPr>
              <m:sty m:val="p"/>
            </m:rPr>
            <m:t>:</m:t>
          </m:r>
          <m:r>
            <m:t>o</m:t>
          </m:r>
          <m:r>
            <m:t>v</m:t>
          </m:r>
          <m:r>
            <m:t>e</m:t>
          </m:r>
          <m:r>
            <m:t>r</m:t>
          </m:r>
          <m:r>
            <m:t>s</m:t>
          </m:r>
          <m:r>
            <m:t>i</m:t>
          </m:r>
          <m:r>
            <m:t>g</m:t>
          </m:r>
          <m:r>
            <m:t>h</m:t>
          </m:r>
          <m:r>
            <m:t>t</m:t>
          </m:r>
          <m:r>
            <m:t>1</m:t>
          </m:r>
          <m:r>
            <m:rPr>
              <m:sty m:val="p"/>
            </m:rPr>
            <m:t>)</m:t>
          </m:r>
        </m:oMath>
      </m:oMathPara>
    </w:p>
    <w:p>
      <w:pPr>
        <w:pStyle w:val="FirstParagraph"/>
      </w:pPr>
    </w:p>
    <w:p>
      <w:pPr>
        <w:pStyle w:val="BodyText"/>
      </w:pPr>
      <w:bookmarkStart w:id="159" w:name="hyp:beacon"/>
      <w:bookmarkStart w:id="158" w:name="hyp:beacon"/>
      <w:bookmarkEnd w:id="158"/>
      <w:r>
        <w:t xml:space="preserve">Hypothesis 3.2</w:t>
      </w:r>
      <w:r>
        <w:t xml:space="preserve"> </w:t>
      </w:r>
      <w:bookmarkEnd w:id="159"/>
      <w:r>
        <w:t xml:space="preserve">Public pressure campaigns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p>
    <w:p>
      <w:pPr>
        <w:pStyle w:val="BodyText"/>
      </w:pPr>
      <w:bookmarkStart w:id="161" w:name="hyp:warning"/>
      <w:bookmarkStart w:id="160" w:name="hyp:warning"/>
      <w:bookmarkEnd w:id="160"/>
      <w:r>
        <w:t xml:space="preserve">Hypothesis 3.3</w:t>
      </w:r>
      <w:r>
        <w:t xml:space="preserve"> </w:t>
      </w:r>
      <w:bookmarkEnd w:id="161"/>
      <w:r>
        <w:t xml:space="preserve">Public pressure campaigns</w:t>
      </w:r>
      <w:r>
        <w:t xml:space="preserve"> </w:t>
      </w:r>
      <w:r>
        <w:t xml:space="preserve">reduce oversight from opponents. The more comments opposing a position,</w:t>
      </w:r>
      <w:r>
        <w:t xml:space="preserve"> </w:t>
      </w:r>
      <w:r>
        <w:t xml:space="preserve">the less likely principals holding that position are to engage.</w:t>
      </w:r>
    </w:p>
    <w:p>
      <w:pPr>
        <w:pStyle w:val="BodyText"/>
      </w:pPr>
      <w:r>
        <w:t xml:space="preserve">The probability that legislator</w:t>
      </w:r>
      <w:r>
        <w:t xml:space="preserve"> </w:t>
      </w:r>
      <m:oMath>
        <m:r>
          <m:t>i</m:t>
        </m:r>
      </m:oMath>
      <w:r>
        <w:t xml:space="preserve"> </w:t>
      </w:r>
      <w:r>
        <w:t xml:space="preserve">will comment, given their position</w:t>
      </w:r>
      <w:r>
        <w:t xml:space="preserve"> </w:t>
      </w:r>
      <m:oMath>
        <m:sSub>
          <m:e>
            <m:r>
              <m:t>p</m:t>
            </m:r>
          </m:e>
          <m:sub>
            <m:r>
              <m:t>i</m:t>
            </m:r>
          </m:sub>
        </m:sSub>
      </m:oMath>
      <w:r>
        <w:t xml:space="preserve"> </w:t>
      </w:r>
      <w:r>
        <w:t xml:space="preserve">on a proposed rule (</w:t>
      </w:r>
      <m:oMath>
        <m:r>
          <m:t>P</m:t>
        </m:r>
        <m:r>
          <m:t>r</m:t>
        </m:r>
        <m:r>
          <m:rPr>
            <m:sty m:val="p"/>
          </m:rPr>
          <m:t>(</m:t>
        </m:r>
        <m:r>
          <m:t>C</m:t>
        </m:r>
        <m:r>
          <m:t>o</m:t>
        </m:r>
        <m:r>
          <m:t>m</m:t>
        </m:r>
        <m:r>
          <m:t>m</m:t>
        </m:r>
        <m:r>
          <m:t>e</m:t>
        </m:r>
        <m:r>
          <m:t>n</m:t>
        </m:r>
        <m:sSub>
          <m:e>
            <m:r>
              <m:t>t</m:t>
            </m:r>
          </m:e>
          <m:sub>
            <m:r>
              <m:t>i</m:t>
            </m:r>
          </m:sub>
        </m:sSub>
        <m:r>
          <m:rPr>
            <m:sty m:val="p"/>
          </m:rPr>
          <m:t>|</m:t>
        </m:r>
        <m:sSub>
          <m:e>
            <m:r>
              <m:t>p</m:t>
            </m:r>
          </m:e>
          <m:sub>
            <m:r>
              <m:t>i</m:t>
            </m:r>
          </m:sub>
        </m:sSub>
        <m:r>
          <m:rPr>
            <m:sty m:val="p"/>
          </m:rPr>
          <m:t>)</m:t>
        </m:r>
      </m:oMath>
      <w:r>
        <w:t xml:space="preserve">), is modeled in equation (3.2). Hypothesis</w:t>
      </w:r>
      <w:r>
        <w:t xml:space="preserve"> </w:t>
      </w:r>
      <w:r>
        <w:t xml:space="preserve">3.2</w:t>
      </w:r>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r>
        <w:t xml:space="preserve">3.3</w:t>
      </w:r>
      <w:r>
        <w:t xml:space="preserve"> </w:t>
      </w:r>
      <w:r>
        <w:t xml:space="preserve">implies that</w:t>
      </w:r>
      <w:r>
        <w:t xml:space="preserve"> </w:t>
      </w:r>
      <m:oMath>
        <m:sSub>
          <m:e>
            <m:r>
              <m:t>β</m:t>
            </m:r>
          </m:e>
          <m:sub>
            <m:r>
              <m:t>2</m:t>
            </m:r>
          </m:sub>
        </m:sSub>
      </m:oMath>
      <w:r>
        <w:t xml:space="preserve"> </w:t>
      </w:r>
      <w:r>
        <w:t xml:space="preserve">is negative.</w:t>
      </w:r>
    </w:p>
    <w:p>
      <w:pPr>
        <w:pStyle w:val="BodyText"/>
      </w:pPr>
      <m:oMathPara>
        <m:oMathParaPr>
          <m:jc m:val="center"/>
        </m:oMathParaPr>
        <m:oMath>
          <m:r>
            <m:t>l</m:t>
          </m:r>
          <m:r>
            <m:t>o</m:t>
          </m:r>
          <m:r>
            <m:t>g</m:t>
          </m:r>
          <m:r>
            <m:t>i</m:t>
          </m:r>
          <m:r>
            <m:t>t</m:t>
          </m:r>
          <m:r>
            <m:rPr>
              <m:sty m:val="p"/>
            </m:rPr>
            <m:t>(</m:t>
          </m:r>
          <m:r>
            <m:t>P</m:t>
          </m:r>
          <m:r>
            <m:t>r</m:t>
          </m:r>
          <m:r>
            <m:rPr>
              <m:sty m:val="p"/>
            </m:rPr>
            <m:t>(</m:t>
          </m:r>
          <m:r>
            <m:t>C</m:t>
          </m:r>
          <m:r>
            <m:t>o</m:t>
          </m:r>
          <m:r>
            <m:t>m</m:t>
          </m:r>
          <m:r>
            <m:t>m</m:t>
          </m:r>
          <m:r>
            <m:t>e</m:t>
          </m:r>
          <m:r>
            <m:t>n</m:t>
          </m:r>
          <m:sSub>
            <m:e>
              <m:r>
                <m:t>t</m:t>
              </m:r>
            </m:e>
            <m:sub>
              <m:r>
                <m:t>i</m:t>
              </m:r>
            </m:sub>
          </m:sSub>
          <m:r>
            <m:rPr>
              <m:sty m:val="p"/>
            </m:rPr>
            <m:t>|</m:t>
          </m:r>
          <m:sSub>
            <m:e>
              <m:r>
                <m:t>p</m:t>
              </m:r>
            </m:e>
            <m:sub>
              <m:r>
                <m:t>i</m:t>
              </m:r>
            </m:sub>
          </m:sSub>
          <m:r>
            <m:rPr>
              <m:sty m:val="p"/>
            </m:rPr>
            <m:t>)</m:t>
          </m:r>
          <m:r>
            <m:rPr>
              <m:sty m:val="p"/>
            </m:rPr>
            <m:t>)</m:t>
          </m:r>
          <m:r>
            <m:rPr>
              <m:sty m:val="p"/>
            </m:rPr>
            <m:t>=</m:t>
          </m:r>
          <m:sSub>
            <m:e>
              <m:r>
                <m:t>β</m:t>
              </m:r>
            </m:e>
            <m:sub>
              <m:r>
                <m:t>0</m:t>
              </m:r>
            </m:sub>
          </m:sSub>
          <m:r>
            <m:rPr>
              <m:sty m:val="p"/>
            </m:rPr>
            <m:t>+</m:t>
          </m:r>
          <m:sSub>
            <m:e>
              <m:r>
                <m:t>β</m:t>
              </m:r>
            </m:e>
            <m:sub>
              <m:r>
                <m:t>1</m:t>
              </m:r>
            </m:sub>
          </m:sSub>
          <m:r>
            <m:rPr>
              <m:nor/>
              <m:sty m:val="p"/>
            </m:rPr>
            <m:t>Comments supporting </m:t>
          </m:r>
          <m:sSub>
            <m:e>
              <m:r>
                <m:t>p</m:t>
              </m:r>
            </m:e>
            <m:sub>
              <m:r>
                <m:t>i</m:t>
              </m:r>
            </m:sub>
          </m:sSub>
          <m:r>
            <m:rPr>
              <m:sty m:val="p"/>
            </m:rPr>
            <m:t>+</m:t>
          </m:r>
          <m:sSub>
            <m:e>
              <m:r>
                <m:t>β</m:t>
              </m:r>
            </m:e>
            <m:sub>
              <m:r>
                <m:t>2</m:t>
              </m:r>
            </m:sub>
          </m:sSub>
          <m:r>
            <m:rPr>
              <m:nor/>
              <m:sty m:val="p"/>
            </m:rPr>
            <m:t>Comments opposing </m:t>
          </m:r>
          <m:sSub>
            <m:e>
              <m:r>
                <m:t>p</m:t>
              </m:r>
            </m:e>
            <m:sub>
              <m:r>
                <m:t>i</m:t>
              </m:r>
            </m:sub>
          </m:sSub>
          <m:r>
            <m:rPr>
              <m:sty m:val="p"/>
            </m:rPr>
            <m:t>+</m:t>
          </m:r>
          <m:r>
            <m:t>η</m:t>
          </m:r>
          <m:sSub>
            <m:e>
              <m:r>
                <m:t>X</m:t>
              </m:r>
            </m:e>
            <m:sub>
              <m:r>
                <m:t>i</m:t>
              </m:r>
            </m:sub>
          </m:sSub>
          <m:r>
            <m:rPr>
              <m:sty m:val="p"/>
            </m:rPr>
            <m:t>+</m:t>
          </m:r>
          <m:sSub>
            <m:e>
              <m:r>
                <m:t>ϵ</m:t>
              </m:r>
            </m:e>
            <m:sub>
              <m:r>
                <m:t>i</m:t>
              </m:r>
            </m:sub>
          </m:sSub>
          <m:r>
            <m:rPr>
              <m:sty m:val="p"/>
            </m:rPr>
            <m:t>(</m:t>
          </m:r>
          <m:r>
            <m:rPr>
              <m:sty m:val="p"/>
            </m:rPr>
            <m:t>#</m:t>
          </m:r>
          <m:r>
            <m:t>e</m:t>
          </m:r>
          <m:r>
            <m:t>q</m:t>
          </m:r>
          <m:r>
            <m:rPr>
              <m:sty m:val="p"/>
            </m:rPr>
            <m:t>:</m:t>
          </m:r>
          <m:r>
            <m:t>o</m:t>
          </m:r>
          <m:r>
            <m:t>v</m:t>
          </m:r>
          <m:r>
            <m:t>e</m:t>
          </m:r>
          <m:r>
            <m:t>r</m:t>
          </m:r>
          <m:r>
            <m:t>s</m:t>
          </m:r>
          <m:r>
            <m:t>i</m:t>
          </m:r>
          <m:r>
            <m:t>g</m:t>
          </m:r>
          <m:r>
            <m:t>h</m:t>
          </m:r>
          <m:r>
            <m:t>t</m:t>
          </m:r>
          <m:r>
            <m:t>2</m:t>
          </m:r>
          <m:r>
            <m:rPr>
              <m:sty m:val="p"/>
            </m:rPr>
            <m:t>)</m:t>
          </m:r>
        </m:oMath>
      </m:oMathPara>
    </w:p>
    <w:p>
      <w:pPr>
        <w:pStyle w:val="FirstParagraph"/>
      </w:pPr>
      <w:r>
        <w:t xml:space="preserve">If Hypothesis</w:t>
      </w:r>
      <w:r>
        <w:t xml:space="preserve"> </w:t>
      </w:r>
      <w:r>
        <w:t xml:space="preserve">3.2</w:t>
      </w:r>
      <w:r>
        <w:t xml:space="preserve"> </w:t>
      </w:r>
      <w:r>
        <w:t xml:space="preserve">is correct, it would suggest a supplement to Hall</w:t>
      </w:r>
      <w:r>
        <w:t xml:space="preserve"> </w:t>
      </w:r>
      <w:r>
        <w:t xml:space="preserve">and Miler’s</w:t>
      </w:r>
      <w:r>
        <w:t xml:space="preserve"> </w:t>
      </w:r>
      <w:r>
        <w:t xml:space="preserve">(</w:t>
      </w:r>
      <w:hyperlink w:anchor="ref-Hall2008">
        <w:r>
          <w:rPr>
            <w:rStyle w:val="Hyperlink"/>
          </w:rPr>
          <w:t xml:space="preserve">2008</w:t>
        </w:r>
      </w:hyperlink>
      <w:r>
        <w:t xml:space="preserve">)</w:t>
      </w:r>
      <w:r>
        <w:t xml:space="preserve"> </w:t>
      </w:r>
      <w:r>
        <w:t xml:space="preserve">finding that legislators are more likely to engage in</w:t>
      </w:r>
      <w:r>
        <w:t xml:space="preserve"> </w:t>
      </w:r>
      <w:r>
        <w:t xml:space="preserve">rulemaking when a like-minded interest group has lobbied them:</w:t>
      </w:r>
      <w:r>
        <w:t xml:space="preserve"> </w:t>
      </w:r>
      <w:r>
        <w:t xml:space="preserve">When interest groups lobby elected officials to engage in rulemaking,</w:t>
      </w:r>
      <w:r>
        <w:t xml:space="preserve"> </w:t>
      </w:r>
      <w:r>
        <w:t xml:space="preserve">they may also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 mass-comment campaign, and less likely to engage when opposed by a large</w:t>
      </w:r>
      <w:r>
        <w:t xml:space="preserve"> </w:t>
      </w:r>
      <w:r>
        <w:t xml:space="preserve">mass comment campaign.</w:t>
      </w:r>
      <w:r>
        <w:rPr>
          <w:rStyle w:val="FootnoteReference"/>
        </w:rPr>
        <w:footnoteReference w:id="162"/>
      </w:r>
    </w:p>
    <w:p>
      <w:pPr>
        <w:pStyle w:val="BodyText"/>
      </w:pPr>
      <w:r>
        <w:t xml:space="preserve">Alternatively, the effect of mass engagement on legislators may</w:t>
      </w:r>
      <w:r>
        <w:t xml:space="preserve"> </w:t>
      </w:r>
      <w:r>
        <w:t xml:space="preserve">be asymmetric. Mass engagement may only mobilize or only demobilize. For</w:t>
      </w:r>
      <w:r>
        <w:t xml:space="preserve"> </w:t>
      </w:r>
      <w:r>
        <w:t xml:space="preserve">example, if legislators are risk-averse, they may avoid engaging in contentious rulemaking processes</w:t>
      </w:r>
      <w:r>
        <w:t xml:space="preserve"> </w:t>
      </w:r>
      <w:r>
        <w:t xml:space="preserve">regardless of the balance of comments. Or,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These results would be</w:t>
      </w:r>
      <w:r>
        <w:t xml:space="preserve"> </w:t>
      </w:r>
      <w:r>
        <w:t xml:space="preserve">evidence against Hypothesis</w:t>
      </w:r>
      <w:r>
        <w:t xml:space="preserve"> </w:t>
      </w:r>
      <w:r>
        <w:t xml:space="preserve">3.2</w:t>
      </w:r>
      <w:r>
        <w:t xml:space="preserve"> </w:t>
      </w:r>
      <w:r>
        <w:t xml:space="preserve">and</w:t>
      </w:r>
      <w:r>
        <w:t xml:space="preserve"> </w:t>
      </w:r>
      <w:r>
        <w:t xml:space="preserve">Hypothesis</w:t>
      </w:r>
      <w:r>
        <w:t xml:space="preserve"> </w:t>
      </w:r>
      <w:r>
        <w:t xml:space="preserve">3.3</w:t>
      </w:r>
      <w:r>
        <w:t xml:space="preserve">, respectively.</w:t>
      </w:r>
    </w:p>
    <w:p>
      <w:pPr>
        <w:pStyle w:val="BodyText"/>
      </w:pPr>
      <w:r>
        <w:t xml:space="preserve">I thus build on the classic model of</w:t>
      </w:r>
      <w:r>
        <w:t xml:space="preserve"> </w:t>
      </w:r>
      <w:r>
        <w:t xml:space="preserve">political oversight in two ways. First, I suggest that elected officials’ comments during rulemaking are a particularly relevant oversight behavior and a</w:t>
      </w:r>
      <w:r>
        <w:t xml:space="preserve"> </w:t>
      </w:r>
      <w:r>
        <w:t xml:space="preserve">mechanism by which bureaucrats learn and update beliefs about their</w:t>
      </w:r>
      <w:r>
        <w:t xml:space="preserve"> </w:t>
      </w:r>
      <w:r>
        <w:t xml:space="preserve">principals’ demands. This is represented by the arrow between</w:t>
      </w:r>
      <w:r>
        <w:t xml:space="preserve"> </w:t>
      </w:r>
      <w:r>
        <w:t xml:space="preserve">“</w:t>
      </w:r>
      <w:r>
        <w:t xml:space="preserve">Political Information</w:t>
      </w:r>
      <w:r>
        <w:t xml:space="preserve">”</w:t>
      </w:r>
      <w:r>
        <w:t xml:space="preserve"> </w:t>
      </w:r>
      <w:r>
        <w:t xml:space="preserve">(including principal opinions and perceived political consequences) and</w:t>
      </w:r>
      <w:r>
        <w:t xml:space="preserve"> </w:t>
      </w:r>
      <w:r>
        <w:t xml:space="preserve">“</w:t>
      </w:r>
      <w:r>
        <w:t xml:space="preserve">Policy Response</w:t>
      </w:r>
      <w:r>
        <w:t xml:space="preserve">”</w:t>
      </w:r>
      <w:r>
        <w:t xml:space="preserve"> </w:t>
      </w:r>
      <w:r>
        <w:t xml:space="preserve">in Figure</w:t>
      </w:r>
      <w:r>
        <w:t xml:space="preserve"> </w:t>
      </w:r>
      <w:r>
        <w:t xml:space="preserve">3.10</w:t>
      </w:r>
      <w:r>
        <w:t xml:space="preserve">.</w:t>
      </w:r>
      <w:r>
        <w:t xml:space="preserve"> </w:t>
      </w:r>
      <w:r>
        <w:t xml:space="preserve">Second, I suggest that such oversight behaviors</w:t>
      </w:r>
      <w:r>
        <w:t xml:space="preserve"> </w:t>
      </w:r>
      <w:r>
        <w:t xml:space="preserve">maybe affected by public pressure campaigns because of the impressions of public</w:t>
      </w:r>
      <w:r>
        <w:t xml:space="preserve"> </w:t>
      </w:r>
      <w:r>
        <w:t xml:space="preserve">opinion (i.e., the political information) they create.</w:t>
      </w:r>
      <w:r>
        <w:t xml:space="preserve"> </w:t>
      </w:r>
      <w:r>
        <w:t xml:space="preserve">This is represented by the arrow between</w:t>
      </w:r>
      <w:r>
        <w:t xml:space="preserve"> </w:t>
      </w:r>
      <w:r>
        <w:t xml:space="preserve">“</w:t>
      </w:r>
      <w:r>
        <w:t xml:space="preserve">Perceived Public Opinion</w:t>
      </w:r>
      <w:r>
        <w:t xml:space="preserve">”</w:t>
      </w:r>
      <w:r>
        <w:t xml:space="preserve"> </w:t>
      </w:r>
      <w:r>
        <w:t xml:space="preserve">and</w:t>
      </w:r>
      <w:r>
        <w:t xml:space="preserve"> </w:t>
      </w:r>
      <w:r>
        <w:t xml:space="preserve">“</w:t>
      </w:r>
      <w:r>
        <w:t xml:space="preserve">Principal Comments</w:t>
      </w:r>
      <w:r>
        <w:t xml:space="preserve">”</w:t>
      </w:r>
      <w:r>
        <w:t xml:space="preserve"> </w:t>
      </w:r>
      <w:r>
        <w:t xml:space="preserve">in Figure</w:t>
      </w:r>
      <w:r>
        <w:t xml:space="preserve"> </w:t>
      </w:r>
      <w:r>
        <w:t xml:space="preserve">3.10</w:t>
      </w:r>
      <w:r>
        <w:t xml:space="preserve">.</w:t>
      </w:r>
    </w:p>
    <w:bookmarkEnd w:id="163"/>
    <w:bookmarkEnd w:id="164"/>
    <w:bookmarkStart w:id="188" w:name="testing-the-theory"/>
    <w:p>
      <w:pPr>
        <w:pStyle w:val="Heading2"/>
      </w:pPr>
      <w:r>
        <w:rPr>
          <w:rStyle w:val="SectionNumber"/>
        </w:rPr>
        <w:t xml:space="preserve">3.3</w:t>
      </w:r>
      <w:r>
        <w:tab/>
      </w:r>
      <w:r>
        <w:t xml:space="preserve">Testing the Theory</w:t>
      </w:r>
    </w:p>
    <w:bookmarkStart w:id="168" w:name="influence-data"/>
    <w:p>
      <w:pPr>
        <w:pStyle w:val="Heading3"/>
      </w:pPr>
      <w:r>
        <w:rPr>
          <w:rStyle w:val="SectionNumber"/>
        </w:rPr>
        <w:t xml:space="preserve">3.3.1</w:t>
      </w:r>
      <w:r>
        <w:tab/>
      </w:r>
      <w:r>
        <w:t xml:space="preserve">Data: A Census of Public Comments</w:t>
      </w:r>
    </w:p>
    <w:p>
      <w:pPr>
        <w:pStyle w:val="FirstParagraph"/>
      </w:pPr>
      <w:r>
        <w:t xml:space="preserve">To examine the relationship between public pressure campaigns and lobbying success, I use an original dataset (introduced in</w:t>
      </w:r>
      <w:r>
        <w:t xml:space="preserve"> </w:t>
      </w:r>
      <w:r>
        <w:t xml:space="preserve">??</w:t>
      </w:r>
      <w:r>
        <w:t xml:space="preserve">) that combines several sources of data on U.S. federal agency rulemaking.</w:t>
      </w:r>
    </w:p>
    <w:p>
      <w:pPr>
        <w:pStyle w:val="BodyText"/>
      </w:pPr>
      <w:r>
        <w:t xml:space="preserve">The core data are the texts of draft and final rules and public comments on these proposed rules.</w:t>
      </w:r>
      <w:r>
        <w:t xml:space="preserve"> </w:t>
      </w:r>
      <w:r>
        <w:t xml:space="preserve">This includes all proposed rules from 144 agencies that were open for comment on regulations.gov between 2005 and 2020, received at least one comment from an organization, and saw a final agency action between 2005 and 2020.</w:t>
      </w:r>
      <w:r>
        <w:t xml:space="preserve"> </w:t>
      </w:r>
      <w:r>
        <w:t xml:space="preserve">There are over 50 million comments on this set of rules.</w:t>
      </w:r>
    </w:p>
    <w:p>
      <w:pPr>
        <w:pStyle w:val="BodyText"/>
      </w:pPr>
      <w:r>
        <w:t xml:space="preserve">I collected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I attempt to identify the organization(s) that submitted or mobilized each comment by extracting all organization names from the comment text. For comments that do not reference an organization, I can often identify organizations with an internet search using the comment’s text. I then identify lobbying coalitions both by hand and by textual similarity. Co-signed comments are always assigned to the same coalition. Likewise, form-letter comments are always assigned to the same coalition.</w:t>
      </w:r>
      <w:r>
        <w:rPr>
          <w:rStyle w:val="FootnoteReference"/>
        </w:rPr>
        <w:footnoteReference w:id="165"/>
      </w:r>
    </w:p>
    <w:p>
      <w:pPr>
        <w:pStyle w:val="BodyText"/>
      </w:pPr>
      <w:r>
        <w:t xml:space="preserve">Because my hypotheses are about the influence of organizations and coalitions, I collapse these data to one observation per organization or coalition per proposed rule for analysis. I then identify the main substantive comment submitted by each organization’s staff or lawyers, which are usually much longer than supporting comments like form letters.</w:t>
      </w:r>
      <w:r>
        <w:t xml:space="preserve"> </w:t>
      </w:r>
      <w:r>
        <w:t xml:space="preserve">For hand-coding, I first select a random sample of proposed rules with a mass-comment campaign. I then selected all comments that were likely to be from organizations.</w:t>
      </w:r>
      <w:r>
        <w:rPr>
          <w:rStyle w:val="FootnoteReference"/>
        </w:rPr>
        <w:footnoteReference w:id="166"/>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 a sample of proposed rules on which the same organizations commented without a mass comment campaign.</w:t>
      </w:r>
      <w:r>
        <w:t xml:space="preserve"> </w:t>
      </w:r>
      <w:r>
        <w:t xml:space="preserve"> </w:t>
      </w:r>
      <w:r>
        <w:t xml:space="preserve">This hand-coded sample is several times larger than leading studies using hand-coding and includes rules with very large and small numbers of comments that previous studies exclude.</w:t>
      </w:r>
    </w:p>
    <w:p>
      <w:pPr>
        <w:pStyle w:val="BodyText"/>
      </w:pPr>
      <w:r>
        <w:t xml:space="preserve">The most direct way to assess the hypothesis that mass engagement increases lobbying success is to assess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 The main indirect pathway by which campaings may influence agency policymaking is through engaging members of Congress.</w:t>
      </w:r>
    </w:p>
    <w:p>
      <w:pPr>
        <w:pStyle w:val="BodyText"/>
      </w:pPr>
      <w:r>
        <w:t xml:space="preserve">Through the iterative combination of automated search methods and hand-coding described above, I also identify comments submitted by elected officials, with special attention to members of the U.S. Congress.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67"/>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bookmarkEnd w:id="168"/>
    <w:bookmarkStart w:id="172" w:name="the-dependent-variable-lobbying-success"/>
    <w:p>
      <w:pPr>
        <w:pStyle w:val="Heading3"/>
      </w:pPr>
      <w:r>
        <w:rPr>
          <w:rStyle w:val="SectionNumber"/>
        </w:rPr>
        <w:t xml:space="preserve">3.3.2</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organization or elected official,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For each organization, I identify the main overall demand, the top three specific demands, and the corresponding parts of the draft and final rule texts.</w:t>
      </w:r>
      <w:r>
        <w:rPr>
          <w:rStyle w:val="FootnoteReference"/>
        </w:rPr>
        <w:footnoteReference w:id="169"/>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r>
        <w:t xml:space="preserve"> </w:t>
      </w:r>
      <w:r>
        <w:t xml:space="preserve">A team of undergraduate research assistants then applied the codebook to all comments likely to be from organizations or elected officials on a random sample of rules. Several rules were double-coded by the whole team. Intercoder reliability was XX. I also double-coded all comments that were part of mass comment campaigns with more than XX comments.</w:t>
      </w:r>
    </w:p>
    <w:p>
      <w:pPr>
        <w:pStyle w:val="BodyText"/>
      </w:pPr>
      <w:r>
        <w:t xml:space="preserve">In the models below,</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t xml:space="preserve">The average hand-coded success per organizational comment is 0 (N = 3,845). The average success for organizational comments with a mass comment campaign is 1.34 (N = 706).</w:t>
      </w:r>
    </w:p>
    <w:p>
      <w:pPr>
        <w:pStyle w:val="BodyText"/>
      </w:pPr>
      <w:r>
        <w:t xml:space="preserve">Second, I use methods similar to automated plagiarism detection algorithms to identify changes between a draft and final rule.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w:t>
      </w:r>
    </w:p>
    <w:bookmarkEnd w:id="172"/>
    <w:bookmarkStart w:id="174" w:name="the-main-predictor-variable"/>
    <w:p>
      <w:pPr>
        <w:pStyle w:val="Heading3"/>
      </w:pPr>
      <w:r>
        <w:rPr>
          <w:rStyle w:val="SectionNumber"/>
        </w:rPr>
        <w:t xml:space="preserve">3.3.3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includes the main substantive comments submitted by an organization’s staff or lawyers. If an organization mobilizes more than 1000 comments or 100 identical comments on a proposed rule, I code that organization, its coalition, and the proposed rule as having a mass comment campaign. Where a broader campaign does not support organizational comments,</w:t>
      </w:r>
      <w:r>
        <w:t xml:space="preserve"> </w:t>
      </w:r>
      <w:r>
        <w:rPr>
          <w:iCs/>
          <w:i/>
        </w:rPr>
        <w:t xml:space="preserve">log mass comments</w:t>
      </w:r>
      <w:r>
        <w:t xml:space="preserve"> </w:t>
      </w:r>
      <w:r>
        <w:t xml:space="preserve">takes a value of 0.</w:t>
      </w:r>
    </w:p>
    <w:p>
      <w:pPr>
        <w:pStyle w:val="CaptionedFigure"/>
      </w:pPr>
      <w:r>
        <w:drawing>
          <wp:inline>
            <wp:extent cx="5334000" cy="2286000"/>
            <wp:effectExtent b="0" l="0" r="0" t="0"/>
            <wp:docPr descr="Figure 3.5: Lobbying Success by Number of Supportive Comments" title="" id="1" name="Picture"/>
            <a:graphic>
              <a:graphicData uri="http://schemas.openxmlformats.org/drawingml/2006/picture">
                <pic:pic>
                  <pic:nvPicPr>
                    <pic:cNvPr descr="judgelord_files/figure-docx/coded-coalition-success-1.png" id="0" name="Picture"/>
                    <pic:cNvPicPr>
                      <a:picLocks noChangeArrowheads="1" noChangeAspect="1"/>
                    </pic:cNvPicPr>
                  </pic:nvPicPr>
                  <pic:blipFill>
                    <a:blip r:embed="rId173"/>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Figure 3.5: Lobbying Success by Number of Supportive Comments</w:t>
      </w:r>
    </w:p>
    <w:p>
      <w:pPr>
        <w:pStyle w:val="BodyText"/>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policymakers’ responses to sophisticated comments to policymakers’ responses to mass comments. Rather, I</w:t>
      </w:r>
      <w:r>
        <w:t xml:space="preserve"> </w:t>
      </w:r>
      <w:r>
        <w:rPr>
          <w:iCs/>
          <w:i/>
        </w:rPr>
        <w:t xml:space="preserve">attribute</w:t>
      </w:r>
      <w:r>
        <w:t xml:space="preserve"> </w:t>
      </w:r>
      <w:r>
        <w:t xml:space="preserve">mass comments to organizations and coalitions that also submit sophisticated technical comments.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74"/>
    <w:bookmarkStart w:id="176" w:name="explanatory-variables"/>
    <w:p>
      <w:pPr>
        <w:pStyle w:val="Heading3"/>
      </w:pPr>
      <w:r>
        <w:rPr>
          <w:rStyle w:val="SectionNumber"/>
        </w:rPr>
        <w:t xml:space="preserve">3.3.4</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p>
    <w:p>
      <w:pPr>
        <w:pStyle w:val="BodyText"/>
      </w:pP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w:t>
      </w:r>
    </w:p>
    <w:p>
      <w:pPr>
        <w:pStyle w:val="BodyText"/>
      </w:pPr>
      <w:r>
        <w:t xml:space="preserve">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w:t>
      </w:r>
      <w:r>
        <w:t xml:space="preserve"> </w:t>
      </w:r>
      <w:r>
        <w:rPr>
          <w:iCs/>
          <w:i/>
        </w:rPr>
        <w:t xml:space="preserve">Coalition size</w:t>
      </w:r>
      <w:r>
        <w:t xml:space="preserve"> </w:t>
      </w:r>
      <w:r>
        <w:t xml:space="preserve">(a count) is the number of organizations lobbying together on the rule, i.e. the number of distinct commenting organizations in each coalition. For organizations lobbying alone, coalition</w:t>
      </w:r>
      <w:r>
        <w:t xml:space="preserve"> </w:t>
      </w:r>
      <w:r>
        <w:rPr>
          <w:iCs/>
          <w:i/>
        </w:rPr>
        <w:t xml:space="preserve">coalition size</w:t>
      </w:r>
      <w:r>
        <w:t xml:space="preserve"> </w:t>
      </w:r>
      <w:r>
        <w:t xml:space="preserve">is 1.</w:t>
      </w:r>
    </w:p>
    <w:p>
      <w:pPr>
        <w:pStyle w:val="BodyText"/>
      </w:pPr>
      <w:r>
        <w:t xml:space="preserve">A coalition is</w:t>
      </w:r>
      <w:r>
        <w:t xml:space="preserve"> </w:t>
      </w:r>
      <w:r>
        <w:rPr>
          <w:iCs/>
          <w:i/>
        </w:rPr>
        <w:t xml:space="preserve">unopposed</w:t>
      </w:r>
      <w:r>
        <w:t xml:space="preserve"> </w:t>
      </w:r>
      <w:r>
        <w:t xml:space="preserve">when no opposing organizations comment. This is only for the hand-coded sample where we have coded the spatial position of each comment.</w:t>
      </w:r>
    </w:p>
    <w:p>
      <w:pPr>
        <w:pStyle w:val="BodyText"/>
      </w:pPr>
      <w:r>
        <w:t xml:space="preserve">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75"/>
      </w:r>
      <w:r>
        <w:t xml:space="preserve"> </w:t>
      </w:r>
      <w:r>
        <w:rPr>
          <w:iCs/>
          <w:i/>
        </w:rPr>
        <w:t xml:space="preserve">Business colation</w:t>
      </w:r>
      <w:r>
        <w:t xml:space="preserve"> </w:t>
      </w:r>
      <w:r>
        <w:t xml:space="preserve">is binomial.</w:t>
      </w:r>
    </w:p>
    <w:bookmarkEnd w:id="176"/>
    <w:bookmarkStart w:id="178" w:name="examples-of-hand-coded-lobbying-success"/>
    <w:p>
      <w:pPr>
        <w:pStyle w:val="Heading3"/>
      </w:pPr>
      <w:r>
        <w:rPr>
          <w:rStyle w:val="SectionNumber"/>
        </w:rPr>
        <w:t xml:space="preserve">3.3.5</w:t>
      </w:r>
      <w:r>
        <w:tab/>
      </w:r>
      <w:r>
        <w:t xml:space="preserve">Examples of hand-coded lobbying success</w:t>
      </w:r>
    </w:p>
    <w:p>
      <w:pPr>
        <w:pStyle w:val="FirstParagraph"/>
      </w:pPr>
      <w:r>
        <w:rPr>
          <w:bCs/>
          <w:b/>
        </w:rPr>
        <w:t xml:space="preserve">A rule with a public pressure campaign: the 2015 Waters of the United States Rule:</w:t>
      </w:r>
      <w:r>
        <w:t xml:space="preserve"> </w:t>
      </w:r>
      <w:r>
        <w:t xml:space="preserve">In response to litigation over the scope of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(NRDC)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77"/>
      </w:r>
      <w:r>
        <w:t xml:space="preserve"> </w:t>
      </w:r>
      <w:r>
        <w:t xml:space="preserve">I also coded it as requesting speedy publication. These demands provide specific keywords and phrases for which to search in the draft and final rule text. The comparing the requested policy outcomes to the text of the final rule, I evaluate the extent to which NRDC got what it asked for.</w:t>
      </w:r>
    </w:p>
    <w:p>
      <w:pPr>
        <w:pStyle w:val="BodyText"/>
      </w:pPr>
      <w:r>
        <w:t xml:space="preserve">A coalition of 15 environmental organizations mobilized over 944,000 comments. Over half (518,963) were mobilized by the four organizations mentioned in NRDC’s letter: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 in support of NRDC’s sophisticated lobbying.</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changes.</w:t>
      </w:r>
      <w:r>
        <w:t xml:space="preserve">”</w:t>
      </w:r>
      <w:r>
        <w:t xml:space="preserve"> </w:t>
      </w:r>
      <w:r>
        <w:t xml:space="preserve">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EPA did not alter the exemptions for ditches and waste treatment systems.</w:t>
      </w:r>
    </w:p>
    <w:p>
      <w:pPr>
        <w:pStyle w:val="BodyText"/>
      </w:pPr>
      <w:r>
        <w:t xml:space="preserve">Comparing the draft and final with text reuse allows us to count the number of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large particulates were allowed as a surrogate measure for fine particles under the EPA’s 1977 PM10 Surrogate Policy. EPA proposed eliminating this policy,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p>
      <w:pPr>
        <w:pStyle w:val="BlockText"/>
      </w:pPr>
      <w:r>
        <w:t xml:space="preserve">TODO: MORE EXAMPLES</w:t>
      </w:r>
    </w:p>
    <w:bookmarkEnd w:id="178"/>
    <w:bookmarkStart w:id="183" w:name="summary-statistics-for-hand-coded-data"/>
    <w:p>
      <w:pPr>
        <w:pStyle w:val="Heading3"/>
      </w:pPr>
      <w:r>
        <w:rPr>
          <w:rStyle w:val="SectionNumber"/>
        </w:rPr>
        <w:t xml:space="preserve">3.3.6</w:t>
      </w:r>
      <w:r>
        <w:tab/>
      </w:r>
      <w:r>
        <w:t xml:space="preserve">Summary Statistics for Hand-coded Data</w:t>
      </w:r>
    </w:p>
    <w:p>
      <w:pPr>
        <w:pStyle w:val="FirstParagraph"/>
      </w:pPr>
      <w:r>
        <w:t xml:space="preserve">These hand-coded data include 3,845 unique comments, some of which have identical coppies for a total of 5,015,581 comments. These comments represent 147 distinct lobbying coalitions ranging in size from 2 to 223 organizations. Figure</w:t>
      </w:r>
      <w:r>
        <w:t xml:space="preserve"> </w:t>
      </w:r>
      <w:r>
        <w:t xml:space="preserve">3.6</w:t>
      </w:r>
      <w:r>
        <w:t xml:space="preserve"> </w:t>
      </w:r>
      <w:r>
        <w:t xml:space="preserve">shows that coalitions are fairly ballenced between thouse that succeed and fail to get the changes they seek in the final rule. 23%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9a8e5c5b-918a-48fa-a91e-9461cdefae14" w:name="tab:data-coded"/>
      <w:r>
        <w:t xml:space="preserve">A Sample of Hand-Coded Summarized by Coaltion</w:t>
      </w:r>
      <w:bookmarkEnd w:id="9a8e5c5b-918a-48fa-a91e-9461cdefae1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95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-1.2941176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Partnership Project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2,160,081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0.6428571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WCBC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0.8235294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-0.4929577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LSHV</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-0.4615385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0.9230769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The Coalition for Comuninty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Advocates for Children of New York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California Down Syndrome Advocacy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Colorado Children's Campaign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Naitonal Down Syndrome Congress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330,381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-0.5175439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DPE 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NCAPA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NFIB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NELA/NY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EPI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-1.9756098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44,391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SHRM</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0.9600000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7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81"/>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bookmarkEnd w:id="183"/>
    <w:bookmarkStart w:id="184" w:name="X10673b57aa84ec5437b68b34864239f9d2dd0cf"/>
    <w:p>
      <w:pPr>
        <w:pStyle w:val="Heading3"/>
      </w:pPr>
      <w:r>
        <w:rPr>
          <w:rStyle w:val="SectionNumber"/>
        </w:rPr>
        <w:t xml:space="preserve">3.3.7</w:t>
      </w:r>
      <w:r>
        <w:tab/>
      </w:r>
      <w:r>
        <w:t xml:space="preserve">Summary Statisticas for 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r>
        <w:t xml:space="preserve"> </w:t>
      </w:r>
      <w:r>
        <w:t xml:space="preserve">### Limitations</w:t>
      </w:r>
    </w:p>
    <w:p>
      <w:pPr>
        <w:pStyle w:val="BodyText"/>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when there is no change between draft and final rule, both automated methods necessarily record lobbying success as 0, even if a comment asks an agency to publish a rule without change.</w:t>
      </w:r>
      <w:r>
        <w:t xml:space="preserve"> </w:t>
      </w:r>
    </w:p>
    <w:p>
      <w:pPr>
        <w:pStyle w:val="BodyText"/>
      </w:pPr>
      <w:r>
        <w:t xml:space="preserve">Second, bureaucrats may anticipate public pressure campaigns when writing draft rules, muting the observed relationship between public pressure and rule change at the final rule stage of the policy process. This is a limitation of all studies of influence during rulemaking comment periods.</w:t>
      </w:r>
    </w:p>
    <w:bookmarkEnd w:id="184"/>
    <w:bookmarkStart w:id="185" w:name="Xdab7d983dba3d919818060b06b76bb776f53543"/>
    <w:p>
      <w:pPr>
        <w:pStyle w:val="Heading3"/>
      </w:pPr>
      <w:r>
        <w:rPr>
          <w:rStyle w:val="SectionNumber"/>
        </w:rPr>
        <w:t xml:space="preserve">3.3.8</w:t>
      </w:r>
      <w:r>
        <w:tab/>
      </w:r>
      <w:r>
        <w:t xml:space="preserve">Modeling the Direct Relationship Between Public Pressure and Lobbying Success</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these relationships using OLS regression. I also estimate hand-coded lobbying success with beta regression and ordered logit, which is more appropriate but less interpretable. For the automated measures of lobbying success, I estimate beta regression models with the same variables.]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85"/>
    <w:bookmarkStart w:id="187" w:name="X0cdf9bc15539eb758f4e60d334279fb8e5c00a4"/>
    <w:p>
      <w:pPr>
        <w:pStyle w:val="Heading3"/>
      </w:pPr>
      <w:r>
        <w:rPr>
          <w:rStyle w:val="SectionNumber"/>
        </w:rPr>
        <w:t xml:space="preserve">3.3.9</w:t>
      </w:r>
      <w:r>
        <w:tab/>
      </w:r>
      <w:r>
        <w:t xml:space="preserve">Modeling Congressional Support as a Mediator of Lobbying Success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potential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The bold arrow in figure</w:t>
      </w:r>
      <w:r>
        <w:t xml:space="preserve"> </w:t>
      </w:r>
      <w:r>
        <w:t xml:space="preserve">3.10</w:t>
      </w:r>
      <w:r>
        <w:t xml:space="preserve"> </w:t>
      </w:r>
      <w:r>
        <w:t xml:space="preserve">indicates the key relationship</w:t>
      </w:r>
      <w:r>
        <w:t xml:space="preserve"> </w:t>
      </w:r>
      <w:r>
        <w:t xml:space="preserve">that I test in this step: the relationship between the scale of</w:t>
      </w:r>
      <w:r>
        <w:t xml:space="preserve"> </w:t>
      </w:r>
      <w:r>
        <w:t xml:space="preserve">public engagement and engagement from members of Congress, who may</w:t>
      </w:r>
      <w:r>
        <w:t xml:space="preserve"> </w:t>
      </w:r>
      <w:r>
        <w:t xml:space="preserve">receive political information (e.g., about the level of public attention or public opinion) from public pressure campaigns and the resulting mass commenting.</w:t>
      </w:r>
    </w:p>
    <w:p>
      <w:pPr>
        <w:pStyle w:val="CaptionedFigure"/>
      </w:pPr>
      <w:r>
        <w:drawing>
          <wp:inline>
            <wp:extent cx="5334000" cy="1705602"/>
            <wp:effectExtent b="0" l="0" r="0" t="0"/>
            <wp:docPr descr="Figure 3.10: The Mediator Model: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86"/>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3.10: The Mediator Model: The Relationship Between Public Pressure and Congressional Oversight</w:t>
      </w:r>
    </w:p>
    <w:p>
      <w:pPr>
        <w:pStyle w:val="BodyText"/>
      </w:pPr>
      <w:r>
        <w:t xml:space="preserve">Mediator model (3.3):</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r>
                <m:rPr>
                  <m:sty m:val="p"/>
                </m:rPr>
                <m:t>−</m:t>
              </m:r>
              <m:r>
                <m:t>n</m:t>
              </m:r>
            </m:sub>
          </m:sSub>
          <m:sSub>
            <m:e>
              <m:r>
                <m:t>X</m:t>
              </m:r>
            </m:e>
            <m:sub>
              <m:r>
                <m:t>i</m:t>
              </m:r>
            </m:sub>
          </m:sSub>
          <m:r>
            <m:rPr>
              <m:sty m:val="p"/>
            </m:rPr>
            <m:t>+</m:t>
          </m:r>
          <m:sSub>
            <m:e>
              <m:r>
                <m:t>ϵ</m:t>
              </m:r>
            </m:e>
            <m:sub>
              <m:r>
                <m:t>i</m:t>
              </m:r>
            </m:sub>
          </m:sSub>
          <m:r>
            <m:rPr>
              <m:sty m:val="p"/>
            </m:rPr>
            <m:t>(</m:t>
          </m:r>
          <m:r>
            <m:rPr>
              <m:sty m:val="p"/>
            </m:rPr>
            <m:t>#</m:t>
          </m:r>
          <m:r>
            <m:t>e</m:t>
          </m:r>
          <m:r>
            <m:t>q</m:t>
          </m:r>
          <m:r>
            <m:rPr>
              <m:sty m:val="p"/>
            </m:rPr>
            <m:t>:</m:t>
          </m:r>
          <m:r>
            <m:t>m</m:t>
          </m:r>
          <m:r>
            <m:t>e</m:t>
          </m:r>
          <m:r>
            <m:t>d</m:t>
          </m:r>
          <m:r>
            <m:t>i</m:t>
          </m:r>
          <m:r>
            <m:t>a</m:t>
          </m:r>
          <m:r>
            <m:t>t</m:t>
          </m:r>
          <m:r>
            <m:t>o</m:t>
          </m:r>
          <m:r>
            <m:t>r</m:t>
          </m:r>
          <m:r>
            <m:rPr>
              <m:sty m:val="p"/>
            </m:rPr>
            <m:t>)</m:t>
          </m:r>
        </m:oMath>
      </m:oMathPara>
    </w:p>
    <w:p>
      <w:pPr>
        <w:pStyle w:val="FirstParagraph"/>
      </w:pPr>
      <w:r>
        <w:t xml:space="preserve">Outcome (</w:t>
      </w:r>
      <m:oMath>
        <m:sSub>
          <m:e>
            <m:r>
              <m:t>y</m:t>
            </m:r>
          </m:e>
          <m:sub>
            <m:r>
              <m:t>i</m:t>
            </m:r>
          </m:sub>
        </m:sSub>
        <m:r>
          <m:rPr>
            <m:sty m:val="p"/>
          </m:rPr>
          <m:t>=</m:t>
        </m:r>
        <m:r>
          <m:t>L</m:t>
        </m:r>
        <m:r>
          <m:t>o</m:t>
        </m:r>
        <m:r>
          <m:t>b</m:t>
        </m:r>
        <m:r>
          <m:t>b</m:t>
        </m:r>
        <m:r>
          <m:t>y</m:t>
        </m:r>
        <m:r>
          <m:t>i</m:t>
        </m:r>
        <m:r>
          <m:t>n</m:t>
        </m:r>
        <m:r>
          <m:t>g</m:t>
        </m:r>
        <m:r>
          <m:t> </m:t>
        </m:r>
        <m:r>
          <m:t>s</m:t>
        </m:r>
        <m:r>
          <m:t>u</m:t>
        </m:r>
        <m:r>
          <m:t>c</m:t>
        </m:r>
        <m:r>
          <m:t>c</m:t>
        </m:r>
        <m:r>
          <m:t>e</m:t>
        </m:r>
        <m:r>
          <m:t>s</m:t>
        </m:r>
        <m:sSub>
          <m:e>
            <m:r>
              <m:t>s</m:t>
            </m:r>
          </m:e>
          <m:sub>
            <m:r>
              <m:t>i</m:t>
            </m:r>
          </m:sub>
        </m:sSub>
      </m:oMath>
      <w:r>
        <w:t xml:space="preserve">) model (3.4):</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r>
            <m:rPr>
              <m:sty m:val="p"/>
            </m:rPr>
            <m:t>(</m:t>
          </m:r>
          <m:r>
            <m:rPr>
              <m:sty m:val="p"/>
            </m:rPr>
            <m:t>#</m:t>
          </m:r>
          <m:r>
            <m:t>e</m:t>
          </m:r>
          <m:r>
            <m:t>q</m:t>
          </m:r>
          <m:r>
            <m:rPr>
              <m:sty m:val="p"/>
            </m:rPr>
            <m:t>:</m:t>
          </m:r>
          <m:r>
            <m:t>o</m:t>
          </m:r>
          <m:r>
            <m:t>u</m:t>
          </m:r>
          <m:r>
            <m:t>t</m:t>
          </m:r>
          <m:r>
            <m:t>c</m:t>
          </m:r>
          <m:r>
            <m:t>o</m:t>
          </m:r>
          <m:r>
            <m:t>m</m:t>
          </m:r>
          <m:r>
            <m:t>e</m:t>
          </m:r>
          <m:r>
            <m:rPr>
              <m:sty m:val="p"/>
            </m:rPr>
            <m:t>)</m:t>
          </m:r>
        </m:oMath>
      </m:oMathPara>
    </w:p>
    <w:bookmarkEnd w:id="187"/>
    <w:bookmarkEnd w:id="188"/>
    <w:bookmarkStart w:id="193" w:name="influence-results"/>
    <w:p>
      <w:pPr>
        <w:pStyle w:val="Heading2"/>
      </w:pPr>
      <w:r>
        <w:rPr>
          <w:rStyle w:val="SectionNumber"/>
        </w:rPr>
        <w:t xml:space="preserve">3.4</w:t>
      </w:r>
      <w:r>
        <w:tab/>
      </w:r>
      <w:r>
        <w:t xml:space="preserve">Results</w:t>
      </w:r>
    </w:p>
    <w:p>
      <w:pPr>
        <w:pStyle w:val="FirstParagraph"/>
      </w:pPr>
      <w:r>
        <w:t xml:space="preserve">Figure</w:t>
      </w:r>
      <w:r>
        <w:t xml:space="preserve"> </w:t>
      </w:r>
      <w:r>
        <w:t xml:space="preserve">3.11</w:t>
      </w:r>
      <w:r>
        <w:t xml:space="preserve"> </w:t>
      </w:r>
      <w:r>
        <w:t xml:space="preserve">and Table</w:t>
      </w:r>
      <w:r>
        <w:t xml:space="preserve"> </w:t>
      </w:r>
      <w:r>
        <w:t xml:space="preserve">??</w:t>
      </w:r>
      <w:r>
        <w:t xml:space="preserve"> </w:t>
      </w:r>
      <w:r>
        <w:t xml:space="preserve">show the results of a model of lobbying success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1: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89"/>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3.11: OLS Model of Coalition Lobbying Sucess with Hand-coded Data</w:t>
      </w:r>
    </w:p>
    <w:p>
      <w:pPr>
        <w:pStyle w:val="BodyText"/>
      </w:pPr>
      <w:r>
        <w:t xml:space="preserve">Figure</w:t>
      </w:r>
      <w:r>
        <w:t xml:space="preserve"> </w:t>
      </w:r>
      <w:r>
        <w:t xml:space="preserve">3.12</w:t>
      </w:r>
      <w:r>
        <w:t xml:space="preserve"> </w:t>
      </w:r>
      <w:r>
        <w:t xml:space="preserve">and Table</w:t>
      </w:r>
      <w:r>
        <w:t xml:space="preserve"> </w:t>
      </w:r>
      <w:r>
        <w:t xml:space="preserve">??</w:t>
      </w:r>
      <w:r>
        <w:t xml:space="preserve"> </w:t>
      </w:r>
      <w:r>
        <w:t xml:space="preserve">show the results of a model of the number of members of Congress per coalition. This model shows that ________. With the number of members of Congress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number of legislators joining the coalition for each one-unit increase in the logged number of public comments.</w:t>
      </w:r>
    </w:p>
    <w:p>
      <w:pPr>
        <w:pStyle w:val="CaptionedFigure"/>
      </w:pPr>
      <w:r>
        <w:drawing>
          <wp:inline>
            <wp:extent cx="5334000" cy="1778000"/>
            <wp:effectExtent b="0" l="0" r="0" t="0"/>
            <wp:docPr descr="Figure 3.12: OLS Model of the Numeber of Members of Congress Per Coalition with Hand-coded Data" title="" id="1" name="Picture"/>
            <a:graphic>
              <a:graphicData uri="http://schemas.openxmlformats.org/drawingml/2006/picture">
                <pic:pic>
                  <pic:nvPicPr>
                    <pic:cNvPr descr="judgelord_files/figure-docx/model-oversight-plot-1.png" id="0" name="Picture"/>
                    <pic:cNvPicPr>
                      <a:picLocks noChangeArrowheads="1" noChangeAspect="1"/>
                    </pic:cNvPicPr>
                  </pic:nvPicPr>
                  <pic:blipFill>
                    <a:blip r:embed="rId190"/>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3.12: OLS Model of the Numeber of Members of Congress Per Coalition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1945011"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191"/>
                    <a:stretch>
                      <a:fillRect/>
                    </a:stretch>
                  </pic:blipFill>
                  <pic:spPr bwMode="auto">
                    <a:xfrm>
                      <a:off x="0" y="0"/>
                      <a:ext cx="1945011"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bookmarkStart w:id="192" w:name="preliminary-findings"/>
    <w:p>
      <w:pPr>
        <w:pStyle w:val="Heading3"/>
      </w:pPr>
      <w:r>
        <w:rPr>
          <w:rStyle w:val="SectionNumber"/>
        </w:rPr>
        <w:t xml:space="preserve">3.4.1</w:t>
      </w:r>
      <w:r>
        <w:tab/>
      </w:r>
      <w:r>
        <w:t xml:space="preserve">[PRELIMINARY] Findings</w:t>
      </w:r>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bookmarkEnd w:id="192"/>
    <w:bookmarkEnd w:id="193"/>
    <w:bookmarkStart w:id="194" w:name="conclusion-2"/>
    <w:p>
      <w:pPr>
        <w:pStyle w:val="Heading2"/>
      </w:pPr>
      <w:r>
        <w:rPr>
          <w:rStyle w:val="SectionNumber"/>
        </w:rPr>
        <w:t xml:space="preserve">3.5</w:t>
      </w:r>
      <w:r>
        <w:tab/>
      </w:r>
      <w:r>
        <w:t xml:space="preserve">Conclusion</w:t>
      </w:r>
    </w:p>
    <w:p>
      <w:pPr>
        <w:pStyle w:val="BlockText"/>
      </w:pPr>
      <w:r>
        <w:t xml:space="preserve">TODO</w:t>
      </w:r>
    </w:p>
    <w:bookmarkEnd w:id="194"/>
    <w:bookmarkEnd w:id="195"/>
    <w:bookmarkStart w:id="244" w:name="Xad1e5e3cf28743755c8bc9c8447ea666bb332bf"/>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196">
        <w:r>
          <w:rPr>
            <w:rStyle w:val="Hyperlink"/>
            <w:iCs/>
            <w:i/>
          </w:rPr>
          <w:t xml:space="preserve">here</w:t>
        </w:r>
      </w:hyperlink>
      <w:r>
        <w:t xml:space="preserve">.</w:t>
      </w:r>
    </w:p>
    <w:bookmarkStart w:id="197"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197"/>
    <w:bookmarkStart w:id="198"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198"/>
    <w:bookmarkStart w:id="209"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199"/>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00"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00"/>
    <w:bookmarkStart w:id="201"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01"/>
    <w:bookmarkStart w:id="204"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02"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02"/>
    <w:bookmarkStart w:id="203"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03"/>
    <w:bookmarkEnd w:id="204"/>
    <w:bookmarkStart w:id="208"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06"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05"/>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06"/>
    <w:bookmarkStart w:id="207"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07"/>
    <w:bookmarkEnd w:id="208"/>
    <w:bookmarkEnd w:id="209"/>
    <w:bookmarkStart w:id="230" w:name="testing-the-theory-1"/>
    <w:p>
      <w:pPr>
        <w:pStyle w:val="Heading2"/>
      </w:pPr>
      <w:r>
        <w:rPr>
          <w:rStyle w:val="SectionNumber"/>
        </w:rPr>
        <w:t xml:space="preserve">4.3</w:t>
      </w:r>
      <w:r>
        <w:tab/>
      </w:r>
      <w:r>
        <w:t xml:space="preserve">Testing the Theory</w:t>
      </w:r>
    </w:p>
    <w:bookmarkStart w:id="210"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10"/>
    <w:bookmarkStart w:id="222"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11"/>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12"/>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13"/>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14"/>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16"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1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16"/>
    <w:bookmarkStart w:id="221"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17"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17"/>
    <w:bookmarkStart w:id="220"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18"/>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19"/>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20"/>
    <w:bookmarkEnd w:id="221"/>
    <w:bookmarkEnd w:id="222"/>
    <w:bookmarkStart w:id="224"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23"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23"/>
    <w:bookmarkEnd w:id="224"/>
    <w:bookmarkStart w:id="229"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proceedural responsiveness</w:t>
      </w:r>
      <w:r>
        <w:t xml:space="preserve">”</w:t>
      </w:r>
      <w:r>
        <w:t xml:space="preserve"> </w:t>
      </w:r>
      <w:r>
        <w:t xml:space="preserve">used by</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25"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25"/>
    <w:bookmarkStart w:id="228"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26"/>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27"/>
      </w:r>
    </w:p>
    <w:bookmarkEnd w:id="228"/>
    <w:bookmarkEnd w:id="229"/>
    <w:bookmarkEnd w:id="230"/>
    <w:bookmarkStart w:id="242" w:name="results"/>
    <w:p>
      <w:pPr>
        <w:pStyle w:val="Heading2"/>
      </w:pPr>
      <w:r>
        <w:rPr>
          <w:rStyle w:val="SectionNumber"/>
        </w:rPr>
        <w:t xml:space="preserve">4.4</w:t>
      </w:r>
      <w:r>
        <w:tab/>
      </w:r>
      <w:r>
        <w:t xml:space="preserve">Results</w:t>
      </w:r>
    </w:p>
    <w:bookmarkStart w:id="237"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31"/>
                    <a:stretch>
                      <a:fillRect/>
                    </a:stretch>
                  </pic:blipFill>
                  <pic:spPr bwMode="auto">
                    <a:xfrm>
                      <a:off x="0" y="0"/>
                      <a:ext cx="1614726" cy="1837974"/>
                    </a:xfrm>
                    <a:prstGeom prst="rect">
                      <a:avLst/>
                    </a:prstGeom>
                    <a:noFill/>
                    <a:ln w="9525">
                      <a:noFill/>
                      <a:headEnd/>
                      <a:tailEnd/>
                    </a:ln>
                  </pic:spPr>
                </pic:pic>
              </a:graphicData>
            </a:graphic>
          </wp:inline>
        </w:drawing>
      </w:r>
    </w:p>
    <w:bookmarkStart w:id="236"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32"/>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33"/>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3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3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36"/>
    <w:bookmarkEnd w:id="237"/>
    <w:bookmarkStart w:id="241"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40"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38"/>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3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40"/>
    <w:bookmarkEnd w:id="241"/>
    <w:bookmarkEnd w:id="242"/>
    <w:bookmarkStart w:id="243" w:name="conclusion-3"/>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43"/>
    <w:bookmarkEnd w:id="244"/>
    <w:bookmarkStart w:id="534" w:name="reforming-the-policy-process"/>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52"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it in chapters</w:t>
      </w:r>
      <w:r>
        <w:t xml:space="preserve"> </w:t>
      </w:r>
      <w:r>
        <w:t xml:space="preserve">2</w:t>
      </w:r>
      <w:r>
        <w:t xml:space="preserve">,</w:t>
      </w:r>
      <w:r>
        <w:t xml:space="preserve"> </w:t>
      </w:r>
      <w:r>
        <w:t xml:space="preserve">??</w:t>
      </w:r>
      <w:r>
        <w:t xml:space="preserve">, and</w:t>
      </w:r>
      <w:r>
        <w:t xml:space="preserve"> </w:t>
      </w:r>
      <w:r>
        <w:t xml:space="preserve">??</w:t>
      </w:r>
      <w:r>
        <w:t xml:space="preserve"> </w:t>
      </w:r>
      <w:r>
        <w:t xml:space="preserve">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techoncratic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w:t>
      </w:r>
      <w:r>
        <w:t xml:space="preserve"> </w:t>
      </w:r>
      <w:r>
        <w:t xml:space="preserve">‘</w:t>
      </w:r>
      <w:r>
        <w:t xml:space="preserve">I don’t support the policy</w:t>
      </w:r>
      <w:r>
        <w:t xml:space="preserve">’</w:t>
      </w:r>
      <w:r>
        <w:t xml:space="preserve">…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plebicite.</w:t>
      </w:r>
    </w:p>
    <w:p>
      <w:pPr>
        <w:pStyle w:val="BodyText"/>
      </w:pPr>
      <w:r>
        <w:t xml:space="preserve">At the same time, agencies frequently do tally up comments on each side. In a 2008 rule regulating boarder crossing by private aircraft, The U.S. Customs cited the scale of public engagment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45">
        <w:r>
          <w:rPr>
            <w:rStyle w:val="Hyperlink"/>
          </w:rPr>
          <w:t xml:space="preserve">CBP-E8-26621/p-61</w:t>
        </w:r>
      </w:hyperlink>
      <w:r>
        <w:t xml:space="preserve">)</w:t>
      </w:r>
    </w:p>
    <w:p>
      <w:pPr>
        <w:pStyle w:val="BodyText"/>
      </w:pPr>
      <w:r>
        <w:t xml:space="preserve">In the preamble to the 2015 Waters of the United States Rule, EPA evoked both majoritian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46">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quantative opposition to the policy.</w:t>
      </w:r>
    </w:p>
    <w:p>
      <w:pPr>
        <w:pStyle w:val="BodyText"/>
      </w:pPr>
      <w:r>
        <w:t xml:space="preserve">Agencies also regularly refer to form comments as petitions. When the Bureau of Land Managment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47">
        <w:r>
          <w:rPr>
            <w:rStyle w:val="Hyperlink"/>
          </w:rPr>
          <w:t xml:space="preserve">LM-2013-0002-5720</w:t>
        </w:r>
      </w:hyperlink>
      <w:r>
        <w:t xml:space="preserve">) This text was nearly idential was signed by</w:t>
      </w:r>
      <w:r>
        <w:t xml:space="preserve"> </w:t>
      </w:r>
      <w:r>
        <w:t xml:space="preserve">“</w:t>
      </w:r>
      <w:r>
        <w:t xml:space="preserve">Oil and Gas industry individuals</w:t>
      </w:r>
      <w:r>
        <w:t xml:space="preserve">”</w:t>
      </w:r>
      <w:r>
        <w:t xml:space="preserve"> </w:t>
      </w:r>
      <w:r>
        <w:t xml:space="preserve">(</w:t>
      </w:r>
      <w:hyperlink r:id="rId248">
        <w:r>
          <w:rPr>
            <w:rStyle w:val="Hyperlink"/>
          </w:rPr>
          <w:t xml:space="preserve">BLM-2013-0002-5688</w:t>
        </w:r>
      </w:hyperlink>
      <w:r>
        <w:t xml:space="preserve">). Another batch of 1,289 nearly identical emails submitted through the social networking website Care2.org was labled</w:t>
      </w:r>
      <w:r>
        <w:t xml:space="preserve"> </w:t>
      </w:r>
      <w:r>
        <w:t xml:space="preserve">“</w:t>
      </w:r>
      <w:r>
        <w:t xml:space="preserve">Anti Fracking Petition</w:t>
      </w:r>
      <w:r>
        <w:t xml:space="preserve">”</w:t>
      </w:r>
      <w:r>
        <w:t xml:space="preserve"> </w:t>
      </w:r>
      <w:r>
        <w:t xml:space="preserve">(</w:t>
      </w:r>
      <w:hyperlink r:id="rId249">
        <w:r>
          <w:rPr>
            <w:rStyle w:val="Hyperlink"/>
          </w:rPr>
          <w:t xml:space="preserve">BLM-2013-0002-5721</w:t>
        </w:r>
      </w:hyperlink>
      <w:r>
        <w:t xml:space="preserve">)</w:t>
      </w:r>
    </w:p>
    <w:p>
      <w:pPr>
        <w:pStyle w:val="BodyText"/>
      </w:pPr>
      <w:r>
        <w:t xml:space="preserve">The organizations running public pressure campaigs are even more explicit that they consider mass comments to be petition signatures, frequnelty citing mass comments as</w:t>
      </w:r>
      <w:r>
        <w:t xml:space="preserve"> </w:t>
      </w:r>
      <w:r>
        <w:t xml:space="preserve">“</w:t>
      </w:r>
      <w:r>
        <w:t xml:space="preserve">Letters in support of [our organization’s] Comments</w:t>
      </w:r>
      <w:r>
        <w:t xml:space="preserve">”</w:t>
      </w:r>
      <w:r>
        <w:t xml:space="preserve"> </w:t>
      </w:r>
      <w:r>
        <w:t xml:space="preserve">(</w:t>
      </w:r>
      <w:hyperlink r:id="rId250">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51">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52"/>
    <w:bookmarkStart w:id="270" w:name="reforms"/>
    <w:p>
      <w:pPr>
        <w:pStyle w:val="Heading2"/>
      </w:pPr>
      <w:r>
        <w:rPr>
          <w:rStyle w:val="SectionNumber"/>
        </w:rPr>
        <w:t xml:space="preserve">5.2</w:t>
      </w:r>
      <w:r>
        <w:tab/>
      </w:r>
      <w:r>
        <w:t xml:space="preserve">Reforms</w:t>
      </w:r>
    </w:p>
    <w:bookmarkStart w:id="258"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53"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53"/>
    <w:bookmarkStart w:id="254"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54"/>
    <w:bookmarkStart w:id="255"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UCLA">
        <w:r>
          <w:rPr>
            <w:rStyle w:val="Hyperlink"/>
          </w:rPr>
          <w:t xml:space="preserve">Seifter 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Howevever reforms requiring groups to disclose information about their funding and</w:t>
      </w:r>
      <w:r>
        <w:t xml:space="preserve"> </w:t>
      </w:r>
      <w:r>
        <w:t xml:space="preserve">membership only go part way to assess groups’ representationsal claims, which often extend well beyond their membership.</w:t>
      </w:r>
    </w:p>
    <w:bookmarkEnd w:id="255"/>
    <w:bookmarkStart w:id="256"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56"/>
    <w:bookmarkStart w:id="257"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57"/>
    <w:bookmarkEnd w:id="258"/>
    <w:bookmarkStart w:id="262" w:name="challenges"/>
    <w:p>
      <w:pPr>
        <w:pStyle w:val="Heading3"/>
      </w:pPr>
      <w:r>
        <w:rPr>
          <w:rStyle w:val="SectionNumber"/>
        </w:rPr>
        <w:t xml:space="preserve">5.2.2</w:t>
      </w:r>
      <w:r>
        <w:tab/>
      </w:r>
      <w:r>
        <w:t xml:space="preserve">Challenges</w:t>
      </w:r>
    </w:p>
    <w:bookmarkStart w:id="260" w:name="fraud"/>
    <w:p>
      <w:pPr>
        <w:pStyle w:val="Heading4"/>
      </w:pPr>
      <w:r>
        <w:t xml:space="preserve">Fraud</w:t>
      </w:r>
    </w:p>
    <w:p>
      <w:pPr>
        <w:pStyle w:val="FirstParagraph"/>
      </w:pPr>
      <w:r>
        <w:t xml:space="preserve">(The Wall Street Journal](</w:t>
      </w:r>
      <w:hyperlink r:id="rId259">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60"/>
    <w:bookmarkStart w:id="261" w:name="astroturf"/>
    <w:p>
      <w:pPr>
        <w:pStyle w:val="Heading4"/>
      </w:pPr>
      <w:r>
        <w:rPr>
          <w:rStyle w:val="SectionNumber"/>
        </w:rPr>
        <w:t xml:space="preserve">5.2.2.1</w:t>
      </w:r>
      <w:r>
        <w:tab/>
      </w:r>
      <w:r>
        <w:t xml:space="preserve">Astroturf</w:t>
      </w:r>
    </w:p>
    <w:p>
      <w:pPr>
        <w:pStyle w:val="BlockText"/>
      </w:pPr>
      <w:r>
        <w:t xml:space="preserve">TODO</w:t>
      </w:r>
    </w:p>
    <w:bookmarkEnd w:id="261"/>
    <w:bookmarkEnd w:id="262"/>
    <w:bookmarkStart w:id="269"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63"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63"/>
    <w:bookmarkStart w:id="264"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64"/>
    <w:bookmarkStart w:id="265"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65"/>
    <w:bookmarkStart w:id="266" w:name="acus-report"/>
    <w:p>
      <w:pPr>
        <w:pStyle w:val="Heading4"/>
      </w:pPr>
      <w:r>
        <w:t xml:space="preserve">ACUS Report</w:t>
      </w:r>
    </w:p>
    <w:p>
      <w:r>
        <w:pict>
          <v:rect style="width:0;height:1.5pt" o:hralign="center" o:hrstd="t" o:hr="t"/>
        </w:pict>
      </w:r>
    </w:p>
    <w:bookmarkEnd w:id="266"/>
    <w:bookmarkStart w:id="267" w:name="X373c49abac0f56889b518962547d41b908b2dc6"/>
    <w:p>
      <w:pPr>
        <w:pStyle w:val="Heading4"/>
      </w:pPr>
      <w:r>
        <w:t xml:space="preserve">Increasing transparency and public participation (GSA-2019-02)</w:t>
      </w:r>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67"/>
    <w:bookmarkStart w:id="268"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68"/>
    <w:bookmarkEnd w:id="269"/>
    <w:bookmarkEnd w:id="270"/>
    <w:bookmarkStart w:id="533" w:name="conclusion-4"/>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32" w:name="refs"/>
    <w:bookmarkStart w:id="272"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71">
        <w:r>
          <w:rPr>
            <w:rStyle w:val="Hyperlink"/>
          </w:rPr>
          <w:t xml:space="preserve">https://www.acus.gov/sites/default/files/documents/ACUS Recommendations Packet.pdf</w:t>
        </w:r>
      </w:hyperlink>
      <w:r>
        <w:t xml:space="preserve">.</w:t>
      </w:r>
    </w:p>
    <w:bookmarkEnd w:id="272"/>
    <w:bookmarkStart w:id="274"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73">
        <w:r>
          <w:rPr>
            <w:rStyle w:val="Hyperlink"/>
          </w:rPr>
          <w:t xml:space="preserve">https://doi.org/10.1146/annurev.soc.30.012703.110542</w:t>
        </w:r>
      </w:hyperlink>
      <w:r>
        <w:t xml:space="preserve">.</w:t>
      </w:r>
    </w:p>
    <w:bookmarkEnd w:id="274"/>
    <w:bookmarkStart w:id="276"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75">
        <w:r>
          <w:rPr>
            <w:rStyle w:val="Hyperlink"/>
          </w:rPr>
          <w:t xml:space="preserve">https://yalebooks.yale.edu/book/9780300025927/congress-and-bureaucracy</w:t>
        </w:r>
      </w:hyperlink>
      <w:r>
        <w:t xml:space="preserve">.</w:t>
      </w:r>
    </w:p>
    <w:bookmarkEnd w:id="276"/>
    <w:bookmarkStart w:id="278"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77">
        <w:r>
          <w:rPr>
            <w:rStyle w:val="Hyperlink"/>
          </w:rPr>
          <w:t xml:space="preserve">https://doi.org/10.2307/2585488</w:t>
        </w:r>
      </w:hyperlink>
      <w:r>
        <w:t xml:space="preserve">.</w:t>
      </w:r>
    </w:p>
    <w:bookmarkEnd w:id="278"/>
    <w:bookmarkStart w:id="279"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79"/>
    <w:bookmarkStart w:id="281"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280">
        <w:r>
          <w:rPr>
            <w:rStyle w:val="Hyperlink"/>
          </w:rPr>
          <w:t xml:space="preserve">https://doi.org/10.1515/9781400822485</w:t>
        </w:r>
      </w:hyperlink>
      <w:r>
        <w:t xml:space="preserve">.</w:t>
      </w:r>
    </w:p>
    <w:bookmarkEnd w:id="281"/>
    <w:bookmarkStart w:id="283"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282">
        <w:r>
          <w:rPr>
            <w:rStyle w:val="Hyperlink"/>
          </w:rPr>
          <w:t xml:space="preserve">https://www.brookings.edu/book/the-new-liberalism/</w:t>
        </w:r>
      </w:hyperlink>
      <w:r>
        <w:t xml:space="preserve">.</w:t>
      </w:r>
    </w:p>
    <w:bookmarkEnd w:id="283"/>
    <w:bookmarkStart w:id="284"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284"/>
    <w:bookmarkStart w:id="286"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285">
        <w:r>
          <w:rPr>
            <w:rStyle w:val="Hyperlink"/>
          </w:rPr>
          <w:t xml:space="preserve">https://doi.org/10.1177/0093650218808186</w:t>
        </w:r>
      </w:hyperlink>
      <w:r>
        <w:t xml:space="preserve">.</w:t>
      </w:r>
    </w:p>
    <w:bookmarkEnd w:id="286"/>
    <w:bookmarkStart w:id="288"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287">
        <w:r>
          <w:rPr>
            <w:rStyle w:val="Hyperlink"/>
          </w:rPr>
          <w:t xml:space="preserve">http://www.worldcat.org/title/confronting-environmental-racism-voices-from-the-grassroots/oclc/26351432</w:t>
        </w:r>
      </w:hyperlink>
      <w:r>
        <w:t xml:space="preserve">.</w:t>
      </w:r>
    </w:p>
    <w:bookmarkEnd w:id="288"/>
    <w:bookmarkStart w:id="290"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289">
        <w:r>
          <w:rPr>
            <w:rStyle w:val="Hyperlink"/>
          </w:rPr>
          <w:t xml:space="preserve">https://doi.org/10.33774/apsa-2020-k78wc</w:t>
        </w:r>
      </w:hyperlink>
      <w:r>
        <w:t xml:space="preserve">.</w:t>
      </w:r>
    </w:p>
    <w:bookmarkEnd w:id="290"/>
    <w:bookmarkStart w:id="292"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291">
        <w:r>
          <w:rPr>
            <w:rStyle w:val="Hyperlink"/>
          </w:rPr>
          <w:t xml:space="preserve">http://press.princeton.edu/titles/4385.html http://web.stanford.edu/class/polisci177a/Notes.Week2.pdf</w:t>
        </w:r>
      </w:hyperlink>
      <w:r>
        <w:t xml:space="preserve">.</w:t>
      </w:r>
    </w:p>
    <w:bookmarkEnd w:id="292"/>
    <w:bookmarkStart w:id="294"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293">
        <w:r>
          <w:rPr>
            <w:rStyle w:val="Hyperlink"/>
          </w:rPr>
          <w:t xml:space="preserve">http://www.jstor.org/stable/j.ctv1j9mk15</w:t>
        </w:r>
      </w:hyperlink>
      <w:r>
        <w:t xml:space="preserve">.</w:t>
      </w:r>
    </w:p>
    <w:bookmarkEnd w:id="294"/>
    <w:bookmarkStart w:id="295"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295"/>
    <w:bookmarkStart w:id="296"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296"/>
    <w:bookmarkStart w:id="298"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297">
        <w:r>
          <w:rPr>
            <w:rStyle w:val="Hyperlink"/>
          </w:rPr>
          <w:t xml:space="preserve">http://www.cbecal.org/</w:t>
        </w:r>
      </w:hyperlink>
      <w:r>
        <w:t xml:space="preserve">.</w:t>
      </w:r>
    </w:p>
    <w:bookmarkEnd w:id="298"/>
    <w:bookmarkStart w:id="300"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299">
        <w:r>
          <w:rPr>
            <w:rStyle w:val="Hyperlink"/>
          </w:rPr>
          <w:t xml:space="preserve">https://doi.org/10.1111/ajps.12066</w:t>
        </w:r>
      </w:hyperlink>
      <w:r>
        <w:t xml:space="preserve">.</w:t>
      </w:r>
    </w:p>
    <w:bookmarkEnd w:id="300"/>
    <w:bookmarkStart w:id="302"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01">
        <w:r>
          <w:rPr>
            <w:rStyle w:val="Hyperlink"/>
          </w:rPr>
          <w:t xml:space="preserve">http://scholarship.law.upenn.edu/faculty{\_}scholarship</w:t>
        </w:r>
      </w:hyperlink>
      <w:r>
        <w:t xml:space="preserve">.</w:t>
      </w:r>
    </w:p>
    <w:bookmarkEnd w:id="302"/>
    <w:bookmarkStart w:id="304"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03">
        <w:r>
          <w:rPr>
            <w:rStyle w:val="Hyperlink"/>
          </w:rPr>
          <w:t xml:space="preserve">https://www.jstor.org/stable/pdf/40040532.pdf?refreqid=excelsior%3A3eeeeaa9f2da6db1832f107aa771d14f</w:t>
        </w:r>
      </w:hyperlink>
      <w:r>
        <w:t xml:space="preserve">.</w:t>
      </w:r>
    </w:p>
    <w:bookmarkEnd w:id="304"/>
    <w:bookmarkStart w:id="305"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05"/>
    <w:bookmarkStart w:id="307"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06">
        <w:r>
          <w:rPr>
            <w:rStyle w:val="Hyperlink"/>
          </w:rPr>
          <w:t xml:space="preserve">https://doi.org/10.1080/08913810608443650</w:t>
        </w:r>
      </w:hyperlink>
      <w:r>
        <w:t xml:space="preserve">.</w:t>
      </w:r>
    </w:p>
    <w:bookmarkEnd w:id="307"/>
    <w:bookmarkStart w:id="309"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08">
        <w:r>
          <w:rPr>
            <w:rStyle w:val="Hyperlink"/>
          </w:rPr>
          <w:t xml:space="preserve">https://mountainscholar.org/bitstream/handle/10217/181399/Cook{\_}colostate{\_}0053A14127.pdf?sequence=1</w:t>
        </w:r>
      </w:hyperlink>
      <w:r>
        <w:t xml:space="preserve">.</w:t>
      </w:r>
    </w:p>
    <w:bookmarkEnd w:id="309"/>
    <w:bookmarkStart w:id="310"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10"/>
    <w:bookmarkStart w:id="312"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11">
        <w:r>
          <w:rPr>
            <w:rStyle w:val="Hyperlink"/>
          </w:rPr>
          <w:t xml:space="preserve">http://chicagounbound.uchicago.edu/cgi/viewcontent.cgi?article=5219{\&amp;}context=uclrev</w:t>
        </w:r>
      </w:hyperlink>
      <w:r>
        <w:t xml:space="preserve">.</w:t>
      </w:r>
    </w:p>
    <w:bookmarkEnd w:id="312"/>
    <w:bookmarkStart w:id="314"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13">
        <w:r>
          <w:rPr>
            <w:rStyle w:val="Hyperlink"/>
          </w:rPr>
          <w:t xml:space="preserve">https://doi.org/10.1177/0095399715581040</w:t>
        </w:r>
      </w:hyperlink>
      <w:r>
        <w:t xml:space="preserve">.</w:t>
      </w:r>
    </w:p>
    <w:bookmarkEnd w:id="314"/>
    <w:bookmarkStart w:id="316"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15">
        <w:r>
          <w:rPr>
            <w:rStyle w:val="Hyperlink"/>
          </w:rPr>
          <w:t xml:space="preserve">https://about.jstor.org/terms https://papers.ssrn.com/sol3/papers.cfm?abstract{\_}id=595181{\&amp;}download=yes</w:t>
        </w:r>
      </w:hyperlink>
      <w:r>
        <w:t xml:space="preserve">.</w:t>
      </w:r>
    </w:p>
    <w:bookmarkEnd w:id="316"/>
    <w:bookmarkStart w:id="318"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17">
        <w:r>
          <w:rPr>
            <w:rStyle w:val="Hyperlink"/>
          </w:rPr>
          <w:t xml:space="preserve">http://law.wisc.edu/ils/2017speakerfiles/supplemental{\_}reading--administrative{\_}war.pdf</w:t>
        </w:r>
      </w:hyperlink>
      <w:r>
        <w:t xml:space="preserve">.</w:t>
      </w:r>
    </w:p>
    <w:bookmarkEnd w:id="318"/>
    <w:bookmarkStart w:id="320"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19">
        <w:r>
          <w:rPr>
            <w:rStyle w:val="Hyperlink"/>
          </w:rPr>
          <w:t xml:space="preserve">https://books.google.com/books/about/Democracy{\_}and{\_}Its{\_}Critics.html?id=l1RQngEACAAJ</w:t>
        </w:r>
      </w:hyperlink>
      <w:r>
        <w:t xml:space="preserve">.</w:t>
      </w:r>
    </w:p>
    <w:bookmarkEnd w:id="320"/>
    <w:bookmarkStart w:id="322"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21">
        <w:r>
          <w:rPr>
            <w:rStyle w:val="Hyperlink"/>
          </w:rPr>
          <w:t xml:space="preserve">https://doi.org/10.1093/acprof:oso/9780199891702.001.0001</w:t>
        </w:r>
      </w:hyperlink>
      <w:r>
        <w:t xml:space="preserve">.</w:t>
      </w:r>
    </w:p>
    <w:bookmarkEnd w:id="322"/>
    <w:bookmarkStart w:id="324"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23">
        <w:r>
          <w:rPr>
            <w:rStyle w:val="Hyperlink"/>
          </w:rPr>
          <w:t xml:space="preserve">https://doi.org/10.1111/1475-6765.12012</w:t>
        </w:r>
      </w:hyperlink>
      <w:r>
        <w:t xml:space="preserve">.</w:t>
      </w:r>
    </w:p>
    <w:bookmarkEnd w:id="324"/>
    <w:bookmarkStart w:id="325"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25"/>
    <w:bookmarkStart w:id="327" w:name="ref-Earthjustice2017"/>
    <w:p>
      <w:pPr>
        <w:pStyle w:val="Bibliography"/>
      </w:pPr>
      <w:r>
        <w:t xml:space="preserve">Earthjustice. 2017.</w:t>
      </w:r>
      <w:r>
        <w:t xml:space="preserve"> </w:t>
      </w:r>
      <w:r>
        <w:t xml:space="preserve">“</w:t>
      </w:r>
      <w:r>
        <w:t xml:space="preserve">Our Work</w:t>
      </w:r>
      <w:r>
        <w:t xml:space="preserve">.”</w:t>
      </w:r>
      <w:r>
        <w:t xml:space="preserve"> </w:t>
      </w:r>
      <w:hyperlink r:id="rId326">
        <w:r>
          <w:rPr>
            <w:rStyle w:val="Hyperlink"/>
          </w:rPr>
          <w:t xml:space="preserve">https://earthjustice.org/our{\_}work</w:t>
        </w:r>
      </w:hyperlink>
      <w:r>
        <w:t xml:space="preserve">.</w:t>
      </w:r>
    </w:p>
    <w:bookmarkEnd w:id="327"/>
    <w:bookmarkStart w:id="329"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28">
        <w:r>
          <w:rPr>
            <w:rStyle w:val="Hyperlink"/>
          </w:rPr>
          <w:t xml:space="preserve">https://doi.org/10.2307/2111603</w:t>
        </w:r>
      </w:hyperlink>
      <w:r>
        <w:t xml:space="preserve">.</w:t>
      </w:r>
    </w:p>
    <w:bookmarkEnd w:id="329"/>
    <w:bookmarkStart w:id="331"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30">
        <w:r>
          <w:rPr>
            <w:rStyle w:val="Hyperlink"/>
          </w:rPr>
          <w:t xml:space="preserve">https://doi.org/10.1332/174426514X13990325021128</w:t>
        </w:r>
      </w:hyperlink>
      <w:r>
        <w:t xml:space="preserve">.</w:t>
      </w:r>
    </w:p>
    <w:bookmarkEnd w:id="331"/>
    <w:bookmarkStart w:id="333"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32">
        <w:r>
          <w:rPr>
            <w:rStyle w:val="Hyperlink"/>
          </w:rPr>
          <w:t xml:space="preserve">https://doi.org/10.1111/ajps.12188</w:t>
        </w:r>
      </w:hyperlink>
      <w:r>
        <w:t xml:space="preserve">.</w:t>
      </w:r>
    </w:p>
    <w:bookmarkEnd w:id="333"/>
    <w:bookmarkStart w:id="335"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34">
        <w:r>
          <w:rPr>
            <w:rStyle w:val="Hyperlink"/>
          </w:rPr>
          <w:t xml:space="preserve">https://www.acus.gov/sites/default/files/documents/Public Engagement Draft Recommendation 9-10-18 Cynthia Farina Comments.pdf</w:t>
        </w:r>
      </w:hyperlink>
      <w:r>
        <w:t xml:space="preserve">.</w:t>
      </w:r>
    </w:p>
    <w:bookmarkEnd w:id="335"/>
    <w:bookmarkStart w:id="337"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36">
        <w:r>
          <w:rPr>
            <w:rStyle w:val="Hyperlink"/>
          </w:rPr>
          <w:t xml:space="preserve">http://scholarship.law.cornell.edu/cerihttp://scholarship.law.cornell.edu/ceri/1</w:t>
        </w:r>
      </w:hyperlink>
      <w:r>
        <w:t xml:space="preserve">.</w:t>
      </w:r>
    </w:p>
    <w:bookmarkEnd w:id="337"/>
    <w:bookmarkStart w:id="339"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38">
        <w:r>
          <w:rPr>
            <w:rStyle w:val="Hyperlink"/>
          </w:rPr>
          <w:t xml:space="preserve">https://papers.ssrn.com/sol3/papers.cfm?abstract{\_}id=1702491</w:t>
        </w:r>
      </w:hyperlink>
      <w:r>
        <w:t xml:space="preserve">.</w:t>
      </w:r>
    </w:p>
    <w:bookmarkEnd w:id="339"/>
    <w:bookmarkStart w:id="341"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40">
        <w:r>
          <w:rPr>
            <w:rStyle w:val="Hyperlink"/>
          </w:rPr>
          <w:t xml:space="preserve">http://scholarship.law.cornell.edu/cerihttp://scholarship.law.cornell.edu/ceri/17</w:t>
        </w:r>
      </w:hyperlink>
      <w:r>
        <w:t xml:space="preserve">.</w:t>
      </w:r>
    </w:p>
    <w:bookmarkEnd w:id="341"/>
    <w:bookmarkStart w:id="343"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42">
        <w:r>
          <w:rPr>
            <w:rStyle w:val="Hyperlink"/>
          </w:rPr>
          <w:t xml:space="preserve">https://papers.ssrn.com/sol3/papers.cfm?abstract{\_}id=2841374</w:t>
        </w:r>
      </w:hyperlink>
      <w:r>
        <w:t xml:space="preserve">.</w:t>
      </w:r>
    </w:p>
    <w:bookmarkEnd w:id="343"/>
    <w:bookmarkStart w:id="345"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44">
        <w:r>
          <w:rPr>
            <w:rStyle w:val="Hyperlink"/>
          </w:rPr>
          <w:t xml:space="preserve">https://ssrn.com/abstract=3787704</w:t>
        </w:r>
      </w:hyperlink>
      <w:r>
        <w:t xml:space="preserve">.</w:t>
      </w:r>
    </w:p>
    <w:bookmarkEnd w:id="345"/>
    <w:bookmarkStart w:id="347"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46">
        <w:r>
          <w:rPr>
            <w:rStyle w:val="Hyperlink"/>
          </w:rPr>
          <w:t xml:space="preserve">https://doi.org/10.1093/jleo/6.special_issue.1</w:t>
        </w:r>
      </w:hyperlink>
      <w:r>
        <w:t xml:space="preserve">.</w:t>
      </w:r>
    </w:p>
    <w:bookmarkEnd w:id="347"/>
    <w:bookmarkStart w:id="349"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48">
        <w:r>
          <w:rPr>
            <w:rStyle w:val="Hyperlink"/>
          </w:rPr>
          <w:t xml:space="preserve">https://doi.org/10.1177/009539979702900304</w:t>
        </w:r>
      </w:hyperlink>
      <w:r>
        <w:t xml:space="preserve">.</w:t>
      </w:r>
    </w:p>
    <w:bookmarkEnd w:id="349"/>
    <w:bookmarkStart w:id="351"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50">
        <w:r>
          <w:rPr>
            <w:rStyle w:val="Hyperlink"/>
          </w:rPr>
          <w:t xml:space="preserve">https://doi.org/10.1093/oxfordjournals.jpart.a024373</w:t>
        </w:r>
      </w:hyperlink>
      <w:r>
        <w:t xml:space="preserve">.</w:t>
      </w:r>
    </w:p>
    <w:bookmarkEnd w:id="351"/>
    <w:bookmarkStart w:id="353"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52">
        <w:r>
          <w:rPr>
            <w:rStyle w:val="Hyperlink"/>
          </w:rPr>
          <w:t xml:space="preserve">https://doi.org/10.1093/jopart/mui022</w:t>
        </w:r>
      </w:hyperlink>
      <w:r>
        <w:t xml:space="preserve">.</w:t>
      </w:r>
    </w:p>
    <w:bookmarkEnd w:id="353"/>
    <w:bookmarkStart w:id="355"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54">
        <w:r>
          <w:rPr>
            <w:rStyle w:val="Hyperlink"/>
          </w:rPr>
          <w:t xml:space="preserve">https://doi.org/10.1017/S0143814X16000106</w:t>
        </w:r>
      </w:hyperlink>
      <w:r>
        <w:t xml:space="preserve">.</w:t>
      </w:r>
    </w:p>
    <w:bookmarkEnd w:id="355"/>
    <w:bookmarkStart w:id="356"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56"/>
    <w:bookmarkStart w:id="358"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57">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58"/>
    <w:bookmarkStart w:id="360"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59">
        <w:r>
          <w:rPr>
            <w:rStyle w:val="Hyperlink"/>
          </w:rPr>
          <w:t xml:space="preserve">https://doi.org/10.1017/S1537592714001595</w:t>
        </w:r>
      </w:hyperlink>
      <w:r>
        <w:t xml:space="preserve">.</w:t>
      </w:r>
    </w:p>
    <w:bookmarkEnd w:id="360"/>
    <w:bookmarkStart w:id="362"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61">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62"/>
    <w:bookmarkStart w:id="363"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63"/>
    <w:bookmarkStart w:id="365"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64">
        <w:r>
          <w:rPr>
            <w:rStyle w:val="Hyperlink"/>
          </w:rPr>
          <w:t xml:space="preserve">https://www.dropbox.com/s/6ydopca7mx8ugqt/Gordon-Rashin-Private-Influence-10-24.pdf?dl=0</w:t>
        </w:r>
      </w:hyperlink>
      <w:r>
        <w:t xml:space="preserve">.</w:t>
      </w:r>
    </w:p>
    <w:bookmarkEnd w:id="365"/>
    <w:bookmarkStart w:id="367" w:name="ref-Gormley1986"/>
    <w:p>
      <w:pPr>
        <w:pStyle w:val="Bibliography"/>
      </w:pPr>
      <w:r>
        <w:t xml:space="preserve">Gormley, William T. 1986.</w:t>
      </w:r>
      <w:r>
        <w:t xml:space="preserve"> </w:t>
      </w:r>
      <w:r>
        <w:t xml:space="preserve">“Regulatory Issue Networks in a Federal System.”</w:t>
      </w:r>
      <w:r>
        <w:t xml:space="preserve"> </w:t>
      </w:r>
      <w:r>
        <w:rPr>
          <w:iCs/>
          <w:i/>
        </w:rPr>
        <w:t xml:space="preserve">Polity</w:t>
      </w:r>
      <w:r>
        <w:t xml:space="preserve"> </w:t>
      </w:r>
      <w:r>
        <w:t xml:space="preserve">18 (4): 595–620.</w:t>
      </w:r>
      <w:r>
        <w:t xml:space="preserve"> </w:t>
      </w:r>
      <w:hyperlink r:id="rId366">
        <w:r>
          <w:rPr>
            <w:rStyle w:val="Hyperlink"/>
          </w:rPr>
          <w:t xml:space="preserve">http://www.jstor.org/stable/3234884</w:t>
        </w:r>
      </w:hyperlink>
      <w:r>
        <w:t xml:space="preserve">.</w:t>
      </w:r>
    </w:p>
    <w:bookmarkEnd w:id="367"/>
    <w:bookmarkStart w:id="368"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68"/>
    <w:bookmarkStart w:id="370"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69">
        <w:r>
          <w:rPr>
            <w:rStyle w:val="Hyperlink"/>
          </w:rPr>
          <w:t xml:space="preserve">https://doi.org/10.1017/S0003055415000246</w:t>
        </w:r>
      </w:hyperlink>
      <w:r>
        <w:t xml:space="preserve">.</w:t>
      </w:r>
    </w:p>
    <w:bookmarkEnd w:id="370"/>
    <w:bookmarkStart w:id="372" w:name="ref-Hall2008"/>
    <w:p>
      <w:pPr>
        <w:pStyle w:val="Bibliography"/>
      </w:pPr>
      <w:r>
        <w:t xml:space="preserve">Hall, Richard L., and Kristina C. Miler. 2008.</w:t>
      </w:r>
      <w:r>
        <w:t xml:space="preserve"> </w:t>
      </w:r>
      <w:r>
        <w:t xml:space="preserve">“What Happens After the Alarm? Interest Group Subsidies to Legislative Overseers.”</w:t>
      </w:r>
      <w:r>
        <w:t xml:space="preserve"> </w:t>
      </w:r>
      <w:r>
        <w:rPr>
          <w:iCs/>
          <w:i/>
        </w:rPr>
        <w:t xml:space="preserve">The Journal of Politics</w:t>
      </w:r>
      <w:r>
        <w:t xml:space="preserve"> </w:t>
      </w:r>
      <w:r>
        <w:t xml:space="preserve">70 (4): 990–1005.</w:t>
      </w:r>
      <w:r>
        <w:t xml:space="preserve"> </w:t>
      </w:r>
      <w:hyperlink r:id="rId371">
        <w:r>
          <w:rPr>
            <w:rStyle w:val="Hyperlink"/>
          </w:rPr>
          <w:t xml:space="preserve">https://doi.org/10.1017/S0022381608081012</w:t>
        </w:r>
      </w:hyperlink>
      <w:r>
        <w:t xml:space="preserve">.</w:t>
      </w:r>
    </w:p>
    <w:bookmarkEnd w:id="372"/>
    <w:bookmarkStart w:id="373"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73"/>
    <w:bookmarkStart w:id="375"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74">
        <w:r>
          <w:rPr>
            <w:rStyle w:val="Hyperlink"/>
          </w:rPr>
          <w:t xml:space="preserve">http://ojs.imodev.org/index.php/RIGO/article/view/62/154{\#}{\_}ftn6</w:t>
        </w:r>
      </w:hyperlink>
      <w:r>
        <w:t xml:space="preserve">.</w:t>
      </w:r>
    </w:p>
    <w:bookmarkEnd w:id="375"/>
    <w:bookmarkStart w:id="377"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76">
        <w:r>
          <w:rPr>
            <w:rStyle w:val="Hyperlink"/>
          </w:rPr>
          <w:t xml:space="preserve">https://www.regulations.gov/document?D=EPA-HQ-OAR-2004-0018-0211</w:t>
        </w:r>
      </w:hyperlink>
      <w:r>
        <w:t xml:space="preserve">.</w:t>
      </w:r>
    </w:p>
    <w:bookmarkEnd w:id="377"/>
    <w:bookmarkStart w:id="379"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378">
        <w:r>
          <w:rPr>
            <w:rStyle w:val="Hyperlink"/>
          </w:rPr>
          <w:t xml:space="preserve">https://doi.org/10.1146/annurev-polisci-070910-104051</w:t>
        </w:r>
      </w:hyperlink>
      <w:r>
        <w:t xml:space="preserve">.</w:t>
      </w:r>
    </w:p>
    <w:bookmarkEnd w:id="379"/>
    <w:bookmarkStart w:id="381"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380">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81"/>
    <w:bookmarkStart w:id="383"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382">
        <w:r>
          <w:rPr>
            <w:rStyle w:val="Hyperlink"/>
          </w:rPr>
          <w:t xml:space="preserve">https://press.princeton.edu/titles/7656.html</w:t>
        </w:r>
      </w:hyperlink>
      <w:r>
        <w:t xml:space="preserve">.</w:t>
      </w:r>
    </w:p>
    <w:bookmarkEnd w:id="383"/>
    <w:bookmarkStart w:id="385"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384">
        <w:r>
          <w:rPr>
            <w:rStyle w:val="Hyperlink"/>
          </w:rPr>
          <w:t xml:space="preserve">https://books.google.com/books?id=8PIWAwAAQBAJ</w:t>
        </w:r>
      </w:hyperlink>
      <w:r>
        <w:t xml:space="preserve">.</w:t>
      </w:r>
    </w:p>
    <w:bookmarkEnd w:id="385"/>
    <w:bookmarkStart w:id="387"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386">
        <w:r>
          <w:rPr>
            <w:rStyle w:val="Hyperlink"/>
          </w:rPr>
          <w:t xml:space="preserve">https://about.jstor.org/terms</w:t>
        </w:r>
      </w:hyperlink>
      <w:r>
        <w:t xml:space="preserve">.</w:t>
      </w:r>
    </w:p>
    <w:bookmarkEnd w:id="387"/>
    <w:bookmarkStart w:id="389"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388">
        <w:r>
          <w:rPr>
            <w:rStyle w:val="Hyperlink"/>
          </w:rPr>
          <w:t xml:space="preserve">http://www.administrativelawreview.org/wp-content/uploads/2014/04/Beyond-the-Usual-Suspects-ACUS-Rulemaking-2-and-a-Vision-for-Broader-More-Informed-and-More-Transparent-Rulemaking.pdf</w:t>
        </w:r>
      </w:hyperlink>
      <w:r>
        <w:t xml:space="preserve">.</w:t>
      </w:r>
    </w:p>
    <w:bookmarkEnd w:id="389"/>
    <w:bookmarkStart w:id="390"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390"/>
    <w:bookmarkStart w:id="391"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391"/>
    <w:bookmarkStart w:id="392"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392"/>
    <w:bookmarkStart w:id="393"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393"/>
    <w:bookmarkStart w:id="395"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394">
        <w:r>
          <w:rPr>
            <w:rStyle w:val="Hyperlink"/>
          </w:rPr>
          <w:t xml:space="preserve">http://www.worldcat.org/title/going-public-new-strategies-of-presidential-leadership/oclc/1035368647</w:t>
        </w:r>
      </w:hyperlink>
      <w:r>
        <w:t xml:space="preserve">.</w:t>
      </w:r>
    </w:p>
    <w:bookmarkEnd w:id="395"/>
    <w:bookmarkStart w:id="397"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396">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397"/>
    <w:bookmarkStart w:id="399"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398">
        <w:r>
          <w:rPr>
            <w:rStyle w:val="Hyperlink"/>
          </w:rPr>
          <w:t xml:space="preserve">http://www.worldcat.org/title/public-opinion-and-american-democracy/oclc/480228689?referer=di{\&amp;}ht=edition</w:t>
        </w:r>
      </w:hyperlink>
      <w:r>
        <w:t xml:space="preserve">.</w:t>
      </w:r>
    </w:p>
    <w:bookmarkEnd w:id="399"/>
    <w:bookmarkStart w:id="401"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00">
        <w:r>
          <w:rPr>
            <w:rStyle w:val="Hyperlink"/>
          </w:rPr>
          <w:t xml:space="preserve">https://press.princeton.edu/titles/6254.html</w:t>
        </w:r>
      </w:hyperlink>
      <w:r>
        <w:t xml:space="preserve">.</w:t>
      </w:r>
    </w:p>
    <w:bookmarkEnd w:id="401"/>
    <w:bookmarkStart w:id="402"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02"/>
    <w:bookmarkStart w:id="404"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03">
        <w:r>
          <w:rPr>
            <w:rStyle w:val="Hyperlink"/>
          </w:rPr>
          <w:t xml:space="preserve">https://libgober.files.wordpress.com/2018/09/what-biased-rulemaking-looks-like.pdf</w:t>
        </w:r>
      </w:hyperlink>
      <w:r>
        <w:t xml:space="preserve">.</w:t>
      </w:r>
    </w:p>
    <w:bookmarkEnd w:id="404"/>
    <w:bookmarkStart w:id="406"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05">
        <w:r>
          <w:rPr>
            <w:rStyle w:val="Hyperlink"/>
          </w:rPr>
          <w:t xml:space="preserve">http://equitablegrowth.org/working</w:t>
        </w:r>
      </w:hyperlink>
      <w:r>
        <w:t xml:space="preserve">.</w:t>
      </w:r>
    </w:p>
    <w:bookmarkEnd w:id="406"/>
    <w:bookmarkStart w:id="407" w:name="ref-Balla2020"/>
    <w:p>
      <w:pPr>
        <w:pStyle w:val="Bibliography"/>
      </w:pPr>
      <w:r>
        <w:t xml:space="preserve">“Lost in the Flood?: Agency Responsiveness to Mass Comment Campaigns in Administrative Rulemaking.”</w:t>
      </w:r>
      <w:r>
        <w:t xml:space="preserve"> </w:t>
      </w:r>
      <w:r>
        <w:t xml:space="preserve">2020.</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407"/>
    <w:bookmarkStart w:id="409"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08">
        <w:r>
          <w:rPr>
            <w:rStyle w:val="Hyperlink"/>
          </w:rPr>
          <w:t xml:space="preserve">https://goo.gl/L6aKk4</w:t>
        </w:r>
      </w:hyperlink>
      <w:r>
        <w:t xml:space="preserve">.</w:t>
      </w:r>
    </w:p>
    <w:bookmarkEnd w:id="409"/>
    <w:bookmarkStart w:id="411"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10">
        <w:r>
          <w:rPr>
            <w:rStyle w:val="Hyperlink"/>
          </w:rPr>
          <w:t xml:space="preserve">http://www.lowande.com/uploads/2/8/0/2/28027461/lowande-responsiveness-july-2017.pdf</w:t>
        </w:r>
      </w:hyperlink>
      <w:r>
        <w:t xml:space="preserve">.</w:t>
      </w:r>
    </w:p>
    <w:bookmarkEnd w:id="411"/>
    <w:bookmarkStart w:id="413" w:name="ref-Lowande2021"/>
    <w:p>
      <w:pPr>
        <w:pStyle w:val="Bibliography"/>
      </w:pPr>
      <w:r>
        <w:t xml:space="preserve">Lowande, Kenneth, and Rachel Augustine Potter. 2021.</w:t>
      </w:r>
      <w:r>
        <w:t xml:space="preserve"> </w:t>
      </w:r>
      <w:r>
        <w:t xml:space="preserve">“Congressional Oversight Revisited: Politics and Procedure in Agency Rulemaking.”</w:t>
      </w:r>
      <w:r>
        <w:t xml:space="preserve"> </w:t>
      </w:r>
      <w:r>
        <w:rPr>
          <w:iCs/>
          <w:i/>
        </w:rPr>
        <w:t xml:space="preserve">The Journal of Politics</w:t>
      </w:r>
      <w:r>
        <w:t xml:space="preserve"> </w:t>
      </w:r>
      <w:r>
        <w:t xml:space="preserve">83 (1): 401–8.</w:t>
      </w:r>
      <w:r>
        <w:t xml:space="preserve"> </w:t>
      </w:r>
      <w:hyperlink r:id="rId412">
        <w:r>
          <w:rPr>
            <w:rStyle w:val="Hyperlink"/>
          </w:rPr>
          <w:t xml:space="preserve">https://doi.org/10.1086/709436</w:t>
        </w:r>
      </w:hyperlink>
      <w:r>
        <w:t xml:space="preserve">.</w:t>
      </w:r>
    </w:p>
    <w:bookmarkEnd w:id="413"/>
    <w:bookmarkStart w:id="414"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14"/>
    <w:bookmarkStart w:id="415"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15"/>
    <w:bookmarkStart w:id="416" w:name="ref-Lowi1969"/>
    <w:p>
      <w:pPr>
        <w:pStyle w:val="Bibliography"/>
      </w:pPr>
      <w:r>
        <w:t xml:space="preserve">Lowi, Theodore. 1969.</w:t>
      </w:r>
      <w:r>
        <w:t xml:space="preserve"> </w:t>
      </w:r>
      <w:r>
        <w:rPr>
          <w:iCs/>
          <w:i/>
        </w:rPr>
        <w:t xml:space="preserve">The End of Liberalism</w:t>
      </w:r>
      <w:r>
        <w:t xml:space="preserve">. New York: W.W. Norton.</w:t>
      </w:r>
    </w:p>
    <w:bookmarkEnd w:id="416"/>
    <w:bookmarkStart w:id="418"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17">
        <w:r>
          <w:rPr>
            <w:rStyle w:val="Hyperlink"/>
          </w:rPr>
          <w:t xml:space="preserve">https://doi.org/10.2307/2009452</w:t>
        </w:r>
      </w:hyperlink>
      <w:r>
        <w:t xml:space="preserve">.</w:t>
      </w:r>
    </w:p>
    <w:bookmarkEnd w:id="418"/>
    <w:bookmarkStart w:id="419"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19"/>
    <w:bookmarkStart w:id="420" w:name="ref-Lyon2005"/>
    <w:p>
      <w:pPr>
        <w:pStyle w:val="Bibliography"/>
      </w:pPr>
      <w:r>
        <w:t xml:space="preserve">Lyon, Thomas P., and John W. Maxwell. 2004.</w:t>
      </w:r>
      <w:r>
        <w:t xml:space="preserve"> </w:t>
      </w:r>
      <w:r>
        <w:rPr>
          <w:iCs/>
          <w:i/>
        </w:rPr>
        <w:t xml:space="preserve">Journal of Economics</w:t>
      </w:r>
      <w:r>
        <w:rPr>
          <w:iCs/>
          <w:i/>
        </w:rPr>
        <w:t xml:space="preserve"> </w:t>
      </w:r>
      <w:r>
        <w:rPr>
          <w:iCs/>
          <w:i/>
        </w:rPr>
        <w:t xml:space="preserve">&amp;</w:t>
      </w:r>
      <w:r>
        <w:rPr>
          <w:iCs/>
          <w:i/>
        </w:rPr>
        <w:t xml:space="preserve"> </w:t>
      </w:r>
      <w:r>
        <w:rPr>
          <w:iCs/>
          <w:i/>
        </w:rPr>
        <w:t xml:space="preserve">Management Strategy</w:t>
      </w:r>
      <w:r>
        <w:t xml:space="preserve"> </w:t>
      </w:r>
      <w:r>
        <w:t xml:space="preserve">13: 561–97.</w:t>
      </w:r>
    </w:p>
    <w:bookmarkEnd w:id="420"/>
    <w:bookmarkStart w:id="422"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21">
        <w:r>
          <w:rPr>
            <w:rStyle w:val="Hyperlink"/>
          </w:rPr>
          <w:t xml:space="preserve">https://doi.org/10.1111/lsq.12138</w:t>
        </w:r>
      </w:hyperlink>
      <w:r>
        <w:t xml:space="preserve">.</w:t>
      </w:r>
    </w:p>
    <w:bookmarkEnd w:id="422"/>
    <w:bookmarkStart w:id="424"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23">
        <w:r>
          <w:rPr>
            <w:rStyle w:val="Hyperlink"/>
          </w:rPr>
          <w:t xml:space="preserve">https://doi.org/10.1017/S0143814X07000608</w:t>
        </w:r>
      </w:hyperlink>
      <w:r>
        <w:t xml:space="preserve">.</w:t>
      </w:r>
    </w:p>
    <w:bookmarkEnd w:id="424"/>
    <w:bookmarkStart w:id="425"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25"/>
    <w:bookmarkStart w:id="427"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26">
        <w:r>
          <w:rPr>
            <w:rStyle w:val="Hyperlink"/>
          </w:rPr>
          <w:t xml:space="preserve">https://books.google.com/books/about/The{\_}Public{\_}Congress.html?id=yD9OYgEACAAJ</w:t>
        </w:r>
      </w:hyperlink>
      <w:r>
        <w:t xml:space="preserve">.</w:t>
      </w:r>
    </w:p>
    <w:bookmarkEnd w:id="427"/>
    <w:bookmarkStart w:id="429"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28">
        <w:r>
          <w:rPr>
            <w:rStyle w:val="Hyperlink"/>
          </w:rPr>
          <w:t xml:space="preserve">http://eurogender.eige.europa.eu/sites/default/files/3593021.pdf</w:t>
        </w:r>
      </w:hyperlink>
      <w:r>
        <w:t xml:space="preserve">.</w:t>
      </w:r>
    </w:p>
    <w:bookmarkEnd w:id="429"/>
    <w:bookmarkStart w:id="431"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30">
        <w:r>
          <w:rPr>
            <w:rStyle w:val="Hyperlink"/>
          </w:rPr>
          <w:t xml:space="preserve">https://books.google.com/books/about/The{\_}Politics{\_}Of{\_}Interests.html?id=BtJMDwAAQBAJ</w:t>
        </w:r>
      </w:hyperlink>
      <w:r>
        <w:t xml:space="preserve">.</w:t>
      </w:r>
    </w:p>
    <w:bookmarkEnd w:id="431"/>
    <w:bookmarkStart w:id="433"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32">
        <w:r>
          <w:rPr>
            <w:rStyle w:val="Hyperlink"/>
          </w:rPr>
          <w:t xml:space="preserve">https://doi.org/10.1146/annurev.polisci.3.1.449</w:t>
        </w:r>
      </w:hyperlink>
      <w:r>
        <w:t xml:space="preserve">.</w:t>
      </w:r>
    </w:p>
    <w:bookmarkEnd w:id="433"/>
    <w:bookmarkStart w:id="435"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34">
        <w:r>
          <w:rPr>
            <w:rStyle w:val="Hyperlink"/>
          </w:rPr>
          <w:t xml:space="preserve">https://doi.org/10.1146/annurev-polisci-052615</w:t>
        </w:r>
      </w:hyperlink>
      <w:r>
        <w:t xml:space="preserve">.</w:t>
      </w:r>
    </w:p>
    <w:bookmarkEnd w:id="435"/>
    <w:bookmarkStart w:id="437"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36">
        <w:r>
          <w:rPr>
            <w:rStyle w:val="Hyperlink"/>
          </w:rPr>
          <w:t xml:space="preserve">https://doi.org/10.1093</w:t>
        </w:r>
      </w:hyperlink>
      <w:r>
        <w:t xml:space="preserve">.</w:t>
      </w:r>
    </w:p>
    <w:bookmarkEnd w:id="437"/>
    <w:bookmarkStart w:id="438"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38"/>
    <w:bookmarkStart w:id="440" w:name="ref-McNutt2007"/>
    <w:p>
      <w:pPr>
        <w:pStyle w:val="Bibliography"/>
      </w:pPr>
      <w:r>
        <w:t xml:space="preserve">McNutt, John, and Katherine Boland. 2007.</w:t>
      </w:r>
      <w:r>
        <w:t xml:space="preserve"> </w:t>
      </w:r>
      <w:r>
        <w:t xml:space="preserve">“Astroturf, Technology and the Future of Community Mobilization: Implications for Nonprofit Theory.”</w:t>
      </w:r>
      <w:r>
        <w:t xml:space="preserve"> </w:t>
      </w:r>
      <w:r>
        <w:rPr>
          <w:iCs/>
          <w:i/>
        </w:rPr>
        <w:t xml:space="preserve">The Journal of Sociology</w:t>
      </w:r>
      <w:r>
        <w:rPr>
          <w:iCs/>
          <w:i/>
        </w:rPr>
        <w:t xml:space="preserve"> </w:t>
      </w:r>
      <w:r>
        <w:rPr>
          <w:iCs/>
          <w:i/>
        </w:rPr>
        <w:t xml:space="preserve">&amp;</w:t>
      </w:r>
      <w:r>
        <w:rPr>
          <w:iCs/>
          <w:i/>
        </w:rPr>
        <w:t xml:space="preserve"> </w:t>
      </w:r>
      <w:r>
        <w:rPr>
          <w:iCs/>
          <w:i/>
        </w:rPr>
        <w:t xml:space="preserve">Social Welfare</w:t>
      </w:r>
      <w:r>
        <w:t xml:space="preserve"> </w:t>
      </w:r>
      <w:r>
        <w:t xml:space="preserve">34.</w:t>
      </w:r>
      <w:r>
        <w:t xml:space="preserve"> </w:t>
      </w:r>
      <w:hyperlink r:id="rId439">
        <w:r>
          <w:rPr>
            <w:rStyle w:val="Hyperlink"/>
          </w:rPr>
          <w:t xml:space="preserve">https://scholarworks.wmich.edu/jssw/vol34/iss3/9</w:t>
        </w:r>
      </w:hyperlink>
      <w:r>
        <w:t xml:space="preserve">.</w:t>
      </w:r>
    </w:p>
    <w:bookmarkEnd w:id="440"/>
    <w:bookmarkStart w:id="442"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41">
        <w:r>
          <w:rPr>
            <w:rStyle w:val="Hyperlink"/>
          </w:rPr>
          <w:t xml:space="preserve">https://papers.ssrn.com/sol3/papers.cfm?abstract{\_}id=1860193</w:t>
        </w:r>
      </w:hyperlink>
      <w:r>
        <w:t xml:space="preserve">.</w:t>
      </w:r>
    </w:p>
    <w:bookmarkEnd w:id="442"/>
    <w:bookmarkStart w:id="444"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43">
        <w:r>
          <w:rPr>
            <w:rStyle w:val="Hyperlink"/>
          </w:rPr>
          <w:t xml:space="preserve">https://doi.org/10.2139/ssrn.1486272</w:t>
        </w:r>
      </w:hyperlink>
      <w:r>
        <w:t xml:space="preserve">.</w:t>
      </w:r>
    </w:p>
    <w:bookmarkEnd w:id="444"/>
    <w:bookmarkStart w:id="446"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45">
        <w:r>
          <w:rPr>
            <w:rStyle w:val="Hyperlink"/>
          </w:rPr>
          <w:t xml:space="preserve">https://doi.org/10.1146/annurev.soc.30.012703.110545</w:t>
        </w:r>
      </w:hyperlink>
      <w:r>
        <w:t xml:space="preserve">.</w:t>
      </w:r>
    </w:p>
    <w:bookmarkEnd w:id="446"/>
    <w:bookmarkStart w:id="448"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47">
        <w:r>
          <w:rPr>
            <w:rStyle w:val="Hyperlink"/>
          </w:rPr>
          <w:t xml:space="preserve">https://papers.ssrn.com/sol3/papers.cfm?abstract{\_}id=2444396</w:t>
        </w:r>
      </w:hyperlink>
      <w:r>
        <w:t xml:space="preserve">.</w:t>
      </w:r>
    </w:p>
    <w:bookmarkEnd w:id="448"/>
    <w:bookmarkStart w:id="449"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49"/>
    <w:bookmarkStart w:id="451"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50">
        <w:r>
          <w:rPr>
            <w:rStyle w:val="Hyperlink"/>
          </w:rPr>
          <w:t xml:space="preserve">{https://graduate.artsci.wustl.edu/emilymoore/}</w:t>
        </w:r>
      </w:hyperlink>
      <w:r>
        <w:t xml:space="preserve">.</w:t>
      </w:r>
    </w:p>
    <w:bookmarkEnd w:id="451"/>
    <w:bookmarkStart w:id="453"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52">
        <w:r>
          <w:rPr>
            <w:rStyle w:val="Hyperlink"/>
          </w:rPr>
          <w:t xml:space="preserve">https://doi.org/10.1111/psq.12417</w:t>
        </w:r>
      </w:hyperlink>
      <w:r>
        <w:t xml:space="preserve">.</w:t>
      </w:r>
    </w:p>
    <w:bookmarkEnd w:id="453"/>
    <w:bookmarkStart w:id="455"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54">
        <w:r>
          <w:rPr>
            <w:rStyle w:val="Hyperlink"/>
          </w:rPr>
          <w:t xml:space="preserve">https://doi.org/10.1017/s0022381611001599</w:t>
        </w:r>
      </w:hyperlink>
      <w:r>
        <w:t xml:space="preserve">.</w:t>
      </w:r>
    </w:p>
    <w:bookmarkEnd w:id="455"/>
    <w:bookmarkStart w:id="456"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56"/>
    <w:bookmarkStart w:id="458"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57">
        <w:r>
          <w:rPr>
            <w:rStyle w:val="Hyperlink"/>
          </w:rPr>
          <w:t xml:space="preserve">http://www.cei.org</w:t>
        </w:r>
      </w:hyperlink>
      <w:r>
        <w:t xml:space="preserve">.</w:t>
      </w:r>
    </w:p>
    <w:bookmarkEnd w:id="458"/>
    <w:bookmarkStart w:id="460"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59">
        <w:r>
          <w:rPr>
            <w:rStyle w:val="Hyperlink"/>
          </w:rPr>
          <w:t xml:space="preserve">https://books.google.com/books?id=bmSmcDo3kPoC{\&amp;}dq=info:3Iw8O7WHdEEJ:scholar.google.com{\&amp;}lr={\&amp;}source=gbs{\_}navlinks{\_}s</w:t>
        </w:r>
      </w:hyperlink>
      <w:r>
        <w:t xml:space="preserve">.</w:t>
      </w:r>
    </w:p>
    <w:bookmarkEnd w:id="460"/>
    <w:bookmarkStart w:id="462" w:name="ref-Potter2017"/>
    <w:p>
      <w:pPr>
        <w:pStyle w:val="Bibliography"/>
      </w:pPr>
      <w:r>
        <w:t xml:space="preserve">Potter, Rachel Augustine.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61">
        <w:r>
          <w:rPr>
            <w:rStyle w:val="Hyperlink"/>
          </w:rPr>
          <w:t xml:space="preserve">https://www.brookings.edu/research/more-than-spam-lobbying-the-epa-through-public-comment-campaigns/</w:t>
        </w:r>
      </w:hyperlink>
      <w:r>
        <w:t xml:space="preserve">.</w:t>
      </w:r>
    </w:p>
    <w:bookmarkEnd w:id="462"/>
    <w:bookmarkStart w:id="464"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63">
        <w:r>
          <w:rPr>
            <w:rStyle w:val="Hyperlink"/>
          </w:rPr>
          <w:t xml:space="preserve">https://doi.org/10.2139/ssrn.2759117</w:t>
        </w:r>
      </w:hyperlink>
      <w:r>
        <w:t xml:space="preserve">.</w:t>
      </w:r>
    </w:p>
    <w:bookmarkEnd w:id="464"/>
    <w:bookmarkStart w:id="466"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65">
        <w:r>
          <w:rPr>
            <w:rStyle w:val="Hyperlink"/>
          </w:rPr>
          <w:t xml:space="preserve">https://doi.org/10.1017/S1049096519000520</w:t>
        </w:r>
      </w:hyperlink>
      <w:r>
        <w:t xml:space="preserve">.</w:t>
      </w:r>
    </w:p>
    <w:bookmarkEnd w:id="466"/>
    <w:bookmarkStart w:id="468"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67">
        <w:r>
          <w:rPr>
            <w:rStyle w:val="Hyperlink"/>
          </w:rPr>
          <w:t xml:space="preserve">https://doi.org/10.1017/S0143814X17000216</w:t>
        </w:r>
      </w:hyperlink>
      <w:r>
        <w:t xml:space="preserve">.</w:t>
      </w:r>
    </w:p>
    <w:bookmarkEnd w:id="468"/>
    <w:bookmarkStart w:id="470"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69">
        <w:r>
          <w:rPr>
            <w:rStyle w:val="Hyperlink"/>
          </w:rPr>
          <w:t xml:space="preserve">http://digitalcommons.law.yale.edu/yjreg</w:t>
        </w:r>
      </w:hyperlink>
      <w:r>
        <w:t xml:space="preserve">.</w:t>
      </w:r>
    </w:p>
    <w:bookmarkEnd w:id="470"/>
    <w:bookmarkStart w:id="472"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71">
        <w:r>
          <w:rPr>
            <w:rStyle w:val="Hyperlink"/>
          </w:rPr>
          <w:t xml:space="preserve">http://digitalcommons.law.yale.edu/fss{\_}papers</w:t>
        </w:r>
      </w:hyperlink>
      <w:r>
        <w:t xml:space="preserve">.</w:t>
      </w:r>
    </w:p>
    <w:bookmarkEnd w:id="472"/>
    <w:bookmarkStart w:id="473"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73"/>
    <w:bookmarkStart w:id="474"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74"/>
    <w:bookmarkStart w:id="476"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75">
        <w:r>
          <w:rPr>
            <w:rStyle w:val="Hyperlink"/>
          </w:rPr>
          <w:t xml:space="preserve">https://papers.ssrn.com/sol3/papers.cfm?abstract{\_}id=571127</w:t>
        </w:r>
      </w:hyperlink>
      <w:r>
        <w:t xml:space="preserve">.</w:t>
      </w:r>
    </w:p>
    <w:bookmarkEnd w:id="476"/>
    <w:bookmarkStart w:id="478"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77">
        <w:r>
          <w:rPr>
            <w:rStyle w:val="Hyperlink"/>
          </w:rPr>
          <w:t xml:space="preserve">https://www.acus.gov/report/public-engagement-rulemaking-draft-report</w:t>
        </w:r>
      </w:hyperlink>
      <w:r>
        <w:t xml:space="preserve">.</w:t>
      </w:r>
    </w:p>
    <w:bookmarkEnd w:id="478"/>
    <w:bookmarkStart w:id="480"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479">
        <w:r>
          <w:rPr>
            <w:rStyle w:val="Hyperlink"/>
          </w:rPr>
          <w:t xml:space="preserve">https://doi.org/10.2307/1949637</w:t>
        </w:r>
      </w:hyperlink>
      <w:r>
        <w:t xml:space="preserve">.</w:t>
      </w:r>
    </w:p>
    <w:bookmarkEnd w:id="480"/>
    <w:bookmarkStart w:id="482"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481">
        <w:r>
          <w:rPr>
            <w:rStyle w:val="Hyperlink"/>
          </w:rPr>
          <w:t xml:space="preserve">http://wikisum.com/w/Schattschneider:{\_}The{\_}semisovereign{\_}people https://books.google.com/books/about/The{\_}semisovereign{\_}people.html?id=GXdHAAAAMAAJ</w:t>
        </w:r>
      </w:hyperlink>
      <w:r>
        <w:t xml:space="preserve">.</w:t>
      </w:r>
    </w:p>
    <w:bookmarkEnd w:id="482"/>
    <w:bookmarkStart w:id="483"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483"/>
    <w:bookmarkStart w:id="484"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484"/>
    <w:bookmarkStart w:id="486"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485">
        <w:r>
          <w:rPr>
            <w:rStyle w:val="Hyperlink"/>
          </w:rPr>
          <w:t xml:space="preserve">https://papers.ssrn.com/sol3/papers.cfm?abstract{\_}id=2662504</w:t>
        </w:r>
      </w:hyperlink>
      <w:r>
        <w:t xml:space="preserve">.</w:t>
      </w:r>
    </w:p>
    <w:bookmarkEnd w:id="486"/>
    <w:bookmarkStart w:id="488"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487">
        <w:r>
          <w:rPr>
            <w:rStyle w:val="Hyperlink"/>
          </w:rPr>
          <w:t xml:space="preserve">https://doi.org/10.1007/s11077-007-9051-x</w:t>
        </w:r>
      </w:hyperlink>
      <w:r>
        <w:t xml:space="preserve">.</w:t>
      </w:r>
    </w:p>
    <w:bookmarkEnd w:id="488"/>
    <w:bookmarkStart w:id="489"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489"/>
    <w:bookmarkStart w:id="490"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490"/>
    <w:bookmarkStart w:id="491"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491"/>
    <w:bookmarkStart w:id="493"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492">
        <w:r>
          <w:rPr>
            <w:rStyle w:val="Hyperlink"/>
          </w:rPr>
          <w:t xml:space="preserve">http://www.loc.gov/catdir/toc/ecip0716/2007015183.html</w:t>
        </w:r>
      </w:hyperlink>
      <w:r>
        <w:t xml:space="preserve">.</w:t>
      </w:r>
    </w:p>
    <w:bookmarkEnd w:id="493"/>
    <w:bookmarkStart w:id="495"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494">
        <w:r>
          <w:rPr>
            <w:rStyle w:val="Hyperlink"/>
          </w:rPr>
          <w:t xml:space="preserve">https://books.google.com/books/about/Republic{\_}com.html?id=O7AG9TxDJdgC</w:t>
        </w:r>
      </w:hyperlink>
      <w:r>
        <w:t xml:space="preserve">.</w:t>
      </w:r>
    </w:p>
    <w:bookmarkEnd w:id="495"/>
    <w:bookmarkStart w:id="497" w:name="ref-Raso2020"/>
    <w:p>
      <w:pPr>
        <w:pStyle w:val="Bibliography"/>
      </w:pPr>
      <w:r>
        <w:t xml:space="preserve">“Upvoting the Administrative State.”</w:t>
      </w:r>
      <w:r>
        <w:t xml:space="preserve"> </w:t>
      </w:r>
      <w:r>
        <w:t xml:space="preserve">n.d.</w:t>
      </w:r>
      <w:r>
        <w:t xml:space="preserve"> </w:t>
      </w:r>
      <w:hyperlink r:id="rId496">
        <w:r>
          <w:rPr>
            <w:rStyle w:val="Hyperlink"/>
          </w:rPr>
          <w:t xml:space="preserve">https://www.brookings.edu/research/upvoting-the-administrative-state/</w:t>
        </w:r>
      </w:hyperlink>
      <w:r>
        <w:t xml:space="preserve">.</w:t>
      </w:r>
    </w:p>
    <w:bookmarkEnd w:id="497"/>
    <w:bookmarkStart w:id="499"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498">
        <w:r>
          <w:rPr>
            <w:rStyle w:val="Hyperlink"/>
          </w:rPr>
          <w:t xml:space="preserve">https://books.google.com/books?id=9K5fdvfmGREC{\&amp;}dq=verba+and+nie+participation+in+america{\&amp;}lr={\&amp;}source=gbs{\_}navlinks{\_}s</w:t>
        </w:r>
      </w:hyperlink>
      <w:r>
        <w:t xml:space="preserve">.</w:t>
      </w:r>
    </w:p>
    <w:bookmarkEnd w:id="499"/>
    <w:bookmarkStart w:id="501"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00">
        <w:r>
          <w:rPr>
            <w:rStyle w:val="Hyperlink"/>
          </w:rPr>
          <w:t xml:space="preserve">https://scholarship.law.duke.edu/cgi/viewcontent.cgi?referer=https://www.google.com/{\&amp;}httpsredir=1{\&amp;}article=1463{\&amp;}context=dlj</w:t>
        </w:r>
      </w:hyperlink>
      <w:r>
        <w:t xml:space="preserve">.</w:t>
      </w:r>
    </w:p>
    <w:bookmarkEnd w:id="501"/>
    <w:bookmarkStart w:id="503"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02">
        <w:r>
          <w:rPr>
            <w:rStyle w:val="Hyperlink"/>
          </w:rPr>
          <w:t xml:space="preserve">https://papers.ssrn.com/sol3/papers.cfm?abstract{\_}id=1531243</w:t>
        </w:r>
      </w:hyperlink>
      <w:r>
        <w:t xml:space="preserve">.</w:t>
      </w:r>
    </w:p>
    <w:bookmarkEnd w:id="503"/>
    <w:bookmarkStart w:id="504"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04"/>
    <w:bookmarkStart w:id="506"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05">
        <w:r>
          <w:rPr>
            <w:rStyle w:val="Hyperlink"/>
          </w:rPr>
          <w:t xml:space="preserve">https://books.google.com/books?id=36bgO4FaOEoC{\&amp;}lr={\&amp;}source=gbs{\_}navlinks{\_}s</w:t>
        </w:r>
      </w:hyperlink>
      <w:r>
        <w:t xml:space="preserve">.</w:t>
      </w:r>
    </w:p>
    <w:bookmarkEnd w:id="506"/>
    <w:bookmarkStart w:id="508"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07">
        <w:r>
          <w:rPr>
            <w:rStyle w:val="Hyperlink"/>
          </w:rPr>
          <w:t xml:space="preserve">http://scholarship.law.upenn.edu/faculty{\_}scholarshiphttp://scholarship.law.upenn.edu/faculty{\_}scholarship/1969</w:t>
        </w:r>
      </w:hyperlink>
      <w:r>
        <w:t xml:space="preserve">.</w:t>
      </w:r>
    </w:p>
    <w:bookmarkEnd w:id="508"/>
    <w:bookmarkStart w:id="510"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09">
        <w:r>
          <w:rPr>
            <w:rStyle w:val="Hyperlink"/>
          </w:rPr>
          <w:t xml:space="preserve">https://www.weact.org/</w:t>
        </w:r>
      </w:hyperlink>
      <w:r>
        <w:t xml:space="preserve">.</w:t>
      </w:r>
    </w:p>
    <w:bookmarkEnd w:id="510"/>
    <w:bookmarkStart w:id="512" w:name="ref-West2009"/>
    <w:p>
      <w:pPr>
        <w:pStyle w:val="Bibliography"/>
      </w:pPr>
      <w:r>
        <w:t xml:space="preserve">West, William F.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11">
        <w:r>
          <w:rPr>
            <w:rStyle w:val="Hyperlink"/>
          </w:rPr>
          <w:t xml:space="preserve">https://doi.org/10.1177/0095399709339013</w:t>
        </w:r>
      </w:hyperlink>
      <w:r>
        <w:t xml:space="preserve">.</w:t>
      </w:r>
    </w:p>
    <w:bookmarkEnd w:id="512"/>
    <w:bookmarkStart w:id="514"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13">
        <w:r>
          <w:rPr>
            <w:rStyle w:val="Hyperlink"/>
          </w:rPr>
          <w:t xml:space="preserve">https://doi.org/10.1093/jopart/mus028</w:t>
        </w:r>
      </w:hyperlink>
      <w:r>
        <w:t xml:space="preserve">.</w:t>
      </w:r>
    </w:p>
    <w:bookmarkEnd w:id="514"/>
    <w:bookmarkStart w:id="516"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15">
        <w:r>
          <w:rPr>
            <w:rStyle w:val="Hyperlink"/>
          </w:rPr>
          <w:t xml:space="preserve">https://www.acus.gov/sites/default/files/documents/Public Engagement Draft Recommendation 9-10-18 Adam White Comments.pdf</w:t>
        </w:r>
      </w:hyperlink>
      <w:r>
        <w:t xml:space="preserve">.</w:t>
      </w:r>
    </w:p>
    <w:bookmarkEnd w:id="516"/>
    <w:bookmarkStart w:id="518"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17">
        <w:r>
          <w:rPr>
            <w:rStyle w:val="Hyperlink"/>
          </w:rPr>
          <w:t xml:space="preserve">https://books.google.com/books/about/Bureaucracy.html?id=jg-HAAAAMAAJ https://books.google.com/books/about/Bureaucracy.html?id=1aR54vBa2E4C</w:t>
        </w:r>
      </w:hyperlink>
      <w:r>
        <w:t xml:space="preserve">.</w:t>
      </w:r>
    </w:p>
    <w:bookmarkEnd w:id="518"/>
    <w:bookmarkStart w:id="520"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19">
        <w:r>
          <w:rPr>
            <w:rStyle w:val="Hyperlink"/>
          </w:rPr>
          <w:t xml:space="preserve">https://doi.org/10.1111/j.1468-2508.2006.00375.x</w:t>
        </w:r>
      </w:hyperlink>
      <w:r>
        <w:t xml:space="preserve">.</w:t>
      </w:r>
    </w:p>
    <w:bookmarkEnd w:id="520"/>
    <w:bookmarkStart w:id="522"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21">
        <w:r>
          <w:rPr>
            <w:rStyle w:val="Hyperlink"/>
          </w:rPr>
          <w:t xml:space="preserve">https://doi.org/10.1111/j.1748-5991.2009.01051.x</w:t>
        </w:r>
      </w:hyperlink>
      <w:r>
        <w:t xml:space="preserve">.</w:t>
      </w:r>
    </w:p>
    <w:bookmarkEnd w:id="522"/>
    <w:bookmarkStart w:id="523"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23"/>
    <w:bookmarkStart w:id="525"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24">
        <w:r>
          <w:rPr>
            <w:rStyle w:val="Hyperlink"/>
          </w:rPr>
          <w:t xml:space="preserve">https://doi.org/10.1093/jopart/mui042</w:t>
        </w:r>
      </w:hyperlink>
      <w:r>
        <w:t xml:space="preserve">.</w:t>
      </w:r>
    </w:p>
    <w:bookmarkEnd w:id="525"/>
    <w:bookmarkStart w:id="527"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26">
        <w:r>
          <w:rPr>
            <w:rStyle w:val="Hyperlink"/>
          </w:rPr>
          <w:t xml:space="preserve">https://doi.org/10.1093/jopart/mur061</w:t>
        </w:r>
      </w:hyperlink>
      <w:r>
        <w:t xml:space="preserve">.</w:t>
      </w:r>
    </w:p>
    <w:bookmarkEnd w:id="527"/>
    <w:bookmarkStart w:id="529"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28">
        <w:r>
          <w:rPr>
            <w:rStyle w:val="Hyperlink"/>
          </w:rPr>
          <w:t xml:space="preserve">https://doi.org/10.1093/jopart/muu007</w:t>
        </w:r>
      </w:hyperlink>
      <w:r>
        <w:t xml:space="preserve">.</w:t>
      </w:r>
    </w:p>
    <w:bookmarkEnd w:id="529"/>
    <w:bookmarkStart w:id="531"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30">
        <w:r>
          <w:rPr>
            <w:rStyle w:val="Hyperlink"/>
          </w:rPr>
          <w:t xml:space="preserve">https://doi.org/10.1146/annurev-polisci-050817-092302</w:t>
        </w:r>
      </w:hyperlink>
      <w:r>
        <w:t xml:space="preserve">.</w:t>
      </w:r>
    </w:p>
    <w:bookmarkEnd w:id="531"/>
    <w:bookmarkEnd w:id="532"/>
    <w:bookmarkEnd w:id="533"/>
    <w:bookmarkEnd w:id="5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0">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[CITE], the scale of public engagement is remarkable given how little attention political scientists have paid to it. Fake public comments also raise the question of why an organization would bother to generate fake public input if it did not matter, as its omission from theories of bureaucratic policymaking would seem to imply.</w:t>
      </w:r>
    </w:p>
  </w:footnote>
  <w:footnote w:id="63">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(pg. 2).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75">
    <w:p>
      <w:pPr>
        <w:pStyle w:val="FootnoteText"/>
      </w:pPr>
      <w:r>
        <w:rPr>
          <w:rStyle w:val="FootnoteReference"/>
        </w:rPr>
        <w:footnoteRef/>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lament the</w:t>
      </w:r>
      <w:r>
        <w:t xml:space="preserve"> </w:t>
      </w:r>
      <w:r>
        <w:t xml:space="preserve">“</w:t>
      </w:r>
      <w:r>
        <w:t xml:space="preserve">mail from the public dumped on the agency’s doorstep</w:t>
      </w:r>
      <w:r>
        <w:t xml:space="preserve">”</w:t>
      </w:r>
      <w:r>
        <w:t xml:space="preserve"> </w:t>
      </w:r>
      <w:r>
        <w:t xml:space="preserve">and claim that</w:t>
      </w:r>
      <w:r>
        <w:t xml:space="preserve"> </w:t>
      </w:r>
      <w:r>
        <w:t xml:space="preserve">“</w:t>
      </w:r>
      <w:r>
        <w:t xml:space="preserve">upvoting</w:t>
      </w:r>
      <w:r>
        <w:t xml:space="preserve">”</w:t>
      </w:r>
      <w:r>
        <w:t xml:space="preserve"> </w:t>
      </w:r>
      <w:r>
        <w:t xml:space="preserve">would</w:t>
      </w:r>
      <w:r>
        <w:t xml:space="preserve"> </w:t>
      </w:r>
      <w:r>
        <w:t xml:space="preserve">“</w:t>
      </w:r>
      <w:r>
        <w:t xml:space="preserve">make rulemaking more interactive. The happy result would bring us closer to the deliberative national town meeting.</w:t>
      </w:r>
      <w:r>
        <w:t xml:space="preserve">”</w:t>
      </w:r>
      <w:r>
        <w:t xml:space="preserve"> </w:t>
      </w:r>
      <w:r>
        <w:t xml:space="preserve">In contrast, I argue that, empirically, mass comment campaigns already act as a poll or upvote. An upvoting feature would thus codify existing dynamic, not fundamentally depart from it. Either way, the possibilities for</w:t>
      </w:r>
      <w:r>
        <w:t xml:space="preserve"> </w:t>
      </w:r>
      <w:r>
        <w:t xml:space="preserve">“</w:t>
      </w:r>
      <w:r>
        <w:t xml:space="preserve">deliberation</w:t>
      </w:r>
      <w:r>
        <w:t xml:space="preserve">”</w:t>
      </w:r>
      <w:r>
        <w:t xml:space="preserve"> </w:t>
      </w:r>
      <w:r>
        <w:t xml:space="preserve">with the mass public likely exists in the historical push and pull of pressure groups and government institutions over time, not among millions of people upvoting their policy position in a single rulemaking process.</w:t>
      </w:r>
    </w:p>
  </w:footnote>
  <w:footnote w:id="7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80">
    <w:p>
      <w:pPr>
        <w:pStyle w:val="FootnoteText"/>
      </w:pPr>
      <w:r>
        <w:rPr>
          <w:rStyle w:val="FootnoteReference"/>
        </w:rPr>
        <w:footnoteRef/>
      </w:r>
      <w:r>
        <w:t xml:space="preserve"> </w:t>
      </w:r>
      <w:r>
        <w:t xml:space="preserv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footnote>
  <w:footnote w:id="91">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98">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02">
    <w:p>
      <w:pPr>
        <w:pStyle w:val="FootnoteText"/>
      </w:pPr>
      <w:r>
        <w:rPr>
          <w:rStyle w:val="FootnoteReference"/>
        </w:rPr>
        <w:footnoteRef/>
      </w:r>
      <w:r>
        <w:t xml:space="preserve"> </w:t>
      </w:r>
      <w:hyperlink r:id="rId103">
        <w:r>
          <w:rPr>
            <w:rStyle w:val="Hyperlink"/>
          </w:rPr>
          <w:t xml:space="preserve">https://www.flickr.com/photos/energycitizens/18274218500/in/photostream/</w:t>
        </w:r>
      </w:hyperlink>
    </w:p>
  </w:footnote>
  <w:footnote w:id="104">
    <w:p>
      <w:pPr>
        <w:pStyle w:val="FootnoteText"/>
      </w:pPr>
      <w:r>
        <w:rPr>
          <w:rStyle w:val="FootnoteReference"/>
        </w:rPr>
        <w:footnoteRef/>
      </w:r>
      <w:r>
        <w:t xml:space="preserve"> </w:t>
      </w:r>
      <w:hyperlink r:id="rId105">
        <w:r>
          <w:rPr>
            <w:rStyle w:val="Hyperlink"/>
          </w:rPr>
          <w:t xml:space="preserve">https://www.nytimes.com/2009/08/19/business/energy-environment/19climate.html</w:t>
        </w:r>
      </w:hyperlink>
    </w:p>
  </w:footnote>
  <w:footnote w:id="106">
    <w:p>
      <w:pPr>
        <w:pStyle w:val="FootnoteText"/>
      </w:pPr>
      <w:r>
        <w:rPr>
          <w:rStyle w:val="FootnoteReference"/>
        </w:rPr>
        <w:footnoteRef/>
      </w:r>
      <w:r>
        <w:t xml:space="preserve"> </w:t>
      </w:r>
      <w:hyperlink r:id="rId107">
        <w:r>
          <w:rPr>
            <w:rStyle w:val="Hyperlink"/>
          </w:rPr>
          <w:t xml:space="preserve">https://www.propublica.org/article/how-big-oil-dodges-facebooks-new-ad-transparency-rules</w:t>
        </w:r>
      </w:hyperlink>
    </w:p>
  </w:footnote>
  <w:footnote w:id="109">
    <w:p>
      <w:pPr>
        <w:pStyle w:val="FootnoteText"/>
      </w:pPr>
      <w:r>
        <w:rPr>
          <w:rStyle w:val="FootnoteReference"/>
        </w:rPr>
        <w:footnoteRef/>
      </w:r>
      <w:r>
        <w:t xml:space="preserve"> </w:t>
      </w:r>
      <w:r>
        <w:t xml:space="preserve">Some of Shell’s supporters neglected to fill in the blanks in the template letter (</w:t>
      </w:r>
      <w:hyperlink r:id="rId110">
        <w:r>
          <w:rPr>
            <w:rStyle w:val="Hyperlink"/>
          </w:rPr>
          <w:t xml:space="preserve">BSEE-2013-0011-0033</w:t>
        </w:r>
      </w:hyperlink>
      <w:r>
        <w:t xml:space="preserve">).</w:t>
      </w:r>
    </w:p>
  </w:footnote>
  <w:footnote w:id="114">
    <w:p>
      <w:pPr>
        <w:pStyle w:val="FootnoteText"/>
      </w:pPr>
      <w:r>
        <w:rPr>
          <w:rStyle w:val="FootnoteReference"/>
        </w:rPr>
        <w:footnoteRef/>
      </w:r>
      <w:r>
        <w:t xml:space="preserve"> </w:t>
      </w:r>
      <w:r>
        <w:t xml:space="preserve">These numbers are from Potter’s sample; the Sierra Club’s average is even larger in my sample; see Table</w:t>
      </w:r>
      <w:r>
        <w:t xml:space="preserve"> </w:t>
      </w:r>
      <w:r>
        <w:t xml:space="preserve">2.3</w:t>
      </w:r>
      <w:r>
        <w:t xml:space="preserve">.</w:t>
      </w:r>
    </w:p>
  </w:footnote>
  <w:footnote w:id="115">
    <w:p>
      <w:pPr>
        <w:pStyle w:val="FootnoteText"/>
      </w:pPr>
      <w:r>
        <w:rPr>
          <w:rStyle w:val="FootnoteReference"/>
        </w:rPr>
        <w:footnoteRef/>
      </w:r>
      <w:r>
        <w:t xml:space="preserve"> </w:t>
      </w:r>
      <w:r>
        <w:t xml:space="preserve">Where a new presidential administration used the same docket number to solicit comments on a proposed rule that a previous administration used, I count these as separate rulemaking dockets. I do so because the second policy is usually reversing or going in the opposite direction as the policy on which the previous administration solicited comments. The same organizations often comment but with the opposition positions. Support becomes opposition and vice versa.</w:t>
      </w:r>
    </w:p>
  </w:footnote>
  <w:footnote w:id="116">
    <w:p>
      <w:pPr>
        <w:pStyle w:val="FootnoteText"/>
      </w:pPr>
      <w:r>
        <w:rPr>
          <w:rStyle w:val="FootnoteReference"/>
        </w:rPr>
        <w:footnoteRef/>
      </w:r>
      <w:r>
        <w:t xml:space="preserve"> </w:t>
      </w:r>
      <w:r>
        <w:t xml:space="preserve">For more about n-gram window functions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29">
    <w:p>
      <w:pPr>
        <w:pStyle w:val="FootnoteText"/>
      </w:pPr>
      <w:r>
        <w:rPr>
          <w:rStyle w:val="FootnoteReference"/>
        </w:rPr>
        <w:footnoteRef/>
      </w:r>
      <w:r>
        <w:t xml:space="preserve"> </w:t>
      </w:r>
      <w:r>
        <w:t xml:space="preserve">See Section</w:t>
      </w:r>
      <w:r>
        <w:t xml:space="preserve"> </w:t>
      </w:r>
      <w:r>
        <w:t xml:space="preserve">2.3.2</w:t>
      </w:r>
      <w:r>
        <w:t xml:space="preserve"> </w:t>
      </w:r>
      <w:r>
        <w:t xml:space="preserve">and the online appendix for my definition and methods for identifying mass comments.</w:t>
      </w:r>
    </w:p>
  </w:footnote>
  <w:footnote w:id="147">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62">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w:t>
      </w:r>
      <w:r>
        <w:t xml:space="preserve">shows that the Sierra Club requires a zip</w:t>
      </w:r>
      <w:r>
        <w:t xml:space="preserve"> </w:t>
      </w:r>
      <w:r>
        <w:t xml:space="preserve">code information from commenters. Mass-mobilizers may often send</w:t>
      </w:r>
      <w:r>
        <w:t xml:space="preserve"> </w:t>
      </w:r>
      <w:r>
        <w:t xml:space="preserve">such information to elected officials.</w:t>
      </w:r>
    </w:p>
  </w:footnote>
  <w:footnote w:id="165">
    <w:p>
      <w:pPr>
        <w:pStyle w:val="FootnoteText"/>
      </w:pPr>
      <w:r>
        <w:rPr>
          <w:rStyle w:val="FootnoteReference"/>
        </w:rPr>
        <w:footnoteRef/>
      </w:r>
      <w:r>
        <w:t xml:space="preserve"> </w:t>
      </w:r>
      <w:r>
        <w:t xml:space="preserve">For more on how I identify organizations and coalitions, see</w:t>
      </w:r>
      <w:r>
        <w:t xml:space="preserve"> </w:t>
      </w:r>
      <w:r>
        <w:t xml:space="preserve">??</w:t>
      </w:r>
      <w:r>
        <w:t xml:space="preserve">.</w:t>
      </w:r>
    </w:p>
  </w:footnote>
  <w:footnote w:id="166">
    <w:p>
      <w:pPr>
        <w:pStyle w:val="FootnoteText"/>
      </w:pPr>
      <w:r>
        <w:rPr>
          <w:rStyle w:val="FootnoteReference"/>
        </w:rPr>
        <w:footnoteRef/>
      </w:r>
      <w:r>
        <w:t xml:space="preserve"> </w:t>
      </w:r>
      <w:r>
        <w:t xml:space="preserve">Through an iterative process, I developed software and methods to select comments that were most likely submitted by organizations rather than by individuals. For example, I include all comments submitted as file attachments rather than typed into the textbox.</w:t>
      </w:r>
    </w:p>
  </w:footnote>
  <w:footnote w:id="169">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70">
        <w:r>
          <w:rPr>
            <w:rStyle w:val="Hyperlink"/>
          </w:rPr>
          <w:t xml:space="preserve">here</w:t>
        </w:r>
      </w:hyperlink>
      <w:r>
        <w:t xml:space="preserve">. See examples of coded cases</w:t>
      </w:r>
      <w:r>
        <w:t xml:space="preserve"> </w:t>
      </w:r>
      <w:hyperlink r:id="rId171">
        <w:r>
          <w:rPr>
            <w:rStyle w:val="Hyperlink"/>
          </w:rPr>
          <w:t xml:space="preserve">here</w:t>
        </w:r>
      </w:hyperlink>
      <w:r>
        <w:t xml:space="preserve">.</w:t>
      </w:r>
    </w:p>
  </w:footnote>
  <w:footnote w:id="175">
    <w:p>
      <w:pPr>
        <w:pStyle w:val="FootnoteText"/>
      </w:pPr>
      <w:r>
        <w:rPr>
          <w:rStyle w:val="FootnoteReference"/>
        </w:rPr>
        <w:footnoteRef/>
      </w:r>
      <w:r>
        <w:t xml:space="preserve"> </w:t>
      </w:r>
      <w:r>
        <w:t xml:space="preserve">For more on how I identify types of organizations and coalitions, see</w:t>
      </w:r>
      <w:r>
        <w:t xml:space="preserve"> </w:t>
      </w:r>
      <w:r>
        <w:t xml:space="preserve">??</w:t>
      </w:r>
    </w:p>
  </w:footnote>
  <w:footnote w:id="177">
    <w:p>
      <w:pPr>
        <w:pStyle w:val="FootnoteText"/>
      </w:pPr>
      <w:r>
        <w:rPr>
          <w:rStyle w:val="FootnoteReference"/>
        </w:rPr>
        <w:footnoteRef/>
      </w:r>
      <w:r>
        <w:t xml:space="preserve"> </w:t>
      </w:r>
      <w:r>
        <w:t xml:space="preserve">NRDC’s three policy demands were: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99">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05">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11">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18">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26">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27">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32">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136" Target="media/rId136.png" /><Relationship Type="http://schemas.openxmlformats.org/officeDocument/2006/relationships/image" Id="rId130" Target="media/rId130.pdf" /><Relationship Type="http://schemas.openxmlformats.org/officeDocument/2006/relationships/image" Id="rId215" Target="media/rId215.png" /><Relationship Type="http://schemas.openxmlformats.org/officeDocument/2006/relationships/image" Id="rId214" Target="media/rId214.png" /><Relationship Type="http://schemas.openxmlformats.org/officeDocument/2006/relationships/image" Id="rId213" Target="media/rId213.png" /><Relationship Type="http://schemas.openxmlformats.org/officeDocument/2006/relationships/image" Id="rId212" Target="media/rId212.png" /><Relationship Type="http://schemas.openxmlformats.org/officeDocument/2006/relationships/image" Id="rId235" Target="media/rId235.png" /><Relationship Type="http://schemas.openxmlformats.org/officeDocument/2006/relationships/image" Id="rId234" Target="media/rId234.png" /><Relationship Type="http://schemas.openxmlformats.org/officeDocument/2006/relationships/image" Id="rId233" Target="media/rId233.png" /><Relationship Type="http://schemas.openxmlformats.org/officeDocument/2006/relationships/image" Id="rId239" Target="media/rId239.png" /><Relationship Type="http://schemas.openxmlformats.org/officeDocument/2006/relationships/image" Id="rId238" Target="media/rId238.png" /><Relationship Type="http://schemas.openxmlformats.org/officeDocument/2006/relationships/image" Id="rId99" Target="media/rId99.png" /><Relationship Type="http://schemas.openxmlformats.org/officeDocument/2006/relationships/image" Id="rId219" Target="media/rId219.png" /><Relationship Type="http://schemas.openxmlformats.org/officeDocument/2006/relationships/image" Id="rId61" Target="media/rId61.png" /><Relationship Type="http://schemas.openxmlformats.org/officeDocument/2006/relationships/image" Id="rId100" Target="media/rId100.png" /><Relationship Type="http://schemas.openxmlformats.org/officeDocument/2006/relationships/image" Id="rId81" Target="media/rId81.jpg" /><Relationship Type="http://schemas.openxmlformats.org/officeDocument/2006/relationships/image" Id="rId47" Target="media/rId47.png" /><Relationship Type="http://schemas.openxmlformats.org/officeDocument/2006/relationships/image" Id="rId134" Target="media/rId134.png" /><Relationship Type="http://schemas.openxmlformats.org/officeDocument/2006/relationships/image" Id="rId186" Target="media/rId186.png" /><Relationship Type="http://schemas.openxmlformats.org/officeDocument/2006/relationships/image" Id="rId154" Target="media/rId154.png" /><Relationship Type="http://schemas.openxmlformats.org/officeDocument/2006/relationships/image" Id="rId167" Target="media/rId167.png" /><Relationship Type="http://schemas.openxmlformats.org/officeDocument/2006/relationships/image" Id="rId119" Target="media/rId119.png" /><Relationship Type="http://schemas.openxmlformats.org/officeDocument/2006/relationships/image" Id="rId231" Target="media/rId231.png" /><Relationship Type="http://schemas.openxmlformats.org/officeDocument/2006/relationships/image" Id="rId191" Target="media/rId191.png" /><Relationship Type="http://schemas.openxmlformats.org/officeDocument/2006/relationships/image" Id="rId173" Target="media/rId173.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90" Target="media/rId190.png" /><Relationship Type="http://schemas.openxmlformats.org/officeDocument/2006/relationships/image" Id="rId189" Target="media/rId189.png" /><Relationship Type="http://schemas.openxmlformats.org/officeDocument/2006/relationships/image" Id="rId124" Target="media/rId124.png" /><Relationship Type="http://schemas.openxmlformats.org/officeDocument/2006/relationships/hyperlink" Id="rId311" Target="http://chicagounbound.uchicago.edu/cgi/viewcontent.cgi?article=5219{\&amp;}context=uclrev" TargetMode="External" /><Relationship Type="http://schemas.openxmlformats.org/officeDocument/2006/relationships/hyperlink" Id="rId471" Target="http://digitalcommons.law.yale.edu/fss{\_}papers" TargetMode="External" /><Relationship Type="http://schemas.openxmlformats.org/officeDocument/2006/relationships/hyperlink" Id="rId469" Target="http://digitalcommons.law.yale.edu/yjreg" TargetMode="External" /><Relationship Type="http://schemas.openxmlformats.org/officeDocument/2006/relationships/hyperlink" Id="rId405" Target="http://equitablegrowth.org/working" TargetMode="External" /><Relationship Type="http://schemas.openxmlformats.org/officeDocument/2006/relationships/hyperlink" Id="rId428" Target="http://eurogender.eige.europa.eu/sites/default/files/3593021.pdf" TargetMode="External" /><Relationship Type="http://schemas.openxmlformats.org/officeDocument/2006/relationships/hyperlink" Id="rId317" Target="http://law.wisc.edu/ils/2017speakerfiles/supplemental{\_}reading--administrative{\_}war.pdf" TargetMode="External" /><Relationship Type="http://schemas.openxmlformats.org/officeDocument/2006/relationships/hyperlink" Id="rId374" Target="http://ojs.imodev.org/index.php/RIGO/article/view/62/154{\#}{\_}ftn6" TargetMode="External" /><Relationship Type="http://schemas.openxmlformats.org/officeDocument/2006/relationships/hyperlink" Id="rId291" Target="http://press.princeton.edu/titles/4385.html http://web.stanford.edu/class/polisci177a/Notes.Week2.pdf" TargetMode="External" /><Relationship Type="http://schemas.openxmlformats.org/officeDocument/2006/relationships/hyperlink" Id="rId336" Target="http://scholarship.law.cornell.edu/cerihttp://scholarship.law.cornell.edu/ceri/1" TargetMode="External" /><Relationship Type="http://schemas.openxmlformats.org/officeDocument/2006/relationships/hyperlink" Id="rId340" Target="http://scholarship.law.cornell.edu/cerihttp://scholarship.law.cornell.edu/ceri/17" TargetMode="External" /><Relationship Type="http://schemas.openxmlformats.org/officeDocument/2006/relationships/hyperlink" Id="rId301" Target="http://scholarship.law.upenn.edu/faculty{\_}scholarship" TargetMode="External" /><Relationship Type="http://schemas.openxmlformats.org/officeDocument/2006/relationships/hyperlink" Id="rId507" Target="http://scholarship.law.upenn.edu/faculty{\_}scholarshiphttp://scholarship.law.upenn.edu/faculty{\_}scholarship/1969" TargetMode="External" /><Relationship Type="http://schemas.openxmlformats.org/officeDocument/2006/relationships/hyperlink" Id="rId481" Target="http://wikisum.com/w/Schattschneider:{\_}The{\_}semisovereign{\_}people https://books.google.com/books/about/The{\_}semisovereign{\_}people.html?id=GXdHAAAAMAAJ" TargetMode="External" /><Relationship Type="http://schemas.openxmlformats.org/officeDocument/2006/relationships/hyperlink" Id="rId388" Target="http://www.administrativelawreview.org/wp-content/uploads/2014/04/Beyond-the-Usual-Suspects-ACUS-Rulemaking-2-and-a-Vision-for-Broader-More-Informed-and-More-Transparent-Rulemaking.pdf" TargetMode="External" /><Relationship Type="http://schemas.openxmlformats.org/officeDocument/2006/relationships/hyperlink" Id="rId380"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57"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297" Target="http://www.cbecal.org/" TargetMode="External" /><Relationship Type="http://schemas.openxmlformats.org/officeDocument/2006/relationships/hyperlink" Id="rId457" Target="http://www.cei.org" TargetMode="External" /><Relationship Type="http://schemas.openxmlformats.org/officeDocument/2006/relationships/hyperlink" Id="rId366" Target="http://www.jstor.org/stable/3234884" TargetMode="External" /><Relationship Type="http://schemas.openxmlformats.org/officeDocument/2006/relationships/hyperlink" Id="rId293" Target="http://www.jstor.org/stable/j.ctv1j9mk15" TargetMode="External" /><Relationship Type="http://schemas.openxmlformats.org/officeDocument/2006/relationships/hyperlink" Id="rId492" Target="http://www.loc.gov/catdir/toc/ecip0716/2007015183.html" TargetMode="External" /><Relationship Type="http://schemas.openxmlformats.org/officeDocument/2006/relationships/hyperlink" Id="rId410" Target="http://www.lowande.com/uploads/2/8/0/2/28027461/lowande-responsiveness-july-2017.pdf" TargetMode="External" /><Relationship Type="http://schemas.openxmlformats.org/officeDocument/2006/relationships/hyperlink" Id="rId287" Target="http://www.worldcat.org/title/confronting-environmental-racism-voices-from-the-grassroots/oclc/26351432" TargetMode="External" /><Relationship Type="http://schemas.openxmlformats.org/officeDocument/2006/relationships/hyperlink" Id="rId394" Target="http://www.worldcat.org/title/going-public-new-strategies-of-presidential-leadership/oclc/1035368647" TargetMode="External" /><Relationship Type="http://schemas.openxmlformats.org/officeDocument/2006/relationships/hyperlink" Id="rId398" Target="http://www.worldcat.org/title/public-opinion-and-american-democracy/oclc/480228689?referer=di{\&amp;}ht=edition" TargetMode="External" /><Relationship Type="http://schemas.openxmlformats.org/officeDocument/2006/relationships/hyperlink" Id="rId386" Target="https://about.jstor.org/terms" TargetMode="External" /><Relationship Type="http://schemas.openxmlformats.org/officeDocument/2006/relationships/hyperlink" Id="rId315" Target="https://about.jstor.org/terms https://papers.ssrn.com/sol3/papers.cfm?abstract{\_}id=595181{\&amp;}download=yes" TargetMode="External" /><Relationship Type="http://schemas.openxmlformats.org/officeDocument/2006/relationships/hyperlink" Id="rId517" Target="https://books.google.com/books/about/Bureaucracy.html?id=jg-HAAAAMAAJ https://books.google.com/books/about/Bureaucracy.html?id=1aR54vBa2E4C" TargetMode="External" /><Relationship Type="http://schemas.openxmlformats.org/officeDocument/2006/relationships/hyperlink" Id="rId319" Target="https://books.google.com/books/about/Democracy{\_}and{\_}Its{\_}Critics.html?id=l1RQngEACAAJ" TargetMode="External" /><Relationship Type="http://schemas.openxmlformats.org/officeDocument/2006/relationships/hyperlink" Id="rId494" Target="https://books.google.com/books/about/Republic{\_}com.html?id=O7AG9TxDJdgC" TargetMode="External" /><Relationship Type="http://schemas.openxmlformats.org/officeDocument/2006/relationships/hyperlink" Id="rId430" Target="https://books.google.com/books/about/The{\_}Politics{\_}Of{\_}Interests.html?id=BtJMDwAAQBAJ" TargetMode="External" /><Relationship Type="http://schemas.openxmlformats.org/officeDocument/2006/relationships/hyperlink" Id="rId426" Target="https://books.google.com/books/about/The{\_}Public{\_}Congress.html?id=yD9OYgEACAAJ" TargetMode="External" /><Relationship Type="http://schemas.openxmlformats.org/officeDocument/2006/relationships/hyperlink" Id="rId361"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396"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05" Target="https://books.google.com/books?id=36bgO4FaOEoC{\&amp;}lr={\&amp;}source=gbs{\_}navlinks{\_}s" TargetMode="External" /><Relationship Type="http://schemas.openxmlformats.org/officeDocument/2006/relationships/hyperlink" Id="rId384" Target="https://books.google.com/books?id=8PIWAwAAQBAJ" TargetMode="External" /><Relationship Type="http://schemas.openxmlformats.org/officeDocument/2006/relationships/hyperlink" Id="rId498" Target="https://books.google.com/books?id=9K5fdvfmGREC{\&amp;}dq=verba+and+nie+participation+in+america{\&amp;}lr={\&amp;}source=gbs{\_}navlinks{\_}s" TargetMode="External" /><Relationship Type="http://schemas.openxmlformats.org/officeDocument/2006/relationships/hyperlink" Id="rId459" Target="https://books.google.com/books?id=bmSmcDo3kPoC{\&amp;}dq=info:3Iw8O7WHdEEJ:scholar.google.com{\&amp;}lr={\&amp;}source=gbs{\_}navlinks{\_}s" TargetMode="External" /><Relationship Type="http://schemas.openxmlformats.org/officeDocument/2006/relationships/hyperlink" Id="rId170" Target="https://docs.google.com/document/d/1o1hi0z9O-G9xsgkspOFG2VWzh0wQKjiezzoVpItaCxU/edit?usp=sharing" TargetMode="External" /><Relationship Type="http://schemas.openxmlformats.org/officeDocument/2006/relationships/hyperlink" Id="rId487" Target="https://doi.org/10.1007/s11077-007-9051-x" TargetMode="External" /><Relationship Type="http://schemas.openxmlformats.org/officeDocument/2006/relationships/hyperlink" Id="rId369" Target="https://doi.org/10.1017/S0003055415000246" TargetMode="External" /><Relationship Type="http://schemas.openxmlformats.org/officeDocument/2006/relationships/hyperlink" Id="rId371" Target="https://doi.org/10.1017/S0022381608081012" TargetMode="External" /><Relationship Type="http://schemas.openxmlformats.org/officeDocument/2006/relationships/hyperlink" Id="rId423" Target="https://doi.org/10.1017/S0143814X07000608" TargetMode="External" /><Relationship Type="http://schemas.openxmlformats.org/officeDocument/2006/relationships/hyperlink" Id="rId354" Target="https://doi.org/10.1017/S0143814X16000106" TargetMode="External" /><Relationship Type="http://schemas.openxmlformats.org/officeDocument/2006/relationships/hyperlink" Id="rId467" Target="https://doi.org/10.1017/S0143814X17000216" TargetMode="External" /><Relationship Type="http://schemas.openxmlformats.org/officeDocument/2006/relationships/hyperlink" Id="rId465" Target="https://doi.org/10.1017/S1049096519000520" TargetMode="External" /><Relationship Type="http://schemas.openxmlformats.org/officeDocument/2006/relationships/hyperlink" Id="rId359" Target="https://doi.org/10.1017/S1537592714001595" TargetMode="External" /><Relationship Type="http://schemas.openxmlformats.org/officeDocument/2006/relationships/hyperlink" Id="rId454" Target="https://doi.org/10.1017/s0022381611001599" TargetMode="External" /><Relationship Type="http://schemas.openxmlformats.org/officeDocument/2006/relationships/hyperlink" Id="rId306" Target="https://doi.org/10.1080/08913810608443650" TargetMode="External" /><Relationship Type="http://schemas.openxmlformats.org/officeDocument/2006/relationships/hyperlink" Id="rId412" Target="https://doi.org/10.1086/709436" TargetMode="External" /><Relationship Type="http://schemas.openxmlformats.org/officeDocument/2006/relationships/hyperlink" Id="rId436" Target="https://doi.org/10.1093" TargetMode="External" /><Relationship Type="http://schemas.openxmlformats.org/officeDocument/2006/relationships/hyperlink" Id="rId321" Target="https://doi.org/10.1093/acprof:oso/9780199891702.001.0001" TargetMode="External" /><Relationship Type="http://schemas.openxmlformats.org/officeDocument/2006/relationships/hyperlink" Id="rId346" Target="https://doi.org/10.1093/jleo/6.special_issue.1" TargetMode="External" /><Relationship Type="http://schemas.openxmlformats.org/officeDocument/2006/relationships/hyperlink" Id="rId352" Target="https://doi.org/10.1093/jopart/mui022" TargetMode="External" /><Relationship Type="http://schemas.openxmlformats.org/officeDocument/2006/relationships/hyperlink" Id="rId524" Target="https://doi.org/10.1093/jopart/mui042" TargetMode="External" /><Relationship Type="http://schemas.openxmlformats.org/officeDocument/2006/relationships/hyperlink" Id="rId526" Target="https://doi.org/10.1093/jopart/mur061" TargetMode="External" /><Relationship Type="http://schemas.openxmlformats.org/officeDocument/2006/relationships/hyperlink" Id="rId513" Target="https://doi.org/10.1093/jopart/mus028" TargetMode="External" /><Relationship Type="http://schemas.openxmlformats.org/officeDocument/2006/relationships/hyperlink" Id="rId528" Target="https://doi.org/10.1093/jopart/muu007" TargetMode="External" /><Relationship Type="http://schemas.openxmlformats.org/officeDocument/2006/relationships/hyperlink" Id="rId350" Target="https://doi.org/10.1093/oxfordjournals.jpart.a024373" TargetMode="External" /><Relationship Type="http://schemas.openxmlformats.org/officeDocument/2006/relationships/hyperlink" Id="rId323" Target="https://doi.org/10.1111/1475-6765.12012" TargetMode="External" /><Relationship Type="http://schemas.openxmlformats.org/officeDocument/2006/relationships/hyperlink" Id="rId299" Target="https://doi.org/10.1111/ajps.12066" TargetMode="External" /><Relationship Type="http://schemas.openxmlformats.org/officeDocument/2006/relationships/hyperlink" Id="rId332" Target="https://doi.org/10.1111/ajps.12188" TargetMode="External" /><Relationship Type="http://schemas.openxmlformats.org/officeDocument/2006/relationships/hyperlink" Id="rId519" Target="https://doi.org/10.1111/j.1468-2508.2006.00375.x" TargetMode="External" /><Relationship Type="http://schemas.openxmlformats.org/officeDocument/2006/relationships/hyperlink" Id="rId521" Target="https://doi.org/10.1111/j.1748-5991.2009.01051.x" TargetMode="External" /><Relationship Type="http://schemas.openxmlformats.org/officeDocument/2006/relationships/hyperlink" Id="rId421" Target="https://doi.org/10.1111/lsq.12138" TargetMode="External" /><Relationship Type="http://schemas.openxmlformats.org/officeDocument/2006/relationships/hyperlink" Id="rId452" Target="https://doi.org/10.1111/psq.12417" TargetMode="External" /><Relationship Type="http://schemas.openxmlformats.org/officeDocument/2006/relationships/hyperlink" Id="rId530" Target="https://doi.org/10.1146/annurev-polisci-050817-092302" TargetMode="External" /><Relationship Type="http://schemas.openxmlformats.org/officeDocument/2006/relationships/hyperlink" Id="rId434" Target="https://doi.org/10.1146/annurev-polisci-052615" TargetMode="External" /><Relationship Type="http://schemas.openxmlformats.org/officeDocument/2006/relationships/hyperlink" Id="rId378" Target="https://doi.org/10.1146/annurev-polisci-070910-104051" TargetMode="External" /><Relationship Type="http://schemas.openxmlformats.org/officeDocument/2006/relationships/hyperlink" Id="rId432" Target="https://doi.org/10.1146/annurev.polisci.3.1.449" TargetMode="External" /><Relationship Type="http://schemas.openxmlformats.org/officeDocument/2006/relationships/hyperlink" Id="rId273" Target="https://doi.org/10.1146/annurev.soc.30.012703.110542" TargetMode="External" /><Relationship Type="http://schemas.openxmlformats.org/officeDocument/2006/relationships/hyperlink" Id="rId445" Target="https://doi.org/10.1146/annurev.soc.30.012703.110545" TargetMode="External" /><Relationship Type="http://schemas.openxmlformats.org/officeDocument/2006/relationships/hyperlink" Id="rId285" Target="https://doi.org/10.1177/0093650218808186" TargetMode="External" /><Relationship Type="http://schemas.openxmlformats.org/officeDocument/2006/relationships/hyperlink" Id="rId511" Target="https://doi.org/10.1177/0095399709339013" TargetMode="External" /><Relationship Type="http://schemas.openxmlformats.org/officeDocument/2006/relationships/hyperlink" Id="rId313" Target="https://doi.org/10.1177/0095399715581040" TargetMode="External" /><Relationship Type="http://schemas.openxmlformats.org/officeDocument/2006/relationships/hyperlink" Id="rId348" Target="https://doi.org/10.1177/009539979702900304" TargetMode="External" /><Relationship Type="http://schemas.openxmlformats.org/officeDocument/2006/relationships/hyperlink" Id="rId330" Target="https://doi.org/10.1332/174426514X13990325021128" TargetMode="External" /><Relationship Type="http://schemas.openxmlformats.org/officeDocument/2006/relationships/hyperlink" Id="rId280" Target="https://doi.org/10.1515/9781400822485" TargetMode="External" /><Relationship Type="http://schemas.openxmlformats.org/officeDocument/2006/relationships/hyperlink" Id="rId443" Target="https://doi.org/10.2139/ssrn.1486272" TargetMode="External" /><Relationship Type="http://schemas.openxmlformats.org/officeDocument/2006/relationships/hyperlink" Id="rId463" Target="https://doi.org/10.2139/ssrn.2759117" TargetMode="External" /><Relationship Type="http://schemas.openxmlformats.org/officeDocument/2006/relationships/hyperlink" Id="rId479" Target="https://doi.org/10.2307/1949637" TargetMode="External" /><Relationship Type="http://schemas.openxmlformats.org/officeDocument/2006/relationships/hyperlink" Id="rId417" Target="https://doi.org/10.2307/2009452" TargetMode="External" /><Relationship Type="http://schemas.openxmlformats.org/officeDocument/2006/relationships/hyperlink" Id="rId328" Target="https://doi.org/10.2307/2111603" TargetMode="External" /><Relationship Type="http://schemas.openxmlformats.org/officeDocument/2006/relationships/hyperlink" Id="rId277" Target="https://doi.org/10.2307/2585488" TargetMode="External" /><Relationship Type="http://schemas.openxmlformats.org/officeDocument/2006/relationships/hyperlink" Id="rId289" Target="https://doi.org/10.33774/apsa-2020-k78wc" TargetMode="External" /><Relationship Type="http://schemas.openxmlformats.org/officeDocument/2006/relationships/hyperlink" Id="rId326"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08" Target="https://goo.gl/L6aKk4" TargetMode="External" /><Relationship Type="http://schemas.openxmlformats.org/officeDocument/2006/relationships/hyperlink" Id="rId171" Target="https://judgelord.github.io/dissertation/influence_coding_examples.pdf" TargetMode="External" /><Relationship Type="http://schemas.openxmlformats.org/officeDocument/2006/relationships/hyperlink" Id="rId196" Target="https://judgelord.github.io/research/ej/" TargetMode="External" /><Relationship Type="http://schemas.openxmlformats.org/officeDocument/2006/relationships/hyperlink" Id="rId403" Target="https://libgober.files.wordpress.com/2018/09/what-biased-rulemaking-looks-like.pdf" TargetMode="External" /><Relationship Type="http://schemas.openxmlformats.org/officeDocument/2006/relationships/hyperlink" Id="rId308" Target="https://mountainscholar.org/bitstream/handle/10217/181399/Cook{\_}colostate{\_}0053A14127.pdf?sequence=1" TargetMode="External" /><Relationship Type="http://schemas.openxmlformats.org/officeDocument/2006/relationships/hyperlink" Id="rId502" Target="https://papers.ssrn.com/sol3/papers.cfm?abstract{\_}id=1531243" TargetMode="External" /><Relationship Type="http://schemas.openxmlformats.org/officeDocument/2006/relationships/hyperlink" Id="rId338" Target="https://papers.ssrn.com/sol3/papers.cfm?abstract{\_}id=1702491" TargetMode="External" /><Relationship Type="http://schemas.openxmlformats.org/officeDocument/2006/relationships/hyperlink" Id="rId441" Target="https://papers.ssrn.com/sol3/papers.cfm?abstract{\_}id=1860193" TargetMode="External" /><Relationship Type="http://schemas.openxmlformats.org/officeDocument/2006/relationships/hyperlink" Id="rId447" Target="https://papers.ssrn.com/sol3/papers.cfm?abstract{\_}id=2444396" TargetMode="External" /><Relationship Type="http://schemas.openxmlformats.org/officeDocument/2006/relationships/hyperlink" Id="rId485" Target="https://papers.ssrn.com/sol3/papers.cfm?abstract{\_}id=2662504" TargetMode="External" /><Relationship Type="http://schemas.openxmlformats.org/officeDocument/2006/relationships/hyperlink" Id="rId342" Target="https://papers.ssrn.com/sol3/papers.cfm?abstract{\_}id=2841374" TargetMode="External" /><Relationship Type="http://schemas.openxmlformats.org/officeDocument/2006/relationships/hyperlink" Id="rId475" Target="https://papers.ssrn.com/sol3/papers.cfm?abstract{\_}id=571127" TargetMode="External" /><Relationship Type="http://schemas.openxmlformats.org/officeDocument/2006/relationships/hyperlink" Id="rId400" Target="https://press.princeton.edu/titles/6254.html" TargetMode="External" /><Relationship Type="http://schemas.openxmlformats.org/officeDocument/2006/relationships/hyperlink" Id="rId382" Target="https://press.princeton.edu/titles/7656.html" TargetMode="External" /><Relationship Type="http://schemas.openxmlformats.org/officeDocument/2006/relationships/hyperlink" Id="rId500" Target="https://scholarship.law.duke.edu/cgi/viewcontent.cgi?referer=https://www.google.com/{\&amp;}httpsredir=1{\&amp;}article=1463{\&amp;}context=dlj" TargetMode="External" /><Relationship Type="http://schemas.openxmlformats.org/officeDocument/2006/relationships/hyperlink" Id="rId439" Target="https://scholarworks.wmich.edu/jssw/vol34/iss3/9" TargetMode="External" /><Relationship Type="http://schemas.openxmlformats.org/officeDocument/2006/relationships/hyperlink" Id="rId344" Target="https://ssrn.com/abstract=3787704" TargetMode="External" /><Relationship Type="http://schemas.openxmlformats.org/officeDocument/2006/relationships/hyperlink" Id="rId477" Target="https://www.acus.gov/report/public-engagement-rulemaking-draft-report" TargetMode="External" /><Relationship Type="http://schemas.openxmlformats.org/officeDocument/2006/relationships/hyperlink" Id="rId271" Target="https://www.acus.gov/sites/default/files/documents/ACUS Recommendations Packet.pdf" TargetMode="External" /><Relationship Type="http://schemas.openxmlformats.org/officeDocument/2006/relationships/hyperlink" Id="rId515" Target="https://www.acus.gov/sites/default/files/documents/Public Engagement Draft Recommendation 9-10-18 Adam White Comments.pdf" TargetMode="External" /><Relationship Type="http://schemas.openxmlformats.org/officeDocument/2006/relationships/hyperlink" Id="rId334" Target="https://www.acus.gov/sites/default/files/documents/Public Engagement Draft Recommendation 9-10-18 Cynthia Farina Comments.pdf" TargetMode="External" /><Relationship Type="http://schemas.openxmlformats.org/officeDocument/2006/relationships/hyperlink" Id="rId282" Target="https://www.brookings.edu/book/the-new-liberalism/" TargetMode="External" /><Relationship Type="http://schemas.openxmlformats.org/officeDocument/2006/relationships/hyperlink" Id="rId461" Target="https://www.brookings.edu/research/more-than-spam-lobbying-the-epa-through-public-comment-campaigns/" TargetMode="External" /><Relationship Type="http://schemas.openxmlformats.org/officeDocument/2006/relationships/hyperlink" Id="rId496" Target="https://www.brookings.edu/research/upvoting-the-administrative-state/" TargetMode="External" /><Relationship Type="http://schemas.openxmlformats.org/officeDocument/2006/relationships/hyperlink" Id="rId364" Target="https://www.dropbox.com/s/6ydopca7mx8ugqt/Gordon-Rashin-Private-Influence-10-24.pdf?dl=0" TargetMode="External" /><Relationship Type="http://schemas.openxmlformats.org/officeDocument/2006/relationships/hyperlink" Id="rId246"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45"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3"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48" Target="https://www.regulations.gov/comment/BLM-2013-0002-5688" TargetMode="External" /><Relationship Type="http://schemas.openxmlformats.org/officeDocument/2006/relationships/hyperlink" Id="rId247" Target="https://www.regulations.gov/comment/BLM-2013-0002-5720" TargetMode="External" /><Relationship Type="http://schemas.openxmlformats.org/officeDocument/2006/relationships/hyperlink" Id="rId249" Target="https://www.regulations.gov/comment/BLM-2013-0002-5721" TargetMode="External" /><Relationship Type="http://schemas.openxmlformats.org/officeDocument/2006/relationships/hyperlink" Id="rId251"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0"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76" Target="https://www.regulations.gov/document?D=EPA-HQ-OAR-2004-0018-0211" TargetMode="External" /><Relationship Type="http://schemas.openxmlformats.org/officeDocument/2006/relationships/hyperlink" Id="rId509" Target="https://www.weact.org/" TargetMode="External" /><Relationship Type="http://schemas.openxmlformats.org/officeDocument/2006/relationships/hyperlink" Id="rId259" Target="https://www.wsj.com/articles/many-comments-critical-of-fiduciary-rule-are-fake-1514370601" TargetMode="External" /><Relationship Type="http://schemas.openxmlformats.org/officeDocument/2006/relationships/hyperlink" Id="rId275" Target="https://yalebooks.yale.edu/book/9780300025927/congress-and-bureaucracy" TargetMode="External" /><Relationship Type="http://schemas.openxmlformats.org/officeDocument/2006/relationships/hyperlink" Id="rId450"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11" Target="http://chicagounbound.uchicago.edu/cgi/viewcontent.cgi?article=5219{\&amp;}context=uclrev" TargetMode="External" /><Relationship Type="http://schemas.openxmlformats.org/officeDocument/2006/relationships/hyperlink" Id="rId471" Target="http://digitalcommons.law.yale.edu/fss{\_}papers" TargetMode="External" /><Relationship Type="http://schemas.openxmlformats.org/officeDocument/2006/relationships/hyperlink" Id="rId469" Target="http://digitalcommons.law.yale.edu/yjreg" TargetMode="External" /><Relationship Type="http://schemas.openxmlformats.org/officeDocument/2006/relationships/hyperlink" Id="rId405" Target="http://equitablegrowth.org/working" TargetMode="External" /><Relationship Type="http://schemas.openxmlformats.org/officeDocument/2006/relationships/hyperlink" Id="rId428" Target="http://eurogender.eige.europa.eu/sites/default/files/3593021.pdf" TargetMode="External" /><Relationship Type="http://schemas.openxmlformats.org/officeDocument/2006/relationships/hyperlink" Id="rId317" Target="http://law.wisc.edu/ils/2017speakerfiles/supplemental{\_}reading--administrative{\_}war.pdf" TargetMode="External" /><Relationship Type="http://schemas.openxmlformats.org/officeDocument/2006/relationships/hyperlink" Id="rId374" Target="http://ojs.imodev.org/index.php/RIGO/article/view/62/154{\#}{\_}ftn6" TargetMode="External" /><Relationship Type="http://schemas.openxmlformats.org/officeDocument/2006/relationships/hyperlink" Id="rId291" Target="http://press.princeton.edu/titles/4385.html http://web.stanford.edu/class/polisci177a/Notes.Week2.pdf" TargetMode="External" /><Relationship Type="http://schemas.openxmlformats.org/officeDocument/2006/relationships/hyperlink" Id="rId336" Target="http://scholarship.law.cornell.edu/cerihttp://scholarship.law.cornell.edu/ceri/1" TargetMode="External" /><Relationship Type="http://schemas.openxmlformats.org/officeDocument/2006/relationships/hyperlink" Id="rId340" Target="http://scholarship.law.cornell.edu/cerihttp://scholarship.law.cornell.edu/ceri/17" TargetMode="External" /><Relationship Type="http://schemas.openxmlformats.org/officeDocument/2006/relationships/hyperlink" Id="rId301" Target="http://scholarship.law.upenn.edu/faculty{\_}scholarship" TargetMode="External" /><Relationship Type="http://schemas.openxmlformats.org/officeDocument/2006/relationships/hyperlink" Id="rId507" Target="http://scholarship.law.upenn.edu/faculty{\_}scholarshiphttp://scholarship.law.upenn.edu/faculty{\_}scholarship/1969" TargetMode="External" /><Relationship Type="http://schemas.openxmlformats.org/officeDocument/2006/relationships/hyperlink" Id="rId481" Target="http://wikisum.com/w/Schattschneider:{\_}The{\_}semisovereign{\_}people https://books.google.com/books/about/The{\_}semisovereign{\_}people.html?id=GXdHAAAAMAAJ" TargetMode="External" /><Relationship Type="http://schemas.openxmlformats.org/officeDocument/2006/relationships/hyperlink" Id="rId388" Target="http://www.administrativelawreview.org/wp-content/uploads/2014/04/Beyond-the-Usual-Suspects-ACUS-Rulemaking-2-and-a-Vision-for-Broader-More-Informed-and-More-Transparent-Rulemaking.pdf" TargetMode="External" /><Relationship Type="http://schemas.openxmlformats.org/officeDocument/2006/relationships/hyperlink" Id="rId380"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57"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297" Target="http://www.cbecal.org/" TargetMode="External" /><Relationship Type="http://schemas.openxmlformats.org/officeDocument/2006/relationships/hyperlink" Id="rId457" Target="http://www.cei.org" TargetMode="External" /><Relationship Type="http://schemas.openxmlformats.org/officeDocument/2006/relationships/hyperlink" Id="rId366" Target="http://www.jstor.org/stable/3234884" TargetMode="External" /><Relationship Type="http://schemas.openxmlformats.org/officeDocument/2006/relationships/hyperlink" Id="rId293" Target="http://www.jstor.org/stable/j.ctv1j9mk15" TargetMode="External" /><Relationship Type="http://schemas.openxmlformats.org/officeDocument/2006/relationships/hyperlink" Id="rId492" Target="http://www.loc.gov/catdir/toc/ecip0716/2007015183.html" TargetMode="External" /><Relationship Type="http://schemas.openxmlformats.org/officeDocument/2006/relationships/hyperlink" Id="rId410" Target="http://www.lowande.com/uploads/2/8/0/2/28027461/lowande-responsiveness-july-2017.pdf" TargetMode="External" /><Relationship Type="http://schemas.openxmlformats.org/officeDocument/2006/relationships/hyperlink" Id="rId287" Target="http://www.worldcat.org/title/confronting-environmental-racism-voices-from-the-grassroots/oclc/26351432" TargetMode="External" /><Relationship Type="http://schemas.openxmlformats.org/officeDocument/2006/relationships/hyperlink" Id="rId394" Target="http://www.worldcat.org/title/going-public-new-strategies-of-presidential-leadership/oclc/1035368647" TargetMode="External" /><Relationship Type="http://schemas.openxmlformats.org/officeDocument/2006/relationships/hyperlink" Id="rId398" Target="http://www.worldcat.org/title/public-opinion-and-american-democracy/oclc/480228689?referer=di{\&amp;}ht=edition" TargetMode="External" /><Relationship Type="http://schemas.openxmlformats.org/officeDocument/2006/relationships/hyperlink" Id="rId386" Target="https://about.jstor.org/terms" TargetMode="External" /><Relationship Type="http://schemas.openxmlformats.org/officeDocument/2006/relationships/hyperlink" Id="rId315" Target="https://about.jstor.org/terms https://papers.ssrn.com/sol3/papers.cfm?abstract{\_}id=595181{\&amp;}download=yes" TargetMode="External" /><Relationship Type="http://schemas.openxmlformats.org/officeDocument/2006/relationships/hyperlink" Id="rId517" Target="https://books.google.com/books/about/Bureaucracy.html?id=jg-HAAAAMAAJ https://books.google.com/books/about/Bureaucracy.html?id=1aR54vBa2E4C" TargetMode="External" /><Relationship Type="http://schemas.openxmlformats.org/officeDocument/2006/relationships/hyperlink" Id="rId319" Target="https://books.google.com/books/about/Democracy{\_}and{\_}Its{\_}Critics.html?id=l1RQngEACAAJ" TargetMode="External" /><Relationship Type="http://schemas.openxmlformats.org/officeDocument/2006/relationships/hyperlink" Id="rId494" Target="https://books.google.com/books/about/Republic{\_}com.html?id=O7AG9TxDJdgC" TargetMode="External" /><Relationship Type="http://schemas.openxmlformats.org/officeDocument/2006/relationships/hyperlink" Id="rId430" Target="https://books.google.com/books/about/The{\_}Politics{\_}Of{\_}Interests.html?id=BtJMDwAAQBAJ" TargetMode="External" /><Relationship Type="http://schemas.openxmlformats.org/officeDocument/2006/relationships/hyperlink" Id="rId426" Target="https://books.google.com/books/about/The{\_}Public{\_}Congress.html?id=yD9OYgEACAAJ" TargetMode="External" /><Relationship Type="http://schemas.openxmlformats.org/officeDocument/2006/relationships/hyperlink" Id="rId361"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396"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05" Target="https://books.google.com/books?id=36bgO4FaOEoC{\&amp;}lr={\&amp;}source=gbs{\_}navlinks{\_}s" TargetMode="External" /><Relationship Type="http://schemas.openxmlformats.org/officeDocument/2006/relationships/hyperlink" Id="rId384" Target="https://books.google.com/books?id=8PIWAwAAQBAJ" TargetMode="External" /><Relationship Type="http://schemas.openxmlformats.org/officeDocument/2006/relationships/hyperlink" Id="rId498" Target="https://books.google.com/books?id=9K5fdvfmGREC{\&amp;}dq=verba+and+nie+participation+in+america{\&amp;}lr={\&amp;}source=gbs{\_}navlinks{\_}s" TargetMode="External" /><Relationship Type="http://schemas.openxmlformats.org/officeDocument/2006/relationships/hyperlink" Id="rId459" Target="https://books.google.com/books?id=bmSmcDo3kPoC{\&amp;}dq=info:3Iw8O7WHdEEJ:scholar.google.com{\&amp;}lr={\&amp;}source=gbs{\_}navlinks{\_}s" TargetMode="External" /><Relationship Type="http://schemas.openxmlformats.org/officeDocument/2006/relationships/hyperlink" Id="rId170" Target="https://docs.google.com/document/d/1o1hi0z9O-G9xsgkspOFG2VWzh0wQKjiezzoVpItaCxU/edit?usp=sharing" TargetMode="External" /><Relationship Type="http://schemas.openxmlformats.org/officeDocument/2006/relationships/hyperlink" Id="rId487" Target="https://doi.org/10.1007/s11077-007-9051-x" TargetMode="External" /><Relationship Type="http://schemas.openxmlformats.org/officeDocument/2006/relationships/hyperlink" Id="rId369" Target="https://doi.org/10.1017/S0003055415000246" TargetMode="External" /><Relationship Type="http://schemas.openxmlformats.org/officeDocument/2006/relationships/hyperlink" Id="rId371" Target="https://doi.org/10.1017/S0022381608081012" TargetMode="External" /><Relationship Type="http://schemas.openxmlformats.org/officeDocument/2006/relationships/hyperlink" Id="rId423" Target="https://doi.org/10.1017/S0143814X07000608" TargetMode="External" /><Relationship Type="http://schemas.openxmlformats.org/officeDocument/2006/relationships/hyperlink" Id="rId354" Target="https://doi.org/10.1017/S0143814X16000106" TargetMode="External" /><Relationship Type="http://schemas.openxmlformats.org/officeDocument/2006/relationships/hyperlink" Id="rId467" Target="https://doi.org/10.1017/S0143814X17000216" TargetMode="External" /><Relationship Type="http://schemas.openxmlformats.org/officeDocument/2006/relationships/hyperlink" Id="rId465" Target="https://doi.org/10.1017/S1049096519000520" TargetMode="External" /><Relationship Type="http://schemas.openxmlformats.org/officeDocument/2006/relationships/hyperlink" Id="rId359" Target="https://doi.org/10.1017/S1537592714001595" TargetMode="External" /><Relationship Type="http://schemas.openxmlformats.org/officeDocument/2006/relationships/hyperlink" Id="rId454" Target="https://doi.org/10.1017/s0022381611001599" TargetMode="External" /><Relationship Type="http://schemas.openxmlformats.org/officeDocument/2006/relationships/hyperlink" Id="rId306" Target="https://doi.org/10.1080/08913810608443650" TargetMode="External" /><Relationship Type="http://schemas.openxmlformats.org/officeDocument/2006/relationships/hyperlink" Id="rId412" Target="https://doi.org/10.1086/709436" TargetMode="External" /><Relationship Type="http://schemas.openxmlformats.org/officeDocument/2006/relationships/hyperlink" Id="rId436" Target="https://doi.org/10.1093" TargetMode="External" /><Relationship Type="http://schemas.openxmlformats.org/officeDocument/2006/relationships/hyperlink" Id="rId321" Target="https://doi.org/10.1093/acprof:oso/9780199891702.001.0001" TargetMode="External" /><Relationship Type="http://schemas.openxmlformats.org/officeDocument/2006/relationships/hyperlink" Id="rId346" Target="https://doi.org/10.1093/jleo/6.special_issue.1" TargetMode="External" /><Relationship Type="http://schemas.openxmlformats.org/officeDocument/2006/relationships/hyperlink" Id="rId352" Target="https://doi.org/10.1093/jopart/mui022" TargetMode="External" /><Relationship Type="http://schemas.openxmlformats.org/officeDocument/2006/relationships/hyperlink" Id="rId524" Target="https://doi.org/10.1093/jopart/mui042" TargetMode="External" /><Relationship Type="http://schemas.openxmlformats.org/officeDocument/2006/relationships/hyperlink" Id="rId526" Target="https://doi.org/10.1093/jopart/mur061" TargetMode="External" /><Relationship Type="http://schemas.openxmlformats.org/officeDocument/2006/relationships/hyperlink" Id="rId513" Target="https://doi.org/10.1093/jopart/mus028" TargetMode="External" /><Relationship Type="http://schemas.openxmlformats.org/officeDocument/2006/relationships/hyperlink" Id="rId528" Target="https://doi.org/10.1093/jopart/muu007" TargetMode="External" /><Relationship Type="http://schemas.openxmlformats.org/officeDocument/2006/relationships/hyperlink" Id="rId350" Target="https://doi.org/10.1093/oxfordjournals.jpart.a024373" TargetMode="External" /><Relationship Type="http://schemas.openxmlformats.org/officeDocument/2006/relationships/hyperlink" Id="rId323" Target="https://doi.org/10.1111/1475-6765.12012" TargetMode="External" /><Relationship Type="http://schemas.openxmlformats.org/officeDocument/2006/relationships/hyperlink" Id="rId299" Target="https://doi.org/10.1111/ajps.12066" TargetMode="External" /><Relationship Type="http://schemas.openxmlformats.org/officeDocument/2006/relationships/hyperlink" Id="rId332" Target="https://doi.org/10.1111/ajps.12188" TargetMode="External" /><Relationship Type="http://schemas.openxmlformats.org/officeDocument/2006/relationships/hyperlink" Id="rId519" Target="https://doi.org/10.1111/j.1468-2508.2006.00375.x" TargetMode="External" /><Relationship Type="http://schemas.openxmlformats.org/officeDocument/2006/relationships/hyperlink" Id="rId521" Target="https://doi.org/10.1111/j.1748-5991.2009.01051.x" TargetMode="External" /><Relationship Type="http://schemas.openxmlformats.org/officeDocument/2006/relationships/hyperlink" Id="rId421" Target="https://doi.org/10.1111/lsq.12138" TargetMode="External" /><Relationship Type="http://schemas.openxmlformats.org/officeDocument/2006/relationships/hyperlink" Id="rId452" Target="https://doi.org/10.1111/psq.12417" TargetMode="External" /><Relationship Type="http://schemas.openxmlformats.org/officeDocument/2006/relationships/hyperlink" Id="rId530" Target="https://doi.org/10.1146/annurev-polisci-050817-092302" TargetMode="External" /><Relationship Type="http://schemas.openxmlformats.org/officeDocument/2006/relationships/hyperlink" Id="rId434" Target="https://doi.org/10.1146/annurev-polisci-052615" TargetMode="External" /><Relationship Type="http://schemas.openxmlformats.org/officeDocument/2006/relationships/hyperlink" Id="rId378" Target="https://doi.org/10.1146/annurev-polisci-070910-104051" TargetMode="External" /><Relationship Type="http://schemas.openxmlformats.org/officeDocument/2006/relationships/hyperlink" Id="rId432" Target="https://doi.org/10.1146/annurev.polisci.3.1.449" TargetMode="External" /><Relationship Type="http://schemas.openxmlformats.org/officeDocument/2006/relationships/hyperlink" Id="rId273" Target="https://doi.org/10.1146/annurev.soc.30.012703.110542" TargetMode="External" /><Relationship Type="http://schemas.openxmlformats.org/officeDocument/2006/relationships/hyperlink" Id="rId445" Target="https://doi.org/10.1146/annurev.soc.30.012703.110545" TargetMode="External" /><Relationship Type="http://schemas.openxmlformats.org/officeDocument/2006/relationships/hyperlink" Id="rId285" Target="https://doi.org/10.1177/0093650218808186" TargetMode="External" /><Relationship Type="http://schemas.openxmlformats.org/officeDocument/2006/relationships/hyperlink" Id="rId511" Target="https://doi.org/10.1177/0095399709339013" TargetMode="External" /><Relationship Type="http://schemas.openxmlformats.org/officeDocument/2006/relationships/hyperlink" Id="rId313" Target="https://doi.org/10.1177/0095399715581040" TargetMode="External" /><Relationship Type="http://schemas.openxmlformats.org/officeDocument/2006/relationships/hyperlink" Id="rId348" Target="https://doi.org/10.1177/009539979702900304" TargetMode="External" /><Relationship Type="http://schemas.openxmlformats.org/officeDocument/2006/relationships/hyperlink" Id="rId330" Target="https://doi.org/10.1332/174426514X13990325021128" TargetMode="External" /><Relationship Type="http://schemas.openxmlformats.org/officeDocument/2006/relationships/hyperlink" Id="rId280" Target="https://doi.org/10.1515/9781400822485" TargetMode="External" /><Relationship Type="http://schemas.openxmlformats.org/officeDocument/2006/relationships/hyperlink" Id="rId443" Target="https://doi.org/10.2139/ssrn.1486272" TargetMode="External" /><Relationship Type="http://schemas.openxmlformats.org/officeDocument/2006/relationships/hyperlink" Id="rId463" Target="https://doi.org/10.2139/ssrn.2759117" TargetMode="External" /><Relationship Type="http://schemas.openxmlformats.org/officeDocument/2006/relationships/hyperlink" Id="rId479" Target="https://doi.org/10.2307/1949637" TargetMode="External" /><Relationship Type="http://schemas.openxmlformats.org/officeDocument/2006/relationships/hyperlink" Id="rId417" Target="https://doi.org/10.2307/2009452" TargetMode="External" /><Relationship Type="http://schemas.openxmlformats.org/officeDocument/2006/relationships/hyperlink" Id="rId328" Target="https://doi.org/10.2307/2111603" TargetMode="External" /><Relationship Type="http://schemas.openxmlformats.org/officeDocument/2006/relationships/hyperlink" Id="rId277" Target="https://doi.org/10.2307/2585488" TargetMode="External" /><Relationship Type="http://schemas.openxmlformats.org/officeDocument/2006/relationships/hyperlink" Id="rId289" Target="https://doi.org/10.33774/apsa-2020-k78wc" TargetMode="External" /><Relationship Type="http://schemas.openxmlformats.org/officeDocument/2006/relationships/hyperlink" Id="rId326"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08" Target="https://goo.gl/L6aKk4" TargetMode="External" /><Relationship Type="http://schemas.openxmlformats.org/officeDocument/2006/relationships/hyperlink" Id="rId171" Target="https://judgelord.github.io/dissertation/influence_coding_examples.pdf" TargetMode="External" /><Relationship Type="http://schemas.openxmlformats.org/officeDocument/2006/relationships/hyperlink" Id="rId196" Target="https://judgelord.github.io/research/ej/" TargetMode="External" /><Relationship Type="http://schemas.openxmlformats.org/officeDocument/2006/relationships/hyperlink" Id="rId403" Target="https://libgober.files.wordpress.com/2018/09/what-biased-rulemaking-looks-like.pdf" TargetMode="External" /><Relationship Type="http://schemas.openxmlformats.org/officeDocument/2006/relationships/hyperlink" Id="rId308" Target="https://mountainscholar.org/bitstream/handle/10217/181399/Cook{\_}colostate{\_}0053A14127.pdf?sequence=1" TargetMode="External" /><Relationship Type="http://schemas.openxmlformats.org/officeDocument/2006/relationships/hyperlink" Id="rId502" Target="https://papers.ssrn.com/sol3/papers.cfm?abstract{\_}id=1531243" TargetMode="External" /><Relationship Type="http://schemas.openxmlformats.org/officeDocument/2006/relationships/hyperlink" Id="rId338" Target="https://papers.ssrn.com/sol3/papers.cfm?abstract{\_}id=1702491" TargetMode="External" /><Relationship Type="http://schemas.openxmlformats.org/officeDocument/2006/relationships/hyperlink" Id="rId441" Target="https://papers.ssrn.com/sol3/papers.cfm?abstract{\_}id=1860193" TargetMode="External" /><Relationship Type="http://schemas.openxmlformats.org/officeDocument/2006/relationships/hyperlink" Id="rId447" Target="https://papers.ssrn.com/sol3/papers.cfm?abstract{\_}id=2444396" TargetMode="External" /><Relationship Type="http://schemas.openxmlformats.org/officeDocument/2006/relationships/hyperlink" Id="rId485" Target="https://papers.ssrn.com/sol3/papers.cfm?abstract{\_}id=2662504" TargetMode="External" /><Relationship Type="http://schemas.openxmlformats.org/officeDocument/2006/relationships/hyperlink" Id="rId342" Target="https://papers.ssrn.com/sol3/papers.cfm?abstract{\_}id=2841374" TargetMode="External" /><Relationship Type="http://schemas.openxmlformats.org/officeDocument/2006/relationships/hyperlink" Id="rId475" Target="https://papers.ssrn.com/sol3/papers.cfm?abstract{\_}id=571127" TargetMode="External" /><Relationship Type="http://schemas.openxmlformats.org/officeDocument/2006/relationships/hyperlink" Id="rId400" Target="https://press.princeton.edu/titles/6254.html" TargetMode="External" /><Relationship Type="http://schemas.openxmlformats.org/officeDocument/2006/relationships/hyperlink" Id="rId382" Target="https://press.princeton.edu/titles/7656.html" TargetMode="External" /><Relationship Type="http://schemas.openxmlformats.org/officeDocument/2006/relationships/hyperlink" Id="rId500" Target="https://scholarship.law.duke.edu/cgi/viewcontent.cgi?referer=https://www.google.com/{\&amp;}httpsredir=1{\&amp;}article=1463{\&amp;}context=dlj" TargetMode="External" /><Relationship Type="http://schemas.openxmlformats.org/officeDocument/2006/relationships/hyperlink" Id="rId439" Target="https://scholarworks.wmich.edu/jssw/vol34/iss3/9" TargetMode="External" /><Relationship Type="http://schemas.openxmlformats.org/officeDocument/2006/relationships/hyperlink" Id="rId344" Target="https://ssrn.com/abstract=3787704" TargetMode="External" /><Relationship Type="http://schemas.openxmlformats.org/officeDocument/2006/relationships/hyperlink" Id="rId477" Target="https://www.acus.gov/report/public-engagement-rulemaking-draft-report" TargetMode="External" /><Relationship Type="http://schemas.openxmlformats.org/officeDocument/2006/relationships/hyperlink" Id="rId271" Target="https://www.acus.gov/sites/default/files/documents/ACUS Recommendations Packet.pdf" TargetMode="External" /><Relationship Type="http://schemas.openxmlformats.org/officeDocument/2006/relationships/hyperlink" Id="rId515" Target="https://www.acus.gov/sites/default/files/documents/Public Engagement Draft Recommendation 9-10-18 Adam White Comments.pdf" TargetMode="External" /><Relationship Type="http://schemas.openxmlformats.org/officeDocument/2006/relationships/hyperlink" Id="rId334" Target="https://www.acus.gov/sites/default/files/documents/Public Engagement Draft Recommendation 9-10-18 Cynthia Farina Comments.pdf" TargetMode="External" /><Relationship Type="http://schemas.openxmlformats.org/officeDocument/2006/relationships/hyperlink" Id="rId282" Target="https://www.brookings.edu/book/the-new-liberalism/" TargetMode="External" /><Relationship Type="http://schemas.openxmlformats.org/officeDocument/2006/relationships/hyperlink" Id="rId461" Target="https://www.brookings.edu/research/more-than-spam-lobbying-the-epa-through-public-comment-campaigns/" TargetMode="External" /><Relationship Type="http://schemas.openxmlformats.org/officeDocument/2006/relationships/hyperlink" Id="rId496" Target="https://www.brookings.edu/research/upvoting-the-administrative-state/" TargetMode="External" /><Relationship Type="http://schemas.openxmlformats.org/officeDocument/2006/relationships/hyperlink" Id="rId364" Target="https://www.dropbox.com/s/6ydopca7mx8ugqt/Gordon-Rashin-Private-Influence-10-24.pdf?dl=0" TargetMode="External" /><Relationship Type="http://schemas.openxmlformats.org/officeDocument/2006/relationships/hyperlink" Id="rId246"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45"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3"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48" Target="https://www.regulations.gov/comment/BLM-2013-0002-5688" TargetMode="External" /><Relationship Type="http://schemas.openxmlformats.org/officeDocument/2006/relationships/hyperlink" Id="rId247" Target="https://www.regulations.gov/comment/BLM-2013-0002-5720" TargetMode="External" /><Relationship Type="http://schemas.openxmlformats.org/officeDocument/2006/relationships/hyperlink" Id="rId249" Target="https://www.regulations.gov/comment/BLM-2013-0002-5721" TargetMode="External" /><Relationship Type="http://schemas.openxmlformats.org/officeDocument/2006/relationships/hyperlink" Id="rId251"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0"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76" Target="https://www.regulations.gov/document?D=EPA-HQ-OAR-2004-0018-0211" TargetMode="External" /><Relationship Type="http://schemas.openxmlformats.org/officeDocument/2006/relationships/hyperlink" Id="rId509" Target="https://www.weact.org/" TargetMode="External" /><Relationship Type="http://schemas.openxmlformats.org/officeDocument/2006/relationships/hyperlink" Id="rId259" Target="https://www.wsj.com/articles/many-comments-critical-of-fiduciary-rule-are-fake-1514370601" TargetMode="External" /><Relationship Type="http://schemas.openxmlformats.org/officeDocument/2006/relationships/hyperlink" Id="rId275" Target="https://yalebooks.yale.edu/book/9780300025927/congress-and-bureaucracy" TargetMode="External" /><Relationship Type="http://schemas.openxmlformats.org/officeDocument/2006/relationships/hyperlink" Id="rId450"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2021-06-08T15:00:42Z</dcterms:created>
  <dcterms:modified xsi:type="dcterms:W3CDTF">2021-06-08T15:00:42Z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2021-06-08</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