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7.png" ContentType="image/png"/>
  <Override PartName="/word/media/rId216.png" ContentType="image/png"/>
  <Override PartName="/word/media/rId215.png" ContentType="image/png"/>
  <Override PartName="/word/media/rId214.png" ContentType="image/png"/>
  <Override PartName="/word/media/rId237.png" ContentType="image/png"/>
  <Override PartName="/word/media/rId236.png" ContentType="image/png"/>
  <Override PartName="/word/media/rId235.png" ContentType="image/png"/>
  <Override PartName="/word/media/rId241.png" ContentType="image/png"/>
  <Override PartName="/word/media/rId240.png" ContentType="image/png"/>
  <Override PartName="/word/media/rId99.png" ContentType="image/png"/>
  <Override PartName="/word/media/rId221.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7.png" ContentType="image/png"/>
  <Override PartName="/word/media/rId154.png" ContentType="image/png"/>
  <Override PartName="/word/media/rId166.png" ContentType="image/png"/>
  <Override PartName="/word/media/rId119.png" ContentType="image/png"/>
  <Override PartName="/word/media/rId233.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Steven J. Balla et al. 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2000">
        <w:r>
          <w:rPr>
            <w:rStyle w:val="Hyperlink"/>
            <w:bCs/>
            <w:b/>
          </w:rPr>
          <w:t xml:space="preserve">Golden2000?</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r>
        <w:t xml:space="preserve"> </w:t>
      </w:r>
    </w:p>
    <w:p>
      <w:pPr>
        <w:pStyle w:val="BodyText"/>
      </w:pPr>
      <w:r>
        <w:t xml:space="preserve">In civics classrooms and Norman Rockwell paintings, raising concerns to the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w:t>
      </w:r>
      <w:hyperlink w:anchor="ref-Zavestoski2006">
        <w:r>
          <w:rPr>
            <w:rStyle w:val="Hyperlink"/>
          </w:rPr>
          <w:t xml:space="preserve">Zavestoski, Shulman, and Schlosberg 2006</w:t>
        </w:r>
      </w:hyperlink>
      <w:r>
        <w:t xml:space="preserve">;</w:t>
      </w:r>
      <w:r>
        <w:t xml:space="preserve"> </w:t>
      </w:r>
      <w:hyperlink w:anchor="ref-Shane2009">
        <w:r>
          <w:rPr>
            <w:rStyle w:val="Hyperlink"/>
          </w:rPr>
          <w:t xml:space="preserve">Shane 2009</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The few studies to address the massive level of participation from the lay public tend to</w:t>
      </w:r>
      <w:r>
        <w:t xml:space="preserve"> </w:t>
      </w:r>
      <w:r>
        <w:rPr>
          <w:iCs/>
          <w:i/>
        </w:rPr>
        <w:t xml:space="preserve">compare</w:t>
      </w:r>
      <w:r>
        <w:t xml:space="preserve"> </w:t>
      </w:r>
      <w:r>
        <w:t xml:space="preserve">it (often unfavorably) to the participation of more sophisticated actors</w:t>
      </w:r>
      <w:r>
        <w:t xml:space="preserve"> </w:t>
      </w:r>
      <w:r>
        <w:t xml:space="preserve">(</w:t>
      </w:r>
      <w:hyperlink w:anchor="ref-Balla2020">
        <w:r>
          <w:rPr>
            <w:rStyle w:val="Hyperlink"/>
          </w:rPr>
          <w:t xml:space="preserve">Steven J. Balla et al. 2020</w:t>
        </w:r>
      </w:hyperlink>
      <w:r>
        <w:t xml:space="preserve">)</w:t>
      </w:r>
      <w:r>
        <w:t xml:space="preserve"> </w:t>
      </w:r>
      <w:r>
        <w:t xml:space="preserve">or suggest ways to</w:t>
      </w:r>
      <w:r>
        <w:t xml:space="preserve"> </w:t>
      </w:r>
      <w:r>
        <w:rPr>
          <w:iCs/>
          <w:i/>
        </w:rPr>
        <w:t xml:space="preserve">improve</w:t>
      </w:r>
      <w:r>
        <w:t xml:space="preserve"> </w:t>
      </w:r>
      <w:r>
        <w:t xml:space="preserve">the</w:t>
      </w:r>
      <w:r>
        <w:t xml:space="preserve"> </w:t>
      </w:r>
      <w:r>
        <w:t xml:space="preserve">“</w:t>
      </w:r>
      <w:r>
        <w:t xml:space="preserve">quality</w:t>
      </w:r>
      <w:r>
        <w:t xml:space="preserve">”</w:t>
      </w:r>
      <w:r>
        <w:t xml:space="preserve"> </w:t>
      </w:r>
      <w:r>
        <w:t xml:space="preserve">of citizen input, i.e. to make citizen comments more like the technical comments of professional policy influencers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Farina2011">
        <w:r>
          <w:rPr>
            <w:rStyle w:val="Hyperlink"/>
          </w:rPr>
          <w:t xml:space="preserve">Cynthia R. Farina et al.</w:t>
        </w:r>
      </w:hyperlink>
      <w:r>
        <w:t xml:space="preserve"> </w:t>
      </w:r>
      <w:r>
        <w:t xml:space="preserve">(</w:t>
      </w:r>
      <w:hyperlink w:anchor="ref-Farina2011">
        <w:r>
          <w:rPr>
            <w:rStyle w:val="Hyperlink"/>
          </w:rPr>
          <w:t xml:space="preserve">2011</w:t>
        </w:r>
      </w:hyperlink>
      <w:r>
        <w:t xml:space="preserve">)</w:t>
      </w:r>
      <w:r>
        <w:t xml:space="preserve">; Farina2012;</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w:t>
      </w:r>
      <w:r>
        <w:t xml:space="preserve"> </w:t>
      </w:r>
      <w:hyperlink w:anchor="ref-Farina2018">
        <w:r>
          <w:rPr>
            <w:rStyle w:val="Hyperlink"/>
          </w:rPr>
          <w:t xml:space="preserve">Cynthia R. Farina</w:t>
        </w:r>
      </w:hyperlink>
      <w:r>
        <w:t xml:space="preserve"> </w:t>
      </w:r>
      <w:r>
        <w:t xml:space="preserve">(</w:t>
      </w:r>
      <w:hyperlink w:anchor="ref-Farina2018">
        <w:r>
          <w:rPr>
            <w:rStyle w:val="Hyperlink"/>
          </w:rPr>
          <w:t xml:space="preserve">2018</w:t>
        </w:r>
      </w:hyperlink>
      <w:r>
        <w:t xml:space="preserve">)</w:t>
      </w:r>
      <w:r>
        <w:t xml:space="preserve">;Mendelson2011]. I argue that contrasting the quality of input from citizens and lobbying organizations is misguided. Rather, to study public participation, we must</w:t>
      </w:r>
      <w:r>
        <w:t xml:space="preserve"> </w:t>
      </w:r>
      <w:r>
        <w:rPr>
          <w:iCs/>
          <w:i/>
        </w:rPr>
        <w:t xml:space="preserve">attribute</w:t>
      </w:r>
      <w:r>
        <w:t xml:space="preserve"> </w:t>
      </w:r>
      <w:r>
        <w:t xml:space="preserve">public engagement to it broader lobbying efforts it supports.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 Comments from the lay public are neither</w:t>
      </w:r>
      <w:r>
        <w:t xml:space="preserve"> </w:t>
      </w:r>
      <w:r>
        <w:t xml:space="preserve">“</w:t>
      </w:r>
      <w:r>
        <w:t xml:space="preserve">diliberative</w:t>
      </w:r>
      <w:r>
        <w:t xml:space="preserve">”</w:t>
      </w:r>
      <w:r>
        <w:t xml:space="preserve"> </w:t>
      </w:r>
      <w:r>
        <w:t xml:space="preserve">nor</w:t>
      </w:r>
      <w:r>
        <w:t xml:space="preserve"> </w:t>
      </w:r>
      <w:r>
        <w:t xml:space="preserve">“</w:t>
      </w:r>
      <w:r>
        <w:t xml:space="preserve">spam.</w:t>
      </w:r>
      <w:r>
        <w:t xml:space="preserve">”</w:t>
      </w:r>
      <w:r>
        <w:t xml:space="preserve"> </w:t>
      </w:r>
      <w:r>
        <w:t xml:space="preserve">They are a</w:t>
      </w:r>
      <w:r>
        <w:t xml:space="preserve"> </w:t>
      </w:r>
      <w:r>
        <w:rPr>
          <w:iCs/>
          <w:i/>
        </w:rPr>
        <w:t xml:space="preserve">mobilized</w:t>
      </w:r>
      <w:r>
        <w:t xml:space="preserve"> </w:t>
      </w:r>
      <w:r>
        <w:t xml:space="preserve">part of sophisticated lobbying efforts.</w:t>
      </w:r>
    </w:p>
    <w:p>
      <w:pPr>
        <w:pStyle w:val="BodyText"/>
      </w:pPr>
      <w:r>
        <w:t xml:space="preserve">Without an accurate and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is likely more representative than the handful of political insiders who usually participate in bureaucratic policymaking.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participation to create a misleading impression of broad public support for their policy positions, it may merely legitimize the demands of the same group of powerful interest groups that would dominate without broader public participation.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Scholars trained in law tend to focus on the normative and legal import of public participation and models of policymaking and pay less attention to how groups gain and wield power</w:t>
      </w:r>
      <w:r>
        <w:t xml:space="preserve"> </w:t>
      </w:r>
      <w:r>
        <w:t xml:space="preserve">(notable exceptions include</w:t>
      </w:r>
      <w:r>
        <w:t xml:space="preserve"> </w:t>
      </w:r>
      <w:hyperlink w:anchor="ref-Coglianese2001">
        <w:r>
          <w:rPr>
            <w:rStyle w:val="Hyperlink"/>
          </w:rPr>
          <w:t xml:space="preserve">Coglianese 2001</w:t>
        </w:r>
      </w:hyperlink>
      <w:r>
        <w:t xml:space="preserve">;</w:t>
      </w:r>
      <w:r>
        <w:t xml:space="preserve"> </w:t>
      </w:r>
      <w:hyperlink w:anchor="ref-Wagner2010">
        <w:r>
          <w:rPr>
            <w:rStyle w:val="Hyperlink"/>
          </w:rPr>
          <w:t xml:space="preserve">Wendy E. Wagner 2010</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Seifter2016UCLA">
        <w:r>
          <w:rPr>
            <w:rStyle w:val="Hyperlink"/>
          </w:rPr>
          <w:t xml:space="preserve">Seifter 2016</w:t>
        </w:r>
      </w:hyperlink>
      <w:r>
        <w:t xml:space="preserve">)</w:t>
      </w:r>
      <w:r>
        <w:t xml:space="preserve">. For most political science theories, bureaucratic policymaking is open empirical terrain.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In other words, participation is overwhelming organized by relatively broad public interest groups who aim to shift rather than reinforce the typical balance of power in the policy process.</w:t>
      </w:r>
    </w:p>
    <w:p>
      <w:pPr>
        <w:pStyle w:val="BodyText"/>
      </w:pPr>
      <w:r>
        <w:t xml:space="preserve">While greater public participation means that broader interests are represented, the resources and capacity required to mobilize people constrains which type of organization can use these tactics.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public comments as both content-rich texts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 In doing so, public interest groups provide countervailing forces to business interest groups</w:t>
      </w:r>
      <w:r>
        <w:t xml:space="preserve"> </w:t>
      </w:r>
      <w:r>
        <w:t xml:space="preserve">(</w:t>
      </w:r>
      <w:hyperlink w:anchor="ref-Mansbridge1992">
        <w:r>
          <w:rPr>
            <w:rStyle w:val="Hyperlink"/>
          </w:rPr>
          <w:t xml:space="preserve">J. J. Mansbridge 1992</w:t>
        </w:r>
      </w:hyperlink>
      <w:r>
        <w:t xml:space="preserve">)</w:t>
      </w:r>
      <w:r>
        <w:t xml:space="preserve">. Policy outcomes depend on the distribution of power among interest groups</w:t>
      </w:r>
      <w:r>
        <w:t xml:space="preserve"> </w:t>
      </w:r>
      <w:r>
        <w:t xml:space="preserve">(</w:t>
      </w:r>
      <w:hyperlink w:anchor="ref-Dur2007">
        <w:r>
          <w:rPr>
            <w:rStyle w:val="Hyperlink"/>
          </w:rPr>
          <w:t xml:space="preserve">Dür and De Bièvre 2007</w:t>
        </w:r>
      </w:hyperlink>
      <w:r>
        <w:t xml:space="preserve">)</w:t>
      </w:r>
      <w:r>
        <w:t xml:space="preserve">. Engaging citizens to participate in the policy process is a common strategy for groups to gain and exercise power, and thus a major driver of civic engagement</w:t>
      </w:r>
      <w:r>
        <w:t xml:space="preserve"> </w:t>
      </w:r>
      <w:r>
        <w:t xml:space="preserve">(</w:t>
      </w:r>
      <w:hyperlink w:anchor="ref-Dur2007">
        <w:r>
          <w:rPr>
            <w:rStyle w:val="Hyperlink"/>
          </w:rPr>
          <w:t xml:space="preserve">Dür and De Bièvre 2007</w:t>
        </w:r>
      </w:hyperlink>
      <w:r>
        <w:t xml:space="preserve">;</w:t>
      </w:r>
      <w:r>
        <w:t xml:space="preserve"> </w:t>
      </w:r>
      <w:hyperlink w:anchor="ref-Mahoney2007">
        <w:r>
          <w:rPr>
            <w:rStyle w:val="Hyperlink"/>
          </w:rPr>
          <w:t xml:space="preserve">Mahoney 2007b</w:t>
        </w:r>
      </w:hyperlink>
      <w:r>
        <w:t xml:space="preserve">)</w:t>
      </w:r>
      <w:r>
        <w:t xml:space="preserve">. Conflict among pressure groups, even those representing private interests, can lead to more majoritatian policy outcomes</w:t>
      </w:r>
      <w:r>
        <w:t xml:space="preserve"> </w:t>
      </w:r>
      <w:r>
        <w:t xml:space="preserve">(</w:t>
      </w:r>
      <w:hyperlink w:anchor="ref-Yackee2009PSJ">
        <w:r>
          <w:rPr>
            <w:rStyle w:val="Hyperlink"/>
          </w:rPr>
          <w:t xml:space="preserve">S. W. Yackee 2009</w:t>
        </w:r>
      </w:hyperlink>
      <w:r>
        <w:t xml:space="preserve">)</w:t>
      </w:r>
      <w:r>
        <w:t xml:space="preserve">. Indeed, pluralist theories of democracy rely on interest groups to represent segments of the population in policymaking [</w:t>
      </w:r>
      <w:hyperlink w:anchor="ref-Dahl1958">
        <w:r>
          <w:rPr>
            <w:rStyle w:val="Hyperlink"/>
          </w:rPr>
          <w:t xml:space="preserve">R. Dahl</w:t>
        </w:r>
      </w:hyperlink>
      <w:r>
        <w:t xml:space="preserve"> </w:t>
      </w:r>
      <w:r>
        <w:t xml:space="preserve">(</w:t>
      </w:r>
      <w:hyperlink w:anchor="ref-Dahl1958">
        <w:r>
          <w:rPr>
            <w:rStyle w:val="Hyperlink"/>
          </w:rPr>
          <w:t xml:space="preserve">1958</w:t>
        </w:r>
      </w:hyperlink>
      <w:r>
        <w:t xml:space="preserve">)</w:t>
      </w:r>
      <w:r>
        <w:t xml:space="preserve">; ;Dahl1961], though they may do so poorly</w:t>
      </w:r>
      <w:r>
        <w:t xml:space="preserve"> </w:t>
      </w:r>
      <w:r>
        <w:t xml:space="preserve">(</w:t>
      </w:r>
      <w:hyperlink w:anchor="ref-McFarland2007">
        <w:r>
          <w:rPr>
            <w:rStyle w:val="Hyperlink"/>
          </w:rPr>
          <w:t xml:space="preserve">McFarland 2007</w:t>
        </w:r>
      </w:hyperlink>
      <w:r>
        <w:t xml:space="preserve">;</w:t>
      </w:r>
      <w:r>
        <w:t xml:space="preserve"> </w:t>
      </w:r>
      <w:hyperlink w:anchor="ref-Seifter2016UCLA">
        <w:r>
          <w:rPr>
            <w:rStyle w:val="Hyperlink"/>
          </w:rPr>
          <w:t xml:space="preserve">Seifter 2016</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may only learn about the issue and take a position as a result of a public pressure campaign. Likewise, elected</w:t>
      </w:r>
      <w:r>
        <w:t xml:space="preserve"> </w:t>
      </w:r>
      <w:r>
        <w:t xml:space="preserve">officials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can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offers another model of aggregation, where numerical minorities could still make a case of quantitative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and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 a figure that presumably includes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of how broadly their claims resonate</w:t>
      </w:r>
      <w:r>
        <w:t xml:space="preserve"> </w:t>
      </w:r>
      <w:r>
        <w:t xml:space="preserve">until potentially attentive segments of the public are engaged. A large amount of support may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learn that an organization provided false political information. One observable implication is that astroturf campaigns will often be anonymous or led by organizations that do not also engage in sophisticated lobbying. This may provide sophisticated lobbying organizations plausible deniability. However, because policymakers may rationally discount petitions submitted anonymously or by groups perceived to lack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Raso and Kraus</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f0437b7a-74e9-4d7c-a011-999d3069b63a" w:name="tab:dockets"/>
      <w:r>
        <w:t xml:space="preserve">Rulemaking Dockets by Number of Comments on regulations.gov, 2005-2020</w:t>
      </w:r>
      <w:bookmarkEnd w:id="f0437b7a-74e9-4d7c-a011-999d3069b63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 Both public and private interest groups pay for mobilizing services and software. Some providers are non-profits (e.g. Care2); others are for-profit lobbying and campaign consultants (e.g. Nationbuilder, SoftEdge, Mandate Media). Most of these services have strong partisan ties, as is generally the case with lobbying firms</w:t>
      </w:r>
      <w:r>
        <w:t xml:space="preserve"> </w:t>
      </w:r>
      <w:r>
        <w:t xml:space="preserve">(</w:t>
      </w:r>
      <w:hyperlink w:anchor="ref-Furnas2017">
        <w:r>
          <w:rPr>
            <w:rStyle w:val="Hyperlink"/>
          </w:rPr>
          <w:t xml:space="preserve">Furnas, Heaney, and LaPira 2017</w:t>
        </w:r>
      </w:hyperlink>
      <w:r>
        <w:t xml:space="preserve">)</w:t>
      </w:r>
      <w:r>
        <w:t xml:space="preserve">.</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p>
    <w:p>
      <w:pPr>
        <w:pStyle w:val="BodyText"/>
      </w:pP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0c31cec5-8371-4be2-a76c-de84a776c96e" w:name="tab:toporgs"/>
      <w:r>
        <w:t xml:space="preserve">Organizations Mobilizing the Most Public Comments 2005-2020</w:t>
      </w:r>
      <w:bookmarkEnd w:id="0c31cec5-8371-4be2-a76c-de84a776c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7"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public pressure as a tactic</w:t>
      </w:r>
      <w:r>
        <w:t xml:space="preserve"> </w:t>
      </w:r>
      <w:r>
        <w:t xml:space="preserve">(see</w:t>
      </w:r>
      <w:r>
        <w:t xml:space="preserve"> </w:t>
      </w:r>
      <w:hyperlink w:anchor="ref-Yackee2019">
        <w:r>
          <w:rPr>
            <w:rStyle w:val="Hyperlink"/>
          </w:rPr>
          <w:t xml:space="preserve">S. W. Yackee 2019</w:t>
        </w:r>
      </w:hyperlink>
      <w:r>
        <w:t xml:space="preserve"> </w:t>
      </w:r>
      <w:r>
        <w:t xml:space="preserve">for a recent review)</w:t>
      </w:r>
      <w:r>
        <w:t xml:space="preserve">. Conversely, studies of public pressure rarely include specific policy outcomes as their dependent variable [</w:t>
      </w:r>
      <w:r>
        <w:t xml:space="preserve">(</w:t>
      </w:r>
      <w:hyperlink w:anchor="ref-Burnstein2019">
        <w:r>
          <w:rPr>
            <w:rStyle w:val="Hyperlink"/>
            <w:bCs/>
            <w:b/>
          </w:rPr>
          <w:t xml:space="preserve">Burnstein2019?</w:t>
        </w:r>
      </w:hyperlink>
      <w:r>
        <w:t xml:space="preserve">)</w:t>
      </w:r>
      <w:r>
        <w:t xml:space="preserve">. When they do, they tend to focus on landmark legislation</w:t>
      </w:r>
      <w:r>
        <w:t xml:space="preserve"> </w:t>
      </w:r>
      <w:r>
        <w:t xml:space="preserve">(e.g.</w:t>
      </w:r>
      <w:r>
        <w:t xml:space="preserve"> </w:t>
      </w:r>
      <w:hyperlink w:anchor="ref-Gillion2013">
        <w:r>
          <w:rPr>
            <w:rStyle w:val="Hyperlink"/>
          </w:rPr>
          <w:t xml:space="preserve">Gillion 2013</w:t>
        </w:r>
      </w:hyperlink>
      <w:r>
        <w:t xml:space="preserve">)</w:t>
      </w:r>
      <w:r>
        <w:t xml:space="preserve"> </w:t>
      </w:r>
      <w:r>
        <w:t xml:space="preserve">or a few illustrative cases</w:t>
      </w:r>
      <w:r>
        <w:t xml:space="preserve"> </w:t>
      </w:r>
      <w:r>
        <w:t xml:space="preserve">(</w:t>
      </w:r>
      <w:hyperlink w:anchor="ref-Mansbridge1992">
        <w:r>
          <w:rPr>
            <w:rStyle w:val="Hyperlink"/>
          </w:rPr>
          <w:t xml:space="preserve">J. J. Mansbridge 1992</w:t>
        </w:r>
      </w:hyperlink>
      <w:r>
        <w:t xml:space="preserve">;</w:t>
      </w:r>
      <w:r>
        <w:t xml:space="preserve"> </w:t>
      </w:r>
      <w:hyperlink w:anchor="ref-Rochon1993">
        <w:r>
          <w:rPr>
            <w:rStyle w:val="Hyperlink"/>
          </w:rPr>
          <w:t xml:space="preserve">Rochon and Mazmanian 1993</w:t>
        </w:r>
      </w:hyperlink>
      <w:r>
        <w:t xml:space="preserve">;</w:t>
      </w:r>
      <w:r>
        <w:t xml:space="preserve"> </w:t>
      </w:r>
      <w:hyperlink w:anchor="ref-Yackee2009PSJ">
        <w:r>
          <w:rPr>
            <w:rStyle w:val="Hyperlink"/>
          </w:rPr>
          <w:t xml:space="preserve">S. W. Yackee 2009</w:t>
        </w:r>
      </w:hyperlink>
      <w:r>
        <w:t xml:space="preserve">)</w:t>
      </w:r>
      <w:r>
        <w:t xml:space="preserve">.</w:t>
      </w:r>
    </w:p>
    <w:bookmarkStart w:id="143" w:name="interest-group-influence"/>
    <w:p>
      <w:pPr>
        <w:pStyle w:val="Heading3"/>
      </w:pPr>
      <w:r>
        <w:rPr>
          <w:rStyle w:val="SectionNumber"/>
        </w:rPr>
        <w:t xml:space="preserve">3.1.1</w:t>
      </w:r>
      <w:r>
        <w:tab/>
      </w:r>
      <w:r>
        <w:t xml:space="preserve">Interest Group Influence</w:t>
      </w:r>
    </w:p>
    <w:p>
      <w:pPr>
        <w:pStyle w:val="FirstParagraph"/>
      </w:pPr>
      <w:r>
        <w:t xml:space="preserve">Interest groups–particularly the distinction between those that represent broad and narrow interests–foundational scholarship in both American politics</w:t>
      </w:r>
      <w:r>
        <w:t xml:space="preserve"> </w:t>
      </w:r>
      <w:r>
        <w:t xml:space="preserve">(</w:t>
      </w:r>
      <w:hyperlink w:anchor="ref-Lowi1969">
        <w:r>
          <w:rPr>
            <w:rStyle w:val="Hyperlink"/>
          </w:rPr>
          <w:t xml:space="preserve">T. Lowi 1969</w:t>
        </w:r>
      </w:hyperlink>
      <w:r>
        <w:t xml:space="preserve"> </w:t>
      </w:r>
      <w:r>
        <w:t xml:space="preserve">)</w:t>
      </w:r>
      <w:r>
        <w:t xml:space="preserve"> </w:t>
      </w:r>
      <w:r>
        <w:t xml:space="preserve">and bureaucracy.</w:t>
      </w:r>
      <w:r>
        <w:t xml:space="preserve"> </w:t>
      </w:r>
      <w:r>
        <w:t xml:space="preserve">Wilson’s famous typology of government agencies is fundamentally linked to the kinds of interest group pressures agencies may face. For example a client agency, formed to support a sector of activity will deal with narrow groups while a regulatory agency may struggle to persist if the broad-based public interest groups that support it loses power.</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p>
      <w:pPr>
        <w:pStyle w:val="BlockText"/>
      </w:pPr>
      <w:r>
        <w:t xml:space="preserve">SECOND WILSON QUOTE</w:t>
      </w:r>
    </w:p>
    <w:p>
      <w:pPr>
        <w:pStyle w:val="FirstParagraph"/>
      </w:pPr>
      <w:r>
        <w:t xml:space="preserve">For studies attempting to study interest group influence, measuring lobbying success is a major challenge</w:t>
      </w:r>
      <w:r>
        <w:t xml:space="preserve"> </w:t>
      </w:r>
      <w:hyperlink w:anchor="ref-Rashin2017">
        <w:r>
          <w:rPr>
            <w:rStyle w:val="Hyperlink"/>
          </w:rPr>
          <w:t xml:space="preserve">Rashin</w:t>
        </w:r>
      </w:hyperlink>
      <w:r>
        <w:t xml:space="preserve"> </w:t>
      </w:r>
      <w:r>
        <w:t xml:space="preserve">(</w:t>
      </w:r>
      <w:hyperlink w:anchor="ref-Rashin2017">
        <w:r>
          <w:rPr>
            <w:rStyle w:val="Hyperlink"/>
          </w:rPr>
          <w:t xml:space="preserve">2017</w:t>
        </w:r>
      </w:hyperlink>
      <w:r>
        <w:t xml:space="preserve">)</w:t>
      </w:r>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8"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amends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scholarship on interest group lobbying in bureaucratic policymaking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w:t>
      </w:r>
      <w:r>
        <w:t xml:space="preserve"> </w:t>
      </w:r>
      <w:r>
        <w:t xml:space="preserve">(</w:t>
      </w:r>
      <w:hyperlink w:anchor="ref-Harter">
        <w:r>
          <w:rPr>
            <w:rStyle w:val="Hyperlink"/>
            <w:bCs/>
            <w:b/>
          </w:rPr>
          <w:t xml:space="preserve">Harter?</w:t>
        </w:r>
      </w:hyperlink>
      <w:r>
        <w:t xml:space="preserve">;</w:t>
      </w:r>
      <w:r>
        <w:t xml:space="preserve"> </w:t>
      </w:r>
      <w:hyperlink w:anchor="ref-Chubb1983">
        <w:r>
          <w:rPr>
            <w:rStyle w:val="Hyperlink"/>
            <w:bCs/>
            <w:b/>
          </w:rPr>
          <w:t xml:space="preserve">Chubb1983?</w:t>
        </w:r>
      </w:hyperlink>
      <w:r>
        <w:t xml:space="preserve">;</w:t>
      </w:r>
      <w:r>
        <w:t xml:space="preserve"> </w:t>
      </w:r>
      <w:hyperlink w:anchor="ref-West2004">
        <w:r>
          <w:rPr>
            <w:rStyle w:val="Hyperlink"/>
          </w:rPr>
          <w:t xml:space="preserve">West 2004</w:t>
        </w:r>
      </w:hyperlink>
      <w:r>
        <w:t xml:space="preserve">)</w:t>
      </w:r>
      <w:r>
        <w:t xml:space="preserve">, the public portion of the policy process begins when the draft is officially published. As the agency finalizes a proposed rule, organized groups’ latent policy preferences take the form of concrete demands for changes to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 The Politics of Rulemaking</w:t>
      </w:r>
      <w:r>
        <w:t xml:space="preserve"> </w:t>
      </w:r>
      <w:r>
        <w:t xml:space="preserve">(</w:t>
      </w:r>
      <w:hyperlink w:anchor="ref-Yackee2019">
        <w:r>
          <w:rPr>
            <w:rStyle w:val="Hyperlink"/>
          </w:rPr>
          <w:t xml:space="preserve">S. W. Yackee 2019</w:t>
        </w:r>
      </w:hyperlink>
      <w:r>
        <w:t xml:space="preserve">)</w:t>
      </w:r>
      <w:r>
        <w:t xml:space="preserve"> </w:t>
      </w:r>
      <w:r>
        <w:t xml:space="preserve">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individually, but as a result of public pressure campaigns.</w:t>
      </w:r>
    </w:p>
    <w:p>
      <w:pPr>
        <w:pStyle w:val="BodyText"/>
      </w:pPr>
      <w:r>
        <w:t xml:space="preserve">Two published studies have looked at the relationship between public pressure campaigns and policy outcomes in agency rulemaking.</w:t>
      </w:r>
      <w:r>
        <w:t xml:space="preserve"> </w:t>
      </w:r>
      <w:hyperlink w:anchor="ref-Shapiro2008b">
        <w:r>
          <w:rPr>
            <w:rStyle w:val="Hyperlink"/>
          </w:rPr>
          <w:t xml:space="preserve">Shapiro</w:t>
        </w:r>
      </w:hyperlink>
      <w:r>
        <w:t xml:space="preserve"> </w:t>
      </w:r>
      <w:r>
        <w:t xml:space="preserve">(</w:t>
      </w:r>
      <w:hyperlink w:anchor="ref-Shapiro2008b">
        <w:r>
          <w:rPr>
            <w:rStyle w:val="Hyperlink"/>
          </w:rPr>
          <w:t xml:space="preserve">2008</w:t>
        </w:r>
      </w:hyperlink>
      <w:r>
        <w:t xml:space="preserve">)</w:t>
      </w:r>
      <w:r>
        <w:t xml:space="preserve"> </w:t>
      </w:r>
      <w:r>
        <w:t xml:space="preserve">investigates whether the number of public comments relates to the time between draft and final rule. With only nine observations, this study was unable to uncover general patterns.</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study 22 Environmental Protection Agency Rules and identify 1,049</w:t>
      </w:r>
      <w:r>
        <w:t xml:space="preserve"> </w:t>
      </w:r>
      <w:r>
        <w:t xml:space="preserve">“</w:t>
      </w:r>
      <w:r>
        <w:t xml:space="preserve">campaigns</w:t>
      </w:r>
      <w:r>
        <w:t xml:space="preserve">”</w:t>
      </w:r>
      <w:r>
        <w:t xml:space="preserve"> </w:t>
      </w:r>
      <w:r>
        <w:t xml:space="preserve">on these rules–here a</w:t>
      </w:r>
      <w:r>
        <w:t xml:space="preserve"> </w:t>
      </w:r>
      <w:r>
        <w:t xml:space="preserve">“</w:t>
      </w:r>
      <w:r>
        <w:t xml:space="preserve">campaign</w:t>
      </w:r>
      <w:r>
        <w:t xml:space="preserve">”</w:t>
      </w:r>
      <w:r>
        <w:t xml:space="preserve"> </w:t>
      </w:r>
      <w:r>
        <w:t xml:space="preserve">means a batch of form letter comments associated with organization, which they code as</w:t>
      </w:r>
      <w:r>
        <w:t xml:space="preserve"> </w:t>
      </w:r>
      <w:r>
        <w:t xml:space="preserve">“</w:t>
      </w:r>
      <w:r>
        <w:t xml:space="preserve">regulated</w:t>
      </w:r>
      <w:r>
        <w:t xml:space="preserve">”</w:t>
      </w:r>
      <w:r>
        <w:t xml:space="preserve"> </w:t>
      </w:r>
      <w:r>
        <w:t xml:space="preserve">(e.g. a power plant) or a</w:t>
      </w:r>
      <w:r>
        <w:t xml:space="preserve"> </w:t>
      </w:r>
      <w:r>
        <w:t xml:space="preserve">“</w:t>
      </w:r>
      <w:r>
        <w:t xml:space="preserve">regulatory beneficiary</w:t>
      </w:r>
      <w:r>
        <w:t xml:space="preserve">”</w:t>
      </w:r>
      <w:r>
        <w:t xml:space="preserve"> </w:t>
      </w:r>
      <w:r>
        <w:t xml:space="preserve">(e.g. environmental groups). They find that the agency was more likely to reference the more sophisticated comments that groups submit than form letters. They also find that several types of observed policy changes (e.g. changes in the number of regulated entities and date the rule goes into effect) better align with changes requested by sophisticated interest group comments than those found in form letters. They conclude:</w:t>
      </w:r>
    </w:p>
    <w:p>
      <w:pPr>
        <w:pStyle w:val="BlockText"/>
      </w:pPr>
      <w:r>
        <w:t xml:space="preserve">These patterns suggest that legal imperatives trump political considerations in conditioning agency responsiveness, given that mass comment campaigns – relative to other comments – generally contain little</w:t>
      </w:r>
      <w:r>
        <w:t xml:space="preserve"> </w:t>
      </w:r>
      <w:r>
        <w:t xml:space="preserve">“</w:t>
      </w:r>
      <w:r>
        <w:t xml:space="preserve">relevant matter.</w:t>
      </w:r>
      <w:r>
        <w:t xml:space="preserve">”</w:t>
      </w:r>
    </w:p>
    <w:p>
      <w:pPr>
        <w:pStyle w:val="FirstParagraph"/>
      </w:pPr>
      <w:r>
        <w:t xml:space="preserve">While</w:t>
      </w:r>
      <w:r>
        <w:t xml:space="preserve"> </w:t>
      </w:r>
      <w:r>
        <w:t xml:space="preserve">(</w:t>
      </w:r>
      <w:hyperlink w:anchor="ref-Balla2002">
        <w:r>
          <w:rPr>
            <w:rStyle w:val="Hyperlink"/>
            <w:bCs/>
            <w:b/>
          </w:rPr>
          <w:t xml:space="preserve">Balla2002?</w:t>
        </w:r>
      </w:hyperlink>
      <w:r>
        <w:t xml:space="preserve">)</w:t>
      </w:r>
      <w:r>
        <w:t xml:space="preserve"> </w:t>
      </w:r>
      <w:r>
        <w:t xml:space="preserve">recognize the political nature of public pressure campaign, they follow many of the administrative law scholars in comparing form letters to sophisticated technical comments. For example, their model compares the number of times the agency references the lengthy comments drafted by the Sierra Club’s Legal Team to the number of times the agency references the short form letters drafted by the Sierra Club’s Digital Team. In contrast, I argue that we should understand the form letters as a tactic aimed at gaining power for coalitions and organizations that also submit sophisticated technical comments. Public pressure is not an alternative to sophisticated lobbying efforts, it is a resource.</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The direct path to influence involves persuading agency officials. 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The indirect pathway involves engaging elected officials, who then influence agency’s policy responses.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odyText"/>
      </w:pPr>
      <w:r>
        <w:t xml:space="preserve">&lt;1–</w:t>
      </w:r>
      <w:r>
        <w:t xml:space="preserve"> </w:t>
      </w:r>
      <w:r>
        <w:t xml:space="preserve">&gt; TODO: more theorizing and literature development on the direct lobbying link.</w:t>
      </w:r>
    </w:p>
    <w:p>
      <w:pPr>
        <w:pStyle w:val="BodyText"/>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expect to observe mass mobilization influencing a particular policy only if the mobilization effort was aimed at influencing that policy, rather than using the public comment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odyText"/>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Congressional attention is not just</w:t>
      </w:r>
      <w:r>
        <w:t xml:space="preserve"> </w:t>
      </w:r>
      <w:r>
        <w:t xml:space="preserve">“</w:t>
      </w:r>
      <w:r>
        <w:t xml:space="preserve">fire alarm</w:t>
      </w:r>
      <w:r>
        <w:t xml:space="preserve">”</w:t>
      </w:r>
      <w:r>
        <w:t xml:space="preserve"> </w:t>
      </w:r>
      <w:r>
        <w:t xml:space="preserve">oversight. Like interest groups, the comments of members of Congeress often support proposed rules.</w:t>
      </w:r>
      <w:r>
        <w:t xml:space="preserve"> </w:t>
      </w:r>
      <w:r>
        <w:t xml:space="preserve">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w:t>
      </w:r>
    </w:p>
    <w:p>
      <w:pPr>
        <w:pStyle w:val="BodyText"/>
      </w:pPr>
      <w:r>
        <w:t xml:space="preserve">Public pressure campaigns may increase increase the likelihood that legislatures on both sides of the issue engage.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 Agencies may be more influenced by unified congressional opposition or support</w:t>
      </w:r>
      <w:r>
        <w:t xml:space="preserve"> </w:t>
      </w:r>
      <w:r>
        <w:t xml:space="preserve">(</w:t>
      </w:r>
      <w:hyperlink w:anchor="ref-Golden2000">
        <w:r>
          <w:rPr>
            <w:rStyle w:val="Hyperlink"/>
            <w:bCs/>
            <w:b/>
          </w:rPr>
          <w:t xml:space="preserve">Golden2000?</w:t>
        </w:r>
      </w:hyperlink>
      <w:r>
        <w:t xml:space="preserve">)</w:t>
      </w:r>
      <w:r>
        <w:t xml:space="preserve">.</w:t>
      </w:r>
      <w:r>
        <w:t xml:space="preserve"> </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Start w:id="167" w:name="influence-data"/>
    <w:p>
      <w:pPr>
        <w:pStyle w:val="Heading3"/>
      </w:pPr>
      <w:r>
        <w:rPr>
          <w:rStyle w:val="SectionNumber"/>
        </w:rPr>
        <w:t xml:space="preserve">3.2.6</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Up to 2,020-12-17, these data include 130,135</w:t>
      </w:r>
      <w:r>
        <w:t xml:space="preserve"> </w:t>
      </w:r>
      <w:r>
        <w:t xml:space="preserve">dockets,</w:t>
      </w:r>
      <w:r>
        <w:t xml:space="preserve"> </w:t>
      </w:r>
      <w:r>
        <w:t xml:space="preserve">130,135</w:t>
      </w:r>
      <w:r>
        <w:t xml:space="preserve"> </w:t>
      </w:r>
      <w:r>
        <w:t xml:space="preserve">rulemaking dockets. These dockets received</w:t>
      </w:r>
      <w:r>
        <w:t xml:space="preserve"> </w:t>
      </w:r>
      <w:r>
        <w:t xml:space="preserve">approximately 76,231,051</w:t>
      </w:r>
      <w:r>
        <w:t xml:space="preserve"> </w:t>
      </w:r>
      <w:r>
        <w:t xml:space="preserve">comments.</w:t>
      </w:r>
    </w:p>
    <w:p>
      <w:pPr>
        <w:pStyle w:val="BodyText"/>
      </w:pPr>
      <w:r>
        <w:t xml:space="preserve">The core data for this analysis are the texts of draft and final rules and public comments on these proposed rules.</w:t>
      </w:r>
      <w:r>
        <w:t xml:space="preserve"> </w:t>
      </w:r>
      <w:r>
        <w:t xml:space="preserve">This includes all proposed rules from 160 agencies that were open for comment on regulations.gov between 2005 and 2020, received at least one comment from an organization, and saw a final agency action between 2005 and 2020. These</w:t>
      </w:r>
      <w:r>
        <w:t xml:space="preserve"> </w:t>
      </w:r>
      <w:r>
        <w:t xml:space="preserve">44,583</w:t>
      </w:r>
      <w:r>
        <w:t xml:space="preserve"> </w:t>
      </w:r>
      <w:r>
        <w:t xml:space="preserve">rulemaking dockets received a total of</w:t>
      </w:r>
      <w:r>
        <w:t xml:space="preserve"> </w:t>
      </w:r>
      <w:r>
        <w:t xml:space="preserve">75,614,762</w:t>
      </w:r>
      <w:r>
        <w:t xml:space="preserve"> </w:t>
      </w:r>
      <w:r>
        <w:t xml:space="preserve">comments.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4"/>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5"/>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7"/>
    <w:bookmarkEnd w:id="168"/>
    <w:bookmarkStart w:id="189" w:name="testing-the-theory"/>
    <w:p>
      <w:pPr>
        <w:pStyle w:val="Heading2"/>
      </w:pPr>
      <w:r>
        <w:rPr>
          <w:rStyle w:val="SectionNumber"/>
        </w:rPr>
        <w:t xml:space="preserve">3.3</w:t>
      </w:r>
      <w:r>
        <w:tab/>
      </w:r>
      <w:r>
        <w:t xml:space="preserve">Testing the Theory</w:t>
      </w:r>
    </w:p>
    <w:bookmarkStart w:id="172" w:name="the-dependent-variable-lobbying-success"/>
    <w:p>
      <w:pPr>
        <w:pStyle w:val="Heading3"/>
      </w:pPr>
      <w:r>
        <w:rPr>
          <w:rStyle w:val="SectionNumber"/>
        </w:rPr>
        <w:t xml:space="preserve">3.3.1</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4,577). The average success for organizational comments with a mass comment campaign is -1.75 (N = 196).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3.3.2</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3.3.3</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3.3.4</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3.3.5</w:t>
      </w:r>
      <w:r>
        <w:tab/>
      </w:r>
      <w:r>
        <w:t xml:space="preserve">Summary Statistics for Hand-coded Data</w:t>
      </w:r>
    </w:p>
    <w:p>
      <w:pPr>
        <w:pStyle w:val="FirstParagraph"/>
      </w:pPr>
      <w:r>
        <w:t xml:space="preserve">These hand-coded data include 4,577 unique comments, some of which have identical copies for a total of 3,398,516 comments. These comments represent 291 distinct lobbying coalitions ranging in size from 2 to 217 organizations. Figure</w:t>
      </w:r>
      <w:r>
        <w:t xml:space="preserve"> </w:t>
      </w:r>
      <w:r>
        <w:t xml:space="preserve">3.6</w:t>
      </w:r>
      <w:r>
        <w:t xml:space="preserve"> </w:t>
      </w:r>
      <w:r>
        <w:t xml:space="preserve">shows that coalitions are fairly balanced between those that succeed and fail to get the changes they seek in the final rule. 202%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5f2440cd-2c03-49f0-beb8-98f2737d4924" w:name="tab:data-coded"/>
      <w:r>
        <w:t xml:space="preserve">A Sample of Hand-Coded Data Summarized by Coaltion</w:t>
      </w:r>
      <w:bookmarkEnd w:id="5f2440cd-2c03-49f0-beb8-98f2737d49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tblGrid>
      <w:tr>
        <w:trPr>
          <w:cantSplit/>
          <w:trHeight w:val="26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president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docket_url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docket_id2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coalition_congress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coalition_leader_success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agency</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offshore operators committee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1.394737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Offshore Operators Committee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2.244444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1.041667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59,410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59,410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1.074074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partnership project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1.172662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liuna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4.540323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4.831081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0.7627119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0.7627119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axcess financial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1.321101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-0.6029412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-0.6029412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lshv</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1.227848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-0.6086957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-0.6086957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aca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4.311111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phrma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blanket crew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 and assist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department of education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Department Of Education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4.103139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2.886364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1.138889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440,844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440,844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4.197368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1.122449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702,687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702,687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4.148649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1.193548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856,518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856,518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farm bureau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3.943396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Farm Bureau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alaska oil and gas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1.051724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4.435185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americans for tax fairness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4.888889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congressmen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small businesses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swiss 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Swiss Re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wyoming mining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2.219512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united mine workers of america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environmental community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blue water fishermen's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Blue Water Fishermen's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102,875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102,875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west coast seafood processors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West Coast Seafood Processors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74,818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74,818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northeast seafood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Northeast Seafood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 charitable trusts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4.984848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168,293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168,293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sportfishing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Sportfishing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recreational fishing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sportfishing policy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Sportfishing Policy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NOAA-NMFS-2018-0035-0326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marine sanctuary foundation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4.263158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Marine Sanctuary Foundation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 industries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1.013158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1.9672131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1.9672131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smithsonian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3.916667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 chamber of commerce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newport news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southern company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sierra club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330,381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330,381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1.563380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-0.4956522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-0.4956522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other banks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2.384615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greyhound racing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Greyhound Racing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bbp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ebaa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2.600000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nmma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ncapa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dpe 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governor terry e. branstad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wfca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Wfca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3.3.6</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4"/>
    <w:bookmarkStart w:id="185" w:name="limitations-1"/>
    <w:p>
      <w:pPr>
        <w:pStyle w:val="Heading3"/>
      </w:pPr>
      <w:r>
        <w:rPr>
          <w:rStyle w:val="SectionNumber"/>
        </w:rPr>
        <w:t xml:space="preserve">3.3.7</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5"/>
    <w:bookmarkStart w:id="186"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6"/>
    <w:bookmarkStart w:id="188"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(3.1):</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(3.2):</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8"/>
    <w:bookmarkEnd w:id="189"/>
    <w:bookmarkStart w:id="196" w:name="results-lobbying-success"/>
    <w:p>
      <w:pPr>
        <w:pStyle w:val="Heading2"/>
      </w:pPr>
      <w:r>
        <w:rPr>
          <w:rStyle w:val="SectionNumber"/>
        </w:rPr>
        <w:t xml:space="preserve">3.4</w:t>
      </w:r>
      <w:r>
        <w:tab/>
      </w:r>
      <w:r>
        <w:t xml:space="preserve">Results: Lobbying success</w:t>
      </w:r>
    </w:p>
    <w:p>
      <w:pPr>
        <w:pStyle w:val="FirstParagraph"/>
      </w:pPr>
      <w:r>
        <w:t xml:space="preserve">I assess the relationship between lobbying success and mass comments by modeling coalition</w:t>
      </w:r>
      <w:r>
        <w:t xml:space="preserve"> </w:t>
      </w:r>
      <m:oMath>
        <m:r>
          <m:t>i</m:t>
        </m:r>
      </m:oMath>
      <w:r>
        <w:t xml:space="preserve">’s lobbying success in a rulemaking</w:t>
      </w:r>
      <w:r>
        <w:t xml:space="preserve"> </w:t>
      </w:r>
      <m:oMath>
        <m:r>
          <m:t>j</m:t>
        </m:r>
      </m:oMath>
      <w:r>
        <w:t xml:space="preserve">,</w:t>
      </w:r>
      <w:r>
        <w:t xml:space="preserve"> </w:t>
      </w:r>
      <m:oMath>
        <m:sSub>
          <m:e>
            <m:r>
              <m:t>y</m:t>
            </m:r>
          </m:e>
          <m:sub>
            <m:r>
              <m:t>i</m:t>
            </m:r>
            <m:r>
              <m:t>j</m:t>
            </m:r>
          </m:sub>
        </m:sSub>
      </m:oMath>
      <w:r>
        <w:t xml:space="preserve"> </w:t>
      </w:r>
      <w:r>
        <w:t xml:space="preserve">as a combination of</w:t>
      </w:r>
      <w:r>
        <w:t xml:space="preserve"> </w:t>
      </w:r>
      <w:r>
        <w:t xml:space="preserve"> </w:t>
      </w:r>
      <w:r>
        <w:t xml:space="preserve">whether the coalition is unopposed, the coalition’s size, whether it is a business coalition, and the logged number of mass comments. I estimate these relationships using OLS regression.</w:t>
      </w:r>
      <w:r>
        <w:t xml:space="preserve"> </w:t>
      </w:r>
    </w:p>
    <w:p>
      <w:pPr>
        <w:pStyle w:val="BodyText"/>
      </w:pPr>
      <m:oMath>
        <m:sSub>
          <m:e>
            <m:r>
              <m:t>Y</m:t>
            </m:r>
          </m:e>
          <m:sub>
            <m:r>
              <m:t>i</m:t>
            </m:r>
            <m:r>
              <m:t>j</m:t>
            </m:r>
          </m:sub>
        </m:sSub>
        <m:r>
          <m:rPr>
            <m:sty m:val="p"/>
          </m:rPr>
          <m:t>=</m:t>
        </m:r>
        <m:sSub>
          <m:e>
            <m:r>
              <m:rPr>
                <m:sty m:val="b"/>
              </m:rPr>
              <m:t>β</m:t>
            </m:r>
          </m:e>
          <m:sub>
            <m:r>
              <m:t>1</m:t>
            </m:r>
          </m:sub>
        </m:sSub>
        <m:sSub>
          <m:e>
            <m:r>
              <m:rPr>
                <m:nor/>
                <m:sty m:val="b"/>
              </m:rPr>
              <m:t>log(Comments)</m:t>
            </m:r>
          </m:e>
          <m:sub>
            <m:r>
              <m:t>i</m:t>
            </m:r>
            <m:r>
              <m:t>j</m:t>
            </m:r>
          </m:sub>
        </m:sSub>
        <m:r>
          <m:rPr>
            <m:sty m:val="p"/>
          </m:rPr>
          <m:t>+</m:t>
        </m:r>
        <m:sSub>
          <m:e>
            <m:r>
              <m:t>β</m:t>
            </m:r>
          </m:e>
          <m:sub>
            <m:r>
              <m:t>2</m:t>
            </m:r>
          </m:sub>
        </m:sSub>
        <m:sSub>
          <m:e>
            <m:r>
              <m:rPr>
                <m:nor/>
                <m:sty m:val="p"/>
              </m:rPr>
              <m:t>Size</m:t>
            </m:r>
          </m:e>
          <m:sub>
            <m:r>
              <m:t>i</m:t>
            </m:r>
            <m:r>
              <m:t>j</m:t>
            </m:r>
          </m:sub>
        </m:sSub>
        <m:r>
          <m:rPr>
            <m:sty m:val="p"/>
          </m:rPr>
          <m:t>+</m:t>
        </m:r>
        <m:sSub>
          <m:e>
            <m:r>
              <m:t>β</m:t>
            </m:r>
          </m:e>
          <m:sub>
            <m:r>
              <m:t>3</m:t>
            </m:r>
          </m:sub>
        </m:sSub>
        <m:sSub>
          <m:e>
            <m:r>
              <m:rPr>
                <m:nor/>
                <m:sty m:val="p"/>
              </m:rPr>
              <m:t>Unopposed</m:t>
            </m:r>
          </m:e>
          <m:sub>
            <m:r>
              <m:t>i</m:t>
            </m:r>
            <m:r>
              <m:t>j</m:t>
            </m:r>
          </m:sub>
        </m:sSub>
        <m:r>
          <m:rPr>
            <m:sty m:val="p"/>
          </m:rPr>
          <m:t>+</m:t>
        </m:r>
        <m:sSub>
          <m:e>
            <m:r>
              <m:t>β</m:t>
            </m:r>
          </m:e>
          <m:sub>
            <m:r>
              <m:t>3</m:t>
            </m:r>
          </m:sub>
        </m:sSub>
        <m:sSub>
          <m:e>
            <m:r>
              <m:rPr>
                <m:nor/>
                <m:sty m:val="p"/>
              </m:rPr>
              <m:t>Coalition Type</m:t>
            </m:r>
          </m:e>
          <m:sub>
            <m:r>
              <m:t>i</m:t>
            </m:r>
            <m:r>
              <m:t>j</m:t>
            </m:r>
          </m:sub>
        </m:sSub>
        <m:r>
          <m:rPr>
            <m:sty m:val="p"/>
          </m:rPr>
          <m:t>+</m:t>
        </m:r>
        <m:sSub>
          <m:e>
            <m:r>
              <m:t>ϵ</m:t>
            </m:r>
          </m:e>
          <m:sub>
            <m:r>
              <m:t>i</m:t>
            </m:r>
            <m:r>
              <m:t>j</m:t>
            </m:r>
          </m:sub>
        </m:sSub>
      </m:oMath>
    </w:p>
    <w:p>
      <w:pPr>
        <w:pStyle w:val="BodyText"/>
      </w:pPr>
      <w:r>
        <w:t xml:space="preserve">I use two related measures of coalition type. Models 1 and 3 use my classification of coalitions as primarily public or private interests. Models 2 and 4 below use a related measure: the share of coalition members that are businesses or trade associations. Models 3 and 4 include interacting each measure of the coalition’s type with a dummy for president Trump rather than President Obama’s administration. Bush-era rules are dropped from these models for simplicity.</w:t>
      </w:r>
    </w:p>
    <w:bookmarkStart w:id="194" w:name="X63c9796a965b18f4f277948899bf0b1811250e3"/>
    <w:p>
      <w:pPr>
        <w:pStyle w:val="Heading3"/>
      </w:pPr>
      <w:r>
        <w:rPr>
          <w:rStyle w:val="SectionNumber"/>
        </w:rPr>
        <w:t xml:space="preserve">3.4.1</w:t>
      </w:r>
      <w:r>
        <w:tab/>
      </w:r>
      <w:r>
        <w:t xml:space="preserve">Coalition Success as the Dependent Variable</w:t>
      </w:r>
    </w:p>
    <w:p>
      <w:pPr>
        <w:pStyle w:val="BlockText"/>
      </w:pPr>
      <w:r>
        <w:t xml:space="preserve">Note: these models include coalitions of 1 (organizations lobbying alone), but results are similar if I exclude them, except that coalition size has a much weaker correlation with success.</w:t>
      </w:r>
    </w:p>
    <w:p>
      <w:pPr>
        <w:pStyle w:val="BlockText"/>
      </w:pPr>
      <w:r>
        <w:t xml:space="preserve">NOTE: At this time, the sample mostly rules that received an unusual number of comments, so these results are based on variation with high-salience rulemakings.</w:t>
      </w:r>
    </w:p>
    <w:p>
      <w:pPr>
        <w:pStyle w:val="BlockText"/>
      </w:pPr>
      <w:r>
        <w:t xml:space="preserve">TODO: Add specification with agency fixed effects?</w:t>
      </w:r>
    </w:p>
    <w:p>
      <w:pPr>
        <w:pStyle w:val="FirstParagraph"/>
      </w:pPr>
      <w:r>
        <w:t xml:space="preserve">Model 1</w:t>
      </w:r>
    </w:p>
    <w:p>
      <w:pPr>
        <w:pStyle w:val="BodyText"/>
      </w:pPr>
      <w:r>
        <w:t xml:space="preserve">Model 2</w:t>
      </w:r>
    </w:p>
    <w:p>
      <w:pPr>
        <w:pStyle w:val="BodyText"/>
      </w:pPr>
      <w:r>
        <w:t xml:space="preserve">Model 3</w:t>
      </w:r>
    </w:p>
    <w:p>
      <w:pPr>
        <w:pStyle w:val="BodyText"/>
      </w:pPr>
      <w:r>
        <w:t xml:space="preserve">Model 4</w:t>
      </w:r>
    </w:p>
    <w:p>
      <w:pPr>
        <w:pStyle w:val="BodyText"/>
      </w:pPr>
      <w:r>
        <w:t xml:space="preserve">(Intercept)</w:t>
      </w:r>
    </w:p>
    <w:p>
      <w:pPr>
        <w:pStyle w:val="BodyText"/>
      </w:pPr>
      <w:r>
        <w:t xml:space="preserve">-0.377*</w:t>
      </w:r>
    </w:p>
    <w:p>
      <w:pPr>
        <w:pStyle w:val="BodyText"/>
      </w:pPr>
      <w:r>
        <w:t xml:space="preserve">-0.288**</w:t>
      </w:r>
    </w:p>
    <w:p>
      <w:pPr>
        <w:pStyle w:val="BodyText"/>
      </w:pPr>
      <w:r>
        <w:t xml:space="preserve">-0.645**</w:t>
      </w:r>
    </w:p>
    <w:p>
      <w:pPr>
        <w:pStyle w:val="BodyText"/>
      </w:pPr>
      <w:r>
        <w:t xml:space="preserve">0.050</w:t>
      </w:r>
    </w:p>
    <w:p>
      <w:pPr>
        <w:pStyle w:val="BodyText"/>
      </w:pPr>
      <w:r>
        <w:t xml:space="preserve">(0.194)</w:t>
      </w:r>
    </w:p>
    <w:p>
      <w:pPr>
        <w:pStyle w:val="BodyText"/>
      </w:pPr>
      <w:r>
        <w:t xml:space="preserve">(0.132)</w:t>
      </w:r>
    </w:p>
    <w:p>
      <w:pPr>
        <w:pStyle w:val="BodyText"/>
      </w:pPr>
      <w:r>
        <w:t xml:space="preserve">(0.318)</w:t>
      </w:r>
    </w:p>
    <w:p>
      <w:pPr>
        <w:pStyle w:val="BodyText"/>
      </w:pPr>
      <w:r>
        <w:t xml:space="preserve">(0.194)</w:t>
      </w:r>
    </w:p>
    <w:p>
      <w:pPr>
        <w:pStyle w:val="BodyText"/>
      </w:pPr>
      <w:r>
        <w:t xml:space="preserve">log(comments)</w:t>
      </w:r>
    </w:p>
    <w:p>
      <w:pPr>
        <w:pStyle w:val="BodyText"/>
      </w:pPr>
      <w:r>
        <w:t xml:space="preserve">-0.152***</w:t>
      </w:r>
    </w:p>
    <w:p>
      <w:pPr>
        <w:pStyle w:val="BodyText"/>
      </w:pPr>
      <w:r>
        <w:t xml:space="preserve">-0.138***</w:t>
      </w:r>
    </w:p>
    <w:p>
      <w:pPr>
        <w:pStyle w:val="BodyText"/>
      </w:pPr>
      <w:r>
        <w:t xml:space="preserve">-0.147***</w:t>
      </w:r>
    </w:p>
    <w:p>
      <w:pPr>
        <w:pStyle w:val="BodyText"/>
      </w:pPr>
      <w:r>
        <w:t xml:space="preserve">-0.141***</w:t>
      </w:r>
    </w:p>
    <w:p>
      <w:pPr>
        <w:pStyle w:val="BodyText"/>
      </w:pPr>
      <w:r>
        <w:t xml:space="preserve">(0.052)</w:t>
      </w:r>
    </w:p>
    <w:p>
      <w:pPr>
        <w:pStyle w:val="BodyText"/>
      </w:pPr>
      <w:r>
        <w:t xml:space="preserve">(0.052)</w:t>
      </w:r>
    </w:p>
    <w:p>
      <w:pPr>
        <w:pStyle w:val="BodyText"/>
      </w:pPr>
      <w:r>
        <w:t xml:space="preserve">(0.051)</w:t>
      </w:r>
    </w:p>
    <w:p>
      <w:pPr>
        <w:pStyle w:val="BodyText"/>
      </w:pPr>
      <w:r>
        <w:t xml:space="preserve">(0.052)</w:t>
      </w:r>
    </w:p>
    <w:p>
      <w:pPr>
        <w:pStyle w:val="BodyText"/>
      </w:pPr>
      <w:r>
        <w:t xml:space="preserve">coalition_typepublic</w:t>
      </w:r>
    </w:p>
    <w:p>
      <w:pPr>
        <w:pStyle w:val="BodyText"/>
      </w:pPr>
      <w:r>
        <w:t xml:space="preserve">0.317</w:t>
      </w:r>
    </w:p>
    <w:p>
      <w:pPr>
        <w:pStyle w:val="BodyText"/>
      </w:pPr>
      <w:r>
        <w:t xml:space="preserve">0.910**</w:t>
      </w:r>
    </w:p>
    <w:p>
      <w:pPr>
        <w:pStyle w:val="BodyText"/>
      </w:pPr>
      <w:r>
        <w:t xml:space="preserve">(0.226)</w:t>
      </w:r>
    </w:p>
    <w:p>
      <w:pPr>
        <w:pStyle w:val="BodyText"/>
      </w:pPr>
      <w:r>
        <w:t xml:space="preserve">(0.358)</w:t>
      </w:r>
    </w:p>
    <w:p>
      <w:pPr>
        <w:pStyle w:val="BodyText"/>
      </w:pPr>
      <w:r>
        <w:t xml:space="preserve">log(coalition_size)</w:t>
      </w:r>
    </w:p>
    <w:p>
      <w:pPr>
        <w:pStyle w:val="BodyText"/>
      </w:pPr>
      <w:r>
        <w:t xml:space="preserve">0.245**</w:t>
      </w:r>
    </w:p>
    <w:p>
      <w:pPr>
        <w:pStyle w:val="BodyText"/>
      </w:pPr>
      <w:r>
        <w:t xml:space="preserve">0.261**</w:t>
      </w:r>
    </w:p>
    <w:p>
      <w:pPr>
        <w:pStyle w:val="BodyText"/>
      </w:pPr>
      <w:r>
        <w:t xml:space="preserve">0.255**</w:t>
      </w:r>
    </w:p>
    <w:p>
      <w:pPr>
        <w:pStyle w:val="BodyText"/>
      </w:pPr>
      <w:r>
        <w:t xml:space="preserve">0.247**</w:t>
      </w:r>
    </w:p>
    <w:p>
      <w:pPr>
        <w:pStyle w:val="BodyText"/>
      </w:pPr>
      <w:r>
        <w:t xml:space="preserve">(0.104)</w:t>
      </w:r>
    </w:p>
    <w:p>
      <w:pPr>
        <w:pStyle w:val="BodyText"/>
      </w:pPr>
      <w:r>
        <w:t xml:space="preserve">(0.110)</w:t>
      </w:r>
    </w:p>
    <w:p>
      <w:pPr>
        <w:pStyle w:val="BodyText"/>
      </w:pPr>
      <w:r>
        <w:t xml:space="preserve">(0.106)</w:t>
      </w:r>
    </w:p>
    <w:p>
      <w:pPr>
        <w:pStyle w:val="BodyText"/>
      </w:pPr>
      <w:r>
        <w:t xml:space="preserve">(0.114)</w:t>
      </w:r>
    </w:p>
    <w:p>
      <w:pPr>
        <w:pStyle w:val="BodyText"/>
      </w:pPr>
      <w:r>
        <w:t xml:space="preserve">coalition_unopposedTRUE</w:t>
      </w:r>
    </w:p>
    <w:p>
      <w:pPr>
        <w:pStyle w:val="BodyText"/>
      </w:pPr>
      <w:r>
        <w:t xml:space="preserve">-1.623</w:t>
      </w:r>
    </w:p>
    <w:p>
      <w:pPr>
        <w:pStyle w:val="BodyText"/>
      </w:pPr>
      <w:r>
        <w:t xml:space="preserve">-1.712</w:t>
      </w:r>
    </w:p>
    <w:p>
      <w:pPr>
        <w:pStyle w:val="BodyText"/>
      </w:pPr>
      <w:r>
        <w:t xml:space="preserve">-1.355</w:t>
      </w:r>
    </w:p>
    <w:p>
      <w:pPr>
        <w:pStyle w:val="BodyText"/>
      </w:pPr>
      <w:r>
        <w:t xml:space="preserve">-2.050</w:t>
      </w:r>
    </w:p>
    <w:p>
      <w:pPr>
        <w:pStyle w:val="BodyText"/>
      </w:pPr>
      <w:r>
        <w:t xml:space="preserve">(1.563)</w:t>
      </w:r>
    </w:p>
    <w:p>
      <w:pPr>
        <w:pStyle w:val="BodyText"/>
      </w:pPr>
      <w:r>
        <w:t xml:space="preserve">(1.584)</w:t>
      </w:r>
    </w:p>
    <w:p>
      <w:pPr>
        <w:pStyle w:val="BodyText"/>
      </w:pPr>
      <w:r>
        <w:t xml:space="preserve">(1.527)</w:t>
      </w:r>
    </w:p>
    <w:p>
      <w:pPr>
        <w:pStyle w:val="BodyText"/>
      </w:pPr>
      <w:r>
        <w:t xml:space="preserve">(1.552)</w:t>
      </w:r>
    </w:p>
    <w:p>
      <w:pPr>
        <w:pStyle w:val="BodyText"/>
      </w:pPr>
      <w:r>
        <w:t xml:space="preserve">coalition_business</w:t>
      </w:r>
    </w:p>
    <w:p>
      <w:pPr>
        <w:pStyle w:val="BodyText"/>
      </w:pPr>
      <w:r>
        <w:t xml:space="preserve">-0.003</w:t>
      </w:r>
    </w:p>
    <w:p>
      <w:pPr>
        <w:pStyle w:val="BodyText"/>
      </w:pPr>
      <w:r>
        <w:t xml:space="preserve">-0.016</w:t>
      </w:r>
    </w:p>
    <w:p>
      <w:pPr>
        <w:pStyle w:val="BodyText"/>
      </w:pPr>
      <w:r>
        <w:t xml:space="preserve">(0.013)</w:t>
      </w:r>
    </w:p>
    <w:p>
      <w:pPr>
        <w:pStyle w:val="BodyText"/>
      </w:pPr>
      <w:r>
        <w:t xml:space="preserve">(0.013)</w:t>
      </w:r>
    </w:p>
    <w:p>
      <w:pPr>
        <w:pStyle w:val="BodyText"/>
      </w:pPr>
      <w:r>
        <w:t xml:space="preserve">presidentTrump</w:t>
      </w:r>
    </w:p>
    <w:p>
      <w:pPr>
        <w:pStyle w:val="BodyText"/>
      </w:pPr>
      <w:r>
        <w:t xml:space="preserve">0.538</w:t>
      </w:r>
    </w:p>
    <w:p>
      <w:pPr>
        <w:pStyle w:val="BodyText"/>
      </w:pPr>
      <w:r>
        <w:t xml:space="preserve">-0.543**</w:t>
      </w:r>
    </w:p>
    <w:p>
      <w:pPr>
        <w:pStyle w:val="BodyText"/>
      </w:pPr>
      <w:r>
        <w:t xml:space="preserve">(0.376)</w:t>
      </w:r>
    </w:p>
    <w:p>
      <w:pPr>
        <w:pStyle w:val="BodyText"/>
      </w:pPr>
      <w:r>
        <w:t xml:space="preserve">(0.223)</w:t>
      </w:r>
    </w:p>
    <w:p>
      <w:pPr>
        <w:pStyle w:val="BodyText"/>
      </w:pPr>
      <w:r>
        <w:t xml:space="preserve">coalition_typepublic × presidentTrump</w:t>
      </w:r>
    </w:p>
    <w:p>
      <w:pPr>
        <w:pStyle w:val="BodyText"/>
      </w:pPr>
      <w:r>
        <w:t xml:space="preserve">-1.420***</w:t>
      </w:r>
    </w:p>
    <w:p>
      <w:pPr>
        <w:pStyle w:val="BodyText"/>
      </w:pPr>
      <w:r>
        <w:t xml:space="preserve">(0.485)</w:t>
      </w:r>
    </w:p>
    <w:p>
      <w:pPr>
        <w:pStyle w:val="BodyText"/>
      </w:pPr>
      <w:r>
        <w:t xml:space="preserve">coalition_business × presidentTrump</w:t>
      </w:r>
    </w:p>
    <w:p>
      <w:pPr>
        <w:pStyle w:val="BodyText"/>
      </w:pPr>
      <w:r>
        <w:t xml:space="preserve">0.054**</w:t>
      </w:r>
    </w:p>
    <w:p>
      <w:pPr>
        <w:pStyle w:val="BodyText"/>
      </w:pPr>
      <w:r>
        <w:t xml:space="preserve">(0.027)</w:t>
      </w:r>
    </w:p>
    <w:p>
      <w:pPr>
        <w:pStyle w:val="BodyText"/>
      </w:pPr>
      <w:r>
        <w:t xml:space="preserve">Num.Obs.</w:t>
      </w:r>
    </w:p>
    <w:p>
      <w:pPr>
        <w:pStyle w:val="BodyText"/>
      </w:pPr>
      <w:r>
        <w:t xml:space="preserve">206</w:t>
      </w:r>
    </w:p>
    <w:p>
      <w:pPr>
        <w:pStyle w:val="BodyText"/>
      </w:pPr>
      <w:r>
        <w:t xml:space="preserve">254</w:t>
      </w:r>
    </w:p>
    <w:p>
      <w:pPr>
        <w:pStyle w:val="BodyText"/>
      </w:pPr>
      <w:r>
        <w:t xml:space="preserve">166</w:t>
      </w:r>
    </w:p>
    <w:p>
      <w:pPr>
        <w:pStyle w:val="BodyText"/>
      </w:pPr>
      <w:r>
        <w:t xml:space="preserve">211</w:t>
      </w:r>
    </w:p>
    <w:p>
      <w:pPr>
        <w:pStyle w:val="BodyText"/>
      </w:pPr>
      <w:r>
        <w:t xml:space="preserve">R2</w:t>
      </w:r>
    </w:p>
    <w:p>
      <w:pPr>
        <w:pStyle w:val="BodyText"/>
      </w:pPr>
      <w:r>
        <w:t xml:space="preserve">0.051</w:t>
      </w:r>
    </w:p>
    <w:p>
      <w:pPr>
        <w:pStyle w:val="BodyText"/>
      </w:pPr>
      <w:r>
        <w:t xml:space="preserve">0.035</w:t>
      </w:r>
    </w:p>
    <w:p>
      <w:pPr>
        <w:pStyle w:val="BodyText"/>
      </w:pPr>
      <w:r>
        <w:t xml:space="preserve">0.122</w:t>
      </w:r>
    </w:p>
    <w:p>
      <w:pPr>
        <w:pStyle w:val="BodyText"/>
      </w:pPr>
      <w:r>
        <w:t xml:space="preserve">0.083</w:t>
      </w:r>
    </w:p>
    <w:p>
      <w:pPr>
        <w:pStyle w:val="BodyText"/>
      </w:pPr>
      <w:r>
        <w:t xml:space="preserve">R2 Adj.</w:t>
      </w:r>
    </w:p>
    <w:p>
      <w:pPr>
        <w:pStyle w:val="BodyText"/>
      </w:pPr>
      <w:r>
        <w:t xml:space="preserve">0.032</w:t>
      </w:r>
    </w:p>
    <w:p>
      <w:pPr>
        <w:pStyle w:val="BodyText"/>
      </w:pPr>
      <w:r>
        <w:t xml:space="preserve">0.019</w:t>
      </w:r>
    </w:p>
    <w:p>
      <w:pPr>
        <w:pStyle w:val="BodyText"/>
      </w:pPr>
      <w:r>
        <w:t xml:space="preserve">0.088</w:t>
      </w:r>
    </w:p>
    <w:p>
      <w:pPr>
        <w:pStyle w:val="BodyText"/>
      </w:pPr>
      <w:r>
        <w:t xml:space="preserve">0.056</w:t>
      </w:r>
    </w:p>
    <w:p>
      <w:pPr>
        <w:pStyle w:val="BodyText"/>
      </w:pPr>
      <w:r>
        <w:t xml:space="preserve">AIC</w:t>
      </w:r>
    </w:p>
    <w:p>
      <w:pPr>
        <w:pStyle w:val="BodyText"/>
      </w:pPr>
      <w:r>
        <w:t xml:space="preserve">772.3</w:t>
      </w:r>
    </w:p>
    <w:p>
      <w:pPr>
        <w:pStyle w:val="BodyText"/>
      </w:pPr>
      <w:r>
        <w:t xml:space="preserve">959.6</w:t>
      </w:r>
    </w:p>
    <w:p>
      <w:pPr>
        <w:pStyle w:val="BodyText"/>
      </w:pPr>
      <w:r>
        <w:t xml:space="preserve">613.1</w:t>
      </w:r>
    </w:p>
    <w:p>
      <w:pPr>
        <w:pStyle w:val="BodyText"/>
      </w:pPr>
      <w:r>
        <w:t xml:space="preserve">790.0</w:t>
      </w:r>
    </w:p>
    <w:p>
      <w:pPr>
        <w:pStyle w:val="BodyText"/>
      </w:pPr>
      <w:r>
        <w:t xml:space="preserve">BIC</w:t>
      </w:r>
    </w:p>
    <w:p>
      <w:pPr>
        <w:pStyle w:val="BodyText"/>
      </w:pPr>
      <w:r>
        <w:t xml:space="preserve">792.3</w:t>
      </w:r>
    </w:p>
    <w:p>
      <w:pPr>
        <w:pStyle w:val="BodyText"/>
      </w:pPr>
      <w:r>
        <w:t xml:space="preserve">980.8</w:t>
      </w:r>
    </w:p>
    <w:p>
      <w:pPr>
        <w:pStyle w:val="BodyText"/>
      </w:pPr>
      <w:r>
        <w:t xml:space="preserve">638.0</w:t>
      </w:r>
    </w:p>
    <w:p>
      <w:pPr>
        <w:pStyle w:val="BodyText"/>
      </w:pPr>
      <w:r>
        <w:t xml:space="preserve">816.8</w:t>
      </w:r>
    </w:p>
    <w:p>
      <w:pPr>
        <w:pStyle w:val="BodyText"/>
      </w:pPr>
      <w:r>
        <w:t xml:space="preserve">Log.Lik.</w:t>
      </w:r>
    </w:p>
    <w:p>
      <w:pPr>
        <w:pStyle w:val="BodyText"/>
      </w:pPr>
      <w:r>
        <w:t xml:space="preserve">-380.144</w:t>
      </w:r>
    </w:p>
    <w:p>
      <w:pPr>
        <w:pStyle w:val="BodyText"/>
      </w:pPr>
      <w:r>
        <w:t xml:space="preserve">-473.804</w:t>
      </w:r>
    </w:p>
    <w:p>
      <w:pPr>
        <w:pStyle w:val="BodyText"/>
      </w:pPr>
      <w:r>
        <w:t xml:space="preserve">-298.558</w:t>
      </w:r>
    </w:p>
    <w:p>
      <w:pPr>
        <w:pStyle w:val="BodyText"/>
      </w:pPr>
      <w:r>
        <w:t xml:space="preserve">-386.976</w:t>
      </w:r>
    </w:p>
    <w:p>
      <w:pPr>
        <w:pStyle w:val="BodyText"/>
      </w:pPr>
      <w:r>
        <w:t xml:space="preserve">F</w:t>
      </w:r>
    </w:p>
    <w:p>
      <w:pPr>
        <w:pStyle w:val="BodyText"/>
      </w:pPr>
      <w:r>
        <w:t xml:space="preserve">2.711</w:t>
      </w:r>
    </w:p>
    <w:p>
      <w:pPr>
        <w:pStyle w:val="BodyText"/>
      </w:pPr>
      <w:r>
        <w:t xml:space="preserve">2.229</w:t>
      </w:r>
    </w:p>
    <w:p>
      <w:pPr>
        <w:pStyle w:val="BodyText"/>
      </w:pPr>
      <w:r>
        <w:t xml:space="preserve">3.666</w:t>
      </w:r>
    </w:p>
    <w:p>
      <w:pPr>
        <w:pStyle w:val="BodyText"/>
      </w:pPr>
      <w:r>
        <w:t xml:space="preserve">3.062</w:t>
      </w:r>
    </w:p>
    <w:p>
      <w:pPr>
        <w:pStyle w:val="BodyText"/>
      </w:pPr>
      <w:r>
        <w:t xml:space="preserve"> </w:t>
      </w:r>
      <w:r>
        <w:t xml:space="preserve">* p &lt; 0.1, ** p &lt; 0.05, *** p &lt; 0.01</w:t>
      </w:r>
    </w:p>
    <w:p>
      <w:pPr>
        <w:pStyle w:val="BodyText"/>
      </w:pPr>
      <w:r>
        <w:t xml:space="preserve">My preferred model is model 3:</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bookmarkStart w:id="193" w:name="X0c74e63320aa5a313d4a1c27e3c7b532d932d64"/>
    <w:p>
      <w:pPr>
        <w:pStyle w:val="Heading4"/>
      </w:pPr>
      <w:r>
        <w:rPr>
          <w:rStyle w:val="SectionNumber"/>
        </w:rPr>
        <w:t xml:space="preserve">3.4.1.1</w:t>
      </w:r>
      <w:r>
        <w:tab/>
      </w:r>
      <w:r>
        <w:t xml:space="preserve">Modeling Congressional Support as a Mediator of Lobbying Success</w:t>
      </w:r>
    </w:p>
    <w:p>
      <w:pPr>
        <w:pStyle w:val="FirstParagraph"/>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variable (lobbying success) with the mediator variable (the number of supportive members of Congress). Model 1 is the same as Model 1 above. Model 2 is the same but includes the proposed mediator, the number of supportive comments from members of Congress.</w:t>
      </w:r>
    </w:p>
    <w:p>
      <w:r>
        <w:pict>
          <v:rect style="width:0;height:1.5pt" o:hralign="center" o:hrstd="t" o:hr="t"/>
        </w:pict>
      </w:r>
    </w:p>
    <w:bookmarkStart w:id="191" w:name="mediator-model-3.1"/>
    <w:p>
      <w:pPr>
        <w:pStyle w:val="Heading5"/>
      </w:pPr>
      <w:r>
        <w:rPr>
          <w:rStyle w:val="SectionNumber"/>
        </w:rPr>
        <w:t xml:space="preserve">3.4.1.1.1</w:t>
      </w:r>
      <w:r>
        <w:tab/>
      </w:r>
      <w:r>
        <w:t xml:space="preserve">Mediator model (3.1):</w:t>
      </w:r>
    </w:p>
    <w:p>
      <w:pPr>
        <w:pStyle w:val="FirstParagraph"/>
      </w:pPr>
      <m:oMathPara>
        <m:oMathParaPr>
          <m:jc m:val="center"/>
        </m:oMathParaPr>
        <m:oMath>
          <m:sSub>
            <m:e>
              <m:r>
                <m:rPr>
                  <m:nor/>
                  <m:sty m:val="p"/>
                </m:rPr>
                <m:t>Congressional support</m:t>
              </m:r>
            </m:e>
            <m:sub>
              <m:r>
                <m:t>i</m:t>
              </m:r>
              <m:r>
                <m:t>j</m:t>
              </m:r>
            </m:sub>
          </m:sSub>
          <m:r>
            <m:rPr>
              <m:sty m:val="p"/>
            </m:rPr>
            <m:t>=</m:t>
          </m:r>
          <m:sSub>
            <m:e>
              <m:r>
                <m:t>β</m:t>
              </m:r>
            </m:e>
            <m:sub>
              <m:r>
                <m:t>0</m:t>
              </m:r>
            </m:sub>
          </m:sSub>
          <m:r>
            <m:rPr>
              <m:sty m:val="p"/>
            </m:rPr>
            <m:t>+</m:t>
          </m:r>
          <m:sSub>
            <m:e>
              <m:r>
                <m:t>β</m:t>
              </m:r>
            </m:e>
            <m:sub>
              <m:r>
                <m:t>1</m:t>
              </m:r>
            </m:sub>
          </m:sSub>
          <m:r>
            <m:t>l</m:t>
          </m:r>
          <m:r>
            <m:t>o</m:t>
          </m:r>
          <m:r>
            <m:t>g</m:t>
          </m:r>
          <m:r>
            <m:rPr>
              <m:sty m:val="p"/>
            </m:rPr>
            <m:t>(</m:t>
          </m:r>
          <m:sSub>
            <m:e>
              <m:r>
                <m:rPr>
                  <m:nor/>
                  <m:sty m:val="p"/>
                </m:rPr>
                <m:t>Comments</m:t>
              </m:r>
            </m:e>
            <m:sub>
              <m:r>
                <m:t>i</m:t>
              </m:r>
              <m:r>
                <m:t>j</m:t>
              </m:r>
            </m:sub>
          </m:sSub>
          <m:r>
            <m:rPr>
              <m:sty m:val="p"/>
            </m:rPr>
            <m:t>)</m:t>
          </m:r>
          <m:r>
            <m:rPr>
              <m:sty m:val="p"/>
            </m:rPr>
            <m:t>+</m:t>
          </m:r>
          <m:sSub>
            <m:e>
              <m:r>
                <m:t>β</m:t>
              </m:r>
            </m:e>
            <m:sub>
              <m:r>
                <m:t>2</m:t>
              </m:r>
              <m:r>
                <m:rPr>
                  <m:sty m:val="p"/>
                </m:rPr>
                <m:t>−</m:t>
              </m:r>
              <m:r>
                <m:t>n</m:t>
              </m:r>
            </m:sub>
          </m:sSub>
          <m:sSub>
            <m:e>
              <m:r>
                <m:t>X</m:t>
              </m:r>
            </m:e>
            <m:sub>
              <m:r>
                <m:t>i</m:t>
              </m:r>
              <m:r>
                <m:t>j</m:t>
              </m:r>
            </m:sub>
          </m:sSub>
          <m:r>
            <m:rPr>
              <m:sty m:val="p"/>
            </m:rPr>
            <m:t>+</m:t>
          </m:r>
          <m:sSub>
            <m:e>
              <m:r>
                <m:t>ϵ</m:t>
              </m:r>
            </m:e>
            <m:sub>
              <m:r>
                <m:t>i</m:t>
              </m:r>
              <m:r>
                <m:t>j</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Members of Congress in Coalition (OLS)</w:t>
      </w:r>
    </w:p>
    <w:p>
      <w:pPr>
        <w:pStyle w:val="BodyText"/>
      </w:pPr>
      <w:r>
        <w:t xml:space="preserve">Members of Congress in Coalition (Poisson)</w:t>
      </w:r>
    </w:p>
    <w:p>
      <w:pPr>
        <w:pStyle w:val="BodyText"/>
      </w:pPr>
      <w:r>
        <w:t xml:space="preserve">(Intercept)</w:t>
      </w:r>
    </w:p>
    <w:p>
      <w:pPr>
        <w:pStyle w:val="BodyText"/>
      </w:pPr>
      <w:r>
        <w:t xml:space="preserve">-0.078*</w:t>
      </w:r>
    </w:p>
    <w:p>
      <w:pPr>
        <w:pStyle w:val="BodyText"/>
      </w:pPr>
      <w:r>
        <w:t xml:space="preserve">-25.472</w:t>
      </w:r>
    </w:p>
    <w:p>
      <w:pPr>
        <w:pStyle w:val="BodyText"/>
      </w:pPr>
      <w:r>
        <w:t xml:space="preserve">(0.043)</w:t>
      </w:r>
    </w:p>
    <w:p>
      <w:pPr>
        <w:pStyle w:val="BodyText"/>
      </w:pPr>
      <w:r>
        <w:t xml:space="preserve">(2989.342)</w:t>
      </w:r>
    </w:p>
    <w:p>
      <w:pPr>
        <w:pStyle w:val="BodyText"/>
      </w:pPr>
      <w:r>
        <w:t xml:space="preserve">log(comments)</w:t>
      </w:r>
    </w:p>
    <w:p>
      <w:pPr>
        <w:pStyle w:val="BodyText"/>
      </w:pPr>
      <w:r>
        <w:t xml:space="preserve">-0.016</w:t>
      </w:r>
    </w:p>
    <w:p>
      <w:pPr>
        <w:pStyle w:val="BodyText"/>
      </w:pPr>
      <w:r>
        <w:t xml:space="preserve">-0.248</w:t>
      </w:r>
    </w:p>
    <w:p>
      <w:pPr>
        <w:pStyle w:val="BodyText"/>
      </w:pPr>
      <w:r>
        <w:t xml:space="preserve">(0.011)</w:t>
      </w:r>
    </w:p>
    <w:p>
      <w:pPr>
        <w:pStyle w:val="BodyText"/>
      </w:pPr>
      <w:r>
        <w:t xml:space="preserve">(0.167)</w:t>
      </w:r>
    </w:p>
    <w:p>
      <w:pPr>
        <w:pStyle w:val="BodyText"/>
      </w:pPr>
      <w:r>
        <w:t xml:space="preserve">coalition_typepublic</w:t>
      </w:r>
    </w:p>
    <w:p>
      <w:pPr>
        <w:pStyle w:val="BodyText"/>
      </w:pPr>
      <w:r>
        <w:t xml:space="preserve">0.084*</w:t>
      </w:r>
    </w:p>
    <w:p>
      <w:pPr>
        <w:pStyle w:val="BodyText"/>
      </w:pPr>
      <w:r>
        <w:t xml:space="preserve">19.180</w:t>
      </w:r>
    </w:p>
    <w:p>
      <w:pPr>
        <w:pStyle w:val="BodyText"/>
      </w:pPr>
      <w:r>
        <w:t xml:space="preserve">(0.050)</w:t>
      </w:r>
    </w:p>
    <w:p>
      <w:pPr>
        <w:pStyle w:val="BodyText"/>
      </w:pPr>
      <w:r>
        <w:t xml:space="preserve">(2989.341)</w:t>
      </w:r>
    </w:p>
    <w:p>
      <w:pPr>
        <w:pStyle w:val="BodyText"/>
      </w:pPr>
      <w:r>
        <w:t xml:space="preserve">log(coalition_size)</w:t>
      </w:r>
    </w:p>
    <w:p>
      <w:pPr>
        <w:pStyle w:val="BodyText"/>
      </w:pPr>
      <w:r>
        <w:t xml:space="preserve">0.073***</w:t>
      </w:r>
    </w:p>
    <w:p>
      <w:pPr>
        <w:pStyle w:val="BodyText"/>
      </w:pPr>
      <w:r>
        <w:t xml:space="preserve">1.582***</w:t>
      </w:r>
    </w:p>
    <w:p>
      <w:pPr>
        <w:pStyle w:val="BodyText"/>
      </w:pPr>
      <w:r>
        <w:t xml:space="preserve">(0.023)</w:t>
      </w:r>
    </w:p>
    <w:p>
      <w:pPr>
        <w:pStyle w:val="BodyText"/>
      </w:pPr>
      <w:r>
        <w:t xml:space="preserve">(0.391)</w:t>
      </w:r>
    </w:p>
    <w:p>
      <w:pPr>
        <w:pStyle w:val="BodyText"/>
      </w:pPr>
      <w:r>
        <w:t xml:space="preserve">coalition_unopposedTRUE</w:t>
      </w:r>
    </w:p>
    <w:p>
      <w:pPr>
        <w:pStyle w:val="BodyText"/>
      </w:pPr>
      <w:r>
        <w:t xml:space="preserve">0.078</w:t>
      </w:r>
    </w:p>
    <w:p>
      <w:pPr>
        <w:pStyle w:val="BodyText"/>
      </w:pPr>
      <w:r>
        <w:t xml:space="preserve">3.169</w:t>
      </w:r>
    </w:p>
    <w:p>
      <w:pPr>
        <w:pStyle w:val="BodyText"/>
      </w:pPr>
      <w:r>
        <w:t xml:space="preserve">(0.346)</w:t>
      </w:r>
    </w:p>
    <w:p>
      <w:pPr>
        <w:pStyle w:val="BodyText"/>
      </w:pPr>
      <w:r>
        <w:t xml:space="preserve">(42352.794)</w:t>
      </w:r>
    </w:p>
    <w:p>
      <w:pPr>
        <w:pStyle w:val="BodyText"/>
      </w:pPr>
      <w:r>
        <w:t xml:space="preserve">Num.Obs.</w:t>
      </w:r>
    </w:p>
    <w:p>
      <w:pPr>
        <w:pStyle w:val="BodyText"/>
      </w:pPr>
      <w:r>
        <w:t xml:space="preserve">206</w:t>
      </w:r>
    </w:p>
    <w:p>
      <w:pPr>
        <w:pStyle w:val="BodyText"/>
      </w:pPr>
      <w:r>
        <w:t xml:space="preserve">206</w:t>
      </w:r>
    </w:p>
    <w:p>
      <w:pPr>
        <w:pStyle w:val="BodyText"/>
      </w:pPr>
      <w:r>
        <w:t xml:space="preserve">R2</w:t>
      </w:r>
    </w:p>
    <w:p>
      <w:pPr>
        <w:pStyle w:val="BodyText"/>
      </w:pPr>
      <w:r>
        <w:t xml:space="preserve">0.070</w:t>
      </w:r>
    </w:p>
    <w:p>
      <w:pPr>
        <w:pStyle w:val="BodyText"/>
      </w:pPr>
      <w:r>
        <w:t xml:space="preserve">R2 Adj.</w:t>
      </w:r>
    </w:p>
    <w:p>
      <w:pPr>
        <w:pStyle w:val="BodyText"/>
      </w:pPr>
      <w:r>
        <w:t xml:space="preserve">0.051</w:t>
      </w:r>
    </w:p>
    <w:p>
      <w:pPr>
        <w:pStyle w:val="BodyText"/>
      </w:pPr>
      <w:r>
        <w:t xml:space="preserve">AIC</w:t>
      </w:r>
    </w:p>
    <w:p>
      <w:pPr>
        <w:pStyle w:val="BodyText"/>
      </w:pPr>
      <w:r>
        <w:t xml:space="preserve">151.5</w:t>
      </w:r>
    </w:p>
    <w:p>
      <w:pPr>
        <w:pStyle w:val="BodyText"/>
      </w:pPr>
      <w:r>
        <w:t xml:space="preserve">59.5</w:t>
      </w:r>
    </w:p>
    <w:p>
      <w:pPr>
        <w:pStyle w:val="BodyText"/>
      </w:pPr>
      <w:r>
        <w:t xml:space="preserve">BIC</w:t>
      </w:r>
    </w:p>
    <w:p>
      <w:pPr>
        <w:pStyle w:val="BodyText"/>
      </w:pPr>
      <w:r>
        <w:t xml:space="preserve">171.4</w:t>
      </w:r>
    </w:p>
    <w:p>
      <w:pPr>
        <w:pStyle w:val="BodyText"/>
      </w:pPr>
      <w:r>
        <w:t xml:space="preserve">76.2</w:t>
      </w:r>
    </w:p>
    <w:p>
      <w:pPr>
        <w:pStyle w:val="BodyText"/>
      </w:pPr>
      <w:r>
        <w:t xml:space="preserve">Log.Lik.</w:t>
      </w:r>
    </w:p>
    <w:p>
      <w:pPr>
        <w:pStyle w:val="BodyText"/>
      </w:pPr>
      <w:r>
        <w:t xml:space="preserve">-69.730</w:t>
      </w:r>
    </w:p>
    <w:p>
      <w:pPr>
        <w:pStyle w:val="BodyText"/>
      </w:pPr>
      <w:r>
        <w:t xml:space="preserve">-24.761</w:t>
      </w:r>
    </w:p>
    <w:p>
      <w:pPr>
        <w:pStyle w:val="BodyText"/>
      </w:pPr>
      <w:r>
        <w:t xml:space="preserve">F</w:t>
      </w:r>
    </w:p>
    <w:p>
      <w:pPr>
        <w:pStyle w:val="BodyText"/>
      </w:pPr>
      <w:r>
        <w:t xml:space="preserve">3.765</w:t>
      </w:r>
    </w:p>
    <w:p>
      <w:pPr>
        <w:pStyle w:val="BodyText"/>
      </w:pPr>
      <w:r>
        <w:t xml:space="preserve"> </w:t>
      </w:r>
      <w:r>
        <w:t xml:space="preserve">* p &lt; 0.1, ** p &lt; 0.05, *** p &lt; 0.01</w:t>
      </w:r>
    </w:p>
    <w:p>
      <w:r>
        <w:pict>
          <v:rect style="width:0;height:1.5pt" o:hralign="center" o:hrstd="t" o:hr="t"/>
        </w:pict>
      </w:r>
    </w:p>
    <w:bookmarkEnd w:id="191"/>
    <w:bookmarkStart w:id="192" w:name="outcome-model"/>
    <w:p>
      <w:pPr>
        <w:pStyle w:val="Heading5"/>
      </w:pPr>
      <w:r>
        <w:rPr>
          <w:rStyle w:val="SectionNumber"/>
        </w:rPr>
        <w:t xml:space="preserve">3.4.1.1.2</w:t>
      </w:r>
      <w:r>
        <w:tab/>
      </w:r>
      <w:r>
        <w:t xml:space="preserve">Outcome model</w:t>
      </w:r>
    </w:p>
    <w:p>
      <w:pPr>
        <w:pStyle w:val="FirstParagraph"/>
      </w:pPr>
      <w:r>
        <w:t xml:space="preserve">(</w:t>
      </w:r>
      <m:oMath>
        <m:sSub>
          <m:e>
            <m:r>
              <m:t>y</m:t>
            </m:r>
          </m:e>
          <m:sub>
            <m:r>
              <m:t>i</m:t>
            </m:r>
            <m:r>
              <m:t>j</m:t>
            </m:r>
          </m:sub>
        </m:sSub>
        <m:r>
          <m:rPr>
            <m:sty m:val="p"/>
          </m:rPr>
          <m:t>=</m:t>
        </m:r>
        <m:sSub>
          <m:e>
            <m:r>
              <m:rPr>
                <m:nor/>
                <m:sty m:val="p"/>
              </m:rPr>
              <m:t>Lobbying success</m:t>
            </m:r>
          </m:e>
          <m:sub>
            <m:r>
              <m:t>i</m:t>
            </m:r>
            <m:r>
              <m:t>j</m:t>
            </m:r>
          </m:sub>
        </m:sSub>
      </m:oMath>
      <w:r>
        <w:t xml:space="preserve">) (3.2):</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r>
            <m:t>l</m:t>
          </m:r>
          <m:r>
            <m:t>o</m:t>
          </m:r>
          <m:r>
            <m:t>g</m:t>
          </m:r>
          <m:r>
            <m:rPr>
              <m:sty m:val="p"/>
            </m:rPr>
            <m:t>(</m:t>
          </m:r>
          <m:sSub>
            <m:e>
              <m:r>
                <m:rPr>
                  <m:nor/>
                  <m:sty m:val="p"/>
                </m:rPr>
                <m:t>Comments</m:t>
              </m:r>
            </m:e>
            <m:sub>
              <m:r>
                <m:t>i</m:t>
              </m:r>
              <m:r>
                <m:t>j</m:t>
              </m:r>
            </m:sub>
          </m:sSub>
          <m:r>
            <m:rPr>
              <m:sty m:val="p"/>
            </m:rPr>
            <m:t>)</m:t>
          </m:r>
          <m:r>
            <m:rPr>
              <m:sty m:val="p"/>
            </m:rPr>
            <m:t>+</m:t>
          </m:r>
          <m:sSub>
            <m:e>
              <m:r>
                <m:t>β</m:t>
              </m:r>
            </m:e>
            <m:sub>
              <m:r>
                <m:t>2</m:t>
              </m:r>
            </m:sub>
          </m:sSub>
          <m:sSub>
            <m:e>
              <m:r>
                <m:rPr>
                  <m:nor/>
                  <m:sty m:val="p"/>
                </m:rPr>
                <m:t>Congressional support</m:t>
              </m:r>
            </m:e>
            <m:sub>
              <m:r>
                <m:t>i</m:t>
              </m:r>
              <m:r>
                <m:t>j</m:t>
              </m:r>
            </m:sub>
          </m:sSub>
          <m:r>
            <m:rPr>
              <m:sty m:val="p"/>
            </m:rPr>
            <m:t>+</m:t>
          </m:r>
          <m:sSub>
            <m:e>
              <m:r>
                <m:t>β</m:t>
              </m:r>
            </m:e>
            <m:sub>
              <m:r>
                <m:t>3</m:t>
              </m:r>
              <m:r>
                <m:rPr>
                  <m:sty m:val="p"/>
                </m:rPr>
                <m:t>−</m:t>
              </m:r>
              <m:r>
                <m:t>n</m:t>
              </m:r>
            </m:sub>
          </m:sSub>
          <m:sSub>
            <m:e>
              <m:r>
                <m:t>X</m:t>
              </m:r>
            </m:e>
            <m:sub>
              <m:r>
                <m:t>i</m:t>
              </m:r>
              <m:r>
                <m:t>j</m:t>
              </m:r>
            </m:sub>
          </m:sSub>
          <m:r>
            <m:rPr>
              <m:sty m:val="p"/>
            </m:rPr>
            <m:t>+</m:t>
          </m:r>
          <m:sSub>
            <m:e>
              <m:r>
                <m:t>ϵ</m:t>
              </m:r>
            </m:e>
            <m:sub>
              <m:r>
                <m:t>i</m:t>
              </m:r>
              <m:r>
                <m:t>j</m:t>
              </m:r>
            </m:sub>
          </m:sSub>
          <m:r>
            <m:rPr>
              <m:sty m:val="p"/>
            </m:rPr>
            <m:t>(</m:t>
          </m:r>
          <m:r>
            <m:rPr>
              <m:sty m:val="p"/>
            </m:rPr>
            <m:t>#</m:t>
          </m:r>
          <m:r>
            <m:t>e</m:t>
          </m:r>
          <m:r>
            <m:t>q</m:t>
          </m:r>
          <m:r>
            <m:rPr>
              <m:sty m:val="p"/>
            </m:rPr>
            <m:t>:</m:t>
          </m:r>
          <m:r>
            <m:t>o</m:t>
          </m:r>
          <m:r>
            <m:t>u</m:t>
          </m:r>
          <m:r>
            <m:t>t</m:t>
          </m:r>
          <m:r>
            <m:t>c</m:t>
          </m:r>
          <m:r>
            <m:t>o</m:t>
          </m:r>
          <m:r>
            <m:t>m</m:t>
          </m:r>
          <m:r>
            <m:t>e</m:t>
          </m:r>
          <m:r>
            <m:rPr>
              <m:sty m:val="p"/>
            </m:rPr>
            <m:t>)</m:t>
          </m:r>
        </m:oMath>
      </m:oMathPara>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xml:space="preserve">## ACME            0.00411     -0.00780         0.02   0.548   </w:t>
      </w:r>
      <w:r>
        <w:br/>
      </w:r>
      <w:r>
        <w:rPr>
          <w:rStyle w:val="VerbatimChar"/>
        </w:rPr>
        <w:t xml:space="preserve">## ADE            -0.15627     -0.25367        -0.05   0.002 **</w:t>
      </w:r>
      <w:r>
        <w:br/>
      </w:r>
      <w:r>
        <w:rPr>
          <w:rStyle w:val="VerbatimChar"/>
        </w:rPr>
        <w:t xml:space="preserve">## Total Effect   -0.15216     -0.25172        -0.05   0.002 **</w:t>
      </w:r>
      <w:r>
        <w:br/>
      </w:r>
      <w:r>
        <w:rPr>
          <w:rStyle w:val="VerbatimChar"/>
        </w:rPr>
        <w:t xml:space="preserve">## Prop. Mediated -0.01753     -0.19642         0.07   0.550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206 </w:t>
      </w:r>
      <w:r>
        <w:br/>
      </w:r>
      <w:r>
        <w:rPr>
          <w:rStyle w:val="VerbatimChar"/>
        </w:rPr>
        <w:t xml:space="preserve">## </w:t>
      </w:r>
      <w:r>
        <w:br/>
      </w:r>
      <w:r>
        <w:rPr>
          <w:rStyle w:val="VerbatimChar"/>
        </w:rPr>
        <w:t xml:space="preserve">## </w:t>
      </w:r>
      <w:r>
        <w:br/>
      </w:r>
      <w:r>
        <w:rPr>
          <w:rStyle w:val="VerbatimChar"/>
        </w:rPr>
        <w:t xml:space="preserve">## Simulations: 1000</w:t>
      </w:r>
    </w:p>
    <w:p>
      <w:pPr>
        <w:pStyle w:val="FirstParagraph"/>
      </w:pPr>
      <w:r>
        <w:t xml:space="preserve">Table 3.2: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0.022</w:t>
      </w:r>
    </w:p>
    <w:p>
      <w:pPr>
        <w:pStyle w:val="BodyText"/>
      </w:pPr>
      <w:r>
        <w:t xml:space="preserve">-0.397**</w:t>
      </w:r>
    </w:p>
    <w:p>
      <w:pPr>
        <w:pStyle w:val="BodyText"/>
      </w:pPr>
      <w:r>
        <w:t xml:space="preserve">-0.078*</w:t>
      </w:r>
    </w:p>
    <w:p>
      <w:pPr>
        <w:pStyle w:val="BodyText"/>
      </w:pPr>
      <w:r>
        <w:t xml:space="preserve">(0.307)</w:t>
      </w:r>
    </w:p>
    <w:p>
      <w:pPr>
        <w:pStyle w:val="BodyText"/>
      </w:pPr>
      <w:r>
        <w:t xml:space="preserve">(0.196)</w:t>
      </w:r>
    </w:p>
    <w:p>
      <w:pPr>
        <w:pStyle w:val="BodyText"/>
      </w:pPr>
      <w:r>
        <w:t xml:space="preserve">(0.043)</w:t>
      </w:r>
    </w:p>
    <w:p>
      <w:pPr>
        <w:pStyle w:val="BodyText"/>
      </w:pPr>
      <w:r>
        <w:t xml:space="preserve">log(comments)</w:t>
      </w:r>
    </w:p>
    <w:p>
      <w:pPr>
        <w:pStyle w:val="BodyText"/>
      </w:pPr>
      <w:r>
        <w:t xml:space="preserve">-0.138***</w:t>
      </w:r>
    </w:p>
    <w:p>
      <w:pPr>
        <w:pStyle w:val="BodyText"/>
      </w:pPr>
      <w:r>
        <w:t xml:space="preserve">-0.157***</w:t>
      </w:r>
    </w:p>
    <w:p>
      <w:pPr>
        <w:pStyle w:val="BodyText"/>
      </w:pPr>
      <w:r>
        <w:t xml:space="preserve">-0.016</w:t>
      </w:r>
    </w:p>
    <w:p>
      <w:pPr>
        <w:pStyle w:val="BodyText"/>
      </w:pPr>
      <w:r>
        <w:t xml:space="preserve">(0.047)</w:t>
      </w:r>
    </w:p>
    <w:p>
      <w:pPr>
        <w:pStyle w:val="BodyText"/>
      </w:pPr>
      <w:r>
        <w:t xml:space="preserve">(0.052)</w:t>
      </w:r>
    </w:p>
    <w:p>
      <w:pPr>
        <w:pStyle w:val="BodyText"/>
      </w:pPr>
      <w:r>
        <w:t xml:space="preserve">(0.011)</w:t>
      </w:r>
    </w:p>
    <w:p>
      <w:pPr>
        <w:pStyle w:val="BodyText"/>
      </w:pPr>
      <w:r>
        <w:t xml:space="preserve">coalition_typepublic</w:t>
      </w:r>
    </w:p>
    <w:p>
      <w:pPr>
        <w:pStyle w:val="BodyText"/>
      </w:pPr>
      <w:r>
        <w:t xml:space="preserve">-0.006</w:t>
      </w:r>
    </w:p>
    <w:p>
      <w:pPr>
        <w:pStyle w:val="BodyText"/>
      </w:pPr>
      <w:r>
        <w:t xml:space="preserve">0.338</w:t>
      </w:r>
    </w:p>
    <w:p>
      <w:pPr>
        <w:pStyle w:val="BodyText"/>
      </w:pPr>
      <w:r>
        <w:t xml:space="preserve">0.084*</w:t>
      </w:r>
    </w:p>
    <w:p>
      <w:pPr>
        <w:pStyle w:val="BodyText"/>
      </w:pPr>
      <w:r>
        <w:t xml:space="preserve">(0.258)</w:t>
      </w:r>
    </w:p>
    <w:p>
      <w:pPr>
        <w:pStyle w:val="BodyText"/>
      </w:pPr>
      <w:r>
        <w:t xml:space="preserve">(0.228)</w:t>
      </w:r>
    </w:p>
    <w:p>
      <w:pPr>
        <w:pStyle w:val="BodyText"/>
      </w:pPr>
      <w:r>
        <w:t xml:space="preserve">(0.050)</w:t>
      </w:r>
    </w:p>
    <w:p>
      <w:pPr>
        <w:pStyle w:val="BodyText"/>
      </w:pPr>
      <w:r>
        <w:t xml:space="preserve">log(coalition_size)</w:t>
      </w:r>
    </w:p>
    <w:p>
      <w:pPr>
        <w:pStyle w:val="BodyText"/>
      </w:pPr>
      <w:r>
        <w:t xml:space="preserve">0.159</w:t>
      </w:r>
    </w:p>
    <w:p>
      <w:pPr>
        <w:pStyle w:val="BodyText"/>
      </w:pPr>
      <w:r>
        <w:t xml:space="preserve">0.264**</w:t>
      </w:r>
    </w:p>
    <w:p>
      <w:pPr>
        <w:pStyle w:val="BodyText"/>
      </w:pPr>
      <w:r>
        <w:t xml:space="preserve">0.073***</w:t>
      </w:r>
    </w:p>
    <w:p>
      <w:pPr>
        <w:pStyle w:val="BodyText"/>
      </w:pPr>
      <w:r>
        <w:t xml:space="preserve">(0.121)</w:t>
      </w:r>
    </w:p>
    <w:p>
      <w:pPr>
        <w:pStyle w:val="BodyText"/>
      </w:pPr>
      <w:r>
        <w:t xml:space="preserve">(0.106)</w:t>
      </w:r>
    </w:p>
    <w:p>
      <w:pPr>
        <w:pStyle w:val="BodyText"/>
      </w:pPr>
      <w:r>
        <w:t xml:space="preserve">(0.023)</w:t>
      </w:r>
    </w:p>
    <w:p>
      <w:pPr>
        <w:pStyle w:val="BodyText"/>
      </w:pPr>
      <w:r>
        <w:t xml:space="preserve">coalition_unopposedTRUE</w:t>
      </w:r>
    </w:p>
    <w:p>
      <w:pPr>
        <w:pStyle w:val="BodyText"/>
      </w:pPr>
      <w:r>
        <w:t xml:space="preserve">NA</w:t>
      </w:r>
    </w:p>
    <w:p>
      <w:pPr>
        <w:pStyle w:val="BodyText"/>
      </w:pPr>
      <w:r>
        <w:t xml:space="preserve">-1.603</w:t>
      </w:r>
    </w:p>
    <w:p>
      <w:pPr>
        <w:pStyle w:val="BodyText"/>
      </w:pPr>
      <w:r>
        <w:t xml:space="preserve">0.078</w:t>
      </w:r>
    </w:p>
    <w:p>
      <w:pPr>
        <w:pStyle w:val="BodyText"/>
      </w:pPr>
      <w:r>
        <w:t xml:space="preserve">()</w:t>
      </w:r>
    </w:p>
    <w:p>
      <w:pPr>
        <w:pStyle w:val="BodyText"/>
      </w:pPr>
      <w:r>
        <w:t xml:space="preserve">(1.564)</w:t>
      </w:r>
    </w:p>
    <w:p>
      <w:pPr>
        <w:pStyle w:val="BodyText"/>
      </w:pPr>
      <w:r>
        <w:t xml:space="preserve">(0.346)</w:t>
      </w:r>
    </w:p>
    <w:p>
      <w:pPr>
        <w:pStyle w:val="BodyText"/>
      </w:pPr>
      <w:r>
        <w:t xml:space="preserve">coalition_congress</w:t>
      </w:r>
    </w:p>
    <w:p>
      <w:pPr>
        <w:pStyle w:val="BodyText"/>
      </w:pPr>
      <w:r>
        <w:t xml:space="preserve">-0.259</w:t>
      </w:r>
    </w:p>
    <w:p>
      <w:pPr>
        <w:pStyle w:val="BodyText"/>
      </w:pPr>
      <w:r>
        <w:t xml:space="preserve">(0.319)</w:t>
      </w:r>
    </w:p>
    <w:p>
      <w:pPr>
        <w:pStyle w:val="BodyText"/>
      </w:pPr>
      <w:r>
        <w:t xml:space="preserve">Num.Obs.</w:t>
      </w:r>
    </w:p>
    <w:p>
      <w:pPr>
        <w:pStyle w:val="BodyText"/>
      </w:pPr>
      <w:r>
        <w:t xml:space="preserve">136</w:t>
      </w:r>
    </w:p>
    <w:p>
      <w:pPr>
        <w:pStyle w:val="BodyText"/>
      </w:pPr>
      <w:r>
        <w:t xml:space="preserve">206</w:t>
      </w:r>
    </w:p>
    <w:p>
      <w:pPr>
        <w:pStyle w:val="BodyText"/>
      </w:pPr>
      <w:r>
        <w:t xml:space="preserve">206</w:t>
      </w:r>
    </w:p>
    <w:p>
      <w:pPr>
        <w:pStyle w:val="BodyText"/>
      </w:pPr>
      <w:r>
        <w:t xml:space="preserve">R2</w:t>
      </w:r>
    </w:p>
    <w:p>
      <w:pPr>
        <w:pStyle w:val="BodyText"/>
      </w:pPr>
      <w:r>
        <w:t xml:space="preserve">0.067</w:t>
      </w:r>
    </w:p>
    <w:p>
      <w:pPr>
        <w:pStyle w:val="BodyText"/>
      </w:pPr>
      <w:r>
        <w:t xml:space="preserve">0.054</w:t>
      </w:r>
    </w:p>
    <w:p>
      <w:pPr>
        <w:pStyle w:val="BodyText"/>
      </w:pPr>
      <w:r>
        <w:t xml:space="preserve">0.070</w:t>
      </w:r>
    </w:p>
    <w:p>
      <w:pPr>
        <w:pStyle w:val="BodyText"/>
      </w:pPr>
      <w:r>
        <w:t xml:space="preserve">R2 Adj.</w:t>
      </w:r>
    </w:p>
    <w:p>
      <w:pPr>
        <w:pStyle w:val="BodyText"/>
      </w:pPr>
      <w:r>
        <w:t xml:space="preserve">0.046</w:t>
      </w:r>
    </w:p>
    <w:p>
      <w:pPr>
        <w:pStyle w:val="BodyText"/>
      </w:pPr>
      <w:r>
        <w:t xml:space="preserve">0.031</w:t>
      </w:r>
    </w:p>
    <w:p>
      <w:pPr>
        <w:pStyle w:val="BodyText"/>
      </w:pPr>
      <w:r>
        <w:t xml:space="preserve">0.051</w:t>
      </w:r>
    </w:p>
    <w:p>
      <w:pPr>
        <w:pStyle w:val="BodyText"/>
      </w:pPr>
      <w:r>
        <w:t xml:space="preserve">AIC</w:t>
      </w:r>
    </w:p>
    <w:p>
      <w:pPr>
        <w:pStyle w:val="BodyText"/>
      </w:pPr>
      <w:r>
        <w:t xml:space="preserve">484.1</w:t>
      </w:r>
    </w:p>
    <w:p>
      <w:pPr>
        <w:pStyle w:val="BodyText"/>
      </w:pPr>
      <w:r>
        <w:t xml:space="preserve">773.6</w:t>
      </w:r>
    </w:p>
    <w:p>
      <w:pPr>
        <w:pStyle w:val="BodyText"/>
      </w:pPr>
      <w:r>
        <w:t xml:space="preserve">151.5</w:t>
      </w:r>
    </w:p>
    <w:p>
      <w:pPr>
        <w:pStyle w:val="BodyText"/>
      </w:pPr>
      <w:r>
        <w:t xml:space="preserve">BIC</w:t>
      </w:r>
    </w:p>
    <w:p>
      <w:pPr>
        <w:pStyle w:val="BodyText"/>
      </w:pPr>
      <w:r>
        <w:t xml:space="preserve">498.7</w:t>
      </w:r>
    </w:p>
    <w:p>
      <w:pPr>
        <w:pStyle w:val="BodyText"/>
      </w:pPr>
      <w:r>
        <w:t xml:space="preserve">796.9</w:t>
      </w:r>
    </w:p>
    <w:p>
      <w:pPr>
        <w:pStyle w:val="BodyText"/>
      </w:pPr>
      <w:r>
        <w:t xml:space="preserve">171.4</w:t>
      </w:r>
    </w:p>
    <w:p>
      <w:pPr>
        <w:pStyle w:val="BodyText"/>
      </w:pPr>
      <w:r>
        <w:t xml:space="preserve">Log.Lik.</w:t>
      </w:r>
    </w:p>
    <w:p>
      <w:pPr>
        <w:pStyle w:val="BodyText"/>
      </w:pPr>
      <w:r>
        <w:t xml:space="preserve">-237.051</w:t>
      </w:r>
    </w:p>
    <w:p>
      <w:pPr>
        <w:pStyle w:val="BodyText"/>
      </w:pPr>
      <w:r>
        <w:t xml:space="preserve">-379.804</w:t>
      </w:r>
    </w:p>
    <w:p>
      <w:pPr>
        <w:pStyle w:val="BodyText"/>
      </w:pPr>
      <w:r>
        <w:t xml:space="preserve">-69.730</w:t>
      </w:r>
    </w:p>
    <w:p>
      <w:pPr>
        <w:pStyle w:val="BodyText"/>
      </w:pPr>
      <w:r>
        <w:t xml:space="preserve">F</w:t>
      </w:r>
    </w:p>
    <w:p>
      <w:pPr>
        <w:pStyle w:val="BodyText"/>
      </w:pPr>
      <w:r>
        <w:t xml:space="preserve">3.160</w:t>
      </w:r>
    </w:p>
    <w:p>
      <w:pPr>
        <w:pStyle w:val="BodyText"/>
      </w:pPr>
      <w:r>
        <w:t xml:space="preserve">2.297</w:t>
      </w:r>
    </w:p>
    <w:p>
      <w:pPr>
        <w:pStyle w:val="BodyText"/>
      </w:pPr>
      <w:r>
        <w:t xml:space="preserve">3.765</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0.548.</w:t>
      </w:r>
    </w:p>
    <w:p>
      <w:pPr>
        <w:pStyle w:val="BodyText"/>
      </w:pPr>
      <w:r>
        <w:t xml:space="preserve">The average direct effect (ADE) of the logged number of comments on lobbying success is -0.16, with a p-value of 0.002.</w:t>
      </w:r>
    </w:p>
    <w:p>
      <w:pPr>
        <w:pStyle w:val="BodyText"/>
      </w:pPr>
      <w:r>
        <w:t xml:space="preserve">The Total Effect of a one-unit increase in the logged number of comments is -0.15, with a p value of 0. -0.02 of this is mediated through mobilizing congressional attention (p-value = 0.55).</w:t>
      </w:r>
    </w:p>
    <w:bookmarkEnd w:id="192"/>
    <w:bookmarkEnd w:id="193"/>
    <w:bookmarkEnd w:id="194"/>
    <w:bookmarkStart w:id="195" w:name="Xd478252f0cf63a56d1d8c6caccb8b94c7f39324"/>
    <w:p>
      <w:pPr>
        <w:pStyle w:val="Heading3"/>
      </w:pPr>
      <w:r>
        <w:rPr>
          <w:rStyle w:val="SectionNumber"/>
        </w:rPr>
        <w:t xml:space="preserve">3.4.2</w:t>
      </w:r>
      <w:r>
        <w:tab/>
      </w:r>
      <w:r>
        <w:t xml:space="preserve">Organzation success as the Dependent Variable</w:t>
      </w:r>
    </w:p>
    <w:p>
      <w:pPr>
        <w:pStyle w:val="FirstParagraph"/>
      </w:pPr>
      <w:r>
        <w:t xml:space="preserve">While it would not be appropriate to compare the lobbying success of organizations</w:t>
      </w:r>
      <w:r>
        <w:t xml:space="preserve"> </w:t>
      </w:r>
      <w:r>
        <w:rPr>
          <w:iCs/>
          <w:i/>
        </w:rPr>
        <w:t xml:space="preserve">within</w:t>
      </w:r>
      <w:r>
        <w:t xml:space="preserve"> </w:t>
      </w:r>
      <w:r>
        <w:t xml:space="preserve">a rulemaking (because many organizations belong to the same coalition), it may be appropriate to compare the lobbying success</w:t>
      </w:r>
      <w:r>
        <w:t xml:space="preserve"> </w:t>
      </w:r>
      <w:r>
        <w:rPr>
          <w:iCs/>
          <w:i/>
        </w:rPr>
        <w:t xml:space="preserve">within</w:t>
      </w:r>
      <w:r>
        <w:t xml:space="preserve"> </w:t>
      </w:r>
      <w:r>
        <w:t xml:space="preserve">the same organization</w:t>
      </w:r>
      <w:r>
        <w:t xml:space="preserve"> </w:t>
      </w:r>
      <w:r>
        <w:rPr>
          <w:iCs/>
          <w:i/>
        </w:rPr>
        <w:t xml:space="preserve">across</w:t>
      </w:r>
      <w:r>
        <w:t xml:space="preserve"> </w:t>
      </w:r>
      <w:r>
        <w:t xml:space="preserve">rules. This limits the analysis to organizations that lobbying on multiple policies. The key variation of interest is when organizations lobby with a large amount of public support versus when they do not.</w:t>
      </w:r>
    </w:p>
    <w:p>
      <w:pPr>
        <w:pStyle w:val="BodyText"/>
      </w:pPr>
      <w:r>
        <w:t xml:space="preserve">There is still a (lesser) problem with the i.i.d. assumption here because two organizations lobbying in a coalition on one rule may mobilize each other to lobby in coalition in a different rule (in my data, lobbying coalitions are at the policy-level, since they differ from policy to policy).</w:t>
      </w:r>
    </w:p>
    <w:p>
      <w:pPr>
        <w:pStyle w:val="BodyText"/>
      </w:pPr>
      <w:r>
        <w:t xml:space="preserve">org_name</w:t>
      </w:r>
    </w:p>
    <w:p>
      <w:pPr>
        <w:pStyle w:val="BodyText"/>
      </w:pPr>
      <w:r>
        <w:t xml:space="preserve">n</w:t>
      </w:r>
    </w:p>
    <w:p>
      <w:pPr>
        <w:pStyle w:val="BodyText"/>
      </w:pPr>
      <w:r>
        <w:t xml:space="preserve">Natural Resources Defense Council</w:t>
      </w:r>
    </w:p>
    <w:p>
      <w:pPr>
        <w:pStyle w:val="BodyText"/>
      </w:pPr>
      <w:r>
        <w:t xml:space="preserve">9</w:t>
      </w:r>
    </w:p>
    <w:p>
      <w:pPr>
        <w:pStyle w:val="BodyText"/>
      </w:pPr>
      <w:r>
        <w:t xml:space="preserve">Sierra Club</w:t>
      </w:r>
    </w:p>
    <w:p>
      <w:pPr>
        <w:pStyle w:val="BodyText"/>
      </w:pPr>
      <w:r>
        <w:t xml:space="preserve">9</w:t>
      </w:r>
    </w:p>
    <w:p>
      <w:pPr>
        <w:pStyle w:val="BodyText"/>
      </w:pPr>
      <w:r>
        <w:t xml:space="preserve">Earthjustice</w:t>
      </w:r>
    </w:p>
    <w:p>
      <w:pPr>
        <w:pStyle w:val="BodyText"/>
      </w:pPr>
      <w:r>
        <w:t xml:space="preserve">8</w:t>
      </w:r>
    </w:p>
    <w:p>
      <w:pPr>
        <w:pStyle w:val="BodyText"/>
      </w:pPr>
      <w:r>
        <w:t xml:space="preserve">Oceana</w:t>
      </w:r>
    </w:p>
    <w:p>
      <w:pPr>
        <w:pStyle w:val="BodyText"/>
      </w:pPr>
      <w:r>
        <w:t xml:space="preserve">8</w:t>
      </w:r>
    </w:p>
    <w:p>
      <w:pPr>
        <w:pStyle w:val="BodyText"/>
      </w:pPr>
      <w:r>
        <w:t xml:space="preserve">Pew Charitable Trusts</w:t>
      </w:r>
    </w:p>
    <w:p>
      <w:pPr>
        <w:pStyle w:val="BodyText"/>
      </w:pPr>
      <w:r>
        <w:t xml:space="preserve">7</w:t>
      </w:r>
    </w:p>
    <w:p>
      <w:pPr>
        <w:pStyle w:val="BodyText"/>
      </w:pPr>
      <w:r>
        <w:t xml:space="preserve">Center For Biological Diversity</w:t>
      </w:r>
    </w:p>
    <w:p>
      <w:pPr>
        <w:pStyle w:val="BodyText"/>
      </w:pPr>
      <w:r>
        <w:t xml:space="preserve">6</w:t>
      </w:r>
    </w:p>
    <w:p>
      <w:pPr>
        <w:pStyle w:val="BodyText"/>
      </w:pPr>
      <w:r>
        <w:t xml:space="preserve">American Bankers Association</w:t>
      </w:r>
    </w:p>
    <w:p>
      <w:pPr>
        <w:pStyle w:val="BodyText"/>
      </w:pPr>
      <w:r>
        <w:t xml:space="preserve">5</w:t>
      </w:r>
    </w:p>
    <w:p>
      <w:pPr>
        <w:pStyle w:val="BodyText"/>
      </w:pPr>
      <w:r>
        <w:t xml:space="preserve">American Petroleum Institute</w:t>
      </w:r>
    </w:p>
    <w:p>
      <w:pPr>
        <w:pStyle w:val="BodyText"/>
      </w:pPr>
      <w:r>
        <w:t xml:space="preserve">5</w:t>
      </w:r>
    </w:p>
    <w:p>
      <w:pPr>
        <w:pStyle w:val="BodyText"/>
      </w:pPr>
      <w:r>
        <w:t xml:space="preserve">Associated Builders And Contractors</w:t>
      </w:r>
    </w:p>
    <w:p>
      <w:pPr>
        <w:pStyle w:val="BodyText"/>
      </w:pPr>
      <w:r>
        <w:t xml:space="preserve">5</w:t>
      </w:r>
    </w:p>
    <w:p>
      <w:pPr>
        <w:pStyle w:val="BodyText"/>
      </w:pPr>
      <w:r>
        <w:t xml:space="preserve">Association Of Oregon Counties</w:t>
      </w:r>
    </w:p>
    <w:p>
      <w:pPr>
        <w:pStyle w:val="BodyText"/>
      </w:pPr>
      <w:r>
        <w:t xml:space="preserve">5</w:t>
      </w:r>
    </w:p>
    <w:p>
      <w:pPr>
        <w:pStyle w:val="BodyText"/>
      </w:pPr>
      <w:r>
        <w:t xml:space="preserve">County Of Siskiyou</w:t>
      </w:r>
    </w:p>
    <w:p>
      <w:pPr>
        <w:pStyle w:val="BodyText"/>
      </w:pPr>
      <w:r>
        <w:t xml:space="preserve">5</w:t>
      </w:r>
    </w:p>
    <w:p>
      <w:pPr>
        <w:pStyle w:val="BodyText"/>
      </w:pPr>
      <w:r>
        <w:t xml:space="preserve">Edison Electric Institute</w:t>
      </w:r>
    </w:p>
    <w:p>
      <w:pPr>
        <w:pStyle w:val="BodyText"/>
      </w:pPr>
      <w:r>
        <w:t xml:space="preserve">5</w:t>
      </w:r>
    </w:p>
    <w:p>
      <w:pPr>
        <w:pStyle w:val="BodyText"/>
      </w:pPr>
      <w:r>
        <w:t xml:space="preserve">Environmental Defense Fund</w:t>
      </w:r>
    </w:p>
    <w:p>
      <w:pPr>
        <w:pStyle w:val="BodyText"/>
      </w:pPr>
      <w:r>
        <w:t xml:space="preserve">5</w:t>
      </w:r>
    </w:p>
    <w:p>
      <w:pPr>
        <w:pStyle w:val="BodyText"/>
      </w:pPr>
      <w:r>
        <w:t xml:space="preserve">International Association Of Drilling Contractors</w:t>
      </w:r>
    </w:p>
    <w:p>
      <w:pPr>
        <w:pStyle w:val="BodyText"/>
      </w:pPr>
      <w:r>
        <w:t xml:space="preserve">5</w:t>
      </w:r>
    </w:p>
    <w:p>
      <w:pPr>
        <w:pStyle w:val="BodyText"/>
      </w:pPr>
      <w:r>
        <w:t xml:space="preserve">International Bancshares Corporation</w:t>
      </w:r>
    </w:p>
    <w:p>
      <w:pPr>
        <w:pStyle w:val="BodyText"/>
      </w:pPr>
      <w:r>
        <w:t xml:space="preserve">5</w:t>
      </w:r>
    </w:p>
    <w:p>
      <w:pPr>
        <w:pStyle w:val="BodyText"/>
      </w:pPr>
      <w:r>
        <w:t xml:space="preserve">Materion Brush Inc. </w:t>
      </w:r>
    </w:p>
    <w:p>
      <w:pPr>
        <w:pStyle w:val="BodyText"/>
      </w:pPr>
      <w:r>
        <w:t xml:space="preserve">5</w:t>
      </w:r>
    </w:p>
    <w:p>
      <w:pPr>
        <w:pStyle w:val="BodyText"/>
      </w:pPr>
      <w:r>
        <w:t xml:space="preserve">National Association Of Home Builders</w:t>
      </w:r>
    </w:p>
    <w:p>
      <w:pPr>
        <w:pStyle w:val="BodyText"/>
      </w:pPr>
      <w:r>
        <w:t xml:space="preserve">5</w:t>
      </w:r>
    </w:p>
    <w:p>
      <w:pPr>
        <w:pStyle w:val="BodyText"/>
      </w:pPr>
      <w:r>
        <w:t xml:space="preserve">National Audubon Society</w:t>
      </w:r>
    </w:p>
    <w:p>
      <w:pPr>
        <w:pStyle w:val="BodyText"/>
      </w:pPr>
      <w:r>
        <w:t xml:space="preserve">5</w:t>
      </w:r>
    </w:p>
    <w:p>
      <w:pPr>
        <w:pStyle w:val="BodyText"/>
      </w:pPr>
      <w:r>
        <w:t xml:space="preserve">National Employment Law Project</w:t>
      </w:r>
    </w:p>
    <w:p>
      <w:pPr>
        <w:pStyle w:val="BodyText"/>
      </w:pPr>
      <w:r>
        <w:t xml:space="preserve">5</w:t>
      </w:r>
    </w:p>
    <w:p>
      <w:pPr>
        <w:pStyle w:val="BodyText"/>
      </w:pPr>
      <w:r>
        <w:t xml:space="preserve">National Mining Association</w:t>
      </w:r>
    </w:p>
    <w:p>
      <w:pPr>
        <w:pStyle w:val="BodyText"/>
      </w:pPr>
      <w:r>
        <w:t xml:space="preserve">5</w:t>
      </w:r>
    </w:p>
    <w:p>
      <w:pPr>
        <w:pStyle w:val="BodyText"/>
      </w:pPr>
      <w:r>
        <w:t xml:space="preserve">National Wildlife Federation</w:t>
      </w:r>
    </w:p>
    <w:p>
      <w:pPr>
        <w:pStyle w:val="BodyText"/>
      </w:pPr>
      <w:r>
        <w:t xml:space="preserve">5</w:t>
      </w:r>
    </w:p>
    <w:p>
      <w:pPr>
        <w:pStyle w:val="BodyText"/>
      </w:pPr>
      <w:r>
        <w:t xml:space="preserve">Nez Perce Tribal Executive Committee</w:t>
      </w:r>
    </w:p>
    <w:p>
      <w:pPr>
        <w:pStyle w:val="BodyText"/>
      </w:pPr>
      <w:r>
        <w:t xml:space="preserve">5</w:t>
      </w:r>
    </w:p>
    <w:p>
      <w:pPr>
        <w:pStyle w:val="BodyText"/>
      </w:pPr>
      <w:r>
        <w:t xml:space="preserve">Ocean Conservancy</w:t>
      </w:r>
    </w:p>
    <w:p>
      <w:pPr>
        <w:pStyle w:val="BodyText"/>
      </w:pPr>
      <w:r>
        <w:t xml:space="preserve">5</w:t>
      </w:r>
    </w:p>
    <w:p>
      <w:pPr>
        <w:pStyle w:val="BodyText"/>
      </w:pPr>
      <w:r>
        <w:t xml:space="preserve">Port Gamble S’klallam Tribe</w:t>
      </w:r>
    </w:p>
    <w:p>
      <w:pPr>
        <w:pStyle w:val="BodyText"/>
      </w:pPr>
      <w:r>
        <w:t xml:space="preserve">5</w:t>
      </w:r>
    </w:p>
    <w:p>
      <w:pPr>
        <w:pStyle w:val="BodyText"/>
      </w:pPr>
      <w:r>
        <w:t xml:space="preserve">Quinault Indian Nation</w:t>
      </w:r>
    </w:p>
    <w:p>
      <w:pPr>
        <w:pStyle w:val="BodyText"/>
      </w:pPr>
      <w:r>
        <w:t xml:space="preserve">5</w:t>
      </w:r>
    </w:p>
    <w:p>
      <w:pPr>
        <w:pStyle w:val="BodyText"/>
      </w:pPr>
      <w:r>
        <w:t xml:space="preserve">Afl-Cio</w:t>
      </w:r>
    </w:p>
    <w:p>
      <w:pPr>
        <w:pStyle w:val="BodyText"/>
      </w:pPr>
      <w:r>
        <w:t xml:space="preserve">4</w:t>
      </w:r>
    </w:p>
    <w:p>
      <w:pPr>
        <w:pStyle w:val="BodyText"/>
      </w:pPr>
      <w:r>
        <w:t xml:space="preserve">American Bird Conservancy</w:t>
      </w:r>
    </w:p>
    <w:p>
      <w:pPr>
        <w:pStyle w:val="BodyText"/>
      </w:pPr>
      <w:r>
        <w:t xml:space="preserve">4</w:t>
      </w:r>
    </w:p>
    <w:p>
      <w:pPr>
        <w:pStyle w:val="BodyText"/>
      </w:pPr>
      <w:r>
        <w:t xml:space="preserve">Blue Water Fishermen’s Association</w:t>
      </w:r>
    </w:p>
    <w:p>
      <w:pPr>
        <w:pStyle w:val="BodyText"/>
      </w:pPr>
      <w:r>
        <w:t xml:space="preserve">4</w:t>
      </w:r>
    </w:p>
    <w:p>
      <w:pPr>
        <w:pStyle w:val="BodyText"/>
      </w:pPr>
      <w:r>
        <w:t xml:space="preserve">Chamber Of Commerce</w:t>
      </w:r>
    </w:p>
    <w:p>
      <w:pPr>
        <w:pStyle w:val="BodyText"/>
      </w:pPr>
      <w:r>
        <w:t xml:space="preserve">4</w:t>
      </w:r>
    </w:p>
    <w:p>
      <w:pPr>
        <w:pStyle w:val="BodyText"/>
      </w:pPr>
      <w:r>
        <w:t xml:space="preserve">Confederated Tribes Of Warm Springs</w:t>
      </w:r>
    </w:p>
    <w:p>
      <w:pPr>
        <w:pStyle w:val="BodyText"/>
      </w:pPr>
      <w:r>
        <w:t xml:space="preserve">4</w:t>
      </w:r>
    </w:p>
    <w:p>
      <w:pPr>
        <w:pStyle w:val="BodyText"/>
      </w:pPr>
      <w:r>
        <w:t xml:space="preserve">Economic Progress Institute</w:t>
      </w:r>
    </w:p>
    <w:p>
      <w:pPr>
        <w:pStyle w:val="BodyText"/>
      </w:pPr>
      <w:r>
        <w:t xml:space="preserve">4</w:t>
      </w:r>
    </w:p>
    <w:p>
      <w:pPr>
        <w:pStyle w:val="BodyText"/>
      </w:pPr>
      <w:r>
        <w:t xml:space="preserve">Elko County</w:t>
      </w:r>
    </w:p>
    <w:p>
      <w:pPr>
        <w:pStyle w:val="BodyText"/>
      </w:pPr>
      <w:r>
        <w:t xml:space="preserve">4</w:t>
      </w:r>
    </w:p>
    <w:p>
      <w:pPr>
        <w:pStyle w:val="BodyText"/>
      </w:pPr>
      <w:r>
        <w:t xml:space="preserve">Farm Bureau</w:t>
      </w:r>
    </w:p>
    <w:p>
      <w:pPr>
        <w:pStyle w:val="BodyText"/>
      </w:pPr>
      <w:r>
        <w:t xml:space="preserve">4</w:t>
      </w:r>
    </w:p>
    <w:p>
      <w:pPr>
        <w:pStyle w:val="BodyText"/>
      </w:pPr>
      <w:r>
        <w:t xml:space="preserve">Harney County Court</w:t>
      </w:r>
    </w:p>
    <w:p>
      <w:pPr>
        <w:pStyle w:val="BodyText"/>
      </w:pPr>
      <w:r>
        <w:t xml:space="preserve">4</w:t>
      </w:r>
    </w:p>
    <w:p>
      <w:pPr>
        <w:pStyle w:val="BodyText"/>
      </w:pPr>
      <w:r>
        <w:t xml:space="preserve">Independent Community Bankers Of America</w:t>
      </w:r>
    </w:p>
    <w:p>
      <w:pPr>
        <w:pStyle w:val="BodyText"/>
      </w:pPr>
      <w:r>
        <w:t xml:space="preserve">4</w:t>
      </w:r>
    </w:p>
    <w:p>
      <w:pPr>
        <w:pStyle w:val="BodyText"/>
      </w:pPr>
      <w:r>
        <w:t xml:space="preserve">Institute For Policy Integrity</w:t>
      </w:r>
    </w:p>
    <w:p>
      <w:pPr>
        <w:pStyle w:val="BodyText"/>
      </w:pPr>
      <w:r>
        <w:t xml:space="preserve">4</w:t>
      </w:r>
    </w:p>
    <w:p>
      <w:pPr>
        <w:pStyle w:val="BodyText"/>
      </w:pPr>
      <w:r>
        <w:t xml:space="preserve">Kentucky Equal Justice Center</w:t>
      </w:r>
    </w:p>
    <w:p>
      <w:pPr>
        <w:pStyle w:val="BodyText"/>
      </w:pPr>
      <w:r>
        <w:t xml:space="preserve">4</w:t>
      </w:r>
    </w:p>
    <w:p>
      <w:pPr>
        <w:pStyle w:val="BodyText"/>
      </w:pPr>
      <w:r>
        <w:t xml:space="preserve">Montezuma County</w:t>
      </w:r>
    </w:p>
    <w:p>
      <w:pPr>
        <w:pStyle w:val="BodyText"/>
      </w:pPr>
      <w:r>
        <w:t xml:space="preserve">4</w:t>
      </w:r>
    </w:p>
    <w:p>
      <w:pPr>
        <w:pStyle w:val="BodyText"/>
      </w:pPr>
      <w:r>
        <w:t xml:space="preserve">National Wild Turkey Federation</w:t>
      </w:r>
    </w:p>
    <w:p>
      <w:pPr>
        <w:pStyle w:val="BodyText"/>
      </w:pPr>
      <w:r>
        <w:t xml:space="preserve">4</w:t>
      </w:r>
    </w:p>
    <w:p>
      <w:pPr>
        <w:pStyle w:val="BodyText"/>
      </w:pPr>
      <w:r>
        <w:t xml:space="preserve">Nature Conservancy</w:t>
      </w:r>
    </w:p>
    <w:p>
      <w:pPr>
        <w:pStyle w:val="BodyText"/>
      </w:pPr>
      <w:r>
        <w:t xml:space="preserve">4</w:t>
      </w:r>
    </w:p>
    <w:p>
      <w:pPr>
        <w:pStyle w:val="BodyText"/>
      </w:pPr>
      <w:r>
        <w:t xml:space="preserve">North Carolina Division Of Marine Fisheries</w:t>
      </w:r>
    </w:p>
    <w:p>
      <w:pPr>
        <w:pStyle w:val="BodyText"/>
      </w:pPr>
      <w:r>
        <w:t xml:space="preserve">4</w:t>
      </w:r>
    </w:p>
    <w:p>
      <w:pPr>
        <w:pStyle w:val="BodyText"/>
      </w:pPr>
      <w:r>
        <w:t xml:space="preserve">North Slope Borough</w:t>
      </w:r>
    </w:p>
    <w:p>
      <w:pPr>
        <w:pStyle w:val="BodyText"/>
      </w:pPr>
      <w:r>
        <w:t xml:space="preserve">4</w:t>
      </w:r>
    </w:p>
    <w:p>
      <w:pPr>
        <w:pStyle w:val="BodyText"/>
      </w:pPr>
      <w:r>
        <w:t xml:space="preserve">Northeast Seafood Coalition</w:t>
      </w:r>
    </w:p>
    <w:p>
      <w:pPr>
        <w:pStyle w:val="BodyText"/>
      </w:pPr>
      <w:r>
        <w:t xml:space="preserve">4</w:t>
      </w:r>
    </w:p>
    <w:p>
      <w:pPr>
        <w:pStyle w:val="BodyText"/>
      </w:pPr>
      <w:r>
        <w:t xml:space="preserve">Ocean Conservation Research</w:t>
      </w:r>
    </w:p>
    <w:p>
      <w:pPr>
        <w:pStyle w:val="BodyText"/>
      </w:pPr>
      <w:r>
        <w:t xml:space="preserve">4</w:t>
      </w:r>
    </w:p>
    <w:p>
      <w:pPr>
        <w:pStyle w:val="BodyText"/>
      </w:pPr>
      <w:r>
        <w:t xml:space="preserve">Offshore Operators Committee</w:t>
      </w:r>
    </w:p>
    <w:p>
      <w:pPr>
        <w:pStyle w:val="BodyText"/>
      </w:pPr>
      <w:r>
        <w:t xml:space="preserve">4</w:t>
      </w:r>
    </w:p>
    <w:p>
      <w:pPr>
        <w:pStyle w:val="BodyText"/>
      </w:pPr>
      <w:r>
        <w:t xml:space="preserve">Portland Cement Association</w:t>
      </w:r>
    </w:p>
    <w:p>
      <w:pPr>
        <w:pStyle w:val="BodyText"/>
      </w:pPr>
      <w:r>
        <w:t xml:space="preserve">4</w:t>
      </w:r>
    </w:p>
    <w:p>
      <w:pPr>
        <w:pStyle w:val="BodyText"/>
      </w:pPr>
      <w:r>
        <w:t xml:space="preserve">Public Citizen</w:t>
      </w:r>
    </w:p>
    <w:p>
      <w:pPr>
        <w:pStyle w:val="BodyText"/>
      </w:pPr>
      <w:r>
        <w:t xml:space="preserve">4</w:t>
      </w:r>
    </w:p>
    <w:p>
      <w:pPr>
        <w:pStyle w:val="BodyText"/>
      </w:pPr>
      <w:r>
        <w:t xml:space="preserve">Safari Club International</w:t>
      </w:r>
    </w:p>
    <w:p>
      <w:pPr>
        <w:pStyle w:val="BodyText"/>
      </w:pPr>
      <w:r>
        <w:t xml:space="preserve">4</w:t>
      </w:r>
    </w:p>
    <w:p>
      <w:pPr>
        <w:pStyle w:val="BodyText"/>
      </w:pPr>
      <w:r>
        <w:t xml:space="preserve">Snoqualmie Indian Tribe</w:t>
      </w:r>
    </w:p>
    <w:p>
      <w:pPr>
        <w:pStyle w:val="BodyText"/>
      </w:pPr>
      <w:r>
        <w:t xml:space="preserve">4</w:t>
      </w:r>
    </w:p>
    <w:p>
      <w:pPr>
        <w:pStyle w:val="BodyText"/>
      </w:pPr>
      <w:r>
        <w:t xml:space="preserve">Southern Ute Indian Tribe</w:t>
      </w:r>
    </w:p>
    <w:p>
      <w:pPr>
        <w:pStyle w:val="BodyText"/>
      </w:pPr>
      <w:r>
        <w:t xml:space="preserve">4</w:t>
      </w:r>
    </w:p>
    <w:p>
      <w:pPr>
        <w:pStyle w:val="BodyText"/>
      </w:pPr>
      <w:r>
        <w:t xml:space="preserve">State Of Alaska</w:t>
      </w:r>
    </w:p>
    <w:p>
      <w:pPr>
        <w:pStyle w:val="BodyText"/>
      </w:pPr>
      <w:r>
        <w:t xml:space="preserve">4</w:t>
      </w:r>
    </w:p>
    <w:p>
      <w:pPr>
        <w:pStyle w:val="BodyText"/>
      </w:pPr>
      <w:r>
        <w:t xml:space="preserve">Summit Lake Paiute Tribe</w:t>
      </w:r>
    </w:p>
    <w:p>
      <w:pPr>
        <w:pStyle w:val="BodyText"/>
      </w:pPr>
      <w:r>
        <w:t xml:space="preserve">4</w:t>
      </w:r>
    </w:p>
    <w:p>
      <w:pPr>
        <w:pStyle w:val="BodyText"/>
      </w:pPr>
      <w:r>
        <w:t xml:space="preserve">U.s. Chamber Of Commerce</w:t>
      </w:r>
    </w:p>
    <w:p>
      <w:pPr>
        <w:pStyle w:val="BodyText"/>
      </w:pPr>
      <w:r>
        <w:t xml:space="preserve">4</w:t>
      </w:r>
    </w:p>
    <w:p>
      <w:pPr>
        <w:pStyle w:val="BodyText"/>
      </w:pPr>
      <w:r>
        <w:t xml:space="preserve">Union Of Concerned Scientists</w:t>
      </w:r>
    </w:p>
    <w:p>
      <w:pPr>
        <w:pStyle w:val="BodyText"/>
      </w:pPr>
      <w:r>
        <w:t xml:space="preserve">4</w:t>
      </w:r>
    </w:p>
    <w:p>
      <w:pPr>
        <w:pStyle w:val="BodyText"/>
      </w:pPr>
      <w:r>
        <w:t xml:space="preserve">Aca International</w:t>
      </w:r>
    </w:p>
    <w:p>
      <w:pPr>
        <w:pStyle w:val="BodyText"/>
      </w:pPr>
      <w:r>
        <w:t xml:space="preserve">3</w:t>
      </w:r>
    </w:p>
    <w:p>
      <w:pPr>
        <w:pStyle w:val="BodyText"/>
      </w:pPr>
      <w:r>
        <w:t xml:space="preserve">Aircraft Owners And Pilots Association</w:t>
      </w:r>
    </w:p>
    <w:p>
      <w:pPr>
        <w:pStyle w:val="BodyText"/>
      </w:pPr>
      <w:r>
        <w:t xml:space="preserve">3</w:t>
      </w:r>
    </w:p>
    <w:p>
      <w:pPr>
        <w:pStyle w:val="BodyText"/>
      </w:pPr>
      <w:r>
        <w:t xml:space="preserve">American Staffing Association</w:t>
      </w:r>
    </w:p>
    <w:p>
      <w:pPr>
        <w:pStyle w:val="BodyText"/>
      </w:pPr>
      <w:r>
        <w:t xml:space="preserve">3</w:t>
      </w:r>
    </w:p>
    <w:p>
      <w:pPr>
        <w:pStyle w:val="BodyText"/>
      </w:pPr>
      <w:r>
        <w:t xml:space="preserve">Arizona Game &amp; Fish Department</w:t>
      </w:r>
    </w:p>
    <w:p>
      <w:pPr>
        <w:pStyle w:val="BodyText"/>
      </w:pPr>
      <w:r>
        <w:t xml:space="preserve">3</w:t>
      </w:r>
    </w:p>
    <w:p>
      <w:pPr>
        <w:pStyle w:val="BodyText"/>
      </w:pPr>
      <w:r>
        <w:t xml:space="preserve">Associated General Contractors Of America</w:t>
      </w:r>
    </w:p>
    <w:p>
      <w:pPr>
        <w:pStyle w:val="BodyText"/>
      </w:pPr>
      <w:r>
        <w:t xml:space="preserve">3</w:t>
      </w:r>
    </w:p>
    <w:p>
      <w:pPr>
        <w:pStyle w:val="BodyText"/>
      </w:pPr>
      <w:r>
        <w:t xml:space="preserve">Association To Preserve Cape Cod</w:t>
      </w:r>
    </w:p>
    <w:p>
      <w:pPr>
        <w:pStyle w:val="BodyText"/>
      </w:pPr>
      <w:r>
        <w:t xml:space="preserve">3</w:t>
      </w:r>
    </w:p>
    <w:p>
      <w:pPr>
        <w:pStyle w:val="BodyText"/>
      </w:pPr>
      <w:r>
        <w:t xml:space="preserve">Baker County</w:t>
      </w:r>
    </w:p>
    <w:p>
      <w:pPr>
        <w:pStyle w:val="BodyText"/>
      </w:pPr>
      <w:r>
        <w:t xml:space="preserve">3</w:t>
      </w:r>
    </w:p>
    <w:p>
      <w:pPr>
        <w:pStyle w:val="BodyText"/>
      </w:pPr>
      <w:r>
        <w:t xml:space="preserve">Better Markets</w:t>
      </w:r>
    </w:p>
    <w:p>
      <w:pPr>
        <w:pStyle w:val="BodyText"/>
      </w:pPr>
      <w:r>
        <w:t xml:space="preserve">3</w:t>
      </w:r>
    </w:p>
    <w:p>
      <w:pPr>
        <w:pStyle w:val="BodyText"/>
      </w:pPr>
      <w:r>
        <w:t xml:space="preserve">Catholic Charities Usa</w:t>
      </w:r>
    </w:p>
    <w:p>
      <w:pPr>
        <w:pStyle w:val="BodyText"/>
      </w:pPr>
      <w:r>
        <w:t xml:space="preserve">3</w:t>
      </w:r>
    </w:p>
    <w:p>
      <w:pPr>
        <w:pStyle w:val="BodyText"/>
      </w:pPr>
      <w:r>
        <w:t xml:space="preserve">Center For Regulatory Effectiveness</w:t>
      </w:r>
    </w:p>
    <w:p>
      <w:pPr>
        <w:pStyle w:val="BodyText"/>
      </w:pPr>
      <w:r>
        <w:t xml:space="preserve">3</w:t>
      </w:r>
    </w:p>
    <w:p>
      <w:pPr>
        <w:pStyle w:val="BodyText"/>
      </w:pPr>
      <w:r>
        <w:t xml:space="preserve">Chesapeake Bay Foundation</w:t>
      </w:r>
    </w:p>
    <w:p>
      <w:pPr>
        <w:pStyle w:val="BodyText"/>
      </w:pPr>
      <w:r>
        <w:t xml:space="preserve">3</w:t>
      </w:r>
    </w:p>
    <w:p>
      <w:pPr>
        <w:pStyle w:val="BodyText"/>
      </w:pPr>
      <w:r>
        <w:t xml:space="preserve">Citizens’ Alliance For Property Rights</w:t>
      </w:r>
    </w:p>
    <w:p>
      <w:pPr>
        <w:pStyle w:val="BodyText"/>
      </w:pPr>
      <w:r>
        <w:t xml:space="preserve">3</w:t>
      </w:r>
    </w:p>
    <w:p>
      <w:pPr>
        <w:pStyle w:val="BodyText"/>
      </w:pPr>
      <w:r>
        <w:t xml:space="preserve">Columbia River Inter-Tribal Fish Commission</w:t>
      </w:r>
    </w:p>
    <w:p>
      <w:pPr>
        <w:pStyle w:val="BodyText"/>
      </w:pPr>
      <w:r>
        <w:t xml:space="preserve">3</w:t>
      </w:r>
    </w:p>
    <w:p>
      <w:pPr>
        <w:pStyle w:val="BodyText"/>
      </w:pPr>
      <w:r>
        <w:t xml:space="preserve">Competitive Enterprise Institute</w:t>
      </w:r>
    </w:p>
    <w:p>
      <w:pPr>
        <w:pStyle w:val="BodyText"/>
      </w:pPr>
      <w:r>
        <w:t xml:space="preserve">3</w:t>
      </w:r>
    </w:p>
    <w:p>
      <w:pPr>
        <w:pStyle w:val="BodyText"/>
      </w:pPr>
      <w:r>
        <w:t xml:space="preserve">Confederated Tribes Of Grand Ronde</w:t>
      </w:r>
    </w:p>
    <w:p>
      <w:pPr>
        <w:pStyle w:val="BodyText"/>
      </w:pPr>
      <w:r>
        <w:t xml:space="preserve">3</w:t>
      </w:r>
    </w:p>
    <w:p>
      <w:pPr>
        <w:pStyle w:val="BodyText"/>
      </w:pPr>
      <w:r>
        <w:t xml:space="preserve">Conference Of State Bank Supervisors</w:t>
      </w:r>
    </w:p>
    <w:p>
      <w:pPr>
        <w:pStyle w:val="BodyText"/>
      </w:pPr>
      <w:r>
        <w:t xml:space="preserve">3</w:t>
      </w:r>
    </w:p>
    <w:p>
      <w:pPr>
        <w:pStyle w:val="BodyText"/>
      </w:pPr>
      <w:r>
        <w:t xml:space="preserve">Consumer Bankers Association</w:t>
      </w:r>
    </w:p>
    <w:p>
      <w:pPr>
        <w:pStyle w:val="BodyText"/>
      </w:pPr>
      <w:r>
        <w:t xml:space="preserve">3</w:t>
      </w:r>
    </w:p>
    <w:p>
      <w:pPr>
        <w:pStyle w:val="BodyText"/>
      </w:pPr>
      <w:r>
        <w:t xml:space="preserve">Consumer Reports</w:t>
      </w:r>
    </w:p>
    <w:p>
      <w:pPr>
        <w:pStyle w:val="BodyText"/>
      </w:pPr>
      <w:r>
        <w:t xml:space="preserve">3</w:t>
      </w:r>
    </w:p>
    <w:p>
      <w:pPr>
        <w:pStyle w:val="BodyText"/>
      </w:pPr>
      <w:r>
        <w:t xml:space="preserve">Domestic Energy Producers Alliance</w:t>
      </w:r>
    </w:p>
    <w:p>
      <w:pPr>
        <w:pStyle w:val="BodyText"/>
      </w:pPr>
      <w:r>
        <w:t xml:space="preserve">3</w:t>
      </w:r>
    </w:p>
    <w:p>
      <w:pPr>
        <w:pStyle w:val="BodyText"/>
      </w:pPr>
      <w:r>
        <w:t xml:space="preserve">Duchesne County</w:t>
      </w:r>
    </w:p>
    <w:p>
      <w:pPr>
        <w:pStyle w:val="BodyText"/>
      </w:pPr>
      <w:r>
        <w:t xml:space="preserve">3</w:t>
      </w:r>
    </w:p>
    <w:p>
      <w:pPr>
        <w:pStyle w:val="BodyText"/>
      </w:pPr>
      <w:r>
        <w:t xml:space="preserve">Endangered Species Coalition</w:t>
      </w:r>
    </w:p>
    <w:p>
      <w:pPr>
        <w:pStyle w:val="BodyText"/>
      </w:pPr>
      <w:r>
        <w:t xml:space="preserve">3</w:t>
      </w:r>
    </w:p>
    <w:p>
      <w:pPr>
        <w:pStyle w:val="BodyText"/>
      </w:pPr>
      <w:r>
        <w:t xml:space="preserve">Energy And Wildlife Action Coalition</w:t>
      </w:r>
    </w:p>
    <w:p>
      <w:pPr>
        <w:pStyle w:val="BodyText"/>
      </w:pPr>
      <w:r>
        <w:t xml:space="preserve">3</w:t>
      </w:r>
    </w:p>
    <w:p>
      <w:pPr>
        <w:pStyle w:val="BodyText"/>
      </w:pPr>
      <w:r>
        <w:t xml:space="preserve">Faith For Just Lending</w:t>
      </w:r>
    </w:p>
    <w:p>
      <w:pPr>
        <w:pStyle w:val="BodyText"/>
      </w:pPr>
      <w:r>
        <w:t xml:space="preserve">3</w:t>
      </w:r>
    </w:p>
    <w:p>
      <w:pPr>
        <w:pStyle w:val="BodyText"/>
      </w:pPr>
      <w:r>
        <w:t xml:space="preserve">Florida Fish And Wildlife Conservation Commission</w:t>
      </w:r>
    </w:p>
    <w:p>
      <w:pPr>
        <w:pStyle w:val="BodyText"/>
      </w:pPr>
      <w:r>
        <w:t xml:space="preserve">3</w:t>
      </w:r>
    </w:p>
    <w:p>
      <w:pPr>
        <w:pStyle w:val="BodyText"/>
      </w:pPr>
      <w:r>
        <w:t xml:space="preserve">Florida Wildlife Federation</w:t>
      </w:r>
    </w:p>
    <w:p>
      <w:pPr>
        <w:pStyle w:val="BodyText"/>
      </w:pPr>
      <w:r>
        <w:t xml:space="preserve">3</w:t>
      </w:r>
    </w:p>
    <w:p>
      <w:pPr>
        <w:pStyle w:val="BodyText"/>
      </w:pPr>
      <w:r>
        <w:t xml:space="preserve">Friends Of The Clearwater</w:t>
      </w:r>
    </w:p>
    <w:p>
      <w:pPr>
        <w:pStyle w:val="BodyText"/>
      </w:pPr>
      <w:r>
        <w:t xml:space="preserve">3</w:t>
      </w:r>
    </w:p>
    <w:p>
      <w:pPr>
        <w:pStyle w:val="BodyText"/>
      </w:pPr>
      <w:r>
        <w:t xml:space="preserve">Governor’s Office</w:t>
      </w:r>
    </w:p>
    <w:p>
      <w:pPr>
        <w:pStyle w:val="BodyText"/>
      </w:pPr>
      <w:r>
        <w:t xml:space="preserve">3</w:t>
      </w:r>
    </w:p>
    <w:p>
      <w:pPr>
        <w:pStyle w:val="BodyText"/>
      </w:pPr>
      <w:r>
        <w:t xml:space="preserve">Harding County</w:t>
      </w:r>
    </w:p>
    <w:p>
      <w:pPr>
        <w:pStyle w:val="BodyText"/>
      </w:pPr>
      <w:r>
        <w:t xml:space="preserve">3</w:t>
      </w:r>
    </w:p>
    <w:p>
      <w:pPr>
        <w:pStyle w:val="BodyText"/>
      </w:pPr>
      <w:r>
        <w:t xml:space="preserve">Hr Policy Association</w:t>
      </w:r>
    </w:p>
    <w:p>
      <w:pPr>
        <w:pStyle w:val="BodyText"/>
      </w:pPr>
      <w:r>
        <w:t xml:space="preserve">3</w:t>
      </w:r>
    </w:p>
    <w:p>
      <w:pPr>
        <w:pStyle w:val="BodyText"/>
      </w:pPr>
      <w:r>
        <w:t xml:space="preserve">Maine Coast Fishermen’s Association</w:t>
      </w:r>
    </w:p>
    <w:p>
      <w:pPr>
        <w:pStyle w:val="BodyText"/>
      </w:pPr>
      <w:r>
        <w:t xml:space="preserve">3</w:t>
      </w:r>
    </w:p>
    <w:p>
      <w:pPr>
        <w:pStyle w:val="BodyText"/>
      </w:pPr>
      <w:r>
        <w:t xml:space="preserve">Maryland Consumer Rights Coalition</w:t>
      </w:r>
    </w:p>
    <w:p>
      <w:pPr>
        <w:pStyle w:val="BodyText"/>
      </w:pPr>
      <w:r>
        <w:t xml:space="preserve">3</w:t>
      </w:r>
    </w:p>
    <w:p>
      <w:pPr>
        <w:pStyle w:val="BodyText"/>
      </w:pPr>
      <w:r>
        <w:t xml:space="preserve">Mcintyre &amp; Lemon, Pllc</w:t>
      </w:r>
    </w:p>
    <w:p>
      <w:pPr>
        <w:pStyle w:val="BodyText"/>
      </w:pPr>
      <w:r>
        <w:t xml:space="preserve">3</w:t>
      </w:r>
    </w:p>
    <w:p>
      <w:pPr>
        <w:pStyle w:val="BodyText"/>
      </w:pPr>
      <w:r>
        <w:t xml:space="preserve">Mesa County</w:t>
      </w:r>
    </w:p>
    <w:p>
      <w:pPr>
        <w:pStyle w:val="BodyText"/>
      </w:pPr>
      <w:r>
        <w:t xml:space="preserve">3</w:t>
      </w:r>
    </w:p>
    <w:p>
      <w:pPr>
        <w:pStyle w:val="BodyText"/>
      </w:pPr>
      <w:r>
        <w:t xml:space="preserve">Minnesota Deaprtment Of Natural Resources</w:t>
      </w:r>
    </w:p>
    <w:p>
      <w:pPr>
        <w:pStyle w:val="BodyText"/>
      </w:pPr>
      <w:r>
        <w:t xml:space="preserve">3</w:t>
      </w:r>
    </w:p>
    <w:p>
      <w:pPr>
        <w:pStyle w:val="BodyText"/>
      </w:pPr>
      <w:r>
        <w:t xml:space="preserve">Naacp</w:t>
      </w:r>
    </w:p>
    <w:p>
      <w:pPr>
        <w:pStyle w:val="BodyText"/>
      </w:pPr>
      <w:r>
        <w:t xml:space="preserve">3</w:t>
      </w:r>
    </w:p>
    <w:p>
      <w:pPr>
        <w:pStyle w:val="BodyText"/>
      </w:pPr>
      <w:r>
        <w:t xml:space="preserve">National Association Of Conservation Districts</w:t>
      </w:r>
    </w:p>
    <w:p>
      <w:pPr>
        <w:pStyle w:val="BodyText"/>
      </w:pPr>
      <w:r>
        <w:t xml:space="preserve">3</w:t>
      </w:r>
    </w:p>
    <w:p>
      <w:pPr>
        <w:pStyle w:val="BodyText"/>
      </w:pPr>
      <w:r>
        <w:t xml:space="preserve">National Association Of Counties</w:t>
      </w:r>
    </w:p>
    <w:p>
      <w:pPr>
        <w:pStyle w:val="BodyText"/>
      </w:pPr>
      <w:r>
        <w:t xml:space="preserve">3</w:t>
      </w:r>
    </w:p>
    <w:p>
      <w:pPr>
        <w:pStyle w:val="BodyText"/>
      </w:pPr>
      <w:r>
        <w:t xml:space="preserve">National Association Of Manufacturers</w:t>
      </w:r>
    </w:p>
    <w:p>
      <w:pPr>
        <w:pStyle w:val="BodyText"/>
      </w:pPr>
      <w:r>
        <w:t xml:space="preserve">3</w:t>
      </w:r>
    </w:p>
    <w:p>
      <w:pPr>
        <w:pStyle w:val="BodyText"/>
      </w:pPr>
      <w:r>
        <w:t xml:space="preserve">National Congress Of American Indians</w:t>
      </w:r>
    </w:p>
    <w:p>
      <w:pPr>
        <w:pStyle w:val="BodyText"/>
      </w:pPr>
      <w:r>
        <w:t xml:space="preserve">3</w:t>
      </w:r>
    </w:p>
    <w:p>
      <w:pPr>
        <w:pStyle w:val="BodyText"/>
      </w:pPr>
      <w:r>
        <w:t xml:space="preserve">National Employment Lawyers Association</w:t>
      </w:r>
    </w:p>
    <w:p>
      <w:pPr>
        <w:pStyle w:val="BodyText"/>
      </w:pPr>
      <w:r>
        <w:t xml:space="preserve">3</w:t>
      </w:r>
    </w:p>
    <w:p>
      <w:pPr>
        <w:pStyle w:val="BodyText"/>
      </w:pPr>
      <w:r>
        <w:t xml:space="preserve">National Endangered Species Act Reform Coalition</w:t>
      </w:r>
    </w:p>
    <w:p>
      <w:pPr>
        <w:pStyle w:val="BodyText"/>
      </w:pPr>
      <w:r>
        <w:t xml:space="preserve">3</w:t>
      </w:r>
    </w:p>
    <w:p>
      <w:pPr>
        <w:pStyle w:val="BodyText"/>
      </w:pPr>
      <w:r>
        <w:t xml:space="preserve">National Parks Conservation Association</w:t>
      </w:r>
    </w:p>
    <w:p>
      <w:pPr>
        <w:pStyle w:val="BodyText"/>
      </w:pPr>
      <w:r>
        <w:t xml:space="preserve">3</w:t>
      </w:r>
    </w:p>
    <w:p>
      <w:pPr>
        <w:pStyle w:val="BodyText"/>
      </w:pPr>
      <w:r>
        <w:t xml:space="preserve">National Women’s Law Center</w:t>
      </w:r>
    </w:p>
    <w:p>
      <w:pPr>
        <w:pStyle w:val="BodyText"/>
      </w:pPr>
      <w:r>
        <w:t xml:space="preserve">3</w:t>
      </w:r>
    </w:p>
    <w:p>
      <w:pPr>
        <w:pStyle w:val="BodyText"/>
      </w:pPr>
      <w:r>
        <w:t xml:space="preserve">Network Lobby For Catholic Social Justice</w:t>
      </w:r>
    </w:p>
    <w:p>
      <w:pPr>
        <w:pStyle w:val="BodyText"/>
      </w:pPr>
      <w:r>
        <w:t xml:space="preserve">3</w:t>
      </w:r>
    </w:p>
    <w:p>
      <w:pPr>
        <w:pStyle w:val="BodyText"/>
      </w:pPr>
      <w:r>
        <w:t xml:space="preserve">North Dakota Game &amp; Fish</w:t>
      </w:r>
    </w:p>
    <w:p>
      <w:pPr>
        <w:pStyle w:val="BodyText"/>
      </w:pPr>
      <w:r>
        <w:t xml:space="preserve">3</w:t>
      </w:r>
    </w:p>
    <w:p>
      <w:pPr>
        <w:pStyle w:val="BodyText"/>
      </w:pPr>
      <w:r>
        <w:t xml:space="preserve">Nyc Department Of Consumer Affairs</w:t>
      </w:r>
    </w:p>
    <w:p>
      <w:pPr>
        <w:pStyle w:val="BodyText"/>
      </w:pPr>
      <w:r>
        <w:t xml:space="preserve">3</w:t>
      </w:r>
    </w:p>
    <w:p>
      <w:pPr>
        <w:pStyle w:val="BodyText"/>
      </w:pPr>
      <w:r>
        <w:t xml:space="preserve">384 organizations lobbied on more than one rule in the hand-coded data, some on as many as 9 rulemaking dockets. This yields a total of 986 observations of an organization lobbying on a docket that also lobbied on some other docket.</w:t>
      </w:r>
      <w:r>
        <w:t xml:space="preserve"> </w:t>
      </w:r>
      <w:r>
        <w:t xml:space="preserve">(Note: this is a undercount due to imperfect standardization of organization names).</w:t>
      </w:r>
    </w:p>
    <w:p>
      <w:pPr>
        <w:pStyle w:val="BodyText"/>
      </w:pPr>
      <w:r>
        <w:t xml:space="preserve">At the organization level, the appropriate analysis is a difference-in-difference design. We know the success of each organization when it does and does not participate in a lobbying coalition that mobilizes public pressure (at least each organization that I can use for this analysis). The difference within an organization is now the key variation.</w:t>
      </w:r>
    </w:p>
    <w:p>
      <w:pPr>
        <w:pStyle w:val="BodyText"/>
      </w:pPr>
      <m:oMath>
        <m:sSub>
          <m:e>
            <m:r>
              <m:t>Y</m:t>
            </m:r>
          </m:e>
          <m:sub>
            <m:r>
              <m:t>i</m:t>
            </m:r>
            <m:r>
              <m:t>j</m:t>
            </m:r>
          </m:sub>
        </m:sSub>
        <m:r>
          <m:rPr>
            <m:sty m:val="p"/>
          </m:rPr>
          <m:t>=</m:t>
        </m:r>
        <m:sSub>
          <m:e>
            <m:r>
              <m:rPr>
                <m:sty m:val="b"/>
              </m:rPr>
              <m:t>β</m:t>
            </m:r>
          </m:e>
          <m:sub>
            <m:r>
              <m:t>1</m:t>
            </m:r>
          </m:sub>
        </m:sSub>
        <m:sSub>
          <m:e>
            <m:r>
              <m:rPr>
                <m:nor/>
                <m:sty m:val="b"/>
              </m:rPr>
              <m:t>Comments</m:t>
            </m:r>
          </m:e>
          <m:sub>
            <m:r>
              <m:t>i</m:t>
            </m:r>
            <m:r>
              <m:t>j</m:t>
            </m:r>
          </m:sub>
        </m:sSub>
        <m:r>
          <m:rPr>
            <m:sty m:val="p"/>
          </m:rPr>
          <m:t>+</m:t>
        </m:r>
        <m:sSub>
          <m:e>
            <m:r>
              <m:t>γ</m:t>
            </m:r>
          </m:e>
          <m:sub>
            <m:r>
              <m:t>i</m:t>
            </m:r>
          </m:sub>
        </m:sSub>
        <m:r>
          <m:rPr>
            <m:sty m:val="p"/>
          </m:rPr>
          <m:t>+</m:t>
        </m:r>
        <m:sSub>
          <m:e>
            <m:r>
              <m:t>β</m:t>
            </m:r>
          </m:e>
          <m:sub>
            <m:r>
              <m:t>2</m:t>
            </m:r>
          </m:sub>
        </m:sSub>
        <m:sSub>
          <m:e>
            <m:r>
              <m:rPr>
                <m:nor/>
                <m:sty m:val="p"/>
              </m:rPr>
              <m:t>Coalition Size</m:t>
            </m:r>
          </m:e>
          <m:sub>
            <m:r>
              <m:t>i</m:t>
            </m:r>
            <m:r>
              <m:t>j</m:t>
            </m:r>
          </m:sub>
        </m:sSub>
        <m:r>
          <m:rPr>
            <m:sty m:val="p"/>
          </m:rPr>
          <m:t>+</m:t>
        </m:r>
        <m:sSub>
          <m:e>
            <m:r>
              <m:t>β</m:t>
            </m:r>
          </m:e>
          <m:sub>
            <m:r>
              <m:t>3</m:t>
            </m:r>
          </m:sub>
        </m:sSub>
        <m:sSub>
          <m:e>
            <m:r>
              <m:rPr>
                <m:nor/>
                <m:sty m:val="p"/>
              </m:rPr>
              <m:t>Support</m:t>
            </m:r>
          </m:e>
          <m:sub>
            <m:r>
              <m:t>i</m:t>
            </m:r>
            <m:r>
              <m:t>j</m:t>
            </m:r>
          </m:sub>
        </m:sSub>
        <m:r>
          <m:rPr>
            <m:sty m:val="p"/>
          </m:rPr>
          <m:t>+</m:t>
        </m:r>
        <m:sSub>
          <m:e>
            <m:r>
              <m:t>β</m:t>
            </m:r>
          </m:e>
          <m:sub>
            <m:r>
              <m:t>4</m:t>
            </m:r>
          </m:sub>
        </m:sSub>
        <m:sSub>
          <m:e>
            <m:r>
              <m:rPr>
                <m:nor/>
                <m:sty m:val="p"/>
              </m:rPr>
              <m:t>President</m:t>
            </m:r>
          </m:e>
          <m:sub>
            <m:r>
              <m:t>j</m:t>
            </m:r>
          </m:sub>
        </m:sSub>
        <m:r>
          <m:rPr>
            <m:sty m:val="p"/>
          </m:rPr>
          <m:t>+</m:t>
        </m:r>
        <m:sSub>
          <m:e>
            <m:r>
              <m:t>ϵ</m:t>
            </m:r>
          </m:e>
          <m:sub>
            <m:r>
              <m:t>i</m:t>
            </m:r>
            <m:r>
              <m:t>j</m:t>
            </m:r>
          </m:sub>
        </m:sSub>
      </m:oMath>
    </w:p>
    <w:p>
      <w:pPr>
        <w:pStyle w:val="BodyText"/>
      </w:pPr>
      <w:r>
        <w:t xml:space="preserve">Where</w:t>
      </w:r>
      <w:r>
        <w:t xml:space="preserve"> </w:t>
      </w:r>
      <m:oMath>
        <m:sSub>
          <m:e>
            <m:r>
              <m:t>Y</m:t>
            </m:r>
          </m:e>
          <m:sub>
            <m:r>
              <m:t>i</m:t>
            </m:r>
            <m:r>
              <m:t>t</m:t>
            </m:r>
          </m:sub>
        </m:sSub>
      </m:oMath>
      <w:r>
        <w:t xml:space="preserve"> </w:t>
      </w:r>
      <w:r>
        <w:t xml:space="preserve">represents the level of success that organization</w:t>
      </w:r>
      <w:r>
        <w:t xml:space="preserve"> </w:t>
      </w:r>
      <m:oMath>
        <m:r>
          <m:t>i</m:t>
        </m:r>
      </m:oMath>
      <w:r>
        <w:t xml:space="preserve">.</w:t>
      </w:r>
      <w:r>
        <w:t xml:space="preserve"> </w:t>
      </w:r>
      <m:oMath>
        <m:sSub>
          <m:e>
            <m:r>
              <m:t>γ</m:t>
            </m:r>
          </m:e>
          <m:sub>
            <m:r>
              <m:t>i</m:t>
            </m:r>
            <m:r>
              <m:t>j</m:t>
            </m:r>
          </m:sub>
        </m:sSub>
      </m:oMath>
      <w:r>
        <w:t xml:space="preserve"> </w:t>
      </w:r>
      <w:r>
        <w:t xml:space="preserve">is a fixed effect for</w:t>
      </w:r>
      <w:r>
        <w:t xml:space="preserve"> </w:t>
      </w:r>
      <w:r>
        <w:t xml:space="preserve">the organization. This fixed effect accounts for the organization’s</w:t>
      </w:r>
      <w:r>
        <w:t xml:space="preserve"> </w:t>
      </w:r>
      <w:r>
        <w:t xml:space="preserve">characteristics. This difference-in-difference design ensures that</w:t>
      </w:r>
      <w:r>
        <w:t xml:space="preserve"> </w:t>
      </w:r>
      <w:r>
        <w:t xml:space="preserve">coefficient</w:t>
      </w:r>
      <w:r>
        <w:t xml:space="preserve"> </w:t>
      </w:r>
      <m:oMath>
        <m:sSub>
          <m:e>
            <m:r>
              <m:rPr>
                <m:sty m:val="b"/>
              </m:rPr>
              <m:t>β</m:t>
            </m:r>
          </m:e>
          <m:sub>
            <m:r>
              <m:t>1</m:t>
            </m:r>
          </m:sub>
        </m:sSub>
      </m:oMath>
      <w:r>
        <w:t xml:space="preserve"> </w:t>
      </w:r>
      <w:r>
        <w:t xml:space="preserve">captures variation related to changes</w:t>
      </w:r>
      <w:r>
        <w:t xml:space="preserve"> </w:t>
      </w:r>
      <w:r>
        <w:t xml:space="preserve">in levels of public pressure, not other factors that may vary</w:t>
      </w:r>
      <w:r>
        <w:t xml:space="preserve"> </w:t>
      </w:r>
      <w:r>
        <w:t xml:space="preserve">across organizations.</w:t>
      </w:r>
      <w:r>
        <w:t xml:space="preserve"> </w:t>
      </w:r>
    </w:p>
    <w:p>
      <w:pPr>
        <w:pStyle w:val="BodyText"/>
      </w:pPr>
      <m:oMath>
        <m:sSub>
          <m:e>
            <m:r>
              <m:t>β</m:t>
            </m:r>
          </m:e>
          <m:sub>
            <m:r>
              <m:t>2</m:t>
            </m:r>
          </m:sub>
        </m:sSub>
      </m:oMath>
      <w:r>
        <w:t xml:space="preserve"> </w:t>
      </w:r>
      <w:r>
        <w:t xml:space="preserve">captures the effect of coalition size on lobbying success of organization</w:t>
      </w:r>
      <w:r>
        <w:t xml:space="preserve"> </w:t>
      </w:r>
      <m:oMath>
        <m:r>
          <m:t>i</m:t>
        </m:r>
      </m:oMath>
      <w:r>
        <w:t xml:space="preserve"> </w:t>
      </w:r>
      <w:r>
        <w:t xml:space="preserve">on rule</w:t>
      </w:r>
      <w:r>
        <w:t xml:space="preserve"> </w:t>
      </w:r>
      <m:oMath>
        <m:r>
          <m:t>j</m:t>
        </m:r>
      </m:oMath>
      <w:r>
        <w:t xml:space="preserve">.</w:t>
      </w:r>
      <w:r>
        <w:t xml:space="preserve"> </w:t>
      </w:r>
      <m:oMath>
        <m:sSub>
          <m:e>
            <m:r>
              <m:t>β</m:t>
            </m:r>
          </m:e>
          <m:sub>
            <m:r>
              <m:t>3</m:t>
            </m:r>
          </m:sub>
        </m:sSub>
      </m:oMath>
      <w:r>
        <w:t xml:space="preserve"> </w:t>
      </w:r>
      <w:r>
        <w:t xml:space="preserve">captures the difference in the success of organization</w:t>
      </w:r>
      <w:r>
        <w:t xml:space="preserve"> </w:t>
      </w:r>
      <m:oMath>
        <m:r>
          <m:t>i</m:t>
        </m:r>
      </m:oMath>
      <w:r>
        <w:t xml:space="preserve"> </w:t>
      </w:r>
      <w:r>
        <w:t xml:space="preserve">when they support proposed policy</w:t>
      </w:r>
      <w:r>
        <w:t xml:space="preserve"> </w:t>
      </w:r>
      <m:oMath>
        <m:r>
          <m:t>j</m:t>
        </m:r>
      </m:oMath>
      <w:r>
        <w:t xml:space="preserve"> </w:t>
      </w:r>
      <w:r>
        <w:t xml:space="preserve">rather than oppose it.</w:t>
      </w:r>
      <w:r>
        <w:t xml:space="preserve"> </w:t>
      </w:r>
      <m:oMath>
        <m:sSub>
          <m:e>
            <m:r>
              <m:t>P</m:t>
            </m:r>
            <m:r>
              <m:t>r</m:t>
            </m:r>
            <m:r>
              <m:t>e</m:t>
            </m:r>
            <m:r>
              <m:t>s</m:t>
            </m:r>
            <m:r>
              <m:t>i</m:t>
            </m:r>
            <m:r>
              <m:t>d</m:t>
            </m:r>
            <m:r>
              <m:t>e</m:t>
            </m:r>
            <m:r>
              <m:t>n</m:t>
            </m:r>
            <m:r>
              <m:t>t</m:t>
            </m:r>
          </m:e>
          <m:sub>
            <m:r>
              <m:t>j</m:t>
            </m:r>
          </m:sub>
        </m:sSub>
      </m:oMath>
      <w:r>
        <w:t xml:space="preserve"> </w:t>
      </w:r>
      <w:r>
        <w:t xml:space="preserve">is a dummy for whether policy</w:t>
      </w:r>
      <w:r>
        <w:t xml:space="preserve"> </w:t>
      </w:r>
      <m:oMath>
        <m:r>
          <m:t>j</m:t>
        </m:r>
      </m:oMath>
      <w:r>
        <w:t xml:space="preserve"> </w:t>
      </w:r>
      <w:r>
        <w:t xml:space="preserve">was proposed by President Trump rather then-president Obama’s administration.</w:t>
      </w:r>
    </w:p>
    <w:p>
      <w:pPr>
        <w:pStyle w:val="BodyText"/>
      </w:pPr>
      <w:r>
        <w:t xml:space="preserve">Assuming that organizations have parallel trends in their level of success given a level of support,</w:t>
      </w:r>
      <w:r>
        <w:t xml:space="preserve"> </w:t>
      </w:r>
      <m:oMath>
        <m:r>
          <m:rPr>
            <m:sty m:val="b"/>
          </m:rPr>
          <m:t>β</m:t>
        </m:r>
      </m:oMath>
      <w:r>
        <w:t xml:space="preserve"> </w:t>
      </w:r>
      <w:r>
        <w:t xml:space="preserve">represents the average effect of changing levels of public pressure on an organization’s lobbying success.</w:t>
      </w:r>
    </w:p>
    <w:p>
      <w:pPr>
        <w:pStyle w:val="BodyText"/>
      </w:pPr>
      <w:r>
        <w:t xml:space="preserve">Estimates in the table below show the results of this model. It suggests that the same organization was less effective when it mobilized more comments, more successful when they supported the rule, and less successful under president Trump than President Obama.</w:t>
      </w:r>
    </w:p>
    <w:p>
      <w:pPr>
        <w:pStyle w:val="BodyText"/>
      </w:pPr>
      <w:r>
        <w:t xml:space="preserve">The negative correlation between lobbying success and the number of mass comments is likely due to campaigns</w:t>
      </w:r>
      <w:r>
        <w:t xml:space="preserve"> </w:t>
      </w:r>
      <w:r>
        <w:t xml:space="preserve">“</w:t>
      </w:r>
      <w:r>
        <w:t xml:space="preserve">going down fighting</w:t>
      </w:r>
      <w:r>
        <w:t xml:space="preserve">”</w:t>
      </w:r>
      <w:r>
        <w:t xml:space="preserve">–not trying to influence policy. The fact that organizations are more likely to get the outcome they seek when they already support the rule makes sense because the agency is more likely to be sympathetic to their requests. The fact that the average organization was less likely to see its desired policy changes under President Trump is likely due to asymmetry in mobilizing organizations, with more organizations on the left than the right in this sample of rules. (Note: this may change in the broader sample.)</w:t>
      </w:r>
    </w:p>
    <w:p>
      <w:pPr>
        <w:pStyle w:val="BodyText"/>
      </w:pPr>
      <w:r>
        <w:t xml:space="preserve">Lobbying Success</w:t>
      </w:r>
    </w:p>
    <w:p>
      <w:pPr>
        <w:pStyle w:val="BodyText"/>
      </w:pPr>
      <w:r>
        <w:t xml:space="preserve">log(coalition_comments)</w:t>
      </w:r>
    </w:p>
    <w:p>
      <w:pPr>
        <w:pStyle w:val="BodyText"/>
      </w:pPr>
      <w:r>
        <w:t xml:space="preserve">-0.094**</w:t>
      </w:r>
    </w:p>
    <w:p>
      <w:pPr>
        <w:pStyle w:val="BodyText"/>
      </w:pPr>
      <w:r>
        <w:t xml:space="preserve">(0.043)</w:t>
      </w:r>
    </w:p>
    <w:p>
      <w:pPr>
        <w:pStyle w:val="BodyText"/>
      </w:pPr>
      <w:r>
        <w:t xml:space="preserve">coalition_size</w:t>
      </w:r>
    </w:p>
    <w:p>
      <w:pPr>
        <w:pStyle w:val="BodyText"/>
      </w:pPr>
      <w:r>
        <w:t xml:space="preserve">0.001</w:t>
      </w:r>
    </w:p>
    <w:p>
      <w:pPr>
        <w:pStyle w:val="BodyText"/>
      </w:pPr>
      <w:r>
        <w:t xml:space="preserve">(0.004)</w:t>
      </w:r>
    </w:p>
    <w:p>
      <w:pPr>
        <w:pStyle w:val="BodyText"/>
      </w:pPr>
      <w:r>
        <w:t xml:space="preserve">PositionSupports rule</w:t>
      </w:r>
    </w:p>
    <w:p>
      <w:pPr>
        <w:pStyle w:val="BodyText"/>
      </w:pPr>
      <w:r>
        <w:t xml:space="preserve">0.609**</w:t>
      </w:r>
    </w:p>
    <w:p>
      <w:pPr>
        <w:pStyle w:val="BodyText"/>
      </w:pPr>
      <w:r>
        <w:t xml:space="preserve">(0.252)</w:t>
      </w:r>
    </w:p>
    <w:p>
      <w:pPr>
        <w:pStyle w:val="BodyText"/>
      </w:pPr>
      <w:r>
        <w:t xml:space="preserve">presidentTrump</w:t>
      </w:r>
    </w:p>
    <w:p>
      <w:pPr>
        <w:pStyle w:val="BodyText"/>
      </w:pPr>
      <w:r>
        <w:t xml:space="preserve">-0.566**</w:t>
      </w:r>
    </w:p>
    <w:p>
      <w:pPr>
        <w:pStyle w:val="BodyText"/>
      </w:pPr>
      <w:r>
        <w:t xml:space="preserve">(0.234)</w:t>
      </w:r>
    </w:p>
    <w:p>
      <w:pPr>
        <w:pStyle w:val="BodyText"/>
      </w:pPr>
      <w:r>
        <w:t xml:space="preserve">Num.Obs.</w:t>
      </w:r>
    </w:p>
    <w:p>
      <w:pPr>
        <w:pStyle w:val="BodyText"/>
      </w:pPr>
      <w:r>
        <w:t xml:space="preserve">1892</w:t>
      </w:r>
    </w:p>
    <w:p>
      <w:pPr>
        <w:pStyle w:val="BodyText"/>
      </w:pPr>
      <w:r>
        <w:t xml:space="preserve">R2</w:t>
      </w:r>
    </w:p>
    <w:p>
      <w:pPr>
        <w:pStyle w:val="BodyText"/>
      </w:pPr>
      <w:r>
        <w:t xml:space="preserve">0.915</w:t>
      </w:r>
    </w:p>
    <w:p>
      <w:pPr>
        <w:pStyle w:val="BodyText"/>
      </w:pPr>
      <w:r>
        <w:t xml:space="preserve">R2 Adj.</w:t>
      </w:r>
    </w:p>
    <w:p>
      <w:pPr>
        <w:pStyle w:val="BodyText"/>
      </w:pPr>
      <w:r>
        <w:t xml:space="preserve">0.412</w:t>
      </w:r>
    </w:p>
    <w:p>
      <w:pPr>
        <w:pStyle w:val="BodyText"/>
      </w:pPr>
      <w:r>
        <w:t xml:space="preserve">R2 Within</w:t>
      </w:r>
    </w:p>
    <w:p>
      <w:pPr>
        <w:pStyle w:val="BodyText"/>
      </w:pPr>
      <w:r>
        <w:t xml:space="preserve">0.094</w:t>
      </w:r>
    </w:p>
    <w:p>
      <w:pPr>
        <w:pStyle w:val="BodyText"/>
      </w:pPr>
      <w:r>
        <w:t xml:space="preserve">R2 Pseudo</w:t>
      </w:r>
    </w:p>
    <w:p>
      <w:pPr>
        <w:pStyle w:val="BodyText"/>
      </w:pPr>
      <w:r>
        <w:t xml:space="preserve">AIC</w:t>
      </w:r>
    </w:p>
    <w:p>
      <w:pPr>
        <w:pStyle w:val="BodyText"/>
      </w:pPr>
      <w:r>
        <w:t xml:space="preserve">6204.6</w:t>
      </w:r>
    </w:p>
    <w:p>
      <w:pPr>
        <w:pStyle w:val="BodyText"/>
      </w:pPr>
      <w:r>
        <w:t xml:space="preserve">BIC</w:t>
      </w:r>
    </w:p>
    <w:p>
      <w:pPr>
        <w:pStyle w:val="BodyText"/>
      </w:pPr>
      <w:r>
        <w:t xml:space="preserve">15182.6</w:t>
      </w:r>
    </w:p>
    <w:p>
      <w:pPr>
        <w:pStyle w:val="BodyText"/>
      </w:pPr>
      <w:r>
        <w:t xml:space="preserve">Log.Lik.</w:t>
      </w:r>
    </w:p>
    <w:p>
      <w:pPr>
        <w:pStyle w:val="BodyText"/>
      </w:pPr>
      <w:r>
        <w:t xml:space="preserve">-1483.303</w:t>
      </w:r>
    </w:p>
    <w:p>
      <w:pPr>
        <w:pStyle w:val="BodyText"/>
      </w:pPr>
      <w:r>
        <w:t xml:space="preserve">FE: org_name</w:t>
      </w:r>
    </w:p>
    <w:p>
      <w:pPr>
        <w:pStyle w:val="BodyText"/>
      </w:pPr>
      <w:r>
        <w:t xml:space="preserve">X</w:t>
      </w:r>
    </w:p>
    <w:p>
      <w:pPr>
        <w:pStyle w:val="BodyText"/>
      </w:pPr>
      <w:r>
        <w:t xml:space="preserve">Std. errors</w:t>
      </w:r>
    </w:p>
    <w:p>
      <w:pPr>
        <w:pStyle w:val="BodyText"/>
      </w:pPr>
      <w:r>
        <w:t xml:space="preserve">Clustered (org_name)</w:t>
      </w:r>
    </w:p>
    <w:p>
      <w:pPr>
        <w:pStyle w:val="BodyText"/>
      </w:pPr>
      <w:r>
        <w:t xml:space="preserve"> </w:t>
      </w:r>
      <w:r>
        <w:t xml:space="preserve">* p &lt; 0.1, ** p &lt; 0.05, *** p &lt; 0.01</w:t>
      </w:r>
    </w:p>
    <w:bookmarkEnd w:id="195"/>
    <w:bookmarkEnd w:id="196"/>
    <w:bookmarkEnd w:id="197"/>
    <w:bookmarkStart w:id="246"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8">
        <w:r>
          <w:rPr>
            <w:rStyle w:val="Hyperlink"/>
            <w:iCs/>
            <w:i/>
          </w:rPr>
          <w:t xml:space="preserve">here</w:t>
        </w:r>
      </w:hyperlink>
      <w:r>
        <w:t xml:space="preserve">.</w:t>
      </w:r>
    </w:p>
    <w:bookmarkStart w:id="199"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9"/>
    <w:bookmarkStart w:id="200"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0"/>
    <w:bookmarkStart w:id="211"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1"/>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2"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Indigenous governments and activists have long used opportunities to build coalitions and raise concerns to the federal government: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2"/>
    <w:bookmarkStart w:id="203"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3"/>
    <w:bookmarkStart w:id="206"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4"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mobilizing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4"/>
    <w:bookmarkStart w:id="205"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5"/>
    <w:bookmarkEnd w:id="206"/>
    <w:bookmarkStart w:id="210"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8"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7"/>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8"/>
    <w:bookmarkStart w:id="209"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neither anticipate nor respond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9"/>
    <w:bookmarkEnd w:id="210"/>
    <w:bookmarkEnd w:id="211"/>
    <w:bookmarkStart w:id="232" w:name="testing-the-theory-1"/>
    <w:p>
      <w:pPr>
        <w:pStyle w:val="Heading2"/>
      </w:pPr>
      <w:r>
        <w:rPr>
          <w:rStyle w:val="SectionNumber"/>
        </w:rPr>
        <w:t xml:space="preserve">4.3</w:t>
      </w:r>
      <w:r>
        <w:tab/>
      </w:r>
      <w:r>
        <w:t xml:space="preserve">Testing the Theory</w:t>
      </w:r>
    </w:p>
    <w:bookmarkStart w:id="212"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2"/>
    <w:bookmarkStart w:id="224"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3"/>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4"/>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5"/>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6"/>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8"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8"/>
    <w:bookmarkStart w:id="223"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are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9"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9"/>
    <w:bookmarkStart w:id="222"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0"/>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1"/>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2"/>
    <w:bookmarkEnd w:id="223"/>
    <w:bookmarkEnd w:id="224"/>
    <w:bookmarkStart w:id="226"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the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in order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5"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should Mercury limits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5"/>
    <w:bookmarkEnd w:id="226"/>
    <w:bookmarkStart w:id="231"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procedural responsiveness</w:t>
      </w:r>
      <w:r>
        <w:t xml:space="preserve">”</w:t>
      </w:r>
      <w:r>
        <w:t xml:space="preserve"> </w:t>
      </w:r>
      <w:r>
        <w:t xml:space="preserve">used by</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Steven J. Balla et al. 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7"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7"/>
    <w:bookmarkStart w:id="230"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8"/>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9"/>
      </w:r>
    </w:p>
    <w:bookmarkEnd w:id="230"/>
    <w:bookmarkEnd w:id="231"/>
    <w:bookmarkEnd w:id="232"/>
    <w:bookmarkStart w:id="244" w:name="results"/>
    <w:p>
      <w:pPr>
        <w:pStyle w:val="Heading2"/>
      </w:pPr>
      <w:r>
        <w:rPr>
          <w:rStyle w:val="SectionNumber"/>
        </w:rPr>
        <w:t xml:space="preserve">4.4</w:t>
      </w:r>
      <w:r>
        <w:tab/>
      </w:r>
      <w:r>
        <w:t xml:space="preserve">Results</w:t>
      </w:r>
    </w:p>
    <w:bookmarkStart w:id="239"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3"/>
                    <a:stretch>
                      <a:fillRect/>
                    </a:stretch>
                  </pic:blipFill>
                  <pic:spPr bwMode="auto">
                    <a:xfrm>
                      <a:off x="0" y="0"/>
                      <a:ext cx="1614726" cy="1837974"/>
                    </a:xfrm>
                    <a:prstGeom prst="rect">
                      <a:avLst/>
                    </a:prstGeom>
                    <a:noFill/>
                    <a:ln w="9525">
                      <a:noFill/>
                      <a:headEnd/>
                      <a:tailEnd/>
                    </a:ln>
                  </pic:spPr>
                </pic:pic>
              </a:graphicData>
            </a:graphic>
          </wp:inline>
        </w:drawing>
      </w:r>
    </w:p>
    <w:bookmarkStart w:id="238"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4"/>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8"/>
    <w:bookmarkEnd w:id="239"/>
    <w:bookmarkStart w:id="243"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2"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2"/>
    <w:bookmarkEnd w:id="243"/>
    <w:bookmarkEnd w:id="244"/>
    <w:bookmarkStart w:id="245" w:name="conclusion-2"/>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5"/>
    <w:bookmarkEnd w:id="246"/>
    <w:bookmarkStart w:id="552"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4"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in chapters</w:t>
      </w:r>
      <w:r>
        <w:t xml:space="preserve"> </w:t>
      </w:r>
      <w:r>
        <w:t xml:space="preserve">2</w:t>
      </w:r>
      <w:r>
        <w:t xml:space="preserve">,</w:t>
      </w:r>
      <w:r>
        <w:t xml:space="preserve"> </w:t>
      </w:r>
      <w:r>
        <w:t xml:space="preserve">3</w:t>
      </w:r>
      <w:r>
        <w:t xml:space="preserve">, and</w:t>
      </w:r>
      <w:r>
        <w:t xml:space="preserve"> </w:t>
      </w:r>
      <w:r>
        <w:t xml:space="preserve">4</w:t>
      </w:r>
      <w:r>
        <w:t xml:space="preserve">, 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technocratic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 ’I don’t support the policy…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plebiscite.</w:t>
      </w:r>
    </w:p>
    <w:p>
      <w:pPr>
        <w:pStyle w:val="BodyText"/>
      </w:pPr>
      <w:r>
        <w:t xml:space="preserve">At the same time, agencies frequently do tally up comments on each side. In a 2008 rule regulating border crossing by private aircraft, The U.S. Customs cited the scale of public engagement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7">
        <w:r>
          <w:rPr>
            <w:rStyle w:val="Hyperlink"/>
          </w:rPr>
          <w:t xml:space="preserve">CBP-E8-26621/p-61</w:t>
        </w:r>
      </w:hyperlink>
      <w:r>
        <w:t xml:space="preserve">)</w:t>
      </w:r>
    </w:p>
    <w:p>
      <w:pPr>
        <w:pStyle w:val="BodyText"/>
      </w:pPr>
      <w:r>
        <w:t xml:space="preserve">In the preamble to the 2015 Waters of the United States Rule, EPA evoked both majoritarian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8">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quantitative opposition to the policy.</w:t>
      </w:r>
    </w:p>
    <w:p>
      <w:pPr>
        <w:pStyle w:val="BodyText"/>
      </w:pPr>
      <w:r>
        <w:t xml:space="preserve">Agencies also regularly refer to form comments as petitions. When the Bureau of Land Management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9">
        <w:r>
          <w:rPr>
            <w:rStyle w:val="Hyperlink"/>
          </w:rPr>
          <w:t xml:space="preserve">LM-2013-0002-5720</w:t>
        </w:r>
      </w:hyperlink>
      <w:r>
        <w:t xml:space="preserve">) This text was nearly identical was signed by</w:t>
      </w:r>
      <w:r>
        <w:t xml:space="preserve"> </w:t>
      </w:r>
      <w:r>
        <w:t xml:space="preserve">“</w:t>
      </w:r>
      <w:r>
        <w:t xml:space="preserve">Oil and Gas industry individuals</w:t>
      </w:r>
      <w:r>
        <w:t xml:space="preserve">”</w:t>
      </w:r>
      <w:r>
        <w:t xml:space="preserve"> </w:t>
      </w:r>
      <w:r>
        <w:t xml:space="preserve">(</w:t>
      </w:r>
      <w:hyperlink r:id="rId250">
        <w:r>
          <w:rPr>
            <w:rStyle w:val="Hyperlink"/>
          </w:rPr>
          <w:t xml:space="preserve">BLM-2013-0002-5688</w:t>
        </w:r>
      </w:hyperlink>
      <w:r>
        <w:t xml:space="preserve">). Another batch of 1,289 nearly identical emails submitted through the social networking website Care2.org was labeled</w:t>
      </w:r>
      <w:r>
        <w:t xml:space="preserve"> </w:t>
      </w:r>
      <w:r>
        <w:t xml:space="preserve">“</w:t>
      </w:r>
      <w:r>
        <w:t xml:space="preserve">Anti Fracking Petition</w:t>
      </w:r>
      <w:r>
        <w:t xml:space="preserve">”</w:t>
      </w:r>
      <w:r>
        <w:t xml:space="preserve"> </w:t>
      </w:r>
      <w:r>
        <w:t xml:space="preserve">(</w:t>
      </w:r>
      <w:hyperlink r:id="rId251">
        <w:r>
          <w:rPr>
            <w:rStyle w:val="Hyperlink"/>
          </w:rPr>
          <w:t xml:space="preserve">BLM-2013-0002-5721</w:t>
        </w:r>
      </w:hyperlink>
      <w:r>
        <w:t xml:space="preserve">)</w:t>
      </w:r>
    </w:p>
    <w:p>
      <w:pPr>
        <w:pStyle w:val="BodyText"/>
      </w:pPr>
      <w:r>
        <w:t xml:space="preserve">The organizations running public pressure campaigns are even more explicit that they consider mass comments to be petition signatures, frequently citing mass comments as</w:t>
      </w:r>
      <w:r>
        <w:t xml:space="preserve"> </w:t>
      </w:r>
      <w:r>
        <w:t xml:space="preserve">“</w:t>
      </w:r>
      <w:r>
        <w:t xml:space="preserve">Letters in support of [our organization’s] Comments</w:t>
      </w:r>
      <w:r>
        <w:t xml:space="preserve">”</w:t>
      </w:r>
      <w:r>
        <w:t xml:space="preserve"> </w:t>
      </w:r>
      <w:r>
        <w:t xml:space="preserve">(</w:t>
      </w:r>
      <w:hyperlink r:id="rId252">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3">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4"/>
    <w:bookmarkStart w:id="272" w:name="reforms"/>
    <w:p>
      <w:pPr>
        <w:pStyle w:val="Heading2"/>
      </w:pPr>
      <w:r>
        <w:rPr>
          <w:rStyle w:val="SectionNumber"/>
        </w:rPr>
        <w:t xml:space="preserve">5.2</w:t>
      </w:r>
      <w:r>
        <w:tab/>
      </w:r>
      <w:r>
        <w:t xml:space="preserve">Reforms</w:t>
      </w:r>
    </w:p>
    <w:bookmarkStart w:id="260"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5"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5"/>
    <w:bookmarkStart w:id="256"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6"/>
    <w:bookmarkStart w:id="257"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However, reforms requiring groups to disclose information about their funding and membership only go part way to assess groups’ representational claims, which often extend well beyond their membership.</w:t>
      </w:r>
    </w:p>
    <w:bookmarkEnd w:id="257"/>
    <w:bookmarkStart w:id="258"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8"/>
    <w:bookmarkStart w:id="259"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9"/>
    <w:bookmarkEnd w:id="260"/>
    <w:bookmarkStart w:id="264" w:name="challenges"/>
    <w:p>
      <w:pPr>
        <w:pStyle w:val="Heading3"/>
      </w:pPr>
      <w:r>
        <w:rPr>
          <w:rStyle w:val="SectionNumber"/>
        </w:rPr>
        <w:t xml:space="preserve">5.2.2</w:t>
      </w:r>
      <w:r>
        <w:tab/>
      </w:r>
      <w:r>
        <w:t xml:space="preserve">Challenges</w:t>
      </w:r>
    </w:p>
    <w:bookmarkStart w:id="262" w:name="fraud"/>
    <w:p>
      <w:pPr>
        <w:pStyle w:val="Heading4"/>
      </w:pPr>
      <w:r>
        <w:t xml:space="preserve">Fraud</w:t>
      </w:r>
    </w:p>
    <w:p>
      <w:pPr>
        <w:pStyle w:val="FirstParagraph"/>
      </w:pPr>
      <w:r>
        <w:t xml:space="preserve">(The Wall Street Journal](</w:t>
      </w:r>
      <w:hyperlink r:id="rId261">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2"/>
    <w:bookmarkStart w:id="263" w:name="astroturf"/>
    <w:p>
      <w:pPr>
        <w:pStyle w:val="Heading4"/>
      </w:pPr>
      <w:r>
        <w:rPr>
          <w:rStyle w:val="SectionNumber"/>
        </w:rPr>
        <w:t xml:space="preserve">5.2.2.1</w:t>
      </w:r>
      <w:r>
        <w:tab/>
      </w:r>
      <w:r>
        <w:t xml:space="preserve">Astroturf</w:t>
      </w:r>
    </w:p>
    <w:p>
      <w:pPr>
        <w:pStyle w:val="BlockText"/>
      </w:pPr>
      <w:r>
        <w:t xml:space="preserve">TODO</w:t>
      </w:r>
    </w:p>
    <w:bookmarkEnd w:id="263"/>
    <w:bookmarkEnd w:id="264"/>
    <w:bookmarkStart w:id="271"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its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that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weaker.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5"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5"/>
    <w:bookmarkStart w:id="266"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6"/>
    <w:bookmarkStart w:id="267"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7"/>
    <w:bookmarkStart w:id="268" w:name="acus-report"/>
    <w:p>
      <w:pPr>
        <w:pStyle w:val="Heading4"/>
      </w:pPr>
      <w:r>
        <w:t xml:space="preserve">ACUS Report</w:t>
      </w:r>
    </w:p>
    <w:p>
      <w:r>
        <w:pict>
          <v:rect style="width:0;height:1.5pt" o:hralign="center" o:hrstd="t" o:hr="t"/>
        </w:pict>
      </w:r>
    </w:p>
    <w:bookmarkEnd w:id="268"/>
    <w:bookmarkStart w:id="269" w:name="X373c49abac0f56889b518962547d41b908b2dc6"/>
    <w:p>
      <w:pPr>
        <w:pStyle w:val="Heading4"/>
      </w:pPr>
      <w:r>
        <w:t xml:space="preserve">Increasing transparency and public participation (GSA-2019-02)</w:t>
      </w:r>
    </w:p>
    <w:p>
      <w:pPr>
        <w:pStyle w:val="FirstParagraph"/>
      </w:pPr>
      <w:r>
        <w:t xml:space="preserve">On January 30,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9"/>
    <w:bookmarkStart w:id="270"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0"/>
    <w:bookmarkEnd w:id="271"/>
    <w:bookmarkEnd w:id="272"/>
    <w:bookmarkStart w:id="551" w:name="conclusion-3"/>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50" w:name="refs"/>
    <w:bookmarkStart w:id="274"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3">
        <w:r>
          <w:rPr>
            <w:rStyle w:val="Hyperlink"/>
          </w:rPr>
          <w:t xml:space="preserve">https://www.acus.gov/sites/default/files/documents/ACUS Recommendations Packet.pdf</w:t>
        </w:r>
      </w:hyperlink>
      <w:r>
        <w:t xml:space="preserve">.</w:t>
      </w:r>
    </w:p>
    <w:bookmarkEnd w:id="274"/>
    <w:bookmarkStart w:id="276"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5">
        <w:r>
          <w:rPr>
            <w:rStyle w:val="Hyperlink"/>
          </w:rPr>
          <w:t xml:space="preserve">https://doi.org/10.1146/annurev.soc.30.012703.110542</w:t>
        </w:r>
      </w:hyperlink>
      <w:r>
        <w:t xml:space="preserve">.</w:t>
      </w:r>
    </w:p>
    <w:bookmarkEnd w:id="276"/>
    <w:bookmarkStart w:id="278"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7">
        <w:r>
          <w:rPr>
            <w:rStyle w:val="Hyperlink"/>
          </w:rPr>
          <w:t xml:space="preserve">https://yalebooks.yale.edu/book/9780300025927/congress-and-bureaucracy</w:t>
        </w:r>
      </w:hyperlink>
      <w:r>
        <w:t xml:space="preserve">.</w:t>
      </w:r>
    </w:p>
    <w:bookmarkEnd w:id="278"/>
    <w:bookmarkStart w:id="280"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9">
        <w:r>
          <w:rPr>
            <w:rStyle w:val="Hyperlink"/>
          </w:rPr>
          <w:t xml:space="preserve">https://doi.org/10.2307/2585488</w:t>
        </w:r>
      </w:hyperlink>
      <w:r>
        <w:t xml:space="preserve">.</w:t>
      </w:r>
    </w:p>
    <w:bookmarkEnd w:id="280"/>
    <w:bookmarkStart w:id="281"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281"/>
    <w:bookmarkStart w:id="282"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2"/>
    <w:bookmarkStart w:id="284"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3">
        <w:r>
          <w:rPr>
            <w:rStyle w:val="Hyperlink"/>
          </w:rPr>
          <w:t xml:space="preserve">https://doi.org/10.1515/9781400822485</w:t>
        </w:r>
      </w:hyperlink>
      <w:r>
        <w:t xml:space="preserve">.</w:t>
      </w:r>
    </w:p>
    <w:bookmarkEnd w:id="284"/>
    <w:bookmarkStart w:id="286"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5">
        <w:r>
          <w:rPr>
            <w:rStyle w:val="Hyperlink"/>
          </w:rPr>
          <w:t xml:space="preserve">https://www.brookings.edu/book/the-new-liberalism/</w:t>
        </w:r>
      </w:hyperlink>
      <w:r>
        <w:t xml:space="preserve">.</w:t>
      </w:r>
    </w:p>
    <w:bookmarkEnd w:id="286"/>
    <w:bookmarkStart w:id="287"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7"/>
    <w:bookmarkStart w:id="289"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8">
        <w:r>
          <w:rPr>
            <w:rStyle w:val="Hyperlink"/>
          </w:rPr>
          <w:t xml:space="preserve">https://doi.org/10.1177/0093650218808186</w:t>
        </w:r>
      </w:hyperlink>
      <w:r>
        <w:t xml:space="preserve">.</w:t>
      </w:r>
    </w:p>
    <w:bookmarkEnd w:id="289"/>
    <w:bookmarkStart w:id="291"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0">
        <w:r>
          <w:rPr>
            <w:rStyle w:val="Hyperlink"/>
          </w:rPr>
          <w:t xml:space="preserve">http://www.worldcat.org/title/confronting-environmental-racism-voices-from-the-grassroots/oclc/26351432</w:t>
        </w:r>
      </w:hyperlink>
      <w:r>
        <w:t xml:space="preserve">.</w:t>
      </w:r>
    </w:p>
    <w:bookmarkEnd w:id="291"/>
    <w:bookmarkStart w:id="293"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2">
        <w:r>
          <w:rPr>
            <w:rStyle w:val="Hyperlink"/>
          </w:rPr>
          <w:t xml:space="preserve">https://doi.org/10.33774/apsa-2020-k78wc</w:t>
        </w:r>
      </w:hyperlink>
      <w:r>
        <w:t xml:space="preserve">.</w:t>
      </w:r>
    </w:p>
    <w:bookmarkEnd w:id="293"/>
    <w:bookmarkStart w:id="295"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4">
        <w:r>
          <w:rPr>
            <w:rStyle w:val="Hyperlink"/>
          </w:rPr>
          <w:t xml:space="preserve">http://press.princeton.edu/titles/4385.html http://web.stanford.edu/class/polisci177a/Notes.Week2.pdf</w:t>
        </w:r>
      </w:hyperlink>
      <w:r>
        <w:t xml:space="preserve">.</w:t>
      </w:r>
    </w:p>
    <w:bookmarkEnd w:id="295"/>
    <w:bookmarkStart w:id="297"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6">
        <w:r>
          <w:rPr>
            <w:rStyle w:val="Hyperlink"/>
          </w:rPr>
          <w:t xml:space="preserve">http://www.jstor.org/stable/j.ctv1j9mk15</w:t>
        </w:r>
      </w:hyperlink>
      <w:r>
        <w:t xml:space="preserve">.</w:t>
      </w:r>
    </w:p>
    <w:bookmarkEnd w:id="297"/>
    <w:bookmarkStart w:id="298"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8"/>
    <w:bookmarkStart w:id="299"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9"/>
    <w:bookmarkStart w:id="301"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0">
        <w:r>
          <w:rPr>
            <w:rStyle w:val="Hyperlink"/>
          </w:rPr>
          <w:t xml:space="preserve">http://www.cbecal.org/</w:t>
        </w:r>
      </w:hyperlink>
      <w:r>
        <w:t xml:space="preserve">.</w:t>
      </w:r>
    </w:p>
    <w:bookmarkEnd w:id="301"/>
    <w:bookmarkStart w:id="303"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2">
        <w:r>
          <w:rPr>
            <w:rStyle w:val="Hyperlink"/>
          </w:rPr>
          <w:t xml:space="preserve">https://doi.org/10.1111/ajps.12066</w:t>
        </w:r>
      </w:hyperlink>
      <w:r>
        <w:t xml:space="preserve">.</w:t>
      </w:r>
    </w:p>
    <w:bookmarkEnd w:id="303"/>
    <w:bookmarkStart w:id="305"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4">
        <w:r>
          <w:rPr>
            <w:rStyle w:val="Hyperlink"/>
          </w:rPr>
          <w:t xml:space="preserve">http://scholarship.law.upenn.edu/faculty{\_}scholarship</w:t>
        </w:r>
      </w:hyperlink>
      <w:r>
        <w:t xml:space="preserve">.</w:t>
      </w:r>
    </w:p>
    <w:bookmarkEnd w:id="305"/>
    <w:bookmarkStart w:id="307"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6">
        <w:r>
          <w:rPr>
            <w:rStyle w:val="Hyperlink"/>
          </w:rPr>
          <w:t xml:space="preserve">https://www.jstor.org/stable/pdf/40040532.pdf?refreqid=excelsior%3A3eeeeaa9f2da6db1832f107aa771d14f</w:t>
        </w:r>
      </w:hyperlink>
      <w:r>
        <w:t xml:space="preserve">.</w:t>
      </w:r>
    </w:p>
    <w:bookmarkEnd w:id="307"/>
    <w:bookmarkStart w:id="308"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8"/>
    <w:bookmarkStart w:id="310"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9">
        <w:r>
          <w:rPr>
            <w:rStyle w:val="Hyperlink"/>
          </w:rPr>
          <w:t xml:space="preserve">https://doi.org/10.1080/08913810608443650</w:t>
        </w:r>
      </w:hyperlink>
      <w:r>
        <w:t xml:space="preserve">.</w:t>
      </w:r>
    </w:p>
    <w:bookmarkEnd w:id="310"/>
    <w:bookmarkStart w:id="312"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1">
        <w:r>
          <w:rPr>
            <w:rStyle w:val="Hyperlink"/>
          </w:rPr>
          <w:t xml:space="preserve">https://mountainscholar.org/bitstream/handle/10217/181399/Cook{\_}colostate{\_}0053A14127.pdf?sequence=1</w:t>
        </w:r>
      </w:hyperlink>
      <w:r>
        <w:t xml:space="preserve">.</w:t>
      </w:r>
    </w:p>
    <w:bookmarkEnd w:id="312"/>
    <w:bookmarkStart w:id="313"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3"/>
    <w:bookmarkStart w:id="315"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4">
        <w:r>
          <w:rPr>
            <w:rStyle w:val="Hyperlink"/>
          </w:rPr>
          <w:t xml:space="preserve">http://chicagounbound.uchicago.edu/cgi/viewcontent.cgi?article=5219{\&amp;}context=uclrev</w:t>
        </w:r>
      </w:hyperlink>
      <w:r>
        <w:t xml:space="preserve">.</w:t>
      </w:r>
    </w:p>
    <w:bookmarkEnd w:id="315"/>
    <w:bookmarkStart w:id="317"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6">
        <w:r>
          <w:rPr>
            <w:rStyle w:val="Hyperlink"/>
          </w:rPr>
          <w:t xml:space="preserve">https://doi.org/10.1177/0095399715581040</w:t>
        </w:r>
      </w:hyperlink>
      <w:r>
        <w:t xml:space="preserve">.</w:t>
      </w:r>
    </w:p>
    <w:bookmarkEnd w:id="317"/>
    <w:bookmarkStart w:id="319"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8">
        <w:r>
          <w:rPr>
            <w:rStyle w:val="Hyperlink"/>
          </w:rPr>
          <w:t xml:space="preserve">https://about.jstor.org/terms https://papers.ssrn.com/sol3/papers.cfm?abstract{\_}id=595181{\&amp;}download=yes</w:t>
        </w:r>
      </w:hyperlink>
      <w:r>
        <w:t xml:space="preserve">.</w:t>
      </w:r>
    </w:p>
    <w:bookmarkEnd w:id="319"/>
    <w:bookmarkStart w:id="321"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0">
        <w:r>
          <w:rPr>
            <w:rStyle w:val="Hyperlink"/>
          </w:rPr>
          <w:t xml:space="preserve">http://law.wisc.edu/ils/2017speakerfiles/supplemental{\_}reading--administrative{\_}war.pdf</w:t>
        </w:r>
      </w:hyperlink>
      <w:r>
        <w:t xml:space="preserve">.</w:t>
      </w:r>
    </w:p>
    <w:bookmarkEnd w:id="321"/>
    <w:bookmarkStart w:id="322" w:name="ref-Dahl1958"/>
    <w:p>
      <w:pPr>
        <w:pStyle w:val="Bibliography"/>
      </w:pPr>
      <w:r>
        <w:t xml:space="preserve">Dahl, Robert. 1958.</w:t>
      </w:r>
      <w:r>
        <w:t xml:space="preserve"> </w:t>
      </w:r>
      <w:r>
        <w:t xml:space="preserve">“</w:t>
      </w:r>
      <w:r>
        <w:t xml:space="preserve">A Critique of the Ruling Elite Model</w:t>
      </w:r>
      <w:r>
        <w:t xml:space="preserve">.”</w:t>
      </w:r>
      <w:r>
        <w:t xml:space="preserve"> </w:t>
      </w:r>
      <w:r>
        <w:rPr>
          <w:iCs/>
          <w:i/>
        </w:rPr>
        <w:t xml:space="preserve">American Political Science Review</w:t>
      </w:r>
      <w:r>
        <w:t xml:space="preserve">, no. 52.</w:t>
      </w:r>
    </w:p>
    <w:bookmarkEnd w:id="322"/>
    <w:bookmarkStart w:id="324"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3">
        <w:r>
          <w:rPr>
            <w:rStyle w:val="Hyperlink"/>
          </w:rPr>
          <w:t xml:space="preserve">https://books.google.com/books/about/Democracy{\_}and{\_}Its{\_}Critics.html?id=l1RQngEACAAJ</w:t>
        </w:r>
      </w:hyperlink>
      <w:r>
        <w:t xml:space="preserve">.</w:t>
      </w:r>
    </w:p>
    <w:bookmarkEnd w:id="324"/>
    <w:bookmarkStart w:id="326"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5">
        <w:r>
          <w:rPr>
            <w:rStyle w:val="Hyperlink"/>
          </w:rPr>
          <w:t xml:space="preserve">https://doi.org/10.1093/acprof:oso/9780199891702.001.0001</w:t>
        </w:r>
      </w:hyperlink>
      <w:r>
        <w:t xml:space="preserve">.</w:t>
      </w:r>
    </w:p>
    <w:bookmarkEnd w:id="326"/>
    <w:bookmarkStart w:id="328" w:name="ref-Dur2007"/>
    <w:p>
      <w:pPr>
        <w:pStyle w:val="Bibliography"/>
      </w:pPr>
      <w:r>
        <w:t xml:space="preserve">Dür, Andreas, and Dirk De Bièvre. 2007.</w:t>
      </w:r>
      <w:r>
        <w:t xml:space="preserve"> </w:t>
      </w:r>
      <w:r>
        <w:t xml:space="preserve">“</w:t>
      </w:r>
      <w:r>
        <w:t xml:space="preserve">The Question of Interest Group Influence</w:t>
      </w:r>
      <w:r>
        <w:t xml:space="preserve">.”</w:t>
      </w:r>
      <w:r>
        <w:t xml:space="preserve"> </w:t>
      </w:r>
      <w:r>
        <w:rPr>
          <w:iCs/>
          <w:i/>
        </w:rPr>
        <w:t xml:space="preserve">Journal of Public Policy</w:t>
      </w:r>
      <w:r>
        <w:t xml:space="preserve"> </w:t>
      </w:r>
      <w:r>
        <w:t xml:space="preserve">27 (1): 1–12.</w:t>
      </w:r>
      <w:r>
        <w:t xml:space="preserve"> </w:t>
      </w:r>
      <w:hyperlink r:id="rId327">
        <w:r>
          <w:rPr>
            <w:rStyle w:val="Hyperlink"/>
          </w:rPr>
          <w:t xml:space="preserve">https://doi.org/10.1017/S0143814X07000591</w:t>
        </w:r>
      </w:hyperlink>
      <w:r>
        <w:t xml:space="preserve">.</w:t>
      </w:r>
    </w:p>
    <w:bookmarkEnd w:id="328"/>
    <w:bookmarkStart w:id="330"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9">
        <w:r>
          <w:rPr>
            <w:rStyle w:val="Hyperlink"/>
          </w:rPr>
          <w:t xml:space="preserve">https://doi.org/10.1111/1475-6765.12012</w:t>
        </w:r>
      </w:hyperlink>
      <w:r>
        <w:t xml:space="preserve">.</w:t>
      </w:r>
    </w:p>
    <w:bookmarkEnd w:id="330"/>
    <w:bookmarkStart w:id="331"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1"/>
    <w:bookmarkStart w:id="333" w:name="ref-Earthjustice2017"/>
    <w:p>
      <w:pPr>
        <w:pStyle w:val="Bibliography"/>
      </w:pPr>
      <w:r>
        <w:t xml:space="preserve">Earthjustice. 2017.</w:t>
      </w:r>
      <w:r>
        <w:t xml:space="preserve"> </w:t>
      </w:r>
      <w:r>
        <w:t xml:space="preserve">“</w:t>
      </w:r>
      <w:r>
        <w:t xml:space="preserve">Our Work</w:t>
      </w:r>
      <w:r>
        <w:t xml:space="preserve">.”</w:t>
      </w:r>
      <w:r>
        <w:t xml:space="preserve"> </w:t>
      </w:r>
      <w:hyperlink r:id="rId332">
        <w:r>
          <w:rPr>
            <w:rStyle w:val="Hyperlink"/>
          </w:rPr>
          <w:t xml:space="preserve">https://earthjustice.org/our{\_}work</w:t>
        </w:r>
      </w:hyperlink>
      <w:r>
        <w:t xml:space="preserve">.</w:t>
      </w:r>
    </w:p>
    <w:bookmarkEnd w:id="333"/>
    <w:bookmarkStart w:id="335"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4">
        <w:r>
          <w:rPr>
            <w:rStyle w:val="Hyperlink"/>
          </w:rPr>
          <w:t xml:space="preserve">https://doi.org/10.2307/2111603</w:t>
        </w:r>
      </w:hyperlink>
      <w:r>
        <w:t xml:space="preserve">.</w:t>
      </w:r>
    </w:p>
    <w:bookmarkEnd w:id="335"/>
    <w:bookmarkStart w:id="337"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6">
        <w:r>
          <w:rPr>
            <w:rStyle w:val="Hyperlink"/>
          </w:rPr>
          <w:t xml:space="preserve">https://doi.org/10.1332/174426514X13990325021128</w:t>
        </w:r>
      </w:hyperlink>
      <w:r>
        <w:t xml:space="preserve">.</w:t>
      </w:r>
    </w:p>
    <w:bookmarkEnd w:id="337"/>
    <w:bookmarkStart w:id="339"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8">
        <w:r>
          <w:rPr>
            <w:rStyle w:val="Hyperlink"/>
          </w:rPr>
          <w:t xml:space="preserve">https://doi.org/10.1111/ajps.12188</w:t>
        </w:r>
      </w:hyperlink>
      <w:r>
        <w:t xml:space="preserve">.</w:t>
      </w:r>
    </w:p>
    <w:bookmarkEnd w:id="339"/>
    <w:bookmarkStart w:id="341"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0">
        <w:r>
          <w:rPr>
            <w:rStyle w:val="Hyperlink"/>
          </w:rPr>
          <w:t xml:space="preserve">https://www.acus.gov/sites/default/files/documents/Public Engagement Draft Recommendation 9-10-18 Cynthia Farina Comments.pdf</w:t>
        </w:r>
      </w:hyperlink>
      <w:r>
        <w:t xml:space="preserve">.</w:t>
      </w:r>
    </w:p>
    <w:bookmarkEnd w:id="341"/>
    <w:bookmarkStart w:id="343"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2">
        <w:r>
          <w:rPr>
            <w:rStyle w:val="Hyperlink"/>
          </w:rPr>
          <w:t xml:space="preserve">http://scholarship.law.cornell.edu/cerihttp://scholarship.law.cornell.edu/ceri/1</w:t>
        </w:r>
      </w:hyperlink>
      <w:r>
        <w:t xml:space="preserve">.</w:t>
      </w:r>
    </w:p>
    <w:bookmarkEnd w:id="343"/>
    <w:bookmarkStart w:id="345"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4">
        <w:r>
          <w:rPr>
            <w:rStyle w:val="Hyperlink"/>
          </w:rPr>
          <w:t xml:space="preserve">https://papers.ssrn.com/sol3/papers.cfm?abstract{\_}id=1702491</w:t>
        </w:r>
      </w:hyperlink>
      <w:r>
        <w:t xml:space="preserve">.</w:t>
      </w:r>
    </w:p>
    <w:bookmarkEnd w:id="345"/>
    <w:bookmarkStart w:id="347"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6">
        <w:r>
          <w:rPr>
            <w:rStyle w:val="Hyperlink"/>
          </w:rPr>
          <w:t xml:space="preserve">http://scholarship.law.cornell.edu/cerihttp://scholarship.law.cornell.edu/ceri/17</w:t>
        </w:r>
      </w:hyperlink>
      <w:r>
        <w:t xml:space="preserve">.</w:t>
      </w:r>
    </w:p>
    <w:bookmarkEnd w:id="347"/>
    <w:bookmarkStart w:id="349"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8">
        <w:r>
          <w:rPr>
            <w:rStyle w:val="Hyperlink"/>
          </w:rPr>
          <w:t xml:space="preserve">https://papers.ssrn.com/sol3/papers.cfm?abstract{\_}id=2841374</w:t>
        </w:r>
      </w:hyperlink>
      <w:r>
        <w:t xml:space="preserve">.</w:t>
      </w:r>
    </w:p>
    <w:bookmarkEnd w:id="349"/>
    <w:bookmarkStart w:id="351"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0">
        <w:r>
          <w:rPr>
            <w:rStyle w:val="Hyperlink"/>
          </w:rPr>
          <w:t xml:space="preserve">https://ssrn.com/abstract=3787704</w:t>
        </w:r>
      </w:hyperlink>
      <w:r>
        <w:t xml:space="preserve">.</w:t>
      </w:r>
    </w:p>
    <w:bookmarkEnd w:id="351"/>
    <w:bookmarkStart w:id="353"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2">
        <w:r>
          <w:rPr>
            <w:rStyle w:val="Hyperlink"/>
          </w:rPr>
          <w:t xml:space="preserve">https://doi.org/10.1093/jleo/6.special_issue.1</w:t>
        </w:r>
      </w:hyperlink>
      <w:r>
        <w:t xml:space="preserve">.</w:t>
      </w:r>
    </w:p>
    <w:bookmarkEnd w:id="353"/>
    <w:bookmarkStart w:id="355"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4">
        <w:r>
          <w:rPr>
            <w:rStyle w:val="Hyperlink"/>
          </w:rPr>
          <w:t xml:space="preserve">https://doi.org/10.1177/009539979702900304</w:t>
        </w:r>
      </w:hyperlink>
      <w:r>
        <w:t xml:space="preserve">.</w:t>
      </w:r>
    </w:p>
    <w:bookmarkEnd w:id="355"/>
    <w:bookmarkStart w:id="357"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6">
        <w:r>
          <w:rPr>
            <w:rStyle w:val="Hyperlink"/>
          </w:rPr>
          <w:t xml:space="preserve">https://doi.org/10.1093/oxfordjournals.jpart.a024373</w:t>
        </w:r>
      </w:hyperlink>
      <w:r>
        <w:t xml:space="preserve">.</w:t>
      </w:r>
    </w:p>
    <w:bookmarkEnd w:id="357"/>
    <w:bookmarkStart w:id="359"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8">
        <w:r>
          <w:rPr>
            <w:rStyle w:val="Hyperlink"/>
          </w:rPr>
          <w:t xml:space="preserve">https://doi.org/10.1093/jopart/mui022</w:t>
        </w:r>
      </w:hyperlink>
      <w:r>
        <w:t xml:space="preserve">.</w:t>
      </w:r>
    </w:p>
    <w:bookmarkEnd w:id="359"/>
    <w:bookmarkStart w:id="361" w:name="ref-Furnas2017"/>
    <w:p>
      <w:pPr>
        <w:pStyle w:val="Bibliography"/>
      </w:pPr>
      <w:r>
        <w:t xml:space="preserve">Furnas, Alexander C, Michael T Heaney, and Timothy M LaPira. 2017.</w:t>
      </w:r>
      <w:r>
        <w:t xml:space="preserve"> </w:t>
      </w:r>
      <w:r>
        <w:t xml:space="preserve">“</w:t>
      </w:r>
      <w:r>
        <w:t xml:space="preserve">The Partisan Ties of Lobbying Firms</w:t>
      </w:r>
      <w:r>
        <w:t xml:space="preserve">.”</w:t>
      </w:r>
      <w:r>
        <w:t xml:space="preserve"> </w:t>
      </w:r>
      <w:r>
        <w:t xml:space="preserve">San Francisco, CA: APSA 2017 Annual Meeting.</w:t>
      </w:r>
      <w:r>
        <w:t xml:space="preserve"> </w:t>
      </w:r>
      <w:hyperlink r:id="rId360">
        <w:r>
          <w:rPr>
            <w:rStyle w:val="Hyperlink"/>
          </w:rPr>
          <w:t xml:space="preserve">https://sites.lsa.umich.edu/mheaney/wp-content/uploads/sites/38/2017/07/Furnas-Heaney-LaPira{\_}APSA{\_}Paper{\_}2017.pdf</w:t>
        </w:r>
      </w:hyperlink>
      <w:r>
        <w:t xml:space="preserve">.</w:t>
      </w:r>
    </w:p>
    <w:bookmarkEnd w:id="361"/>
    <w:bookmarkStart w:id="363"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2">
        <w:r>
          <w:rPr>
            <w:rStyle w:val="Hyperlink"/>
          </w:rPr>
          <w:t xml:space="preserve">https://doi.org/10.1017/S0143814X16000106</w:t>
        </w:r>
      </w:hyperlink>
      <w:r>
        <w:t xml:space="preserve">.</w:t>
      </w:r>
    </w:p>
    <w:bookmarkEnd w:id="363"/>
    <w:bookmarkStart w:id="364"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4"/>
    <w:bookmarkStart w:id="366"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5">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6"/>
    <w:bookmarkStart w:id="368"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7">
        <w:r>
          <w:rPr>
            <w:rStyle w:val="Hyperlink"/>
          </w:rPr>
          <w:t xml:space="preserve">https://doi.org/10.1017/S1537592714001595</w:t>
        </w:r>
      </w:hyperlink>
      <w:r>
        <w:t xml:space="preserve">.</w:t>
      </w:r>
    </w:p>
    <w:bookmarkEnd w:id="368"/>
    <w:bookmarkStart w:id="370"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9">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0"/>
    <w:bookmarkStart w:id="371"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1"/>
    <w:bookmarkStart w:id="373"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2">
        <w:r>
          <w:rPr>
            <w:rStyle w:val="Hyperlink"/>
          </w:rPr>
          <w:t xml:space="preserve">https://www.dropbox.com/s/6ydopca7mx8ugqt/Gordon-Rashin-Private-Influence-10-24.pdf?dl=0</w:t>
        </w:r>
      </w:hyperlink>
      <w:r>
        <w:t xml:space="preserve">.</w:t>
      </w:r>
    </w:p>
    <w:bookmarkEnd w:id="373"/>
    <w:bookmarkStart w:id="375"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4">
        <w:r>
          <w:rPr>
            <w:rStyle w:val="Hyperlink"/>
          </w:rPr>
          <w:t xml:space="preserve">http://www.jstor.org/stable/3234884</w:t>
        </w:r>
      </w:hyperlink>
      <w:r>
        <w:t xml:space="preserve">.</w:t>
      </w:r>
    </w:p>
    <w:bookmarkEnd w:id="375"/>
    <w:bookmarkStart w:id="376"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6"/>
    <w:bookmarkStart w:id="378"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7">
        <w:r>
          <w:rPr>
            <w:rStyle w:val="Hyperlink"/>
          </w:rPr>
          <w:t xml:space="preserve">https://doi.org/10.1017/S0003055415000246</w:t>
        </w:r>
      </w:hyperlink>
      <w:r>
        <w:t xml:space="preserve">.</w:t>
      </w:r>
    </w:p>
    <w:bookmarkEnd w:id="378"/>
    <w:bookmarkStart w:id="380"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9">
        <w:r>
          <w:rPr>
            <w:rStyle w:val="Hyperlink"/>
          </w:rPr>
          <w:t xml:space="preserve">https://doi.org/10.1017/S0022381608081012</w:t>
        </w:r>
      </w:hyperlink>
      <w:r>
        <w:t xml:space="preserve">.</w:t>
      </w:r>
    </w:p>
    <w:bookmarkEnd w:id="380"/>
    <w:bookmarkStart w:id="381"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1"/>
    <w:bookmarkStart w:id="383"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2">
        <w:r>
          <w:rPr>
            <w:rStyle w:val="Hyperlink"/>
          </w:rPr>
          <w:t xml:space="preserve">http://ojs.imodev.org/index.php/RIGO/article/view/62/154{\#}{\_}ftn6</w:t>
        </w:r>
      </w:hyperlink>
      <w:r>
        <w:t xml:space="preserve">.</w:t>
      </w:r>
    </w:p>
    <w:bookmarkEnd w:id="383"/>
    <w:bookmarkStart w:id="385"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4">
        <w:r>
          <w:rPr>
            <w:rStyle w:val="Hyperlink"/>
          </w:rPr>
          <w:t xml:space="preserve">https://www.regulations.gov/document?D=EPA-HQ-OAR-2004-0018-0211</w:t>
        </w:r>
      </w:hyperlink>
      <w:r>
        <w:t xml:space="preserve">.</w:t>
      </w:r>
    </w:p>
    <w:bookmarkEnd w:id="385"/>
    <w:bookmarkStart w:id="387"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6">
        <w:r>
          <w:rPr>
            <w:rStyle w:val="Hyperlink"/>
          </w:rPr>
          <w:t xml:space="preserve">https://doi.org/10.1146/annurev-polisci-070910-104051</w:t>
        </w:r>
      </w:hyperlink>
      <w:r>
        <w:t xml:space="preserve">.</w:t>
      </w:r>
    </w:p>
    <w:bookmarkEnd w:id="387"/>
    <w:bookmarkStart w:id="389"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8">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9"/>
    <w:bookmarkStart w:id="391"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0">
        <w:r>
          <w:rPr>
            <w:rStyle w:val="Hyperlink"/>
          </w:rPr>
          <w:t xml:space="preserve">https://press.princeton.edu/titles/7656.html</w:t>
        </w:r>
      </w:hyperlink>
      <w:r>
        <w:t xml:space="preserve">.</w:t>
      </w:r>
    </w:p>
    <w:bookmarkEnd w:id="391"/>
    <w:bookmarkStart w:id="393"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2">
        <w:r>
          <w:rPr>
            <w:rStyle w:val="Hyperlink"/>
          </w:rPr>
          <w:t xml:space="preserve">https://books.google.com/books?id=8PIWAwAAQBAJ</w:t>
        </w:r>
      </w:hyperlink>
      <w:r>
        <w:t xml:space="preserve">.</w:t>
      </w:r>
    </w:p>
    <w:bookmarkEnd w:id="393"/>
    <w:bookmarkStart w:id="395"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4">
        <w:r>
          <w:rPr>
            <w:rStyle w:val="Hyperlink"/>
          </w:rPr>
          <w:t xml:space="preserve">https://about.jstor.org/terms</w:t>
        </w:r>
      </w:hyperlink>
      <w:r>
        <w:t xml:space="preserve">.</w:t>
      </w:r>
    </w:p>
    <w:bookmarkEnd w:id="395"/>
    <w:bookmarkStart w:id="397"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6">
        <w:r>
          <w:rPr>
            <w:rStyle w:val="Hyperlink"/>
          </w:rPr>
          <w:t xml:space="preserve">http://www.administrativelawreview.org/wp-content/uploads/2014/04/Beyond-the-Usual-Suspects-ACUS-Rulemaking-2-and-a-Vision-for-Broader-More-Informed-and-More-Transparent-Rulemaking.pdf</w:t>
        </w:r>
      </w:hyperlink>
      <w:r>
        <w:t xml:space="preserve">.</w:t>
      </w:r>
    </w:p>
    <w:bookmarkEnd w:id="397"/>
    <w:bookmarkStart w:id="398"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8"/>
    <w:bookmarkStart w:id="399"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9"/>
    <w:bookmarkStart w:id="400"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0"/>
    <w:bookmarkStart w:id="401"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1"/>
    <w:bookmarkStart w:id="403"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2">
        <w:r>
          <w:rPr>
            <w:rStyle w:val="Hyperlink"/>
          </w:rPr>
          <w:t xml:space="preserve">http://www.worldcat.org/title/going-public-new-strategies-of-presidential-leadership/oclc/1035368647</w:t>
        </w:r>
      </w:hyperlink>
      <w:r>
        <w:t xml:space="preserve">.</w:t>
      </w:r>
    </w:p>
    <w:bookmarkEnd w:id="403"/>
    <w:bookmarkStart w:id="405"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4">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5"/>
    <w:bookmarkStart w:id="407"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6">
        <w:r>
          <w:rPr>
            <w:rStyle w:val="Hyperlink"/>
          </w:rPr>
          <w:t xml:space="preserve">http://www.worldcat.org/title/public-opinion-and-american-democracy/oclc/480228689?referer=di{\&amp;}ht=edition</w:t>
        </w:r>
      </w:hyperlink>
      <w:r>
        <w:t xml:space="preserve">.</w:t>
      </w:r>
    </w:p>
    <w:bookmarkEnd w:id="407"/>
    <w:bookmarkStart w:id="409"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8">
        <w:r>
          <w:rPr>
            <w:rStyle w:val="Hyperlink"/>
          </w:rPr>
          <w:t xml:space="preserve">https://press.princeton.edu/titles/6254.html</w:t>
        </w:r>
      </w:hyperlink>
      <w:r>
        <w:t xml:space="preserve">.</w:t>
      </w:r>
    </w:p>
    <w:bookmarkEnd w:id="409"/>
    <w:bookmarkStart w:id="410"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0"/>
    <w:bookmarkStart w:id="412"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1">
        <w:r>
          <w:rPr>
            <w:rStyle w:val="Hyperlink"/>
          </w:rPr>
          <w:t xml:space="preserve">https://libgober.files.wordpress.com/2018/09/what-biased-rulemaking-looks-like.pdf</w:t>
        </w:r>
      </w:hyperlink>
      <w:r>
        <w:t xml:space="preserve">.</w:t>
      </w:r>
    </w:p>
    <w:bookmarkEnd w:id="412"/>
    <w:bookmarkStart w:id="414"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3">
        <w:r>
          <w:rPr>
            <w:rStyle w:val="Hyperlink"/>
          </w:rPr>
          <w:t xml:space="preserve">http://equitablegrowth.org/working</w:t>
        </w:r>
      </w:hyperlink>
      <w:r>
        <w:t xml:space="preserve">.</w:t>
      </w:r>
    </w:p>
    <w:bookmarkEnd w:id="414"/>
    <w:bookmarkStart w:id="416"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5">
        <w:r>
          <w:rPr>
            <w:rStyle w:val="Hyperlink"/>
          </w:rPr>
          <w:t xml:space="preserve">https://goo.gl/L6aKk4</w:t>
        </w:r>
      </w:hyperlink>
      <w:r>
        <w:t xml:space="preserve">.</w:t>
      </w:r>
    </w:p>
    <w:bookmarkEnd w:id="416"/>
    <w:bookmarkStart w:id="418"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7">
        <w:r>
          <w:rPr>
            <w:rStyle w:val="Hyperlink"/>
          </w:rPr>
          <w:t xml:space="preserve">http://www.lowande.com/uploads/2/8/0/2/28027461/lowande-responsiveness-july-2017.pdf</w:t>
        </w:r>
      </w:hyperlink>
      <w:r>
        <w:t xml:space="preserve">.</w:t>
      </w:r>
    </w:p>
    <w:bookmarkEnd w:id="418"/>
    <w:bookmarkStart w:id="420"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9">
        <w:r>
          <w:rPr>
            <w:rStyle w:val="Hyperlink"/>
          </w:rPr>
          <w:t xml:space="preserve">https://doi.org/10.1086/709436</w:t>
        </w:r>
      </w:hyperlink>
      <w:r>
        <w:t xml:space="preserve">.</w:t>
      </w:r>
    </w:p>
    <w:bookmarkEnd w:id="420"/>
    <w:bookmarkStart w:id="421"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1"/>
    <w:bookmarkStart w:id="422"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2"/>
    <w:bookmarkStart w:id="423" w:name="ref-Lowi1969"/>
    <w:p>
      <w:pPr>
        <w:pStyle w:val="Bibliography"/>
      </w:pPr>
      <w:r>
        <w:t xml:space="preserve">Lowi, Theodore. 1969.</w:t>
      </w:r>
      <w:r>
        <w:t xml:space="preserve"> </w:t>
      </w:r>
      <w:r>
        <w:rPr>
          <w:iCs/>
          <w:i/>
        </w:rPr>
        <w:t xml:space="preserve">The End of Liberalism</w:t>
      </w:r>
      <w:r>
        <w:t xml:space="preserve">. New York: W.W. Norton.</w:t>
      </w:r>
    </w:p>
    <w:bookmarkEnd w:id="423"/>
    <w:bookmarkStart w:id="425"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4">
        <w:r>
          <w:rPr>
            <w:rStyle w:val="Hyperlink"/>
          </w:rPr>
          <w:t xml:space="preserve">https://doi.org/10.2307/2009452</w:t>
        </w:r>
      </w:hyperlink>
      <w:r>
        <w:t xml:space="preserve">.</w:t>
      </w:r>
    </w:p>
    <w:bookmarkEnd w:id="425"/>
    <w:bookmarkStart w:id="426"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6"/>
    <w:bookmarkStart w:id="427"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7"/>
    <w:bookmarkStart w:id="429"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8">
        <w:r>
          <w:rPr>
            <w:rStyle w:val="Hyperlink"/>
          </w:rPr>
          <w:t xml:space="preserve">https://doi.org/10.1111/lsq.12138</w:t>
        </w:r>
      </w:hyperlink>
      <w:r>
        <w:t xml:space="preserve">.</w:t>
      </w:r>
    </w:p>
    <w:bookmarkEnd w:id="429"/>
    <w:bookmarkStart w:id="431"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0">
        <w:r>
          <w:rPr>
            <w:rStyle w:val="Hyperlink"/>
          </w:rPr>
          <w:t xml:space="preserve">https://doi.org/10.1017/S0143814X07000608</w:t>
        </w:r>
      </w:hyperlink>
      <w:r>
        <w:t xml:space="preserve">.</w:t>
      </w:r>
    </w:p>
    <w:bookmarkEnd w:id="431"/>
    <w:bookmarkStart w:id="432"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2"/>
    <w:bookmarkStart w:id="434"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3">
        <w:r>
          <w:rPr>
            <w:rStyle w:val="Hyperlink"/>
          </w:rPr>
          <w:t xml:space="preserve">https://books.google.com/books/about/The{\_}Public{\_}Congress.html?id=yD9OYgEACAAJ</w:t>
        </w:r>
      </w:hyperlink>
      <w:r>
        <w:t xml:space="preserve">.</w:t>
      </w:r>
    </w:p>
    <w:bookmarkEnd w:id="434"/>
    <w:bookmarkStart w:id="436"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5">
        <w:r>
          <w:rPr>
            <w:rStyle w:val="Hyperlink"/>
          </w:rPr>
          <w:t xml:space="preserve">http://eurogender.eige.europa.eu/sites/default/files/3593021.pdf</w:t>
        </w:r>
      </w:hyperlink>
      <w:r>
        <w:t xml:space="preserve">.</w:t>
      </w:r>
    </w:p>
    <w:bookmarkEnd w:id="436"/>
    <w:bookmarkStart w:id="438"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7">
        <w:r>
          <w:rPr>
            <w:rStyle w:val="Hyperlink"/>
          </w:rPr>
          <w:t xml:space="preserve">https://books.google.com/books/about/The{\_}Politics{\_}Of{\_}Interests.html?id=BtJMDwAAQBAJ</w:t>
        </w:r>
      </w:hyperlink>
      <w:r>
        <w:t xml:space="preserve">.</w:t>
      </w:r>
    </w:p>
    <w:bookmarkEnd w:id="438"/>
    <w:bookmarkStart w:id="440"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9">
        <w:r>
          <w:rPr>
            <w:rStyle w:val="Hyperlink"/>
          </w:rPr>
          <w:t xml:space="preserve">https://doi.org/10.1146/annurev.polisci.3.1.449</w:t>
        </w:r>
      </w:hyperlink>
      <w:r>
        <w:t xml:space="preserve">.</w:t>
      </w:r>
    </w:p>
    <w:bookmarkEnd w:id="440"/>
    <w:bookmarkStart w:id="442"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1">
        <w:r>
          <w:rPr>
            <w:rStyle w:val="Hyperlink"/>
          </w:rPr>
          <w:t xml:space="preserve">https://doi.org/10.1146/annurev-polisci-052615</w:t>
        </w:r>
      </w:hyperlink>
      <w:r>
        <w:t xml:space="preserve">.</w:t>
      </w:r>
    </w:p>
    <w:bookmarkEnd w:id="442"/>
    <w:bookmarkStart w:id="444"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3">
        <w:r>
          <w:rPr>
            <w:rStyle w:val="Hyperlink"/>
          </w:rPr>
          <w:t xml:space="preserve">https://doi.org/10.1093</w:t>
        </w:r>
      </w:hyperlink>
      <w:r>
        <w:t xml:space="preserve">.</w:t>
      </w:r>
    </w:p>
    <w:bookmarkEnd w:id="444"/>
    <w:bookmarkStart w:id="445"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5"/>
    <w:bookmarkStart w:id="447" w:name="ref-McFarland2007"/>
    <w:p>
      <w:pPr>
        <w:pStyle w:val="Bibliography"/>
      </w:pPr>
      <w:r>
        <w:t xml:space="preserve">McFarland, Andrew S. 2007.</w:t>
      </w:r>
      <w:r>
        <w:t xml:space="preserve"> </w:t>
      </w:r>
      <w:r>
        <w:t xml:space="preserve">“</w:t>
      </w:r>
      <w:r>
        <w:t xml:space="preserve">Neopluralism</w:t>
      </w:r>
      <w:r>
        <w:t xml:space="preserve">.”</w:t>
      </w:r>
      <w:r>
        <w:t xml:space="preserve"> </w:t>
      </w:r>
      <w:r>
        <w:rPr>
          <w:iCs/>
          <w:i/>
        </w:rPr>
        <w:t xml:space="preserve">Annual Review of Political Science</w:t>
      </w:r>
      <w:r>
        <w:t xml:space="preserve"> </w:t>
      </w:r>
      <w:r>
        <w:t xml:space="preserve">10 (1): 45–66.</w:t>
      </w:r>
      <w:r>
        <w:t xml:space="preserve"> </w:t>
      </w:r>
      <w:hyperlink r:id="rId446">
        <w:r>
          <w:rPr>
            <w:rStyle w:val="Hyperlink"/>
          </w:rPr>
          <w:t xml:space="preserve">https://doi.org/10.1146/annurev.polisci.10.072005.152119</w:t>
        </w:r>
      </w:hyperlink>
      <w:r>
        <w:t xml:space="preserve">.</w:t>
      </w:r>
    </w:p>
    <w:bookmarkEnd w:id="447"/>
    <w:bookmarkStart w:id="449"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8">
        <w:r>
          <w:rPr>
            <w:rStyle w:val="Hyperlink"/>
          </w:rPr>
          <w:t xml:space="preserve">https://scholarworks.wmich.edu/jssw/vol34/iss3/9</w:t>
        </w:r>
      </w:hyperlink>
      <w:r>
        <w:t xml:space="preserve">.</w:t>
      </w:r>
    </w:p>
    <w:bookmarkEnd w:id="449"/>
    <w:bookmarkStart w:id="451"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0">
        <w:r>
          <w:rPr>
            <w:rStyle w:val="Hyperlink"/>
          </w:rPr>
          <w:t xml:space="preserve">https://papers.ssrn.com/sol3/papers.cfm?abstract{\_}id=1860193</w:t>
        </w:r>
      </w:hyperlink>
      <w:r>
        <w:t xml:space="preserve">.</w:t>
      </w:r>
    </w:p>
    <w:bookmarkEnd w:id="451"/>
    <w:bookmarkStart w:id="453"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2">
        <w:r>
          <w:rPr>
            <w:rStyle w:val="Hyperlink"/>
          </w:rPr>
          <w:t xml:space="preserve">https://doi.org/10.2139/ssrn.1486272</w:t>
        </w:r>
      </w:hyperlink>
      <w:r>
        <w:t xml:space="preserve">.</w:t>
      </w:r>
    </w:p>
    <w:bookmarkEnd w:id="453"/>
    <w:bookmarkStart w:id="455"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4">
        <w:r>
          <w:rPr>
            <w:rStyle w:val="Hyperlink"/>
          </w:rPr>
          <w:t xml:space="preserve">https://doi.org/10.1146/annurev.soc.30.012703.110545</w:t>
        </w:r>
      </w:hyperlink>
      <w:r>
        <w:t xml:space="preserve">.</w:t>
      </w:r>
    </w:p>
    <w:bookmarkEnd w:id="455"/>
    <w:bookmarkStart w:id="457"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6">
        <w:r>
          <w:rPr>
            <w:rStyle w:val="Hyperlink"/>
          </w:rPr>
          <w:t xml:space="preserve">https://papers.ssrn.com/sol3/papers.cfm?abstract{\_}id=2444396</w:t>
        </w:r>
      </w:hyperlink>
      <w:r>
        <w:t xml:space="preserve">.</w:t>
      </w:r>
    </w:p>
    <w:bookmarkEnd w:id="457"/>
    <w:bookmarkStart w:id="458"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8"/>
    <w:bookmarkStart w:id="460"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9">
        <w:r>
          <w:rPr>
            <w:rStyle w:val="Hyperlink"/>
          </w:rPr>
          <w:t xml:space="preserve">{https://graduate.artsci.wustl.edu/emilymoore/}</w:t>
        </w:r>
      </w:hyperlink>
      <w:r>
        <w:t xml:space="preserve">.</w:t>
      </w:r>
    </w:p>
    <w:bookmarkEnd w:id="460"/>
    <w:bookmarkStart w:id="462"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1">
        <w:r>
          <w:rPr>
            <w:rStyle w:val="Hyperlink"/>
          </w:rPr>
          <w:t xml:space="preserve">https://doi.org/10.1111/psq.12417</w:t>
        </w:r>
      </w:hyperlink>
      <w:r>
        <w:t xml:space="preserve">.</w:t>
      </w:r>
    </w:p>
    <w:bookmarkEnd w:id="462"/>
    <w:bookmarkStart w:id="464"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3">
        <w:r>
          <w:rPr>
            <w:rStyle w:val="Hyperlink"/>
          </w:rPr>
          <w:t xml:space="preserve">https://doi.org/10.1017/s0022381611001599</w:t>
        </w:r>
      </w:hyperlink>
      <w:r>
        <w:t xml:space="preserve">.</w:t>
      </w:r>
    </w:p>
    <w:bookmarkEnd w:id="464"/>
    <w:bookmarkStart w:id="465"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5"/>
    <w:bookmarkStart w:id="467"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6">
        <w:r>
          <w:rPr>
            <w:rStyle w:val="Hyperlink"/>
          </w:rPr>
          <w:t xml:space="preserve">http://www.cei.org</w:t>
        </w:r>
      </w:hyperlink>
      <w:r>
        <w:t xml:space="preserve">.</w:t>
      </w:r>
    </w:p>
    <w:bookmarkEnd w:id="467"/>
    <w:bookmarkStart w:id="469"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8">
        <w:r>
          <w:rPr>
            <w:rStyle w:val="Hyperlink"/>
          </w:rPr>
          <w:t xml:space="preserve">https://books.google.com/books?id=bmSmcDo3kPoC{\&amp;}dq=info:3Iw8O7WHdEEJ:scholar.google.com{\&amp;}lr={\&amp;}source=gbs{\_}navlinks{\_}s</w:t>
        </w:r>
      </w:hyperlink>
      <w:r>
        <w:t xml:space="preserve">.</w:t>
      </w:r>
    </w:p>
    <w:bookmarkEnd w:id="469"/>
    <w:bookmarkStart w:id="471"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0">
        <w:r>
          <w:rPr>
            <w:rStyle w:val="Hyperlink"/>
          </w:rPr>
          <w:t xml:space="preserve">https://www.brookings.edu/research/more-than-spam-lobbying-the-epa-through-public-comment-campaigns/</w:t>
        </w:r>
      </w:hyperlink>
      <w:r>
        <w:t xml:space="preserve">.</w:t>
      </w:r>
    </w:p>
    <w:bookmarkEnd w:id="471"/>
    <w:bookmarkStart w:id="473"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2">
        <w:r>
          <w:rPr>
            <w:rStyle w:val="Hyperlink"/>
          </w:rPr>
          <w:t xml:space="preserve">https://doi.org/10.2139/ssrn.2759117</w:t>
        </w:r>
      </w:hyperlink>
      <w:r>
        <w:t xml:space="preserve">.</w:t>
      </w:r>
    </w:p>
    <w:bookmarkEnd w:id="473"/>
    <w:bookmarkStart w:id="475"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4">
        <w:r>
          <w:rPr>
            <w:rStyle w:val="Hyperlink"/>
          </w:rPr>
          <w:t xml:space="preserve">https://doi.org/10.1017/S1049096519000520</w:t>
        </w:r>
      </w:hyperlink>
      <w:r>
        <w:t xml:space="preserve">.</w:t>
      </w:r>
    </w:p>
    <w:bookmarkEnd w:id="475"/>
    <w:bookmarkStart w:id="477"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6">
        <w:r>
          <w:rPr>
            <w:rStyle w:val="Hyperlink"/>
          </w:rPr>
          <w:t xml:space="preserve">https://doi.org/10.1017/S0143814X17000216</w:t>
        </w:r>
      </w:hyperlink>
      <w:r>
        <w:t xml:space="preserve">.</w:t>
      </w:r>
    </w:p>
    <w:bookmarkEnd w:id="477"/>
    <w:bookmarkStart w:id="478" w:name="ref-Rashin2017"/>
    <w:p>
      <w:pPr>
        <w:pStyle w:val="Bibliography"/>
      </w:pPr>
      <w:r>
        <w:t xml:space="preserve">Rashin, Steven. 2017.</w:t>
      </w:r>
      <w:r>
        <w:t xml:space="preserve"> </w:t>
      </w:r>
      <w:r>
        <w:t xml:space="preserve">“Private Influence on the Regulatory Process: Evidence from Comments on SEC Rules.”</w:t>
      </w:r>
      <w:r>
        <w:t xml:space="preserve"> </w:t>
      </w:r>
      <w:r>
        <w:t xml:space="preserve">In. Midwest Political Science Association Annual Conference.</w:t>
      </w:r>
    </w:p>
    <w:bookmarkEnd w:id="478"/>
    <w:bookmarkStart w:id="480" w:name="ref-Raso2020"/>
    <w:p>
      <w:pPr>
        <w:pStyle w:val="Bibliography"/>
      </w:pPr>
      <w:r>
        <w:t xml:space="preserve">Raso, Connor, and Bruce R. Kraus. n.d.</w:t>
      </w:r>
      <w:r>
        <w:t xml:space="preserve"> </w:t>
      </w:r>
      <w:r>
        <w:t xml:space="preserve">“Upvoting the Administrative State.”</w:t>
      </w:r>
      <w:r>
        <w:t xml:space="preserve"> </w:t>
      </w:r>
      <w:hyperlink r:id="rId479">
        <w:r>
          <w:rPr>
            <w:rStyle w:val="Hyperlink"/>
          </w:rPr>
          <w:t xml:space="preserve">https://www.brookings.edu/research/upvoting-the-administrative-state/</w:t>
        </w:r>
      </w:hyperlink>
      <w:r>
        <w:t xml:space="preserve">.</w:t>
      </w:r>
    </w:p>
    <w:bookmarkEnd w:id="480"/>
    <w:bookmarkStart w:id="482"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1">
        <w:r>
          <w:rPr>
            <w:rStyle w:val="Hyperlink"/>
          </w:rPr>
          <w:t xml:space="preserve">http://digitalcommons.law.yale.edu/yjreg</w:t>
        </w:r>
      </w:hyperlink>
      <w:r>
        <w:t xml:space="preserve">.</w:t>
      </w:r>
    </w:p>
    <w:bookmarkEnd w:id="482"/>
    <w:bookmarkStart w:id="484"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3">
        <w:r>
          <w:rPr>
            <w:rStyle w:val="Hyperlink"/>
          </w:rPr>
          <w:t xml:space="preserve">http://digitalcommons.law.yale.edu/fss{\_}papers</w:t>
        </w:r>
      </w:hyperlink>
      <w:r>
        <w:t xml:space="preserve">.</w:t>
      </w:r>
    </w:p>
    <w:bookmarkEnd w:id="484"/>
    <w:bookmarkStart w:id="485"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5"/>
    <w:bookmarkStart w:id="486"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6"/>
    <w:bookmarkStart w:id="488"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7">
        <w:r>
          <w:rPr>
            <w:rStyle w:val="Hyperlink"/>
          </w:rPr>
          <w:t xml:space="preserve">https://papers.ssrn.com/sol3/papers.cfm?abstract{\_}id=571127</w:t>
        </w:r>
      </w:hyperlink>
      <w:r>
        <w:t xml:space="preserve">.</w:t>
      </w:r>
    </w:p>
    <w:bookmarkEnd w:id="488"/>
    <w:bookmarkStart w:id="490"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9">
        <w:r>
          <w:rPr>
            <w:rStyle w:val="Hyperlink"/>
          </w:rPr>
          <w:t xml:space="preserve">https://www.acus.gov/report/public-engagement-rulemaking-draft-report</w:t>
        </w:r>
      </w:hyperlink>
      <w:r>
        <w:t xml:space="preserve">.</w:t>
      </w:r>
    </w:p>
    <w:bookmarkEnd w:id="490"/>
    <w:bookmarkStart w:id="492"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1">
        <w:r>
          <w:rPr>
            <w:rStyle w:val="Hyperlink"/>
          </w:rPr>
          <w:t xml:space="preserve">https://doi.org/10.2307/1949637</w:t>
        </w:r>
      </w:hyperlink>
      <w:r>
        <w:t xml:space="preserve">.</w:t>
      </w:r>
    </w:p>
    <w:bookmarkEnd w:id="492"/>
    <w:bookmarkStart w:id="494"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3">
        <w:r>
          <w:rPr>
            <w:rStyle w:val="Hyperlink"/>
          </w:rPr>
          <w:t xml:space="preserve">http://wikisum.com/w/Schattschneider:{\_}The{\_}semisovereign{\_}people https://books.google.com/books/about/The{\_}semisovereign{\_}people.html?id=GXdHAAAAMAAJ</w:t>
        </w:r>
      </w:hyperlink>
      <w:r>
        <w:t xml:space="preserve">.</w:t>
      </w:r>
    </w:p>
    <w:bookmarkEnd w:id="494"/>
    <w:bookmarkStart w:id="495"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5"/>
    <w:bookmarkStart w:id="496"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6"/>
    <w:bookmarkStart w:id="498"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7">
        <w:r>
          <w:rPr>
            <w:rStyle w:val="Hyperlink"/>
          </w:rPr>
          <w:t xml:space="preserve">https://papers.ssrn.com/sol3/papers.cfm?abstract{\_}id=2662504</w:t>
        </w:r>
      </w:hyperlink>
      <w:r>
        <w:t xml:space="preserve">.</w:t>
      </w:r>
    </w:p>
    <w:bookmarkEnd w:id="498"/>
    <w:bookmarkStart w:id="500" w:name="ref-Shane2009"/>
    <w:p>
      <w:pPr>
        <w:pStyle w:val="Bibliography"/>
      </w:pPr>
      <w:r>
        <w:t xml:space="preserve">Shane, Peter M. 2009.</w:t>
      </w:r>
      <w:r>
        <w:t xml:space="preserve"> </w:t>
      </w:r>
      <w:r>
        <w:t xml:space="preserve">“</w:t>
      </w:r>
      <w:r>
        <w:t xml:space="preserve">Turning GOLD into EPG: Lessons from Low-Tech Democratic Experimentalism for Electronic Rulemaking and Other Ventures in Cyberdemocracy</w:t>
      </w:r>
      <w:r>
        <w:t xml:space="preserve">.”</w:t>
      </w:r>
      <w:r>
        <w:t xml:space="preserve"> </w:t>
      </w:r>
      <w:r>
        <w:t xml:space="preserve">In</w:t>
      </w:r>
      <w:r>
        <w:t xml:space="preserve"> </w:t>
      </w:r>
      <w:r>
        <w:rPr>
          <w:iCs/>
          <w:i/>
        </w:rPr>
        <w:t xml:space="preserve">Online Deliberation: Design, Research, and Practice</w:t>
      </w:r>
      <w:r>
        <w:t xml:space="preserve">, edited by Todd Davies and Seeta Peña Gangadharan. CSLI Publications.</w:t>
      </w:r>
      <w:r>
        <w:t xml:space="preserve"> </w:t>
      </w:r>
      <w:hyperlink r:id="rId499">
        <w:r>
          <w:rPr>
            <w:rStyle w:val="Hyperlink"/>
          </w:rPr>
          <w:t xml:space="preserve">https://doi.org/10.2139/ssrn.728570</w:t>
        </w:r>
      </w:hyperlink>
      <w:r>
        <w:t xml:space="preserve">.</w:t>
      </w:r>
    </w:p>
    <w:bookmarkEnd w:id="500"/>
    <w:bookmarkStart w:id="502"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1">
        <w:r>
          <w:rPr>
            <w:rStyle w:val="Hyperlink"/>
          </w:rPr>
          <w:t xml:space="preserve">https://doi.org/10.1007/s11077-007-9051-x</w:t>
        </w:r>
      </w:hyperlink>
      <w:r>
        <w:t xml:space="preserve">.</w:t>
      </w:r>
    </w:p>
    <w:bookmarkEnd w:id="502"/>
    <w:bookmarkStart w:id="503"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3"/>
    <w:bookmarkStart w:id="504"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4"/>
    <w:bookmarkStart w:id="505"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5"/>
    <w:bookmarkStart w:id="507"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6">
        <w:r>
          <w:rPr>
            <w:rStyle w:val="Hyperlink"/>
          </w:rPr>
          <w:t xml:space="preserve">http://www.loc.gov/catdir/toc/ecip0716/2007015183.html</w:t>
        </w:r>
      </w:hyperlink>
      <w:r>
        <w:t xml:space="preserve">.</w:t>
      </w:r>
    </w:p>
    <w:bookmarkEnd w:id="507"/>
    <w:bookmarkStart w:id="509"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8">
        <w:r>
          <w:rPr>
            <w:rStyle w:val="Hyperlink"/>
          </w:rPr>
          <w:t xml:space="preserve">https://books.google.com/books/about/Republic{\_}com.html?id=O7AG9TxDJdgC</w:t>
        </w:r>
      </w:hyperlink>
      <w:r>
        <w:t xml:space="preserve">.</w:t>
      </w:r>
    </w:p>
    <w:bookmarkEnd w:id="509"/>
    <w:bookmarkStart w:id="511"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10">
        <w:r>
          <w:rPr>
            <w:rStyle w:val="Hyperlink"/>
          </w:rPr>
          <w:t xml:space="preserve">https://books.google.com/books?id=9K5fdvfmGREC{\&amp;}dq=verba+and+nie+participation+in+america{\&amp;}lr={\&amp;}source=gbs{\_}navlinks{\_}s</w:t>
        </w:r>
      </w:hyperlink>
      <w:r>
        <w:t xml:space="preserve">.</w:t>
      </w:r>
    </w:p>
    <w:bookmarkEnd w:id="511"/>
    <w:bookmarkStart w:id="513"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2">
        <w:r>
          <w:rPr>
            <w:rStyle w:val="Hyperlink"/>
          </w:rPr>
          <w:t xml:space="preserve">https://scholarship.law.duke.edu/cgi/viewcontent.cgi?referer=https://www.google.com/{\&amp;}httpsredir=1{\&amp;}article=1463{\&amp;}context=dlj</w:t>
        </w:r>
      </w:hyperlink>
      <w:r>
        <w:t xml:space="preserve">.</w:t>
      </w:r>
    </w:p>
    <w:bookmarkEnd w:id="513"/>
    <w:bookmarkStart w:id="515"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4">
        <w:r>
          <w:rPr>
            <w:rStyle w:val="Hyperlink"/>
          </w:rPr>
          <w:t xml:space="preserve">https://papers.ssrn.com/sol3/papers.cfm?abstract{\_}id=1531243</w:t>
        </w:r>
      </w:hyperlink>
      <w:r>
        <w:t xml:space="preserve">.</w:t>
      </w:r>
    </w:p>
    <w:bookmarkEnd w:id="515"/>
    <w:bookmarkStart w:id="516"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6"/>
    <w:bookmarkStart w:id="518"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7">
        <w:r>
          <w:rPr>
            <w:rStyle w:val="Hyperlink"/>
          </w:rPr>
          <w:t xml:space="preserve">https://books.google.com/books?id=36bgO4FaOEoC{\&amp;}lr={\&amp;}source=gbs{\_}navlinks{\_}s</w:t>
        </w:r>
      </w:hyperlink>
      <w:r>
        <w:t xml:space="preserve">.</w:t>
      </w:r>
    </w:p>
    <w:bookmarkEnd w:id="518"/>
    <w:bookmarkStart w:id="520"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9">
        <w:r>
          <w:rPr>
            <w:rStyle w:val="Hyperlink"/>
          </w:rPr>
          <w:t xml:space="preserve">http://scholarship.law.upenn.edu/faculty{\_}scholarshiphttp://scholarship.law.upenn.edu/faculty{\_}scholarship/1969</w:t>
        </w:r>
      </w:hyperlink>
      <w:r>
        <w:t xml:space="preserve">.</w:t>
      </w:r>
    </w:p>
    <w:bookmarkEnd w:id="520"/>
    <w:bookmarkStart w:id="522"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1">
        <w:r>
          <w:rPr>
            <w:rStyle w:val="Hyperlink"/>
          </w:rPr>
          <w:t xml:space="preserve">https://www.weact.org/</w:t>
        </w:r>
      </w:hyperlink>
      <w:r>
        <w:t xml:space="preserve">.</w:t>
      </w:r>
    </w:p>
    <w:bookmarkEnd w:id="522"/>
    <w:bookmarkStart w:id="524" w:name="ref-West2004"/>
    <w:p>
      <w:pPr>
        <w:pStyle w:val="Bibliography"/>
      </w:pPr>
      <w:r>
        <w:t xml:space="preserve">West, William F. 2004.</w:t>
      </w:r>
      <w:r>
        <w:t xml:space="preserve"> </w:t>
      </w:r>
      <w:r>
        <w:t xml:space="preserve">“</w:t>
      </w:r>
      <w:r>
        <w:t xml:space="preserve">Formal Procedures, Informal Processes, Accountability, and Responsiveness in Bureaucratic Policy Making: An Institutional Policy Analysis</w:t>
      </w:r>
      <w:r>
        <w:t xml:space="preserve">.”</w:t>
      </w:r>
      <w:r>
        <w:t xml:space="preserve"> </w:t>
      </w:r>
      <w:r>
        <w:rPr>
          <w:iCs/>
          <w:i/>
        </w:rPr>
        <w:t xml:space="preserve">Public Administration Review</w:t>
      </w:r>
      <w:r>
        <w:t xml:space="preserve"> </w:t>
      </w:r>
      <w:r>
        <w:t xml:space="preserve">64 (1): 66–80.</w:t>
      </w:r>
      <w:r>
        <w:t xml:space="preserve"> </w:t>
      </w:r>
      <w:hyperlink r:id="rId523">
        <w:r>
          <w:rPr>
            <w:rStyle w:val="Hyperlink"/>
          </w:rPr>
          <w:t xml:space="preserve">https://doi.org/10.1111/j.1540-6210.2004.00347.x</w:t>
        </w:r>
      </w:hyperlink>
      <w:r>
        <w:t xml:space="preserve">.</w:t>
      </w:r>
    </w:p>
    <w:bookmarkEnd w:id="524"/>
    <w:bookmarkStart w:id="526" w:name="ref-West2009"/>
    <w:p>
      <w:pPr>
        <w:pStyle w:val="Bibliography"/>
      </w:pPr>
      <w:r>
        <w:t xml:space="preserve">———.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5">
        <w:r>
          <w:rPr>
            <w:rStyle w:val="Hyperlink"/>
          </w:rPr>
          <w:t xml:space="preserve">https://doi.org/10.1177/0095399709339013</w:t>
        </w:r>
      </w:hyperlink>
      <w:r>
        <w:t xml:space="preserve">.</w:t>
      </w:r>
    </w:p>
    <w:bookmarkEnd w:id="526"/>
    <w:bookmarkStart w:id="528"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7">
        <w:r>
          <w:rPr>
            <w:rStyle w:val="Hyperlink"/>
          </w:rPr>
          <w:t xml:space="preserve">https://doi.org/10.1093/jopart/mus028</w:t>
        </w:r>
      </w:hyperlink>
      <w:r>
        <w:t xml:space="preserve">.</w:t>
      </w:r>
    </w:p>
    <w:bookmarkEnd w:id="528"/>
    <w:bookmarkStart w:id="530"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9">
        <w:r>
          <w:rPr>
            <w:rStyle w:val="Hyperlink"/>
          </w:rPr>
          <w:t xml:space="preserve">https://www.acus.gov/sites/default/files/documents/Public Engagement Draft Recommendation 9-10-18 Adam White Comments.pdf</w:t>
        </w:r>
      </w:hyperlink>
      <w:r>
        <w:t xml:space="preserve">.</w:t>
      </w:r>
    </w:p>
    <w:bookmarkEnd w:id="530"/>
    <w:bookmarkStart w:id="532"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31">
        <w:r>
          <w:rPr>
            <w:rStyle w:val="Hyperlink"/>
          </w:rPr>
          <w:t xml:space="preserve">https://books.google.com/books/about/Bureaucracy.html?id=jg-HAAAAMAAJ https://books.google.com/books/about/Bureaucracy.html?id=1aR54vBa2E4C</w:t>
        </w:r>
      </w:hyperlink>
      <w:r>
        <w:t xml:space="preserve">.</w:t>
      </w:r>
    </w:p>
    <w:bookmarkEnd w:id="532"/>
    <w:bookmarkStart w:id="534"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3">
        <w:r>
          <w:rPr>
            <w:rStyle w:val="Hyperlink"/>
          </w:rPr>
          <w:t xml:space="preserve">https://doi.org/10.1111/j.1468-2508.2006.00375.x</w:t>
        </w:r>
      </w:hyperlink>
      <w:r>
        <w:t xml:space="preserve">.</w:t>
      </w:r>
    </w:p>
    <w:bookmarkEnd w:id="534"/>
    <w:bookmarkStart w:id="536"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5">
        <w:r>
          <w:rPr>
            <w:rStyle w:val="Hyperlink"/>
          </w:rPr>
          <w:t xml:space="preserve">https://doi.org/10.1111/j.1748-5991.2009.01051.x</w:t>
        </w:r>
      </w:hyperlink>
      <w:r>
        <w:t xml:space="preserve">.</w:t>
      </w:r>
    </w:p>
    <w:bookmarkEnd w:id="536"/>
    <w:bookmarkStart w:id="537"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7"/>
    <w:bookmarkStart w:id="539"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8">
        <w:r>
          <w:rPr>
            <w:rStyle w:val="Hyperlink"/>
          </w:rPr>
          <w:t xml:space="preserve">https://doi.org/10.1093/jopart/mui042</w:t>
        </w:r>
      </w:hyperlink>
      <w:r>
        <w:t xml:space="preserve">.</w:t>
      </w:r>
    </w:p>
    <w:bookmarkEnd w:id="539"/>
    <w:bookmarkStart w:id="541" w:name="ref-Yackee2009PSJ"/>
    <w:p>
      <w:pPr>
        <w:pStyle w:val="Bibliography"/>
      </w:pPr>
      <w:r>
        <w:t xml:space="preserve">———. 2009.</w:t>
      </w:r>
      <w:r>
        <w:t xml:space="preserve"> </w:t>
      </w:r>
      <w:r>
        <w:t xml:space="preserve">“</w:t>
      </w:r>
      <w:r>
        <w:t xml:space="preserve">Private Conflict and Policy Passage: Interest-Group Conflict and State Medical Malpractice Reform</w:t>
      </w:r>
      <w:r>
        <w:t xml:space="preserve">.”</w:t>
      </w:r>
      <w:r>
        <w:t xml:space="preserve"> </w:t>
      </w:r>
      <w:r>
        <w:rPr>
          <w:iCs/>
          <w:i/>
        </w:rPr>
        <w:t xml:space="preserve">Policy Studies Journal</w:t>
      </w:r>
      <w:r>
        <w:t xml:space="preserve"> </w:t>
      </w:r>
      <w:r>
        <w:t xml:space="preserve">37 (2): 213–31.</w:t>
      </w:r>
      <w:r>
        <w:t xml:space="preserve"> </w:t>
      </w:r>
      <w:hyperlink r:id="rId540">
        <w:r>
          <w:rPr>
            <w:rStyle w:val="Hyperlink"/>
          </w:rPr>
          <w:t xml:space="preserve">https://doi.org/10.1111/j.1541-0072.2009.00311.x</w:t>
        </w:r>
      </w:hyperlink>
      <w:r>
        <w:t xml:space="preserve">.</w:t>
      </w:r>
    </w:p>
    <w:bookmarkEnd w:id="541"/>
    <w:bookmarkStart w:id="543"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42">
        <w:r>
          <w:rPr>
            <w:rStyle w:val="Hyperlink"/>
          </w:rPr>
          <w:t xml:space="preserve">https://doi.org/10.1093/jopart/mur061</w:t>
        </w:r>
      </w:hyperlink>
      <w:r>
        <w:t xml:space="preserve">.</w:t>
      </w:r>
    </w:p>
    <w:bookmarkEnd w:id="543"/>
    <w:bookmarkStart w:id="545"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4">
        <w:r>
          <w:rPr>
            <w:rStyle w:val="Hyperlink"/>
          </w:rPr>
          <w:t xml:space="preserve">https://doi.org/10.1093/jopart/muu007</w:t>
        </w:r>
      </w:hyperlink>
      <w:r>
        <w:t xml:space="preserve">.</w:t>
      </w:r>
    </w:p>
    <w:bookmarkEnd w:id="545"/>
    <w:bookmarkStart w:id="547"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6">
        <w:r>
          <w:rPr>
            <w:rStyle w:val="Hyperlink"/>
          </w:rPr>
          <w:t xml:space="preserve">https://doi.org/10.1146/annurev-polisci-050817-092302</w:t>
        </w:r>
      </w:hyperlink>
      <w:r>
        <w:t xml:space="preserve">.</w:t>
      </w:r>
    </w:p>
    <w:bookmarkEnd w:id="547"/>
    <w:bookmarkStart w:id="549" w:name="ref-Zavestoski2006"/>
    <w:p>
      <w:pPr>
        <w:pStyle w:val="Bibliography"/>
      </w:pPr>
      <w:r>
        <w:t xml:space="preserve">Zavestoski, Stephen, Stuart Shulman, and David Schlosberg. 2006.</w:t>
      </w:r>
      <w:r>
        <w:t xml:space="preserve"> </w:t>
      </w:r>
      <w:r>
        <w:t xml:space="preserve">“</w:t>
      </w:r>
      <w:r>
        <w:t xml:space="preserve">Democracy and the Environment on the Internet</w:t>
      </w:r>
      <w:r>
        <w:t xml:space="preserve">.”</w:t>
      </w:r>
      <w:r>
        <w:t xml:space="preserve"> </w:t>
      </w:r>
      <w:r>
        <w:rPr>
          <w:iCs/>
          <w:i/>
        </w:rPr>
        <w:t xml:space="preserve">Science, Technology,</w:t>
      </w:r>
      <w:r>
        <w:rPr>
          <w:iCs/>
          <w:i/>
        </w:rPr>
        <w:t xml:space="preserve"> </w:t>
      </w:r>
      <w:r>
        <w:rPr>
          <w:iCs/>
          <w:i/>
        </w:rPr>
        <w:t xml:space="preserve">&amp;</w:t>
      </w:r>
      <w:r>
        <w:rPr>
          <w:iCs/>
          <w:i/>
        </w:rPr>
        <w:t xml:space="preserve"> </w:t>
      </w:r>
      <w:r>
        <w:rPr>
          <w:iCs/>
          <w:i/>
        </w:rPr>
        <w:t xml:space="preserve">Human Values</w:t>
      </w:r>
      <w:r>
        <w:t xml:space="preserve"> </w:t>
      </w:r>
      <w:r>
        <w:t xml:space="preserve">31 (4): 383–408.</w:t>
      </w:r>
      <w:r>
        <w:t xml:space="preserve"> </w:t>
      </w:r>
      <w:hyperlink r:id="rId548">
        <w:r>
          <w:rPr>
            <w:rStyle w:val="Hyperlink"/>
          </w:rPr>
          <w:t xml:space="preserve">https://doi.org/10.1177/0162243906287543</w:t>
        </w:r>
      </w:hyperlink>
      <w:r>
        <w:t xml:space="preserve">.</w:t>
      </w:r>
    </w:p>
    <w:bookmarkEnd w:id="549"/>
    <w:bookmarkEnd w:id="550"/>
    <w:bookmarkEnd w:id="551"/>
    <w:bookmarkEnd w:id="5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R. A. 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such comments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Raso and Kraus</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R. A. 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4">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5">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201">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7">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3">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0">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8">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9">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4">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7" Target="media/rId217.png" /><Relationship Type="http://schemas.openxmlformats.org/officeDocument/2006/relationships/image" Id="rId216" Target="media/rId216.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37" Target="media/rId237.png" /><Relationship Type="http://schemas.openxmlformats.org/officeDocument/2006/relationships/image" Id="rId236" Target="media/rId236.png" /><Relationship Type="http://schemas.openxmlformats.org/officeDocument/2006/relationships/image" Id="rId235" Target="media/rId235.png" /><Relationship Type="http://schemas.openxmlformats.org/officeDocument/2006/relationships/image" Id="rId241" Target="media/rId241.png" /><Relationship Type="http://schemas.openxmlformats.org/officeDocument/2006/relationships/image" Id="rId240" Target="media/rId240.png" /><Relationship Type="http://schemas.openxmlformats.org/officeDocument/2006/relationships/image" Id="rId99" Target="media/rId99.png" /><Relationship Type="http://schemas.openxmlformats.org/officeDocument/2006/relationships/image" Id="rId221" Target="media/rId221.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7" Target="media/rId187.png" /><Relationship Type="http://schemas.openxmlformats.org/officeDocument/2006/relationships/image" Id="rId154" Target="media/rId154.png" /><Relationship Type="http://schemas.openxmlformats.org/officeDocument/2006/relationships/image" Id="rId166" Target="media/rId166.png" /><Relationship Type="http://schemas.openxmlformats.org/officeDocument/2006/relationships/image" Id="rId119" Target="media/rId119.png" /><Relationship Type="http://schemas.openxmlformats.org/officeDocument/2006/relationships/image" Id="rId233" Target="media/rId233.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24" Target="media/rId124.png" /><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83" Target="http://digitalcommons.law.yale.edu/fss{\_}papers" TargetMode="External" /><Relationship Type="http://schemas.openxmlformats.org/officeDocument/2006/relationships/hyperlink" Id="rId481" Target="http://digitalcommons.law.yale.edu/yjreg" TargetMode="External" /><Relationship Type="http://schemas.openxmlformats.org/officeDocument/2006/relationships/hyperlink" Id="rId413" Target="http://equitablegrowth.org/working" TargetMode="External" /><Relationship Type="http://schemas.openxmlformats.org/officeDocument/2006/relationships/hyperlink" Id="rId435"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82"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9" Target="http://scholarship.law.upenn.edu/faculty{\_}scholarshiphttp://scholarship.law.upenn.edu/faculty{\_}scholarship/1969" TargetMode="External" /><Relationship Type="http://schemas.openxmlformats.org/officeDocument/2006/relationships/hyperlink" Id="rId493" Target="http://wikisum.com/w/Schattschneider:{\_}The{\_}semisovereign{\_}people https://books.google.com/books/about/The{\_}semisovereign{\_}people.html?id=GXdHAAAAMAAJ" TargetMode="External" /><Relationship Type="http://schemas.openxmlformats.org/officeDocument/2006/relationships/hyperlink" Id="rId396" Target="http://www.administrativelawreview.org/wp-content/uploads/2014/04/Beyond-the-Usual-Suspects-ACUS-Rulemaking-2-and-a-Vision-for-Broader-More-Informed-and-More-Transparent-Rulemaking.pdf" TargetMode="External" /><Relationship Type="http://schemas.openxmlformats.org/officeDocument/2006/relationships/hyperlink" Id="rId388"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6"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506" Target="http://www.loc.gov/catdir/toc/ecip0716/2007015183.html" TargetMode="External" /><Relationship Type="http://schemas.openxmlformats.org/officeDocument/2006/relationships/hyperlink" Id="rId417"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402" Target="http://www.worldcat.org/title/going-public-new-strategies-of-presidential-leadership/oclc/1035368647" TargetMode="External" /><Relationship Type="http://schemas.openxmlformats.org/officeDocument/2006/relationships/hyperlink" Id="rId406" Target="http://www.worldcat.org/title/public-opinion-and-american-democracy/oclc/480228689?referer=di{\&amp;}ht=edition" TargetMode="External" /><Relationship Type="http://schemas.openxmlformats.org/officeDocument/2006/relationships/hyperlink" Id="rId394"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31" Target="https://books.google.com/books/about/Bureaucracy.html?id=jg-HAAAAMAAJ https://books.google.com/books/about/Bureaucracy.html?id=1aR54vBa2E4C" TargetMode="External" /><Relationship Type="http://schemas.openxmlformats.org/officeDocument/2006/relationships/hyperlink" Id="rId323" Target="https://books.google.com/books/about/Democracy{\_}and{\_}Its{\_}Critics.html?id=l1RQngEACAAJ" TargetMode="External" /><Relationship Type="http://schemas.openxmlformats.org/officeDocument/2006/relationships/hyperlink" Id="rId508" Target="https://books.google.com/books/about/Republic{\_}com.html?id=O7AG9TxDJdgC" TargetMode="External" /><Relationship Type="http://schemas.openxmlformats.org/officeDocument/2006/relationships/hyperlink" Id="rId437" Target="https://books.google.com/books/about/The{\_}Politics{\_}Of{\_}Interests.html?id=BtJMDwAAQBAJ" TargetMode="External" /><Relationship Type="http://schemas.openxmlformats.org/officeDocument/2006/relationships/hyperlink" Id="rId433"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4"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7" Target="https://books.google.com/books?id=36bgO4FaOEoC{\&amp;}lr={\&amp;}source=gbs{\_}navlinks{\_}s" TargetMode="External" /><Relationship Type="http://schemas.openxmlformats.org/officeDocument/2006/relationships/hyperlink" Id="rId392" Target="https://books.google.com/books?id=8PIWAwAAQBAJ" TargetMode="External" /><Relationship Type="http://schemas.openxmlformats.org/officeDocument/2006/relationships/hyperlink" Id="rId510"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501" Target="https://doi.org/10.1007/s11077-007-9051-x" TargetMode="External" /><Relationship Type="http://schemas.openxmlformats.org/officeDocument/2006/relationships/hyperlink" Id="rId377" Target="https://doi.org/10.1017/S0003055415000246" TargetMode="External" /><Relationship Type="http://schemas.openxmlformats.org/officeDocument/2006/relationships/hyperlink" Id="rId379" Target="https://doi.org/10.1017/S0022381608081012" TargetMode="External" /><Relationship Type="http://schemas.openxmlformats.org/officeDocument/2006/relationships/hyperlink" Id="rId327" Target="https://doi.org/10.1017/S0143814X07000591" TargetMode="External" /><Relationship Type="http://schemas.openxmlformats.org/officeDocument/2006/relationships/hyperlink" Id="rId430"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9" Target="https://doi.org/10.1086/709436" TargetMode="External" /><Relationship Type="http://schemas.openxmlformats.org/officeDocument/2006/relationships/hyperlink" Id="rId443" Target="https://doi.org/10.1093" TargetMode="External" /><Relationship Type="http://schemas.openxmlformats.org/officeDocument/2006/relationships/hyperlink" Id="rId325"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8" Target="https://doi.org/10.1093/jopart/mui042" TargetMode="External" /><Relationship Type="http://schemas.openxmlformats.org/officeDocument/2006/relationships/hyperlink" Id="rId542" Target="https://doi.org/10.1093/jopart/mur061" TargetMode="External" /><Relationship Type="http://schemas.openxmlformats.org/officeDocument/2006/relationships/hyperlink" Id="rId527" Target="https://doi.org/10.1093/jopart/mus028" TargetMode="External" /><Relationship Type="http://schemas.openxmlformats.org/officeDocument/2006/relationships/hyperlink" Id="rId54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33" Target="https://doi.org/10.1111/j.1468-2508.2006.00375.x" TargetMode="External" /><Relationship Type="http://schemas.openxmlformats.org/officeDocument/2006/relationships/hyperlink" Id="rId523" Target="https://doi.org/10.1111/j.1540-6210.2004.00347.x" TargetMode="External" /><Relationship Type="http://schemas.openxmlformats.org/officeDocument/2006/relationships/hyperlink" Id="rId540" Target="https://doi.org/10.1111/j.1541-0072.2009.00311.x" TargetMode="External" /><Relationship Type="http://schemas.openxmlformats.org/officeDocument/2006/relationships/hyperlink" Id="rId535" Target="https://doi.org/10.1111/j.1748-5991.2009.01051.x" TargetMode="External" /><Relationship Type="http://schemas.openxmlformats.org/officeDocument/2006/relationships/hyperlink" Id="rId428"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46"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6" Target="https://doi.org/10.1146/annurev-polisci-070910-104051" TargetMode="External" /><Relationship Type="http://schemas.openxmlformats.org/officeDocument/2006/relationships/hyperlink" Id="rId446" Target="https://doi.org/10.1146/annurev.polisci.10.072005.152119" TargetMode="External" /><Relationship Type="http://schemas.openxmlformats.org/officeDocument/2006/relationships/hyperlink" Id="rId439" Target="https://doi.org/10.1146/annurev.polisci.3.1.449" TargetMode="External" /><Relationship Type="http://schemas.openxmlformats.org/officeDocument/2006/relationships/hyperlink" Id="rId27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25"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548" Target="https://doi.org/10.1177/0162243906287543" TargetMode="External" /><Relationship Type="http://schemas.openxmlformats.org/officeDocument/2006/relationships/hyperlink" Id="rId336"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99" Target="https://doi.org/10.2139/ssrn.728570" TargetMode="External" /><Relationship Type="http://schemas.openxmlformats.org/officeDocument/2006/relationships/hyperlink" Id="rId491"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79"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5"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8" Target="https://judgelord.github.io/research/ej/" TargetMode="External" /><Relationship Type="http://schemas.openxmlformats.org/officeDocument/2006/relationships/hyperlink" Id="rId411"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14"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7"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7" Target="https://papers.ssrn.com/sol3/papers.cfm?abstract{\_}id=571127" TargetMode="External" /><Relationship Type="http://schemas.openxmlformats.org/officeDocument/2006/relationships/hyperlink" Id="rId408" Target="https://press.princeton.edu/titles/6254.html" TargetMode="External" /><Relationship Type="http://schemas.openxmlformats.org/officeDocument/2006/relationships/hyperlink" Id="rId390" Target="https://press.princeton.edu/titles/7656.html" TargetMode="External" /><Relationship Type="http://schemas.openxmlformats.org/officeDocument/2006/relationships/hyperlink" Id="rId512"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60" Target="https://sites.lsa.umich.edu/mheaney/wp-content/uploads/sites/38/2017/07/Furnas-Heaney-LaPira{\_}APSA{\_}Paper{\_}2017.pdf" TargetMode="External" /><Relationship Type="http://schemas.openxmlformats.org/officeDocument/2006/relationships/hyperlink" Id="rId350"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73" Target="https://www.acus.gov/sites/default/files/documents/ACUS Recommendations Packet.pdf" TargetMode="External" /><Relationship Type="http://schemas.openxmlformats.org/officeDocument/2006/relationships/hyperlink" Id="rId529"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479"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48"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7"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0" Target="https://www.regulations.gov/comment/BLM-2013-0002-5688" TargetMode="External" /><Relationship Type="http://schemas.openxmlformats.org/officeDocument/2006/relationships/hyperlink" Id="rId249" Target="https://www.regulations.gov/comment/BLM-2013-0002-5720" TargetMode="External" /><Relationship Type="http://schemas.openxmlformats.org/officeDocument/2006/relationships/hyperlink" Id="rId251" Target="https://www.regulations.gov/comment/BLM-2013-0002-5721" TargetMode="External" /><Relationship Type="http://schemas.openxmlformats.org/officeDocument/2006/relationships/hyperlink" Id="rId253"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2"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4" Target="https://www.regulations.gov/document?D=EPA-HQ-OAR-2004-0018-0211" TargetMode="External" /><Relationship Type="http://schemas.openxmlformats.org/officeDocument/2006/relationships/hyperlink" Id="rId521" Target="https://www.weact.org/" TargetMode="External" /><Relationship Type="http://schemas.openxmlformats.org/officeDocument/2006/relationships/hyperlink" Id="rId261" Target="https://www.wsj.com/articles/many-comments-critical-of-fiduciary-rule-are-fake-1514370601" TargetMode="External" /><Relationship Type="http://schemas.openxmlformats.org/officeDocument/2006/relationships/hyperlink" Id="rId277" Target="https://yalebooks.yale.edu/book/9780300025927/congress-and-bureaucracy" TargetMode="External" /><Relationship Type="http://schemas.openxmlformats.org/officeDocument/2006/relationships/hyperlink" Id="rId459"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83" Target="http://digitalcommons.law.yale.edu/fss{\_}papers" TargetMode="External" /><Relationship Type="http://schemas.openxmlformats.org/officeDocument/2006/relationships/hyperlink" Id="rId481" Target="http://digitalcommons.law.yale.edu/yjreg" TargetMode="External" /><Relationship Type="http://schemas.openxmlformats.org/officeDocument/2006/relationships/hyperlink" Id="rId413" Target="http://equitablegrowth.org/working" TargetMode="External" /><Relationship Type="http://schemas.openxmlformats.org/officeDocument/2006/relationships/hyperlink" Id="rId435"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82"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9" Target="http://scholarship.law.upenn.edu/faculty{\_}scholarshiphttp://scholarship.law.upenn.edu/faculty{\_}scholarship/1969" TargetMode="External" /><Relationship Type="http://schemas.openxmlformats.org/officeDocument/2006/relationships/hyperlink" Id="rId493" Target="http://wikisum.com/w/Schattschneider:{\_}The{\_}semisovereign{\_}people https://books.google.com/books/about/The{\_}semisovereign{\_}people.html?id=GXdHAAAAMAAJ" TargetMode="External" /><Relationship Type="http://schemas.openxmlformats.org/officeDocument/2006/relationships/hyperlink" Id="rId396" Target="http://www.administrativelawreview.org/wp-content/uploads/2014/04/Beyond-the-Usual-Suspects-ACUS-Rulemaking-2-and-a-Vision-for-Broader-More-Informed-and-More-Transparent-Rulemaking.pdf" TargetMode="External" /><Relationship Type="http://schemas.openxmlformats.org/officeDocument/2006/relationships/hyperlink" Id="rId388"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6"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506" Target="http://www.loc.gov/catdir/toc/ecip0716/2007015183.html" TargetMode="External" /><Relationship Type="http://schemas.openxmlformats.org/officeDocument/2006/relationships/hyperlink" Id="rId417"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402" Target="http://www.worldcat.org/title/going-public-new-strategies-of-presidential-leadership/oclc/1035368647" TargetMode="External" /><Relationship Type="http://schemas.openxmlformats.org/officeDocument/2006/relationships/hyperlink" Id="rId406" Target="http://www.worldcat.org/title/public-opinion-and-american-democracy/oclc/480228689?referer=di{\&amp;}ht=edition" TargetMode="External" /><Relationship Type="http://schemas.openxmlformats.org/officeDocument/2006/relationships/hyperlink" Id="rId394"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31" Target="https://books.google.com/books/about/Bureaucracy.html?id=jg-HAAAAMAAJ https://books.google.com/books/about/Bureaucracy.html?id=1aR54vBa2E4C" TargetMode="External" /><Relationship Type="http://schemas.openxmlformats.org/officeDocument/2006/relationships/hyperlink" Id="rId323" Target="https://books.google.com/books/about/Democracy{\_}and{\_}Its{\_}Critics.html?id=l1RQngEACAAJ" TargetMode="External" /><Relationship Type="http://schemas.openxmlformats.org/officeDocument/2006/relationships/hyperlink" Id="rId508" Target="https://books.google.com/books/about/Republic{\_}com.html?id=O7AG9TxDJdgC" TargetMode="External" /><Relationship Type="http://schemas.openxmlformats.org/officeDocument/2006/relationships/hyperlink" Id="rId437" Target="https://books.google.com/books/about/The{\_}Politics{\_}Of{\_}Interests.html?id=BtJMDwAAQBAJ" TargetMode="External" /><Relationship Type="http://schemas.openxmlformats.org/officeDocument/2006/relationships/hyperlink" Id="rId433"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4"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7" Target="https://books.google.com/books?id=36bgO4FaOEoC{\&amp;}lr={\&amp;}source=gbs{\_}navlinks{\_}s" TargetMode="External" /><Relationship Type="http://schemas.openxmlformats.org/officeDocument/2006/relationships/hyperlink" Id="rId392" Target="https://books.google.com/books?id=8PIWAwAAQBAJ" TargetMode="External" /><Relationship Type="http://schemas.openxmlformats.org/officeDocument/2006/relationships/hyperlink" Id="rId510"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501" Target="https://doi.org/10.1007/s11077-007-9051-x" TargetMode="External" /><Relationship Type="http://schemas.openxmlformats.org/officeDocument/2006/relationships/hyperlink" Id="rId377" Target="https://doi.org/10.1017/S0003055415000246" TargetMode="External" /><Relationship Type="http://schemas.openxmlformats.org/officeDocument/2006/relationships/hyperlink" Id="rId379" Target="https://doi.org/10.1017/S0022381608081012" TargetMode="External" /><Relationship Type="http://schemas.openxmlformats.org/officeDocument/2006/relationships/hyperlink" Id="rId327" Target="https://doi.org/10.1017/S0143814X07000591" TargetMode="External" /><Relationship Type="http://schemas.openxmlformats.org/officeDocument/2006/relationships/hyperlink" Id="rId430"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9" Target="https://doi.org/10.1086/709436" TargetMode="External" /><Relationship Type="http://schemas.openxmlformats.org/officeDocument/2006/relationships/hyperlink" Id="rId443" Target="https://doi.org/10.1093" TargetMode="External" /><Relationship Type="http://schemas.openxmlformats.org/officeDocument/2006/relationships/hyperlink" Id="rId325"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8" Target="https://doi.org/10.1093/jopart/mui042" TargetMode="External" /><Relationship Type="http://schemas.openxmlformats.org/officeDocument/2006/relationships/hyperlink" Id="rId542" Target="https://doi.org/10.1093/jopart/mur061" TargetMode="External" /><Relationship Type="http://schemas.openxmlformats.org/officeDocument/2006/relationships/hyperlink" Id="rId527" Target="https://doi.org/10.1093/jopart/mus028" TargetMode="External" /><Relationship Type="http://schemas.openxmlformats.org/officeDocument/2006/relationships/hyperlink" Id="rId54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33" Target="https://doi.org/10.1111/j.1468-2508.2006.00375.x" TargetMode="External" /><Relationship Type="http://schemas.openxmlformats.org/officeDocument/2006/relationships/hyperlink" Id="rId523" Target="https://doi.org/10.1111/j.1540-6210.2004.00347.x" TargetMode="External" /><Relationship Type="http://schemas.openxmlformats.org/officeDocument/2006/relationships/hyperlink" Id="rId540" Target="https://doi.org/10.1111/j.1541-0072.2009.00311.x" TargetMode="External" /><Relationship Type="http://schemas.openxmlformats.org/officeDocument/2006/relationships/hyperlink" Id="rId535" Target="https://doi.org/10.1111/j.1748-5991.2009.01051.x" TargetMode="External" /><Relationship Type="http://schemas.openxmlformats.org/officeDocument/2006/relationships/hyperlink" Id="rId428"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46"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6" Target="https://doi.org/10.1146/annurev-polisci-070910-104051" TargetMode="External" /><Relationship Type="http://schemas.openxmlformats.org/officeDocument/2006/relationships/hyperlink" Id="rId446" Target="https://doi.org/10.1146/annurev.polisci.10.072005.152119" TargetMode="External" /><Relationship Type="http://schemas.openxmlformats.org/officeDocument/2006/relationships/hyperlink" Id="rId439" Target="https://doi.org/10.1146/annurev.polisci.3.1.449" TargetMode="External" /><Relationship Type="http://schemas.openxmlformats.org/officeDocument/2006/relationships/hyperlink" Id="rId27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25"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548" Target="https://doi.org/10.1177/0162243906287543" TargetMode="External" /><Relationship Type="http://schemas.openxmlformats.org/officeDocument/2006/relationships/hyperlink" Id="rId336"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99" Target="https://doi.org/10.2139/ssrn.728570" TargetMode="External" /><Relationship Type="http://schemas.openxmlformats.org/officeDocument/2006/relationships/hyperlink" Id="rId491"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79"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5"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8" Target="https://judgelord.github.io/research/ej/" TargetMode="External" /><Relationship Type="http://schemas.openxmlformats.org/officeDocument/2006/relationships/hyperlink" Id="rId411"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14"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7"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7" Target="https://papers.ssrn.com/sol3/papers.cfm?abstract{\_}id=571127" TargetMode="External" /><Relationship Type="http://schemas.openxmlformats.org/officeDocument/2006/relationships/hyperlink" Id="rId408" Target="https://press.princeton.edu/titles/6254.html" TargetMode="External" /><Relationship Type="http://schemas.openxmlformats.org/officeDocument/2006/relationships/hyperlink" Id="rId390" Target="https://press.princeton.edu/titles/7656.html" TargetMode="External" /><Relationship Type="http://schemas.openxmlformats.org/officeDocument/2006/relationships/hyperlink" Id="rId512"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60" Target="https://sites.lsa.umich.edu/mheaney/wp-content/uploads/sites/38/2017/07/Furnas-Heaney-LaPira{\_}APSA{\_}Paper{\_}2017.pdf" TargetMode="External" /><Relationship Type="http://schemas.openxmlformats.org/officeDocument/2006/relationships/hyperlink" Id="rId350"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73" Target="https://www.acus.gov/sites/default/files/documents/ACUS Recommendations Packet.pdf" TargetMode="External" /><Relationship Type="http://schemas.openxmlformats.org/officeDocument/2006/relationships/hyperlink" Id="rId529"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479"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48"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7"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0" Target="https://www.regulations.gov/comment/BLM-2013-0002-5688" TargetMode="External" /><Relationship Type="http://schemas.openxmlformats.org/officeDocument/2006/relationships/hyperlink" Id="rId249" Target="https://www.regulations.gov/comment/BLM-2013-0002-5720" TargetMode="External" /><Relationship Type="http://schemas.openxmlformats.org/officeDocument/2006/relationships/hyperlink" Id="rId251" Target="https://www.regulations.gov/comment/BLM-2013-0002-5721" TargetMode="External" /><Relationship Type="http://schemas.openxmlformats.org/officeDocument/2006/relationships/hyperlink" Id="rId253"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2"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4" Target="https://www.regulations.gov/document?D=EPA-HQ-OAR-2004-0018-0211" TargetMode="External" /><Relationship Type="http://schemas.openxmlformats.org/officeDocument/2006/relationships/hyperlink" Id="rId521" Target="https://www.weact.org/" TargetMode="External" /><Relationship Type="http://schemas.openxmlformats.org/officeDocument/2006/relationships/hyperlink" Id="rId261" Target="https://www.wsj.com/articles/many-comments-critical-of-fiduciary-rule-are-fake-1514370601" TargetMode="External" /><Relationship Type="http://schemas.openxmlformats.org/officeDocument/2006/relationships/hyperlink" Id="rId277" Target="https://yalebooks.yale.edu/book/9780300025927/congress-and-bureaucracy" TargetMode="External" /><Relationship Type="http://schemas.openxmlformats.org/officeDocument/2006/relationships/hyperlink" Id="rId459"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2021-06-13T13:07:37Z</dcterms:created>
  <dcterms:modified xsi:type="dcterms:W3CDTF">2021-06-13T13:07:37Z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2021-06-13</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y fmtid="{D5CDD505-2E9C-101B-9397-08002B2CF9AE}" pid="15" name="spacing">
    <vt:lpwstr>double</vt:lpwstr>
  </property>
</Properties>
</file>