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77.png" ContentType="image/png"/>
  <Override PartName="/word/media/rId144.png" ContentType="image/png"/>
  <Override PartName="/word/media/rId138.pdf" ContentType="application/pdf"/>
  <Override PartName="/word/media/rId228.png" ContentType="image/png"/>
  <Override PartName="/word/media/rId227.png" ContentType="image/png"/>
  <Override PartName="/word/media/rId226.png" ContentType="image/png"/>
  <Override PartName="/word/media/rId225.png" ContentType="image/png"/>
  <Override PartName="/word/media/rId248.png" ContentType="image/png"/>
  <Override PartName="/word/media/rId247.png" ContentType="image/png"/>
  <Override PartName="/word/media/rId246.png" ContentType="image/png"/>
  <Override PartName="/word/media/rId252.png" ContentType="image/png"/>
  <Override PartName="/word/media/rId251.png" ContentType="image/png"/>
  <Override PartName="/word/media/rId98.png" ContentType="image/png"/>
  <Override PartName="/word/media/rId232.png" ContentType="image/png"/>
  <Override PartName="/word/media/rId61.png" ContentType="image/png"/>
  <Override PartName="/word/media/rId99.png" ContentType="image/png"/>
  <Override PartName="/word/media/rId81.jpg" ContentType="image/jpeg"/>
  <Override PartName="/word/media/rId47.png" ContentType="image/png"/>
  <Override PartName="/word/media/rId142.png" ContentType="image/png"/>
  <Override PartName="/word/media/rId192.png" ContentType="image/png"/>
  <Override PartName="/word/media/rId164.png" ContentType="image/png"/>
  <Override PartName="/word/media/rId191.png" ContentType="image/png"/>
  <Override PartName="/word/media/rId123.png" ContentType="image/png"/>
  <Override PartName="/word/media/rId244.png" ContentType="image/png"/>
  <Override PartName="/word/media/rId203.png" ContentType="image/png"/>
  <Override PartName="/word/media/rId197.png" ContentType="image/png"/>
  <Override PartName="/word/media/rId198.png" ContentType="image/png"/>
  <Override PartName="/word/media/rId199.png" ContentType="image/png"/>
  <Override PartName="/word/media/rId200.png" ContentType="image/png"/>
  <Override PartName="/word/media/rId202.png" ContentType="image/png"/>
  <Override PartName="/word/media/rId1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2021-06-05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list-of-key-terms"/>
    <w:p>
      <w:pPr>
        <w:pStyle w:val="Heading1"/>
      </w:pPr>
      <w:r>
        <w:t xml:space="preserve">List of Key Terms</w:t>
      </w:r>
    </w:p>
    <w:p>
      <w:pPr>
        <w:numPr>
          <w:ilvl w:val="0"/>
          <w:numId w:val="1001"/>
        </w:numPr>
      </w:pPr>
      <w:r>
        <w:rPr>
          <w:bCs/>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Cs/>
          <w:b/>
        </w:rPr>
        <w:t xml:space="preserve">coalition</w:t>
      </w:r>
      <w:r>
        <w:t xml:space="preserve"> </w:t>
      </w:r>
      <w:r>
        <w:t xml:space="preserve">is a group of actors pursuing the same aims in the same policy fight. Because coordination is difficult to measure, my empirical definition includes individuals and organizations who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Cs/>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Cs/>
          <w:b/>
        </w:rPr>
        <w:t xml:space="preserve">Lobbying influence</w:t>
      </w:r>
      <w:r>
        <w:t xml:space="preserve"> </w:t>
      </w:r>
      <w:r>
        <w:t xml:space="preserve">implies a causal effect between an effort to influence policy and a policy outcome.</w:t>
      </w:r>
    </w:p>
    <w:p>
      <w:pPr>
        <w:numPr>
          <w:ilvl w:val="0"/>
          <w:numId w:val="1001"/>
        </w:numPr>
      </w:pPr>
      <w:r>
        <w:rPr>
          <w:bCs/>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Cs/>
          <w:b/>
        </w:rPr>
        <w:t xml:space="preserve">mass commenting campaign</w:t>
      </w:r>
      <w:r>
        <w:t xml:space="preserve"> </w:t>
      </w:r>
      <w:r>
        <w:t xml:space="preserve">is a type of public pressure campaign focused on mobilizing public comments. Comments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2.3.3</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Cs/>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Cs/>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Cs/>
          <w:b/>
        </w:rPr>
        <w:t xml:space="preserve">organization</w:t>
      </w:r>
      <w:r>
        <w:t xml:space="preserve"> </w:t>
      </w:r>
      <w:r>
        <w:t xml:space="preserve">is usually incorporated as a business, government, or nonprofit. Public comments</w:t>
      </w:r>
      <w:r>
        <w:t xml:space="preserve"> </w:t>
      </w:r>
      <w:r>
        <w:rPr>
          <w:iCs/>
          <w:i/>
        </w:rPr>
        <w:t xml:space="preserve">from</w:t>
      </w:r>
      <w:r>
        <w:t xml:space="preserve"> </w:t>
      </w:r>
      <w:r>
        <w:t xml:space="preserve">organizations represent the position of the organization as an incorporated entity. I only consider a comment to be on behalf of an organization if the comment text claims to represent the organization. An employee using letterhead is insufficient. Letters from elected officials are only considered to represent their institution if they are in a position to do so (e.g., a governor, attorney general, or committee chair)</w:t>
      </w:r>
      <w:r>
        <w:t xml:space="preserve"> </w:t>
      </w:r>
      <w:r>
        <w:rPr>
          <w:iCs/>
          <w:i/>
        </w:rPr>
        <w:t xml:space="preserve">and</w:t>
      </w:r>
      <w:r>
        <w:t xml:space="preserve"> </w:t>
      </w:r>
      <w:r>
        <w:t xml:space="preserve">claim to do so.</w:t>
      </w:r>
    </w:p>
    <w:p>
      <w:pPr>
        <w:numPr>
          <w:ilvl w:val="0"/>
          <w:numId w:val="1001"/>
        </w:numPr>
      </w:pPr>
      <w:r>
        <w:t xml:space="preserve">A</w:t>
      </w:r>
      <w:r>
        <w:t xml:space="preserve"> </w:t>
      </w:r>
      <w:r>
        <w:rPr>
          <w:bCs/>
          <w:b/>
        </w:rPr>
        <w:t xml:space="preserve">public interest group</w:t>
      </w:r>
      <w:r>
        <w:t xml:space="preserve"> </w:t>
      </w:r>
      <w:r>
        <w:t xml:space="preserve">is a type of organization that</w:t>
      </w:r>
      <w:r>
        <w:t xml:space="preserve"> </w:t>
      </w:r>
      <w:r>
        <w:rPr>
          <w:iCs/>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Cs/>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interests.</w:t>
      </w:r>
    </w:p>
    <w:p>
      <w:pPr>
        <w:numPr>
          <w:ilvl w:val="0"/>
          <w:numId w:val="1001"/>
        </w:numPr>
      </w:pPr>
      <w:r>
        <w:rPr>
          <w:bCs/>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call</w:t>
      </w:r>
      <w:r>
        <w:t xml:space="preserve"> </w:t>
      </w:r>
      <w:r>
        <w:t xml:space="preserve">“</w:t>
      </w:r>
      <w:r>
        <w:t xml:space="preserve">procedural responsiveness</w:t>
      </w:r>
      <w:r>
        <w:t xml:space="preserve">”</w:t>
      </w:r>
      <w:r>
        <w:t xml:space="preserve">) or substantive policy influence.</w:t>
      </w:r>
    </w:p>
    <w:bookmarkEnd w:id="20"/>
    <w:bookmarkStart w:id="21" w:name="citations-to-primary-documents"/>
    <w:p>
      <w:pPr>
        <w:pStyle w:val="Heading1"/>
      </w:pPr>
      <w:r>
        <w:t xml:space="preserve">Citations to Primary Documents</w:t>
      </w:r>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w:t>
      </w:r>
      <w:r>
        <w:t xml:space="preserve">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document id number, for example,</w:t>
      </w:r>
      <w:r>
        <w:t xml:space="preserve"> </w:t>
      </w:r>
      <w:r>
        <w:t xml:space="preserve">“</w:t>
      </w:r>
      <w:r>
        <w:t xml:space="preserve">regulations.gov/document/IRS-2016-0015-0125</w:t>
      </w:r>
      <w:r>
        <w:t xml:space="preserve">”</w:t>
      </w:r>
      <w:r>
        <w:t xml:space="preserve">)</w:t>
      </w:r>
    </w:p>
    <w:p>
      <w:r>
        <w:br w:type="page"/>
      </w:r>
    </w:p>
    <w:bookmarkEnd w:id="21"/>
    <w:bookmarkStart w:id="30" w:name="introduction"/>
    <w:p>
      <w:pPr>
        <w:pStyle w:val="Heading1"/>
      </w:pPr>
      <w:r>
        <w:t xml:space="preserve">Introduction</w:t>
      </w:r>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2"/>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t>
      </w:r>
      <w:hyperlink w:anchor="ref-Wagner2017">
        <w:r>
          <w:rPr>
            <w:rStyle w:val="Hyperlink"/>
          </w:rPr>
          <w:t xml:space="preserve">W. Wagner et al. 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w:t>
      </w:r>
      <w:r>
        <w:t xml:space="preserve"> </w:t>
      </w:r>
      <w:r>
        <w:t xml:space="preserve">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and new technical</w:t>
      </w:r>
      <w:r>
        <w:t xml:space="preserve"> </w:t>
      </w:r>
      <w:r>
        <w:t xml:space="preserve">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hyperlink w:anchor="ref-SantAmbrogio2018">
        <w:r>
          <w:rPr>
            <w:rStyle w:val="Hyperlink"/>
          </w:rPr>
          <w:t xml:space="preserve">Sant’Ambrogio and Staszewski</w:t>
        </w:r>
      </w:hyperlink>
      <w:r>
        <w:t xml:space="preserve"> </w:t>
      </w:r>
      <w:r>
        <w:t xml:space="preserve">(</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w:t>
      </w:r>
      <w:hyperlink w:anchor="ref-Judge-Lord2019">
        <w:r>
          <w:rPr>
            <w:rStyle w:val="Hyperlink"/>
          </w:rPr>
          <w:t xml:space="preserve">Judge-Lord 2019a</w:t>
        </w:r>
      </w:hyperlink>
      <w:r>
        <w:t xml:space="preserve">;</w:t>
      </w:r>
      <w:r>
        <w:t xml:space="preserve"> </w:t>
      </w:r>
      <w:hyperlink w:anchor="ref-Potter2017">
        <w:r>
          <w:rPr>
            <w:rStyle w:val="Hyperlink"/>
          </w:rPr>
          <w:t xml:space="preserve">Potter 2017a</w:t>
        </w:r>
      </w:hyperlink>
      <w:r>
        <w:t xml:space="preserve">;</w:t>
      </w:r>
      <w:r>
        <w:t xml:space="preserve"> </w:t>
      </w:r>
      <w:hyperlink w:anchor="ref-Balla2018">
        <w:r>
          <w:rPr>
            <w:rStyle w:val="Hyperlink"/>
          </w:rPr>
          <w:t xml:space="preserve">Steven J. Balla et al. 2018</w:t>
        </w:r>
      </w:hyperlink>
      <w:r>
        <w:t xml:space="preserve">)</w:t>
      </w:r>
      <w:r>
        <w:t xml:space="preserve">.</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w:t>
      </w:r>
      <w:hyperlink w:anchor="ref-Verba1987">
        <w:r>
          <w:rPr>
            <w:rStyle w:val="Hyperlink"/>
          </w:rPr>
          <w:t xml:space="preserve">Verba and Nie 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w:t>
      </w:r>
      <w:hyperlink w:anchor="ref-Yackee2015JPART">
        <w:r>
          <w:rPr>
            <w:rStyle w:val="Hyperlink"/>
          </w:rPr>
          <w:t xml:space="preserve">S. W. Yackee 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w:t>
      </w:r>
      <w:hyperlink w:anchor="ref-Judge-Lord2019">
        <w:r>
          <w:rPr>
            <w:rStyle w:val="Hyperlink"/>
          </w:rPr>
          <w:t xml:space="preserve">Judge-Lord 2019a</w:t>
        </w:r>
      </w:hyperlink>
      <w:r>
        <w:t xml:space="preserve">;</w:t>
      </w:r>
      <w:r>
        <w:t xml:space="preserve"> </w:t>
      </w:r>
      <w:hyperlink w:anchor="ref-Libgober2018">
        <w:r>
          <w:rPr>
            <w:rStyle w:val="Hyperlink"/>
          </w:rPr>
          <w:t xml:space="preserve">Libgober 2018</w:t>
        </w:r>
      </w:hyperlink>
      <w:r>
        <w:t xml:space="preserve">;</w:t>
      </w:r>
      <w:r>
        <w:t xml:space="preserve"> </w:t>
      </w:r>
      <w:hyperlink w:anchor="ref-Moore2017">
        <w:r>
          <w:rPr>
            <w:rStyle w:val="Hyperlink"/>
          </w:rPr>
          <w:t xml:space="preserve">Emily H. Moore 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bookmarkStart w:id="23" w:name="motivation"/>
    <w:p>
      <w:pPr>
        <w:pStyle w:val="Heading2"/>
      </w:pPr>
      <w:r>
        <w:t xml:space="preserve">Motivation</w:t>
      </w:r>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literature on social movement pressure. As these chapters address literatures on public opinion, party politics, interest groups, lobbying, and social movements in turn, my review of these literatures in this introdcution is brief. My aim is to provide a general foundation.</w:t>
      </w:r>
    </w:p>
    <w:p>
      <w:pPr>
        <w:pStyle w:val="BlockText"/>
      </w:pPr>
      <w:r>
        <w:t xml:space="preserve">TODO: intro to pol-sci lit that is too broad for elsewhere?</w:t>
      </w:r>
    </w:p>
    <w:bookmarkEnd w:id="23"/>
    <w:bookmarkStart w:id="28" w:name="rulemaking"/>
    <w:p>
      <w:pPr>
        <w:pStyle w:val="Heading2"/>
      </w:pPr>
      <w:r>
        <w:t xml:space="preserve">Rulemaking</w:t>
      </w:r>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w:t>
      </w:r>
      <w:r>
        <w:t xml:space="preserve"> </w:t>
      </w:r>
      <w:hyperlink w:anchor="ref-Potter2016">
        <w:r>
          <w:rPr>
            <w:rStyle w:val="Hyperlink"/>
          </w:rPr>
          <w:t xml:space="preserve">Potter</w:t>
        </w:r>
      </w:hyperlink>
      <w:r>
        <w:t xml:space="preserve"> </w:t>
      </w:r>
      <w:r>
        <w:t xml:space="preserve">(</w:t>
      </w:r>
      <w:hyperlink w:anchor="ref-Potter2016">
        <w:r>
          <w:rPr>
            <w:rStyle w:val="Hyperlink"/>
          </w:rPr>
          <w:t xml:space="preserve">2017b</w:t>
        </w:r>
      </w:hyperlink>
      <w:r>
        <w:t xml:space="preserve">)</w:t>
      </w:r>
      <w:r>
        <w:t xml:space="preserve">,</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Start w:id="24" w:name="presidential-agendas-and-oversight"/>
    <w:p>
      <w:pPr>
        <w:pStyle w:val="Heading3"/>
      </w:pPr>
      <w:r>
        <w:rPr>
          <w:rStyle w:val="SectionNumber"/>
        </w:rPr>
        <w:t xml:space="preserve">0.0.1</w:t>
      </w:r>
      <w:r>
        <w:tab/>
      </w:r>
      <w:r>
        <w:t xml:space="preserve">Presidential Agendas and Oversight</w:t>
      </w:r>
    </w:p>
    <w:p>
      <w:pPr>
        <w:pStyle w:val="BlockText"/>
      </w:pPr>
      <w:r>
        <w:t xml:space="preserve">TODO: General overview of the president’s role in rulemaking,</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p>
    <w:bookmarkEnd w:id="24"/>
    <w:bookmarkStart w:id="27" w:name="congressional-agendas-and-oversight"/>
    <w:p>
      <w:pPr>
        <w:pStyle w:val="Heading3"/>
      </w:pPr>
      <w:r>
        <w:rPr>
          <w:rStyle w:val="SectionNumber"/>
        </w:rPr>
        <w:t xml:space="preserve">0.0.2</w:t>
      </w:r>
      <w:r>
        <w:tab/>
      </w:r>
      <w:r>
        <w:t xml:space="preserve">Congressional Agendas and Oversight</w:t>
      </w:r>
    </w:p>
    <w:p>
      <w:pPr>
        <w:pStyle w:val="BlockText"/>
      </w:pPr>
      <w:r>
        <w:t xml:space="preserve">TODO: General overview of Congress’s role in rulemaking,</w:t>
      </w:r>
      <w:r>
        <w:t xml:space="preserve"> </w:t>
      </w:r>
      <w:hyperlink w:anchor="ref-McCubbins1984">
        <w:r>
          <w:rPr>
            <w:rStyle w:val="Hyperlink"/>
          </w:rPr>
          <w:t xml:space="preserve">Mathew D. McCubbins and Schwartz</w:t>
        </w:r>
      </w:hyperlink>
      <w:r>
        <w:t xml:space="preserve"> </w:t>
      </w:r>
      <w:r>
        <w:t xml:space="preserve">(</w:t>
      </w:r>
      <w:hyperlink w:anchor="ref-McCubbins1984">
        <w:r>
          <w:rPr>
            <w:rStyle w:val="Hyperlink"/>
          </w:rPr>
          <w:t xml:space="preserve">1984</w:t>
        </w:r>
      </w:hyperlink>
      <w:r>
        <w:t xml:space="preserve">)</w:t>
      </w:r>
      <w:r>
        <w:t xml:space="preserve">,</w:t>
      </w:r>
      <w:r>
        <w:t xml:space="preserve"> </w:t>
      </w: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w:t>
      </w:r>
      <w:r>
        <w:t xml:space="preserve"> </w:t>
      </w:r>
      <w:hyperlink w:anchor="ref-Huber2002">
        <w:r>
          <w:rPr>
            <w:rStyle w:val="Hyperlink"/>
          </w:rPr>
          <w:t xml:space="preserve">Huber and Shipan</w:t>
        </w:r>
      </w:hyperlink>
      <w:r>
        <w:t xml:space="preserve"> </w:t>
      </w:r>
      <w:r>
        <w:t xml:space="preserve">(</w:t>
      </w:r>
      <w:hyperlink w:anchor="ref-Huber2002">
        <w:r>
          <w:rPr>
            <w:rStyle w:val="Hyperlink"/>
          </w:rPr>
          <w:t xml:space="preserve">2002</w:t>
        </w:r>
      </w:hyperlink>
      <w:r>
        <w:t xml:space="preserve">)</w:t>
      </w:r>
      <w:r>
        <w:t xml:space="preserve">,</w:t>
      </w:r>
      <w:r>
        <w:t xml:space="preserve"> </w:t>
      </w:r>
      <w:hyperlink w:anchor="ref-Macdonald">
        <w:r>
          <w:rPr>
            <w:rStyle w:val="Hyperlink"/>
          </w:rPr>
          <w:t xml:space="preserve">Macdonald and Mcgrath</w:t>
        </w:r>
      </w:hyperlink>
      <w:r>
        <w:t xml:space="preserve"> </w:t>
      </w:r>
      <w:r>
        <w:t xml:space="preserve">(</w:t>
      </w:r>
      <w:hyperlink w:anchor="ref-Macdonald">
        <w:r>
          <w:rPr>
            <w:rStyle w:val="Hyperlink"/>
          </w:rPr>
          <w:t xml:space="preserve">n.d.</w:t>
        </w:r>
      </w:hyperlink>
      <w:r>
        <w:t xml:space="preserve">)</w:t>
      </w:r>
      <w:r>
        <w:t xml:space="preserve">,</w:t>
      </w:r>
      <w:r>
        <w:t xml:space="preserve"> </w:t>
      </w:r>
      <w:hyperlink w:anchor="ref-Feinstein2017">
        <w:r>
          <w:rPr>
            <w:rStyle w:val="Hyperlink"/>
          </w:rPr>
          <w:t xml:space="preserve">Feinstein</w:t>
        </w:r>
      </w:hyperlink>
      <w:r>
        <w:t xml:space="preserve"> </w:t>
      </w:r>
      <w:r>
        <w:t xml:space="preserve">(</w:t>
      </w:r>
      <w:hyperlink w:anchor="ref-Feinstein2017">
        <w:r>
          <w:rPr>
            <w:rStyle w:val="Hyperlink"/>
          </w:rPr>
          <w:t xml:space="preserve">2017</w:t>
        </w:r>
      </w:hyperlink>
      <w:r>
        <w:t xml:space="preserve">)</w:t>
      </w:r>
      <w:r>
        <w:t xml:space="preserve">,</w:t>
      </w:r>
      <w:r>
        <w:t xml:space="preserve"> </w:t>
      </w:r>
      <w:hyperlink w:anchor="ref-Lowande2018JOP">
        <w:r>
          <w:rPr>
            <w:rStyle w:val="Hyperlink"/>
          </w:rPr>
          <w:t xml:space="preserve">Lowande</w:t>
        </w:r>
      </w:hyperlink>
      <w:r>
        <w:t xml:space="preserve"> </w:t>
      </w:r>
      <w:r>
        <w:t xml:space="preserve">(</w:t>
      </w:r>
      <w:hyperlink w:anchor="ref-Lowande2018JOP">
        <w:r>
          <w:rPr>
            <w:rStyle w:val="Hyperlink"/>
          </w:rPr>
          <w:t xml:space="preserve">2018</w:t>
        </w:r>
      </w:hyperlink>
      <w:r>
        <w:t xml:space="preserve">)</w:t>
      </w:r>
      <w:r>
        <w:t xml:space="preserve">,</w:t>
      </w:r>
      <w:r>
        <w:t xml:space="preserve"> </w:t>
      </w:r>
      <w:hyperlink w:anchor="ref-Lowande2017">
        <w:r>
          <w:rPr>
            <w:rStyle w:val="Hyperlink"/>
          </w:rPr>
          <w:t xml:space="preserve">Lowande</w:t>
        </w:r>
      </w:hyperlink>
      <w:r>
        <w:t xml:space="preserve"> </w:t>
      </w:r>
      <w:r>
        <w:t xml:space="preserve">(</w:t>
      </w:r>
      <w:hyperlink w:anchor="ref-Lowande2017">
        <w:r>
          <w:rPr>
            <w:rStyle w:val="Hyperlink"/>
          </w:rPr>
          <w:t xml:space="preserve">2017</w:t>
        </w:r>
      </w:hyperlink>
      <w:r>
        <w:t xml:space="preserve">)</w:t>
      </w:r>
      <w:r>
        <w:t xml:space="preserve">,</w:t>
      </w:r>
      <w:r>
        <w:t xml:space="preserve"> </w:t>
      </w:r>
      <w:hyperlink w:anchor="ref-Clinton2014AJPS">
        <w:r>
          <w:rPr>
            <w:rStyle w:val="Hyperlink"/>
          </w:rPr>
          <w:t xml:space="preserve">Clinton, Lewis, and Selin</w:t>
        </w:r>
      </w:hyperlink>
      <w:r>
        <w:t xml:space="preserve"> </w:t>
      </w:r>
      <w:r>
        <w:t xml:space="preserve">(</w:t>
      </w:r>
      <w:hyperlink w:anchor="ref-Clinton2014AJPS">
        <w:r>
          <w:rPr>
            <w:rStyle w:val="Hyperlink"/>
          </w:rPr>
          <w:t xml:space="preserve">2014</w:t>
        </w:r>
      </w:hyperlink>
      <w:r>
        <w:t xml:space="preserve">)</w:t>
      </w:r>
    </w:p>
    <w:bookmarkStart w:id="26" w:name="judicial-review"/>
    <w:p>
      <w:pPr>
        <w:pStyle w:val="Heading4"/>
      </w:pPr>
      <w:r>
        <w:rPr>
          <w:rStyle w:val="SectionNumber"/>
        </w:rPr>
        <w:t xml:space="preserve">0.0.2.1</w:t>
      </w:r>
      <w:r>
        <w:tab/>
      </w:r>
      <w:r>
        <w:t xml:space="preserve">Judicial Review</w:t>
      </w:r>
    </w:p>
    <w:p>
      <w:pPr>
        <w:pStyle w:val="BlockText"/>
      </w:pPr>
      <w:r>
        <w:t xml:space="preserve">TODO: General overview of judicial review,</w:t>
      </w:r>
      <w:r>
        <w:t xml:space="preserve"> </w:t>
      </w:r>
      <w:hyperlink w:anchor="ref-judgelord2016MPSA">
        <w:r>
          <w:rPr>
            <w:rStyle w:val="Hyperlink"/>
          </w:rPr>
          <w:t xml:space="preserve">Judge-Lord</w:t>
        </w:r>
      </w:hyperlink>
      <w:r>
        <w:t xml:space="preserve"> </w:t>
      </w:r>
      <w:r>
        <w:t xml:space="preserve">(</w:t>
      </w:r>
      <w:hyperlink w:anchor="ref-judgelord2016MPSA">
        <w:r>
          <w:rPr>
            <w:rStyle w:val="Hyperlink"/>
          </w:rPr>
          <w:t xml:space="preserve">2016</w:t>
        </w:r>
      </w:hyperlink>
      <w:r>
        <w:t xml:space="preserve">)</w:t>
      </w:r>
      <w:r>
        <w:t xml:space="preserve">,</w:t>
      </w:r>
      <w:r>
        <w:t xml:space="preserve"> </w:t>
      </w:r>
      <w:hyperlink w:anchor="ref-Ferejohn1990">
        <w:r>
          <w:rPr>
            <w:rStyle w:val="Hyperlink"/>
          </w:rPr>
          <w:t xml:space="preserve">Ferejohn and Shipan</w:t>
        </w:r>
      </w:hyperlink>
      <w:r>
        <w:t xml:space="preserve"> </w:t>
      </w:r>
      <w:r>
        <w:t xml:space="preserve">(</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w:t>
      </w:r>
      <w:hyperlink w:anchor="ref-Farina2011">
        <w:r>
          <w:rPr>
            <w:rStyle w:val="Hyperlink"/>
          </w:rPr>
          <w:t xml:space="preserve">Cynthia R. Farina et al. 2011</w:t>
        </w:r>
      </w:hyperlink>
      <w:r>
        <w:t xml:space="preserve">;</w:t>
      </w:r>
      <w:r>
        <w:t xml:space="preserve"> </w:t>
      </w:r>
      <w:hyperlink w:anchor="ref-Farina2014">
        <w:r>
          <w:rPr>
            <w:rStyle w:val="Hyperlink"/>
          </w:rPr>
          <w:t xml:space="preserve">Cynthia R. Farina, Newhart, and Heidt 2014</w:t>
        </w:r>
      </w:hyperlink>
      <w:r>
        <w:t xml:space="preserve">;</w:t>
      </w:r>
      <w:r>
        <w:t xml:space="preserve"> </w:t>
      </w:r>
      <w:hyperlink w:anchor="ref-Rauch2016">
        <w:r>
          <w:rPr>
            <w:rStyle w:val="Hyperlink"/>
          </w:rPr>
          <w:t xml:space="preserve">Rauch 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w:t>
      </w:r>
      <w:hyperlink w:anchor="ref-Farina2018">
        <w:r>
          <w:rPr>
            <w:rStyle w:val="Hyperlink"/>
          </w:rPr>
          <w:t xml:space="preserve">Cynthia R. Farina 2018</w:t>
        </w:r>
      </w:hyperlink>
      <w:r>
        <w:t xml:space="preserve">)</w:t>
      </w:r>
      <w:r>
        <w:t xml:space="preserve">, and whether broad engagement is</w:t>
      </w:r>
      <w:r>
        <w:t xml:space="preserve"> </w:t>
      </w:r>
      <w:r>
        <w:t xml:space="preserve">even desirable on all rules</w:t>
      </w:r>
      <w:r>
        <w:t xml:space="preserve"> </w:t>
      </w:r>
      <w:r>
        <w:t xml:space="preserve">(</w:t>
      </w:r>
      <w:hyperlink w:anchor="ref-White2018">
        <w:r>
          <w:rPr>
            <w:rStyle w:val="Hyperlink"/>
          </w:rPr>
          <w:t xml:space="preserve">White 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w:t>
      </w:r>
      <w:hyperlink w:anchor="ref-Coglianese2006">
        <w:r>
          <w:rPr>
            <w:rStyle w:val="Hyperlink"/>
          </w:rPr>
          <w:t xml:space="preserve">Coglianese 2006</w:t>
        </w:r>
      </w:hyperlink>
      <w:r>
        <w:t xml:space="preserve">)</w:t>
      </w:r>
      <w:r>
        <w:t xml:space="preserve">.</w:t>
      </w:r>
      <w:r>
        <w:t xml:space="preserve"> </w:t>
      </w:r>
      <w:hyperlink w:anchor="ref-Farina2012">
        <w:r>
          <w:rPr>
            <w:rStyle w:val="Hyperlink"/>
          </w:rPr>
          <w:t xml:space="preserve">Cynthia R. Farina et al.</w:t>
        </w:r>
      </w:hyperlink>
      <w:r>
        <w:t xml:space="preserve"> </w:t>
      </w:r>
      <w:r>
        <w:t xml:space="preserve">(</w:t>
      </w:r>
      <w:hyperlink w:anchor="ref-Farina2012">
        <w:r>
          <w:rPr>
            <w:rStyle w:val="Hyperlink"/>
          </w:rPr>
          <w:t xml:space="preserve">2012, 112</w:t>
        </w:r>
      </w:hyperlink>
      <w:r>
        <w:t xml:space="preserve">)</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w:t>
      </w:r>
      <w:hyperlink w:anchor="ref-Balla2018">
        <w:r>
          <w:rPr>
            <w:rStyle w:val="Hyperlink"/>
          </w:rPr>
          <w:t xml:space="preserve">Steven J. Balla et al. 2018</w:t>
        </w:r>
      </w:hyperlink>
      <w:r>
        <w:t xml:space="preserve">;</w:t>
      </w:r>
      <w:r>
        <w:t xml:space="preserve"> </w:t>
      </w:r>
      <w:hyperlink w:anchor="ref-Noveck2004">
        <w:r>
          <w:rPr>
            <w:rStyle w:val="Hyperlink"/>
          </w:rPr>
          <w:t xml:space="preserve">Noveck 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hyperlink w:anchor="ref-Herz2016">
        <w:r>
          <w:rPr>
            <w:rStyle w:val="Hyperlink"/>
          </w:rPr>
          <w:t xml:space="preserve">Herz</w:t>
        </w:r>
      </w:hyperlink>
      <w:r>
        <w:t xml:space="preserve"> </w:t>
      </w:r>
      <w:r>
        <w:t xml:space="preserve">(</w:t>
      </w:r>
      <w:hyperlink w:anchor="ref-Herz2016">
        <w:r>
          <w:rPr>
            <w:rStyle w:val="Hyperlink"/>
          </w:rPr>
          <w:t xml:space="preserve">2016, 208</w:t>
        </w:r>
      </w:hyperlink>
      <w:r>
        <w:t xml:space="preserve">)</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2014, 4</w:t>
        </w:r>
      </w:hyperlink>
      <w:r>
        <w:t xml:space="preserve">)</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w:t>
      </w:r>
      <w:hyperlink w:anchor="ref-ACUS2018">
        <w:r>
          <w:rPr>
            <w:rStyle w:val="Hyperlink"/>
          </w:rPr>
          <w:t xml:space="preserve">ACUS 2018, 33</w:t>
        </w:r>
      </w:hyperlink>
      <w:r>
        <w:t xml:space="preserve">)</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w:t>
      </w:r>
      <w:hyperlink w:anchor="ref-Johnson1998">
        <w:r>
          <w:rPr>
            <w:rStyle w:val="Hyperlink"/>
          </w:rPr>
          <w:t xml:space="preserve">Johnson 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w:t>
      </w:r>
      <w:hyperlink w:anchor="ref-Sunstein2001">
        <w:r>
          <w:rPr>
            <w:rStyle w:val="Hyperlink"/>
          </w:rPr>
          <w:t xml:space="preserve">Sunstein 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w:t>
      </w:r>
      <w:hyperlink w:anchor="ref-Cuellar2014">
        <w:r>
          <w:rPr>
            <w:rStyle w:val="Hyperlink"/>
          </w:rPr>
          <w:t xml:space="preserve">Cuéllar 2014</w:t>
        </w:r>
      </w:hyperlink>
      <w:r>
        <w:t xml:space="preserve">;</w:t>
      </w:r>
      <w:r>
        <w:t xml:space="preserve"> </w:t>
      </w:r>
      <w:hyperlink w:anchor="ref-Johnson2013">
        <w:r>
          <w:rPr>
            <w:rStyle w:val="Hyperlink"/>
          </w:rPr>
          <w:t xml:space="preserve">Johnson 2013</w:t>
        </w:r>
      </w:hyperlink>
      <w:r>
        <w:t xml:space="preserve">)</w:t>
      </w:r>
      <w:r>
        <w:t xml:space="preserve">. For example, Beth Simone Noveck</w:t>
      </w:r>
      <w:r>
        <w:t xml:space="preserve"> </w:t>
      </w:r>
      <w:r>
        <w:t xml:space="preserve">(</w:t>
      </w:r>
      <w:hyperlink w:anchor="ref-Noveck2004">
        <w:r>
          <w:rPr>
            <w:rStyle w:val="Hyperlink"/>
          </w:rPr>
          <w:t xml:space="preserve">Noveck 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hyperlink w:anchor="ref-Noveck2005">
        <w:r>
          <w:rPr>
            <w:rStyle w:val="Hyperlink"/>
          </w:rPr>
          <w:t xml:space="preserve">Noveck</w:t>
        </w:r>
      </w:hyperlink>
      <w:r>
        <w:t xml:space="preserve"> </w:t>
      </w:r>
      <w:r>
        <w:t xml:space="preserve">(</w:t>
      </w:r>
      <w:hyperlink w:anchor="ref-Noveck2005">
        <w:r>
          <w:rPr>
            <w:rStyle w:val="Hyperlink"/>
          </w:rPr>
          <w:t xml:space="preserve">2005, 3</w:t>
        </w:r>
      </w:hyperlink>
      <w:r>
        <w:t xml:space="preserve">)</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5"/>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w:t>
      </w:r>
      <w:hyperlink w:anchor="ref-Noveck2009">
        <w:r>
          <w:rPr>
            <w:rStyle w:val="Hyperlink"/>
          </w:rPr>
          <w:t xml:space="preserve">Noveck 2009</w:t>
        </w:r>
      </w:hyperlink>
      <w:r>
        <w:t xml:space="preserve">)</w:t>
      </w:r>
      <w:r>
        <w:t xml:space="preserve">, I ask whether it may also connect the power of the many</w:t>
      </w:r>
      <w:r>
        <w:t xml:space="preserve"> </w:t>
      </w:r>
      <w:r>
        <w:t xml:space="preserve">to the decisions of the few.</w:t>
      </w:r>
    </w:p>
    <w:bookmarkEnd w:id="26"/>
    <w:bookmarkEnd w:id="27"/>
    <w:bookmarkEnd w:id="28"/>
    <w:bookmarkStart w:id="29" w:name="outline-of-the-book"/>
    <w:p>
      <w:pPr>
        <w:pStyle w:val="Heading2"/>
      </w:pPr>
      <w:r>
        <w:t xml:space="preserve">Outline of the book</w:t>
      </w:r>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Cs/>
          <w:b/>
        </w:rPr>
        <w:t xml:space="preserve">Chapter 1</w:t>
      </w:r>
      <w:r>
        <w:rPr>
          <w:bCs/>
          <w:b/>
        </w:rPr>
        <w:t xml:space="preserve"> </w:t>
      </w:r>
      <w:r>
        <w:rPr>
          <w:bCs/>
          <w:b/>
        </w:rPr>
        <w:t xml:space="preserve">“</w:t>
      </w:r>
      <w:r>
        <w:rPr>
          <w:bCs/>
          <w:b/>
        </w:rPr>
        <w:t xml:space="preserve">Agency Rulemaking in American Politics</w:t>
      </w:r>
      <w:r>
        <w:rPr>
          <w:bCs/>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Cs/>
          <w:b/>
        </w:rPr>
        <w:t xml:space="preserve">Chapter 2</w:t>
      </w:r>
      <w:r>
        <w:rPr>
          <w:bCs/>
          <w:b/>
        </w:rPr>
        <w:t xml:space="preserve"> </w:t>
      </w:r>
      <w:r>
        <w:rPr>
          <w:bCs/>
          <w:b/>
        </w:rPr>
        <w:t xml:space="preserve">“</w:t>
      </w:r>
      <w:r>
        <w:rPr>
          <w:bCs/>
          <w:b/>
        </w:rPr>
        <w:t xml:space="preserve">Why Do Agencies (Sometimes) Get So Much Mail?</w:t>
      </w:r>
      <w:r>
        <w:rPr>
          <w:bCs/>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While most comments opposed proposed rules during the Trump administration, most comments supported proposed rules during the Obama administration. This is because public comments tend to support Democratic policies and oppose Republican policies, reflecting the asymmetry in mobilizing groups.</w:t>
      </w:r>
    </w:p>
    <w:p>
      <w:pPr>
        <w:pStyle w:val="BodyText"/>
      </w:pPr>
      <w:r>
        <w:rPr>
          <w:bCs/>
          <w:b/>
        </w:rPr>
        <w:t xml:space="preserve">Chapter 3</w:t>
      </w:r>
      <w:r>
        <w:rPr>
          <w:bCs/>
          <w:b/>
        </w:rPr>
        <w:t xml:space="preserve"> </w:t>
      </w:r>
      <w:r>
        <w:rPr>
          <w:bCs/>
          <w:b/>
        </w:rPr>
        <w:t xml:space="preserve">“</w:t>
      </w:r>
      <w:r>
        <w:rPr>
          <w:bCs/>
          <w:b/>
        </w:rPr>
        <w:t xml:space="preserve">Do Public Pressure Campaigns Influence Policy?</w:t>
      </w:r>
      <w:r>
        <w:rPr>
          <w:bCs/>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rules, hand-coded for whether each lobbying coalition got the policy outcome they sought.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w:t>
      </w:r>
    </w:p>
    <w:p>
      <w:pPr>
        <w:pStyle w:val="BodyText"/>
      </w:pPr>
      <w:r>
        <w:rPr>
          <w:bCs/>
          <w:b/>
        </w:rPr>
        <w:t xml:space="preserve">Chapter 4</w:t>
      </w:r>
      <w:r>
        <w:rPr>
          <w:bCs/>
          <w:b/>
        </w:rPr>
        <w:t xml:space="preserve"> </w:t>
      </w:r>
      <w:r>
        <w:rPr>
          <w:bCs/>
          <w:b/>
        </w:rPr>
        <w:t xml:space="preserve">“</w:t>
      </w:r>
      <w:r>
        <w:rPr>
          <w:bCs/>
          <w:b/>
        </w:rPr>
        <w:t xml:space="preserve">The Environmental Justice Movement and Technocratic Policymaking</w:t>
      </w:r>
      <w:r>
        <w:rPr>
          <w:bCs/>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BodyText"/>
      </w:pPr>
      <w:r>
        <w:rPr>
          <w:bCs/>
          <w:b/>
        </w:rPr>
        <w:t xml:space="preserve">Chapter 5</w:t>
      </w:r>
      <w:r>
        <w:rPr>
          <w:bCs/>
          <w:b/>
        </w:rPr>
        <w:t xml:space="preserve"> </w:t>
      </w:r>
      <w:r>
        <w:rPr>
          <w:bCs/>
          <w:b/>
        </w:rPr>
        <w:t xml:space="preserve">“</w:t>
      </w:r>
      <w:r>
        <w:rPr>
          <w:bCs/>
          <w:b/>
        </w:rPr>
        <w:t xml:space="preserve">Reforming the Policy Process</w:t>
      </w:r>
      <w:r>
        <w:rPr>
          <w:bCs/>
          <w:b/>
        </w:rPr>
        <w:t xml:space="preserve">”</w:t>
      </w:r>
      <w:r>
        <w:t xml:space="preserve"> </w:t>
      </w:r>
      <w:r>
        <w:t xml:space="preserve">reviews dominant ways of thinking about public comment periods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p>
    <w:bookmarkEnd w:id="29"/>
    <w:bookmarkEnd w:id="30"/>
    <w:bookmarkStart w:id="58" w:name="macro"/>
    <w:p>
      <w:pPr>
        <w:pStyle w:val="Heading1"/>
      </w:pPr>
      <w:r>
        <w:rPr>
          <w:rStyle w:val="SectionNumber"/>
        </w:rPr>
        <w:t xml:space="preserve">1</w:t>
      </w:r>
      <w:r>
        <w:tab/>
      </w:r>
      <w:r>
        <w:t xml:space="preserve">Agency Rulemaking in American Politics</w:t>
      </w:r>
    </w:p>
    <w:bookmarkStart w:id="31" w:name="macro-intro"/>
    <w:p>
      <w:pPr>
        <w:pStyle w:val="Heading2"/>
      </w:pPr>
      <w:r>
        <w:rPr>
          <w:rStyle w:val="SectionNumber"/>
        </w:rPr>
        <w:t xml:space="preserve">1.1</w:t>
      </w:r>
      <w:r>
        <w:tab/>
      </w:r>
      <w:r>
        <w:t xml:space="preserve">Introduction</w:t>
      </w:r>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J. W. Yackee and Yackee 2009b</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bookmarkEnd w:id="31"/>
    <w:bookmarkStart w:id="44" w:name="theory"/>
    <w:p>
      <w:pPr>
        <w:pStyle w:val="Heading2"/>
      </w:pPr>
      <w:r>
        <w:rPr>
          <w:rStyle w:val="SectionNumber"/>
        </w:rPr>
        <w:t xml:space="preserve">1.2</w:t>
      </w:r>
      <w:r>
        <w:tab/>
      </w:r>
      <w:r>
        <w:t xml:space="preserve">Theory</w:t>
      </w:r>
    </w:p>
    <w:bookmarkStart w:id="35" w:name="the-policy-agenda"/>
    <w:p>
      <w:pPr>
        <w:pStyle w:val="Heading3"/>
      </w:pPr>
      <w:r>
        <w:rPr>
          <w:rStyle w:val="SectionNumber"/>
        </w:rPr>
        <w:t xml:space="preserve">1.2.1</w:t>
      </w:r>
      <w:r>
        <w:tab/>
      </w:r>
      <w:r>
        <w:t xml:space="preserve">The Policy Agenda</w:t>
      </w:r>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bookmarkStart w:id="32" w:name="Xe3339e7ad9e8b19d6f7351cebdb2fd2d23a844c"/>
    <w:p>
      <w:pPr>
        <w:pStyle w:val="Heading4"/>
      </w:pPr>
      <w:r>
        <w:rPr>
          <w:rStyle w:val="SectionNumber"/>
        </w:rPr>
        <w:t xml:space="preserve">1.2.1.1</w:t>
      </w:r>
      <w:r>
        <w:tab/>
      </w:r>
      <w:r>
        <w:t xml:space="preserve">Congressional Enactments and Bureaucratic Policymaking</w:t>
      </w:r>
    </w:p>
    <w:p>
      <w:pPr>
        <w:pStyle w:val="BlockText"/>
      </w:pPr>
      <w:r>
        <w:t xml:space="preserve">TODO:</w:t>
      </w:r>
      <w:r>
        <w:t xml:space="preserve"> </w:t>
      </w:r>
      <w:r>
        <w:t xml:space="preserve">(</w:t>
      </w:r>
      <w:hyperlink w:anchor="ref-GoldenXXXX">
        <w:r>
          <w:rPr>
            <w:rStyle w:val="Hyperlink"/>
            <w:bCs/>
            <w:b/>
          </w:rPr>
          <w:t xml:space="preserve">GoldenXXXX?</w:t>
        </w:r>
      </w:hyperlink>
      <w:r>
        <w:t xml:space="preserve">)</w:t>
      </w:r>
      <w:r>
        <w:t xml:space="preserve"> </w:t>
      </w:r>
      <w:r>
        <w:t xml:space="preserve">finds punctuated progress on issues after congressional authorizations</w:t>
      </w:r>
    </w:p>
    <w:bookmarkEnd w:id="32"/>
    <w:bookmarkStart w:id="33" w:name="X2c3c3d2e9de7df774a4c865d763f87463b09305"/>
    <w:p>
      <w:pPr>
        <w:pStyle w:val="Heading4"/>
      </w:pPr>
      <w:r>
        <w:rPr>
          <w:rStyle w:val="SectionNumber"/>
        </w:rPr>
        <w:t xml:space="preserve">1.2.1.2</w:t>
      </w:r>
      <w:r>
        <w:tab/>
      </w:r>
      <w:r>
        <w:t xml:space="preserve">Presidential Priorities and Bureaucratic Policymaking</w:t>
      </w:r>
    </w:p>
    <w:p>
      <w:pPr>
        <w:pStyle w:val="BlockText"/>
      </w:pPr>
      <w:r>
        <w:t xml:space="preserve">TODO</w:t>
      </w:r>
    </w:p>
    <w:bookmarkEnd w:id="33"/>
    <w:bookmarkStart w:id="34" w:name="X09e9d31892ccb8e04ebca551bb1cd945aa2ffde"/>
    <w:p>
      <w:pPr>
        <w:pStyle w:val="Heading4"/>
      </w:pPr>
      <w:r>
        <w:rPr>
          <w:rStyle w:val="SectionNumber"/>
        </w:rPr>
        <w:t xml:space="preserve">1.2.1.3</w:t>
      </w:r>
      <w:r>
        <w:tab/>
      </w:r>
      <w:r>
        <w:t xml:space="preserve">Interest Group Attention and Bureaucratic Policymaking</w:t>
      </w:r>
    </w:p>
    <w:p>
      <w:pPr>
        <w:pStyle w:val="BlockText"/>
      </w:pPr>
      <w:r>
        <w:t xml:space="preserve">TODO</w:t>
      </w:r>
    </w:p>
    <w:bookmarkEnd w:id="34"/>
    <w:bookmarkEnd w:id="35"/>
    <w:bookmarkStart w:id="40" w:name="party-control-and-policy-issues"/>
    <w:p>
      <w:pPr>
        <w:pStyle w:val="Heading3"/>
      </w:pPr>
      <w:r>
        <w:rPr>
          <w:rStyle w:val="SectionNumber"/>
        </w:rPr>
        <w:t xml:space="preserve">1.2.2</w:t>
      </w:r>
      <w:r>
        <w:tab/>
      </w:r>
      <w:r>
        <w:t xml:space="preserve">Party Control and Policy Issues</w:t>
      </w:r>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w:t>
      </w:r>
      <w:hyperlink w:anchor="ref-Yackee2009bush">
        <w:r>
          <w:rPr>
            <w:rStyle w:val="Hyperlink"/>
          </w:rPr>
          <w:t xml:space="preserve">J. W. Yackee and Yackee 2009b</w:t>
        </w:r>
      </w:hyperlink>
      <w:r>
        <w:t xml:space="preserve">)</w:t>
      </w:r>
      <w:r>
        <w:t xml:space="preserve">. Still, partisan control of Congress also matters</w:t>
      </w:r>
      <w:r>
        <w:t xml:space="preserve"> </w:t>
      </w:r>
      <w:r>
        <w:t xml:space="preserve">(</w:t>
      </w:r>
      <w:hyperlink w:anchor="ref-Yackee2009RegGov">
        <w:r>
          <w:rPr>
            <w:rStyle w:val="Hyperlink"/>
          </w:rPr>
          <w:t xml:space="preserve">J. W. Yackee and Yackee 2009a</w:t>
        </w:r>
      </w:hyperlink>
      <w:r>
        <w:t xml:space="preserve">)</w:t>
      </w:r>
      <w:r>
        <w:t xml:space="preserve">, especially when Congress is making policy</w:t>
      </w:r>
      <w:r>
        <w:t xml:space="preserve"> </w:t>
      </w:r>
      <w:r>
        <w:t xml:space="preserve">(</w:t>
      </w:r>
      <w:hyperlink w:anchor="ref-West2013">
        <w:r>
          <w:rPr>
            <w:rStyle w:val="Hyperlink"/>
          </w:rPr>
          <w:t xml:space="preserve">West and Raso 2013</w:t>
        </w:r>
      </w:hyperlink>
      <w:r>
        <w:t xml:space="preserve">)</w:t>
      </w:r>
      <w:r>
        <w:t xml:space="preserve"> </w:t>
      </w:r>
      <w:r>
        <w:t xml:space="preserve">or when agencies fear that a hostile Congress will override their policies</w:t>
      </w:r>
      <w:r>
        <w:t xml:space="preserve"> </w:t>
      </w:r>
      <w:r>
        <w:t xml:space="preserve">(</w:t>
      </w:r>
      <w:hyperlink w:anchor="ref-Potter2016">
        <w:r>
          <w:rPr>
            <w:rStyle w:val="Hyperlink"/>
          </w:rPr>
          <w:t xml:space="preserve">Potter 2017b</w:t>
        </w:r>
      </w:hyperlink>
      <w:r>
        <w:t xml:space="preserve">)</w:t>
      </w:r>
      <w:r>
        <w:t xml:space="preserve">. We may think of agency policymaking as consistently affected by presidential agendas, with Congress providing shocks and constraints.</w:t>
      </w:r>
    </w:p>
    <w:bookmarkStart w:id="36" w:name="X7cf548568bd2457c3cc7abc1920a701ce14b6bb"/>
    <w:p>
      <w:pPr>
        <w:pStyle w:val="Heading4"/>
      </w:pPr>
      <w:r>
        <w:rPr>
          <w:rStyle w:val="SectionNumber"/>
        </w:rPr>
        <w:t xml:space="preserve">1.2.2.1</w:t>
      </w:r>
      <w:r>
        <w:tab/>
      </w:r>
      <w:r>
        <w:t xml:space="preserve">Policymaking Under Unified and Divided Government</w:t>
      </w:r>
    </w:p>
    <w:p>
      <w:pPr>
        <w:pStyle w:val="BlockText"/>
      </w:pPr>
      <w:r>
        <w:t xml:space="preserve">TODO: Discuss</w:t>
      </w:r>
      <w:r>
        <w:t xml:space="preserve"> </w:t>
      </w:r>
      <w:hyperlink w:anchor="ref-PotterShipan2019">
        <w:r>
          <w:rPr>
            <w:rStyle w:val="Hyperlink"/>
          </w:rPr>
          <w:t xml:space="preserve">Potter and Shipan</w:t>
        </w:r>
      </w:hyperlink>
      <w:r>
        <w:t xml:space="preserve"> </w:t>
      </w:r>
      <w:r>
        <w:t xml:space="preserve">(</w:t>
      </w:r>
      <w:hyperlink w:anchor="ref-PotterShipan2019">
        <w:r>
          <w:rPr>
            <w:rStyle w:val="Hyperlink"/>
          </w:rPr>
          <w:t xml:space="preserve">2019</w:t>
        </w:r>
      </w:hyperlink>
      <w:r>
        <w:t xml:space="preserve">)</w:t>
      </w:r>
    </w:p>
    <w:bookmarkEnd w:id="36"/>
    <w:bookmarkStart w:id="37" w:name="X1e12b7c11a004db3799cb0e3c840689fb354a75"/>
    <w:p>
      <w:pPr>
        <w:pStyle w:val="Heading4"/>
      </w:pPr>
      <w:r>
        <w:rPr>
          <w:rStyle w:val="SectionNumber"/>
        </w:rPr>
        <w:t xml:space="preserve">1.2.2.2</w:t>
      </w:r>
      <w:r>
        <w:tab/>
      </w:r>
      <w:r>
        <w:t xml:space="preserve">Issue Ownership and the Politics of Attention</w:t>
      </w:r>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and theories of party coalitions</w:t>
      </w:r>
      <w:r>
        <w:t xml:space="preserve"> </w:t>
      </w:r>
      <w:r>
        <w:t xml:space="preserve">(</w:t>
      </w:r>
      <w:hyperlink w:anchor="ref-Schlozman2015">
        <w:r>
          <w:rPr>
            <w:rStyle w:val="Hyperlink"/>
          </w:rPr>
          <w:t xml:space="preserve">D. Schlozman 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w:t>
      </w:r>
      <w:hyperlink w:anchor="ref-Carmines1989">
        <w:r>
          <w:rPr>
            <w:rStyle w:val="Hyperlink"/>
          </w:rPr>
          <w:t xml:space="preserve">Carmines and Stimson 1989</w:t>
        </w:r>
      </w:hyperlink>
      <w:r>
        <w:t xml:space="preserve">)</w:t>
      </w:r>
      <w:r>
        <w:t xml:space="preserve"> </w:t>
      </w:r>
      <w:r>
        <w:t xml:space="preserve">with critical elections perspectives</w:t>
      </w:r>
      <w:r>
        <w:t xml:space="preserve"> </w:t>
      </w:r>
      <w:r>
        <w:t xml:space="preserve">(</w:t>
      </w:r>
      <w:hyperlink w:anchor="ref-Key1961">
        <w:r>
          <w:rPr>
            <w:rStyle w:val="Hyperlink"/>
          </w:rPr>
          <w:t xml:space="preserve">Key 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w:t>
      </w:r>
      <w:hyperlink w:anchor="ref-Carpenter2001">
        <w:r>
          <w:rPr>
            <w:rStyle w:val="Hyperlink"/>
          </w:rPr>
          <w:t xml:space="preserve">D. P. Carpenter 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w:t>
      </w:r>
      <w:hyperlink w:anchor="ref-Haeder2015">
        <w:r>
          <w:rPr>
            <w:rStyle w:val="Hyperlink"/>
          </w:rPr>
          <w:t xml:space="preserve">Haeder and Yackee 2015</w:t>
        </w:r>
      </w:hyperlink>
      <w:r>
        <w:t xml:space="preserve">;</w:t>
      </w:r>
      <w:r>
        <w:t xml:space="preserve"> </w:t>
      </w:r>
      <w:hyperlink w:anchor="ref-Potter2016">
        <w:r>
          <w:rPr>
            <w:rStyle w:val="Hyperlink"/>
          </w:rPr>
          <w:t xml:space="preserve">Potter 2017b</w:t>
        </w:r>
      </w:hyperlink>
      <w:r>
        <w:t xml:space="preserve">)</w:t>
      </w:r>
      <w:r>
        <w:t xml:space="preserve">. Negative agenda control is likely to dominate in Congress</w:t>
      </w:r>
      <w:r>
        <w:t xml:space="preserve"> </w:t>
      </w:r>
      <w:r>
        <w:t xml:space="preserve">(</w:t>
      </w:r>
      <w:hyperlink w:anchor="ref-Cox2005">
        <w:r>
          <w:rPr>
            <w:rStyle w:val="Hyperlink"/>
          </w:rPr>
          <w:t xml:space="preserve">Cox and McCubbins 2005</w:t>
        </w:r>
      </w:hyperlink>
      <w:r>
        <w:t xml:space="preserve">)</w:t>
      </w:r>
      <w:r>
        <w:t xml:space="preserve">, but the threat of Congressional action may be sufficient to influence agency policymaking</w:t>
      </w:r>
      <w:r>
        <w:t xml:space="preserve"> </w:t>
      </w:r>
      <w:r>
        <w:t xml:space="preserve">(</w:t>
      </w:r>
      <w:hyperlink w:anchor="ref-Potter2016">
        <w:r>
          <w:rPr>
            <w:rStyle w:val="Hyperlink"/>
          </w:rPr>
          <w:t xml:space="preserve">Potter 2017b</w:t>
        </w:r>
      </w:hyperlink>
      <w:r>
        <w:t xml:space="preserve">)</w:t>
      </w:r>
      <w:r>
        <w:t xml:space="preserve">.</w:t>
      </w:r>
    </w:p>
    <w:bookmarkEnd w:id="37"/>
    <w:bookmarkStart w:id="38" w:name="the-implications-of-partisan-alignment"/>
    <w:p>
      <w:pPr>
        <w:pStyle w:val="Heading4"/>
      </w:pPr>
      <w:r>
        <w:rPr>
          <w:rStyle w:val="SectionNumber"/>
        </w:rPr>
        <w:t xml:space="preserve">1.2.2.3</w:t>
      </w:r>
      <w:r>
        <w:tab/>
      </w:r>
      <w:r>
        <w:t xml:space="preserve">The Implications of Partisan Alignment</w:t>
      </w:r>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bookmarkEnd w:id="38"/>
    <w:bookmarkStart w:id="39" w:name="X5cf4661fc7c5300fc7912a6d4d83c9ba3081329"/>
    <w:p>
      <w:pPr>
        <w:pStyle w:val="Heading4"/>
      </w:pPr>
      <w:r>
        <w:rPr>
          <w:rStyle w:val="SectionNumber"/>
        </w:rPr>
        <w:t xml:space="preserve">1.2.2.4</w:t>
      </w:r>
      <w:r>
        <w:tab/>
      </w:r>
      <w:r>
        <w:t xml:space="preserve">The Implications of Issue Ownership and Party Coalitions</w:t>
      </w:r>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w:t>
      </w:r>
      <w:hyperlink w:anchor="ref-Gerring1998">
        <w:r>
          <w:rPr>
            <w:rStyle w:val="Hyperlink"/>
          </w:rPr>
          <w:t xml:space="preserve">Gerring 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hyperlink w:anchor="ref-Gerring1998">
        <w:r>
          <w:rPr>
            <w:rStyle w:val="Hyperlink"/>
          </w:rPr>
          <w:t xml:space="preserve">Gerring</w:t>
        </w:r>
      </w:hyperlink>
      <w:r>
        <w:t xml:space="preserve"> </w:t>
      </w:r>
      <w:r>
        <w:t xml:space="preserve">(</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w:t>
      </w:r>
      <w:hyperlink w:anchor="ref-Cohen2008">
        <w:r>
          <w:rPr>
            <w:rStyle w:val="Hyperlink"/>
          </w:rPr>
          <w:t xml:space="preserve">Cohen et al. 2008</w:t>
        </w:r>
      </w:hyperlink>
      <w:r>
        <w:t xml:space="preserve">;</w:t>
      </w:r>
      <w:r>
        <w:t xml:space="preserve"> </w:t>
      </w:r>
      <w:hyperlink w:anchor="ref-DiSalvo2012">
        <w:r>
          <w:rPr>
            <w:rStyle w:val="Hyperlink"/>
          </w:rPr>
          <w:t xml:space="preserve">DiSalvo 2012</w:t>
        </w:r>
      </w:hyperlink>
      <w:r>
        <w:t xml:space="preserve">)</w:t>
      </w:r>
      <w:r>
        <w:t xml:space="preserve">, the issues to which they attend will reflect these different coalitions. Disalvo shares Gerring’s conclusion regarding the anti-statism of the Republican party. Most clearly,</w:t>
      </w:r>
      <w:r>
        <w:t xml:space="preserve"> </w:t>
      </w:r>
      <w:hyperlink w:anchor="ref-Schlozman2015">
        <w:r>
          <w:rPr>
            <w:rStyle w:val="Hyperlink"/>
          </w:rPr>
          <w:t xml:space="preserve">D. Schlozman</w:t>
        </w:r>
      </w:hyperlink>
      <w:r>
        <w:t xml:space="preserve"> </w:t>
      </w:r>
      <w:r>
        <w:t xml:space="preserve">(</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bookmarkEnd w:id="39"/>
    <w:bookmarkEnd w:id="40"/>
    <w:bookmarkStart w:id="42" w:name="X1ce17baf1a0c0d807c128a93dbf1f99fdf0a0bb"/>
    <w:p>
      <w:pPr>
        <w:pStyle w:val="Heading3"/>
      </w:pPr>
      <w:r>
        <w:rPr>
          <w:rStyle w:val="SectionNumber"/>
        </w:rPr>
        <w:t xml:space="preserve">1.2.3</w:t>
      </w:r>
      <w:r>
        <w:tab/>
      </w:r>
      <w:r>
        <w:t xml:space="preserve">Policymaking and Policy Outcomes On Different Issues</w:t>
      </w:r>
    </w:p>
    <w:p>
      <w:pPr>
        <w:pStyle w:val="FirstParagraph"/>
      </w:pPr>
      <w:r>
        <w:rPr>
          <w:iCs/>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Cs/>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1"/>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bookmarkEnd w:id="42"/>
    <w:bookmarkStart w:id="43" w:name="observed-patterns-in-policy-issues"/>
    <w:p>
      <w:pPr>
        <w:pStyle w:val="Heading3"/>
      </w:pPr>
      <w:r>
        <w:rPr>
          <w:rStyle w:val="SectionNumber"/>
        </w:rPr>
        <w:t xml:space="preserve">1.2.4</w:t>
      </w:r>
      <w:r>
        <w:tab/>
      </w:r>
      <w:r>
        <w:t xml:space="preserve">Observed Patterns in Policy Issues</w:t>
      </w:r>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bookmarkEnd w:id="43"/>
    <w:bookmarkEnd w:id="44"/>
    <w:bookmarkStart w:id="46" w:name="data"/>
    <w:p>
      <w:pPr>
        <w:pStyle w:val="Heading2"/>
      </w:pPr>
      <w:r>
        <w:rPr>
          <w:rStyle w:val="SectionNumber"/>
        </w:rPr>
        <w:t xml:space="preserve">1.3</w:t>
      </w:r>
      <w:r>
        <w:tab/>
      </w:r>
      <w:r>
        <w:t xml:space="preserve">Data</w:t>
      </w:r>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bookmarkStart w:id="45" w:name="limitations"/>
    <w:p>
      <w:pPr>
        <w:pStyle w:val="Heading4"/>
      </w:pPr>
      <w:r>
        <w:rPr>
          <w:rStyle w:val="SectionNumber"/>
        </w:rPr>
        <w:t xml:space="preserve">1.3.0.1</w:t>
      </w:r>
      <w:r>
        <w:tab/>
      </w:r>
      <w:r>
        <w:t xml:space="preserve">Limitations</w:t>
      </w:r>
    </w:p>
    <w:p>
      <w:pPr>
        <w:pStyle w:val="BlockText"/>
      </w:pPr>
      <w:r>
        <w:t xml:space="preserve">TODO: APA exempts foreign affairs and defense. Civil rights policy is often made in other ways and poorly captured given the structure of government.</w:t>
      </w:r>
    </w:p>
    <w:bookmarkEnd w:id="45"/>
    <w:bookmarkEnd w:id="46"/>
    <w:bookmarkStart w:id="50" w:name="methods"/>
    <w:p>
      <w:pPr>
        <w:pStyle w:val="Heading2"/>
      </w:pPr>
      <w:r>
        <w:rPr>
          <w:rStyle w:val="SectionNumber"/>
        </w:rPr>
        <w:t xml:space="preserve">1.4</w:t>
      </w:r>
      <w:r>
        <w:tab/>
      </w:r>
      <w:r>
        <w:t xml:space="preserve">Methods</w:t>
      </w:r>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bookmarkStart w:id="48" w:name="scatterplots-of-rulemaking"/>
    <w:p>
      <w:pPr>
        <w:pStyle w:val="Heading3"/>
      </w:pPr>
      <w:r>
        <w:rPr>
          <w:rStyle w:val="SectionNumber"/>
        </w:rPr>
        <w:t xml:space="preserve">1.4.1</w:t>
      </w:r>
      <w:r>
        <w:tab/>
      </w:r>
      <w:r>
        <w:t xml:space="preserve">Scatterplots of Rulemaking</w:t>
      </w:r>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bookmarkEnd w:id="48"/>
    <w:bookmarkStart w:id="49" w:name="the-likelihood-of-rulemaking-over-time"/>
    <w:p>
      <w:pPr>
        <w:pStyle w:val="Heading3"/>
      </w:pPr>
      <w:r>
        <w:rPr>
          <w:rStyle w:val="SectionNumber"/>
        </w:rPr>
        <w:t xml:space="preserve">1.4.2</w:t>
      </w:r>
      <w:r>
        <w:tab/>
      </w:r>
      <w:r>
        <w:t xml:space="preserve">The Likelihood of Rulemaking over Time</w:t>
      </w:r>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bookmarkEnd w:id="49"/>
    <w:bookmarkEnd w:id="50"/>
    <w:bookmarkStart w:id="56" w:name="policy-substance-in-regulations"/>
    <w:p>
      <w:pPr>
        <w:pStyle w:val="Heading2"/>
      </w:pPr>
      <w:r>
        <w:rPr>
          <w:rStyle w:val="SectionNumber"/>
        </w:rPr>
        <w:t xml:space="preserve">1.5</w:t>
      </w:r>
      <w:r>
        <w:tab/>
      </w:r>
      <w:r>
        <w:t xml:space="preserve">Policy Substance in Regulations</w:t>
      </w:r>
    </w:p>
    <w:p>
      <w:pPr>
        <w:pStyle w:val="FirstParagraph"/>
      </w:pPr>
      <w:r>
        <w:t xml:space="preserve">This section presents selected figures and brief commentary on the extent to which patterns observed in rulemaking fit or conflict with those observed elsewhere in the American political system.</w:t>
      </w:r>
    </w:p>
    <w:bookmarkStart w:id="51" w:name="Xc5b98228f2563943866ac62df093f053e2dc718"/>
    <w:p>
      <w:pPr>
        <w:pStyle w:val="Heading3"/>
      </w:pPr>
      <w:r>
        <w:rPr>
          <w:rStyle w:val="SectionNumber"/>
        </w:rPr>
        <w:t xml:space="preserve">1.5.1</w:t>
      </w:r>
      <w:r>
        <w:tab/>
      </w:r>
      <w:r>
        <w:t xml:space="preserve">Social Policy, Economic Policy, and Foreign Policy</w:t>
      </w:r>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hyperlink w:anchor="ref-Farhang2016">
        <w:r>
          <w:rPr>
            <w:rStyle w:val="Hyperlink"/>
          </w:rPr>
          <w:t xml:space="preserve">Farhang and Yaver</w:t>
        </w:r>
      </w:hyperlink>
      <w:r>
        <w:t xml:space="preserve"> </w:t>
      </w:r>
      <w:r>
        <w:t xml:space="preserve">(</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bookmarkEnd w:id="51"/>
    <w:bookmarkStart w:id="52" w:name="labor-and-welfare"/>
    <w:p>
      <w:pPr>
        <w:pStyle w:val="Heading3"/>
      </w:pPr>
      <w:r>
        <w:rPr>
          <w:rStyle w:val="SectionNumber"/>
        </w:rPr>
        <w:t xml:space="preserve">1.5.2</w:t>
      </w:r>
      <w:r>
        <w:tab/>
      </w:r>
      <w:r>
        <w:t xml:space="preserve">Labor and Welfare</w:t>
      </w:r>
    </w:p>
    <w:p>
      <w:pPr>
        <w:pStyle w:val="FirstParagraph"/>
      </w:pPr>
      <w:r>
        <w:t xml:space="preserve">A connection between labor and the Democratic party</w:t>
      </w:r>
      <w:r>
        <w:t xml:space="preserve"> </w:t>
      </w:r>
      <w:r>
        <w:t xml:space="preserve">(</w:t>
      </w:r>
      <w:hyperlink w:anchor="ref-Schlozman2015">
        <w:r>
          <w:rPr>
            <w:rStyle w:val="Hyperlink"/>
          </w:rPr>
          <w:t xml:space="preserve">D. Schlozman 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bookmarkEnd w:id="52"/>
    <w:bookmarkStart w:id="54" w:name="civil-rights"/>
    <w:p>
      <w:pPr>
        <w:pStyle w:val="Heading3"/>
      </w:pPr>
      <w:r>
        <w:rPr>
          <w:rStyle w:val="SectionNumber"/>
        </w:rPr>
        <w:t xml:space="preserve">1.5.3</w:t>
      </w:r>
      <w:r>
        <w:tab/>
      </w:r>
      <w:r>
        <w:t xml:space="preserve">Civil Rights</w:t>
      </w:r>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3"/>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bookmarkEnd w:id="54"/>
    <w:bookmarkStart w:id="55" w:name="environment"/>
    <w:p>
      <w:pPr>
        <w:pStyle w:val="Heading3"/>
      </w:pPr>
      <w:r>
        <w:rPr>
          <w:rStyle w:val="SectionNumber"/>
        </w:rPr>
        <w:t xml:space="preserve">1.5.4</w:t>
      </w:r>
      <w:r>
        <w:tab/>
      </w:r>
      <w:r>
        <w:t xml:space="preserve">Environment</w:t>
      </w:r>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7"/>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bookmarkEnd w:id="55"/>
    <w:bookmarkEnd w:id="56"/>
    <w:bookmarkStart w:id="57" w:name="conclusion"/>
    <w:p>
      <w:pPr>
        <w:pStyle w:val="Heading2"/>
      </w:pPr>
      <w:r>
        <w:rPr>
          <w:rStyle w:val="SectionNumber"/>
        </w:rPr>
        <w:t xml:space="preserve">1.6</w:t>
      </w:r>
      <w:r>
        <w:tab/>
      </w:r>
      <w:r>
        <w:t xml:space="preserve">Conclusion</w:t>
      </w:r>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w:t>
      </w:r>
      <w:hyperlink w:anchor="ref-Judge-Lord2017">
        <w:r>
          <w:rPr>
            <w:rStyle w:val="Hyperlink"/>
          </w:rPr>
          <w:t xml:space="preserve">Judge-Lord 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w:t>
      </w:r>
      <w:hyperlink w:anchor="ref-Potter2016">
        <w:r>
          <w:rPr>
            <w:rStyle w:val="Hyperlink"/>
          </w:rPr>
          <w:t xml:space="preserve">Potter 2017b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bookmarkEnd w:id="57"/>
    <w:bookmarkEnd w:id="58"/>
    <w:bookmarkStart w:id="148" w:name="whymail"/>
    <w:p>
      <w:pPr>
        <w:pStyle w:val="Heading1"/>
      </w:pPr>
      <w:r>
        <w:rPr>
          <w:rStyle w:val="SectionNumber"/>
        </w:rPr>
        <w:t xml:space="preserve">2</w:t>
      </w:r>
      <w:r>
        <w:tab/>
      </w:r>
      <w:r>
        <w:t xml:space="preserve">Public Pressure: Why Do Agencies (sometimes) Get So Much Mail?</w:t>
      </w:r>
    </w:p>
    <w:bookmarkStart w:id="59" w:name="abstract"/>
    <w:p>
      <w:pPr>
        <w:pStyle w:val="Heading4"/>
      </w:pPr>
      <w:r>
        <w:t xml:space="preserve">Abstract</w:t>
      </w:r>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 by narrow private interests or</w:t>
      </w:r>
      <w:r>
        <w:t xml:space="preserve"> </w:t>
      </w:r>
      <w:r>
        <w:t xml:space="preserve">“</w:t>
      </w:r>
      <w:r>
        <w:t xml:space="preserve">astroturf</w:t>
      </w:r>
      <w:r>
        <w:t xml:space="preserve">”</w:t>
      </w:r>
      <w:r>
        <w:t xml:space="preserve"> </w:t>
      </w:r>
      <w:r>
        <w:t xml:space="preserve">campaigns. However, the resources and capacities required to launch a campaign do limit who can use public pressure tactics to a few larger policy advocacy organizations. Over 80% of public comments on proposed rules posted to regulations.gov were mobilized by just 100 organizations, most of which lobby in coalitions with each other. As a result, the public attention that pressure campaigns generate is concentrated on a small portion of policies on which these organizations focus. Contrary to other forms of political participation, I find no evidence of negativity bias in public comments. Instead, most commenters supported draft policies during the Obama administration but opposed those of the Trump administration, reflecting the asymmetry in mobilizing groups.</w:t>
      </w:r>
    </w:p>
    <w:bookmarkEnd w:id="59"/>
    <w:bookmarkStart w:id="62" w:name="why-intro"/>
    <w:p>
      <w:pPr>
        <w:pStyle w:val="Heading2"/>
      </w:pPr>
      <w:r>
        <w:rPr>
          <w:rStyle w:val="SectionNumber"/>
        </w:rPr>
        <w:t xml:space="preserve">2.1</w:t>
      </w:r>
      <w:r>
        <w:tab/>
      </w:r>
      <w:r>
        <w:t xml:space="preserve">Introduction</w:t>
      </w:r>
    </w:p>
    <w:p>
      <w:pPr>
        <w:pStyle w:val="FirstParagraph"/>
      </w:pPr>
      <w:r>
        <w:t xml:space="preserve">Participatory processes like public comment periods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and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w:t>
      </w:r>
      <w:hyperlink w:anchor="ref-Cuellar2005">
        <w:r>
          <w:rPr>
            <w:rStyle w:val="Hyperlink"/>
          </w:rPr>
          <w:t xml:space="preserve">Cuéllar 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w:t>
      </w:r>
      <w:hyperlink w:anchor="ref-WilsonXXXX">
        <w:r>
          <w:rPr>
            <w:rStyle w:val="Hyperlink"/>
            <w:bCs/>
            <w:b/>
          </w:rPr>
          <w:t xml:space="preserve">WilsonXXXX?</w:t>
        </w:r>
      </w:hyperlink>
      <w:r>
        <w:t xml:space="preserve">)</w:t>
      </w:r>
      <w:r>
        <w:t xml:space="preserve">. Agency policymakers are often experts who are deeply embedded in the professional and epistemic networks of the industries they support and regulate</w:t>
      </w:r>
      <w:r>
        <w:t xml:space="preserve"> </w:t>
      </w:r>
      <w:r>
        <w:t xml:space="preserve">(</w:t>
      </w:r>
      <w:hyperlink w:anchor="ref-Gormley1986">
        <w:r>
          <w:rPr>
            <w:rStyle w:val="Hyperlink"/>
          </w:rPr>
          <w:t xml:space="preserve">Gormley 1986</w:t>
        </w:r>
      </w:hyperlink>
      <w:r>
        <w:t xml:space="preserve">;</w:t>
      </w:r>
      <w:r>
        <w:t xml:space="preserve"> </w:t>
      </w:r>
      <w:hyperlink w:anchor="ref-Epstein2014">
        <w:r>
          <w:rPr>
            <w:rStyle w:val="Hyperlink"/>
          </w:rPr>
          <w:t xml:space="preserve">Dmitry Epstein, Heidt, and Farina 2014</w:t>
        </w:r>
      </w:hyperlink>
      <w:r>
        <w:t xml:space="preserve">)</w:t>
      </w:r>
      <w:r>
        <w:t xml:space="preserve">. Organizations with superior resources often flood policymakers with technical information that is valued both in the specific legal context of bureaucratic policymaking and in technocratic rationality more broadly</w:t>
      </w:r>
      <w:r>
        <w:t xml:space="preserve"> </w:t>
      </w:r>
      <w:r>
        <w:t xml:space="preserve">(</w:t>
      </w:r>
      <w:hyperlink w:anchor="ref-Wagner2010">
        <w:r>
          <w:rPr>
            <w:rStyle w:val="Hyperlink"/>
          </w:rPr>
          <w:t xml:space="preserve">Wendy E. Wagner 2010</w:t>
        </w:r>
      </w:hyperlink>
      <w:r>
        <w:t xml:space="preserve">)</w:t>
      </w:r>
      <w:r>
        <w:t xml:space="preserve">. Because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are framed as derivative of (often decades-old) legislative statutes. The assumption that Congress makes political decisions, not agencies, persists even as agencies write and re-write policies that cite the same old statutes, advancing and reversing major policy programs under each subsequent president. All of these features empower legal and technical experts and thus the organizations with the resources to deploy them.</w:t>
      </w:r>
    </w:p>
    <w:p>
      <w:pPr>
        <w:pStyle w:val="BodyText"/>
      </w:pPr>
      <w:r>
        <w:t xml:space="preserve">And yet, activists frequently target agency policymaking with letter-writing campaigns, petitions, protests, and mobilizing people to attend hearings—all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Below, I show that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nearly all comments are mobilized to support more sophisticated lobbying efforts.</w:t>
      </w:r>
    </w:p>
    <w:p>
      <w:pPr>
        <w:pStyle w:val="BodyText"/>
      </w:pPr>
      <w:r>
        <w:t xml:space="preserve">Without a systematic understanding of public participation–</w:t>
      </w:r>
      <w:r>
        <w:rPr>
          <w:iCs/>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r>
        <w:t xml:space="preserve">Surely, those who tend to engage are far from representative of the broader public</w:t>
      </w:r>
      <w:r>
        <w:t xml:space="preserve"> </w:t>
      </w:r>
      <w:r>
        <w:t xml:space="preserve">(</w:t>
      </w:r>
      <w:hyperlink w:anchor="ref-Verba1987">
        <w:r>
          <w:rPr>
            <w:rStyle w:val="Hyperlink"/>
          </w:rPr>
          <w:t xml:space="preserve">Verba and Nie 1987</w:t>
        </w:r>
      </w:hyperlink>
      <w:r>
        <w:t xml:space="preserve">)</w:t>
      </w:r>
      <w:r>
        <w:t xml:space="preserve">. That said, even a fairly elite segment of the public could be more representative than the handful of political insiders who participate in most policy processes. If the usual participants have</w:t>
      </w:r>
      <w:r>
        <w:t xml:space="preserve"> </w:t>
      </w:r>
      <w:r>
        <w:t xml:space="preserve">“</w:t>
      </w:r>
      <w:r>
        <w:t xml:space="preserve">an upper-class accent</w:t>
      </w:r>
      <w:r>
        <w:t xml:space="preserve">”</w:t>
      </w:r>
      <w:r>
        <w:t xml:space="preserve"> </w:t>
      </w:r>
      <w:r>
        <w:t xml:space="preserve">(</w:t>
      </w:r>
      <w:hyperlink w:anchor="ref-Schattschneider1942">
        <w:r>
          <w:rPr>
            <w:rStyle w:val="Hyperlink"/>
          </w:rPr>
          <w:t xml:space="preserve">E. Schattschneider 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 misleading impression of public support for their policy positions, it may merely legitimize the demands of the same group of powerful interest groups that would dominate without broader public engagement. If, however, public pressure is mobilized by groups that are typically excluded or disadvantaged in the policy process, then public comment processes may democratize bureaucratic policymaking.</w:t>
      </w:r>
    </w:p>
    <w:p>
      <w:pPr>
        <w:pStyle w:val="BodyText"/>
      </w:pPr>
      <w:r>
        <w:t xml:space="preserve">While practitioners and administrative law scholars have long pondered what to make of letter-writing campaigns targeting the bureaucracy, political scientists have had surprisingly little to say about this kind of civic participation and the role of public pressure in bureaucratic policymaking. Much of our knowledge about civic participation beyond voting comes from surveys and qualitative studies of particular groups. Models of bureaucratic policymaking focus on the participation of sophisticated lobbying groups and neither explain nor account for public pressure campaigns. Civic engagement in general and organized public pressure in particular thus remain poorly understood in the context of bureaucratic policymaking.</w:t>
      </w:r>
    </w:p>
    <w:p>
      <w:pPr>
        <w:pStyle w:val="BodyText"/>
      </w:pPr>
      <w:r>
        <w:t xml:space="preserve">Political scientists’ neglect of public pressure campaigns that target the bureaucracy is surprising given that most people are only aware of bureaucratic policymaking when it is the target of a public pressure campaign.</w:t>
      </w:r>
      <w:r>
        <w:rPr>
          <w:rStyle w:val="FootnoteReference"/>
        </w:rPr>
        <w:footnoteReference w:id="60"/>
      </w:r>
      <w:r>
        <w:t xml:space="preserve"> </w:t>
      </w:r>
      <w:r>
        <w:t xml:space="preserve">While most policy processes receive little public attention, the ease of online mobilizing and commenting has, like other forms of participation</w:t>
      </w:r>
      <w:r>
        <w:t xml:space="preserve"> </w:t>
      </w:r>
      <w:r>
        <w:t xml:space="preserve">(</w:t>
      </w:r>
      <w:hyperlink w:anchor="ref-Boulianne2018">
        <w:r>
          <w:rPr>
            <w:rStyle w:val="Hyperlink"/>
          </w:rPr>
          <w:t xml:space="preserve">Boulianne 2018</w:t>
        </w:r>
      </w:hyperlink>
      <w:r>
        <w:t xml:space="preserve">)</w:t>
      </w:r>
      <w:r>
        <w:t xml:space="preserve">, created exponential increases in the number of rules in which thousands and even millions of people engage.</w:t>
      </w:r>
      <w:r>
        <w:t xml:space="preserve"> </w:t>
      </w:r>
    </w:p>
    <w:p>
      <w:pPr>
        <w:pStyle w:val="BodyText"/>
      </w:pPr>
      <w:r>
        <w:t xml:space="preserve">The general failure to explain and account for public pressure campaigns in models of bureaucratic policymaking is also striking in light of how agencies advertise public comment periods as an opportunity for a voice in government decisions. The Regulations.gov homepage solicits visitors to</w:t>
      </w:r>
      <w:r>
        <w:t xml:space="preserve"> </w:t>
      </w:r>
      <w:r>
        <w:t xml:space="preserve">“</w:t>
      </w:r>
      <w:r>
        <w:t xml:space="preserve">Make a difference. Submit your comments 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 policy and pending agency action. Public comment periods on draft agency policies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 actual American governance</w:t>
      </w:r>
      <w:r>
        <w:t xml:space="preserve">”</w:t>
      </w:r>
      <w:r>
        <w:t xml:space="preserve"> </w:t>
      </w:r>
      <w:r>
        <w:t xml:space="preserve">(</w:t>
      </w:r>
      <w:hyperlink w:anchor="ref-Herz2016">
        <w:r>
          <w:rPr>
            <w:rStyle w:val="Hyperlink"/>
          </w:rPr>
          <w:t xml:space="preserve">Herz 2016</w:t>
        </w:r>
      </w:hyperlink>
      <w:r>
        <w:t xml:space="preserve">)</w:t>
      </w:r>
      <w:r>
        <w:t xml:space="preserve">.</w:t>
      </w:r>
      <w:r>
        <w:t xml:space="preserve"> </w:t>
      </w:r>
      <w:hyperlink w:anchor="ref-Rossi1997">
        <w:r>
          <w:rPr>
            <w:rStyle w:val="Hyperlink"/>
          </w:rPr>
          <w:t xml:space="preserve">Rossi</w:t>
        </w:r>
      </w:hyperlink>
      <w:r>
        <w:t xml:space="preserve"> </w:t>
      </w:r>
      <w:r>
        <w:t xml:space="preserve">(</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 a sacrosanct status…greater participation is generally viewed as contributing to democracy.</w:t>
      </w:r>
      <w:r>
        <w:t xml:space="preserve">”</w:t>
      </w:r>
      <w:r>
        <w:t xml:space="preserve"> </w:t>
      </w:r>
      <w:r>
        <w:t xml:space="preserve">(pg. 2)</w:t>
      </w:r>
      <w:r>
        <w:t xml:space="preserve"> </w:t>
      </w:r>
      <w:r>
        <w:t xml:space="preserve"> </w:t>
      </w:r>
      <w:r>
        <w:t xml:space="preserve">And yet, political scientists have paid little empirical or theoretical attention to the role of public pressure in bureaucratic policymaking.^[While administrative law scholars have had much to say about public participation and mass comment campaigns [see, e.g.,</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oveck2004">
        <w:r>
          <w:rPr>
            <w:rStyle w:val="Hyperlink"/>
          </w:rPr>
          <w:t xml:space="preserve">Noveck</w:t>
        </w:r>
      </w:hyperlink>
      <w:r>
        <w:t xml:space="preserve"> </w:t>
      </w:r>
      <w:r>
        <w:t xml:space="preserve">(</w:t>
      </w:r>
      <w:hyperlink w:anchor="ref-Noveck2004">
        <w:r>
          <w:rPr>
            <w:rStyle w:val="Hyperlink"/>
          </w:rPr>
          <w:t xml:space="preserve">2004</w:t>
        </w:r>
      </w:hyperlink>
      <w:r>
        <w:t xml:space="preserve">)</w:t>
      </w:r>
      <w:r>
        <w:t xml:space="preserve">; Noveck2009;</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Coglianese2006">
        <w:r>
          <w:rPr>
            <w:rStyle w:val="Hyperlink"/>
          </w:rPr>
          <w:t xml:space="preserve">Coglianese</w:t>
        </w:r>
      </w:hyperlink>
      <w:r>
        <w:t xml:space="preserve"> </w:t>
      </w:r>
      <w:r>
        <w:t xml:space="preserve">(</w:t>
      </w:r>
      <w:hyperlink w:anchor="ref-Coglianese2006">
        <w:r>
          <w:rPr>
            <w:rStyle w:val="Hyperlink"/>
          </w:rPr>
          <w:t xml:space="preserve">2006</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hyperlink w:anchor="ref-Farina2012">
        <w:r>
          <w:rPr>
            <w:rStyle w:val="Hyperlink"/>
          </w:rPr>
          <w:t xml:space="preserve">Cynthia R. Farina et al.</w:t>
        </w:r>
      </w:hyperlink>
      <w:r>
        <w:t xml:space="preserve"> </w:t>
      </w:r>
      <w:r>
        <w:t xml:space="preserve">(</w:t>
      </w:r>
      <w:hyperlink w:anchor="ref-Farina2012">
        <w:r>
          <w:rPr>
            <w:rStyle w:val="Hyperlink"/>
          </w:rPr>
          <w:t xml:space="preserve">2012</w:t>
        </w:r>
      </w:hyperlink>
      <w:r>
        <w:t xml:space="preserve">)</w:t>
      </w:r>
      <w:r>
        <w:t xml:space="preserve">;</w:t>
      </w:r>
      <w:r>
        <w:t xml:space="preserve"> </w:t>
      </w:r>
      <w:hyperlink w:anchor="ref-Farina2014">
        <w:r>
          <w:rPr>
            <w:rStyle w:val="Hyperlink"/>
          </w:rPr>
          <w:t xml:space="preserve">Cynthia R. Farina, Newhart, and Heidt</w:t>
        </w:r>
      </w:hyperlink>
      <w:r>
        <w:t xml:space="preserve"> </w:t>
      </w:r>
      <w:r>
        <w:t xml:space="preserve">(</w:t>
      </w:r>
      <w:hyperlink w:anchor="ref-Farina2014">
        <w:r>
          <w:rPr>
            <w:rStyle w:val="Hyperlink"/>
          </w:rPr>
          <w:t xml:space="preserve">2014</w:t>
        </w:r>
      </w:hyperlink>
      <w:r>
        <w:t xml:space="preserve">)</w:t>
      </w:r>
      <w:r>
        <w:t xml:space="preserve">), political science scholarship is limited to a few studies</w:t>
      </w:r>
      <w:r>
        <w:t xml:space="preserve"> </w:t>
      </w:r>
      <w:r>
        <w:t xml:space="preserve">(</w:t>
      </w:r>
      <w:hyperlink w:anchor="ref-Shapiro2008b">
        <w:r>
          <w:rPr>
            <w:rStyle w:val="Hyperlink"/>
          </w:rPr>
          <w:t xml:space="preserve">Shapiro 2008</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two unpublished dissertations</w:t>
      </w:r>
      <w:r>
        <w:t xml:space="preserve"> </w:t>
      </w:r>
      <w:r>
        <w:t xml:space="preserve">(</w:t>
      </w:r>
      <w:hyperlink w:anchor="ref-Moore2017">
        <w:r>
          <w:rPr>
            <w:rStyle w:val="Hyperlink"/>
          </w:rPr>
          <w:t xml:space="preserve">Emily H. Moore 2017</w:t>
        </w:r>
      </w:hyperlink>
      <w:r>
        <w:t xml:space="preserve">;</w:t>
      </w:r>
      <w:r>
        <w:t xml:space="preserve"> </w:t>
      </w:r>
      <w:hyperlink w:anchor="ref-Cook2017">
        <w:r>
          <w:rPr>
            <w:rStyle w:val="Hyperlink"/>
          </w:rPr>
          <w:t xml:space="preserve">Cook 2017</w:t>
        </w:r>
      </w:hyperlink>
      <w:r>
        <w:t xml:space="preserve">)</w:t>
      </w:r>
      <w:r>
        <w:t xml:space="preserve">, and a blog post</w:t>
      </w:r>
      <w:r>
        <w:t xml:space="preserve"> </w:t>
      </w:r>
      <w:r>
        <w:t xml:space="preserve">(</w:t>
      </w:r>
      <w:hyperlink w:anchor="ref-Potter2017">
        <w:r>
          <w:rPr>
            <w:rStyle w:val="Hyperlink"/>
          </w:rPr>
          <w:t xml:space="preserve">Potter 2017a</w:t>
        </w:r>
      </w:hyperlink>
      <w:r>
        <w:t xml:space="preserve">)</w:t>
      </w:r>
      <w:r>
        <w:t xml:space="preserve">, which I discuss below.]</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1"/>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theories of conflict expansion and pressure tactics into theories of bureaucratic policymaking.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leading theories of bureaucratic decision-making and interest group lobbying. It predicts that groups with more resources will dominate all forms of lobbying, including public pressure campaigns. The other emerges from democratic theories. It predicts that groups with fewer material resources but more popular support will more often use public pressure campaigns.</w:t>
      </w:r>
      <w:r>
        <w:t xml:space="preserve"> </w:t>
      </w:r>
      <w:r>
        <w:t xml:space="preserve">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The extent to which public comment periods serve the functions and provide the normative benefits that proponents assert depends on who participates.</w:t>
      </w:r>
      <w:r>
        <w:t xml:space="preserve"> </w:t>
      </w:r>
      <w:r>
        <w:t xml:space="preserve">To the extent that public pressure campaigns drive participation, the normative value of participatory processes like public comment periods depends on who organizes these campaigns.</w:t>
      </w:r>
    </w:p>
    <w:p>
      <w:pPr>
        <w:pStyle w:val="BodyText"/>
      </w:pP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diversifying the available information, they would merely reinforce powerful insiders’ claims and issue frames. We would expect pressure campaigns to push policy further in the direction desired by the most powerful insiders.</w:t>
      </w:r>
    </w:p>
    <w:p>
      <w:pPr>
        <w:pStyle w:val="BodyText"/>
      </w:pP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 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theory about the conditions under which we should see private and public interest group campaigns. I argue that public interest groups more often have incentives to launch public pressure campaigns than private interests. Private interests have incentives to sponsor campaigns (including astroturf campaigns) under much more limited conditions. Campaigns from private interests should thus be less common than campaigns from public interest groups. However, the resources required to run a campaign will lead a few large public interest groups to dominate.</w:t>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all public comments. Traditional membership organizations and unaffiliated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my theory anticipates.</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2.3.1</w:t>
      </w:r>
      <w:r>
        <w:t xml:space="preserve"> </w:t>
      </w:r>
      <w:r>
        <w:t xml:space="preserve">introduces a novel dataset that systematically captures public participation in federal agency rulemaking. Section</w:t>
      </w:r>
      <w:r>
        <w:t xml:space="preserve"> </w:t>
      </w:r>
      <w:r>
        <w:t xml:space="preserve">2.3.3</w:t>
      </w:r>
      <w:r>
        <w:t xml:space="preserve"> </w:t>
      </w:r>
      <w:r>
        <w:t xml:space="preserve">outlines methods to assess my hypotheses using text analysis to leverage comment texts as both content-rich and large-n observational data. Section</w:t>
      </w:r>
      <w:r>
        <w:t xml:space="preserve"> </w:t>
      </w:r>
      <w:r>
        <w:t xml:space="preserve">2.4</w:t>
      </w:r>
      <w:r>
        <w:t xml:space="preserve"> </w:t>
      </w:r>
      <w:r>
        <w:t xml:space="preserve">reviews the results of this analysis.</w:t>
      </w:r>
    </w:p>
    <w:bookmarkEnd w:id="62"/>
    <w:bookmarkStart w:id="96" w:name="why-theory"/>
    <w:p>
      <w:pPr>
        <w:pStyle w:val="Heading2"/>
      </w:pPr>
      <w:r>
        <w:rPr>
          <w:rStyle w:val="SectionNumber"/>
        </w:rPr>
        <w:t xml:space="preserve">2.2</w:t>
      </w:r>
      <w:r>
        <w:tab/>
      </w:r>
      <w:r>
        <w:t xml:space="preserve">Theory: Interest Groups as Mobilizers and Influencers</w:t>
      </w:r>
    </w:p>
    <w:p>
      <w:pPr>
        <w:pStyle w:val="FirstParagraph"/>
      </w:pPr>
      <w:r>
        <w:t xml:space="preserve">&lt;!–&gt; TODO: PLURALIST THEORIES AND GROUP MEDIATION–&gt;</w:t>
      </w:r>
    </w:p>
    <w:p>
      <w:pPr>
        <w:pStyle w:val="BodyText"/>
      </w:pPr>
      <w:r>
        <w:t xml:space="preserve">Interest groups play a critical role in American politics.</w:t>
      </w:r>
      <w:r>
        <w:t xml:space="preserve"> </w:t>
      </w:r>
      <w:r>
        <w:t xml:space="preserve"> </w:t>
      </w: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FirstParagraph"/>
      </w:pPr>
      <w:r>
        <w:t xml:space="preserve">Organized groups play at least two key functions in a large democracy: (1) organizing and mobilizing people around ideas and interests and (2) sophisticated lobbying to affect policy.</w:t>
      </w:r>
    </w:p>
    <w:bookmarkStart w:id="70" w:name="the-mobilization-of-interest"/>
    <w:p>
      <w:pPr>
        <w:pStyle w:val="Heading3"/>
      </w:pPr>
      <w:r>
        <w:rPr>
          <w:rStyle w:val="SectionNumber"/>
        </w:rPr>
        <w:t xml:space="preserve">2.2.1</w:t>
      </w:r>
      <w:r>
        <w:tab/>
      </w:r>
      <w:r>
        <w:t xml:space="preserve">The Mobilization of Interest</w:t>
      </w:r>
    </w:p>
    <w:p>
      <w:pPr>
        <w:pStyle w:val="FirstParagraph"/>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w:t>
      </w:r>
    </w:p>
    <w:bookmarkStart w:id="64" w:name="forms-and-drivers-of-civic-participation"/>
    <w:p>
      <w:pPr>
        <w:pStyle w:val="Heading4"/>
      </w:pPr>
      <w:r>
        <w:rPr>
          <w:rStyle w:val="SectionNumber"/>
        </w:rPr>
        <w:t xml:space="preserve">2.2.1.1</w:t>
      </w:r>
      <w:r>
        <w:tab/>
      </w:r>
      <w:r>
        <w:t xml:space="preserve">Forms and Drivers of Civic Participation</w:t>
      </w:r>
    </w:p>
    <w:p>
      <w:pPr>
        <w:pStyle w:val="FirstParagraph"/>
      </w:pPr>
      <w:r>
        <w:t xml:space="preserve">Classic examples of civic engagement include participation in letter-writing, signing petitions, protesting, or attending hearings</w:t>
      </w:r>
      <w:r>
        <w:t xml:space="preserve"> </w:t>
      </w:r>
      <w:r>
        <w:t xml:space="preserve">(</w:t>
      </w:r>
      <w:hyperlink w:anchor="ref-Verba1987">
        <w:r>
          <w:rPr>
            <w:rStyle w:val="Hyperlink"/>
          </w:rPr>
          <w:t xml:space="preserve">Verba and Nie 1987</w:t>
        </w:r>
      </w:hyperlink>
      <w:r>
        <w:t xml:space="preserve">)</w:t>
      </w:r>
      <w:r>
        <w:t xml:space="preserve">. Importantly,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with government from</w:t>
      </w:r>
      <w:r>
        <w:t xml:space="preserve"> </w:t>
      </w:r>
      <w:r>
        <w:t xml:space="preserve">“</w:t>
      </w:r>
      <w:r>
        <w:t xml:space="preserve">cooperative activity</w:t>
      </w:r>
      <w:r>
        <w:t xml:space="preserve">”</w:t>
      </w:r>
      <w:r>
        <w:t xml:space="preserve"> </w:t>
      </w:r>
      <w:r>
        <w:t xml:space="preserve">(pg. 54).</w:t>
      </w:r>
      <w:r>
        <w:t xml:space="preserve"> </w:t>
      </w:r>
      <w:r>
        <w:t xml:space="preserve">Political behavior research tends to focus on the choices of individuals. For example, survey research on political participation often studies activities like letter-writing as is they are citizen-initiated contacts rather than a group activity.</w:t>
      </w:r>
      <w:r>
        <w:t xml:space="preserve"> </w:t>
      </w:r>
      <w:r>
        <w:t xml:space="preserve">Administrative law scholarship often discusses individual participants in rulemaking in a similar light.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3"/>
      </w:r>
    </w:p>
    <w:p>
      <w:pPr>
        <w:pStyle w:val="BodyText"/>
      </w:pPr>
      <w:r>
        <w:t xml:space="preserve">Self-selection may not be ideal for representation, but</w:t>
      </w:r>
      <w:r>
        <w:t xml:space="preserve"> </w:t>
      </w:r>
      <w:r>
        <w:t xml:space="preserve">opt-in forms of participation—including voting, attending a hearing, or</w:t>
      </w:r>
      <w:r>
        <w:t xml:space="preserve"> </w:t>
      </w:r>
      <w:r>
        <w:t xml:space="preserve">commenting on proposed a policy—are often one of the few heuristics decisionmakers have</w:t>
      </w:r>
      <w:r>
        <w:t xml:space="preserve"> </w:t>
      </w:r>
      <w:r>
        <w:t xml:space="preserve">about public preferences.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However limited and slanted, this information is directed at policymakers who may often be unclear how the public and other political actors will react to their policy decisions.</w:t>
      </w:r>
    </w:p>
    <w:p>
      <w:pPr>
        <w:pStyle w:val="BodyText"/>
      </w:pPr>
      <w:r>
        <w:t xml:space="preserve">Forms of civic participation beyond voting, such as protests and petitioning, offer unique opportunities for minority interests in particular. Protests to be an effective mechanism for minority interests to communicate preferences to policymakers when electoral mechanisms fail to do so. Policymakers learn and take informational cues from political behaviors like protests</w:t>
      </w:r>
      <w:r>
        <w:t xml:space="preserve"> </w:t>
      </w:r>
      <w:r>
        <w:t xml:space="preserve">(</w:t>
      </w:r>
      <w:hyperlink w:anchor="ref-Gillion2013">
        <w:r>
          <w:rPr>
            <w:rStyle w:val="Hyperlink"/>
          </w:rPr>
          <w:t xml:space="preserve">Gillion 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bookmarkEnd w:id="64"/>
    <w:bookmarkStart w:id="65" w:name="Xa020aadf1a2f6da8efd55fe673a176983927c71"/>
    <w:p>
      <w:pPr>
        <w:pStyle w:val="Heading4"/>
      </w:pPr>
      <w:r>
        <w:rPr>
          <w:rStyle w:val="SectionNumber"/>
        </w:rPr>
        <w:t xml:space="preserve">2.2.1.2</w:t>
      </w:r>
      <w:r>
        <w:tab/>
      </w:r>
      <w:r>
        <w:t xml:space="preserve">Pluralism and Group Conflict in Democratic Theory</w:t>
      </w:r>
    </w:p>
    <w:p>
      <w:pPr>
        <w:pStyle w:val="FirstParagraph"/>
      </w:pPr>
      <w:r>
        <w:t xml:space="preserve">An organization and can reshape the political environment by expanding the scope of conflict</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r>
        <w:t xml:space="preserve"> </w:t>
      </w:r>
      <w:r>
        <w:t xml:space="preserve">Political actors bring new people into a political fight by using press releases, mass mailing, and phonebanking to drum up and channel public support</w:t>
      </w:r>
      <w:r>
        <w:t xml:space="preserve"> </w:t>
      </w:r>
      <w:r>
        <w:t xml:space="preserve">(</w:t>
      </w:r>
      <w:hyperlink w:anchor="ref-Cooper1985">
        <w:r>
          <w:rPr>
            <w:rStyle w:val="Hyperlink"/>
            <w:bCs/>
            <w:b/>
          </w:rPr>
          <w:t xml:space="preserve">Cooper1985?</w:t>
        </w:r>
      </w:hyperlink>
      <w:r>
        <w:t xml:space="preserve">)</w:t>
      </w:r>
      <w:r>
        <w:t xml:space="preserve">. Conflict expansion strategies that attempt to engage the broader public are known as</w:t>
      </w:r>
      <w:r>
        <w:t xml:space="preserve"> </w:t>
      </w:r>
      <w:r>
        <w:t xml:space="preserve">“</w:t>
      </w:r>
      <w:r>
        <w:t xml:space="preserve">going public</w:t>
      </w:r>
      <w:r>
        <w:t xml:space="preserve">”</w:t>
      </w:r>
      <w:r>
        <w:t xml:space="preserve"> </w:t>
      </w:r>
      <w:r>
        <w:t xml:space="preserve">(</w:t>
      </w:r>
      <w:hyperlink w:anchor="ref-Kollman1998">
        <w:r>
          <w:rPr>
            <w:rStyle w:val="Hyperlink"/>
          </w:rPr>
          <w:t xml:space="preserve">Kollman 1998</w:t>
        </w:r>
      </w:hyperlink>
      <w:r>
        <w:t xml:space="preserve">)</w:t>
      </w:r>
      <w:r>
        <w:t xml:space="preserve">.</w:t>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w:t>
      </w:r>
      <w:hyperlink w:anchor="ref-Kernell2007">
        <w:r>
          <w:rPr>
            <w:rStyle w:val="Hyperlink"/>
          </w:rPr>
          <w:t xml:space="preserve">Kernell 2007</w:t>
        </w:r>
      </w:hyperlink>
      <w:r>
        <w:t xml:space="preserve">)</w:t>
      </w:r>
      <w:r>
        <w:t xml:space="preserve">, Members of Congress</w:t>
      </w:r>
      <w:r>
        <w:t xml:space="preserve"> </w:t>
      </w:r>
      <w:r>
        <w:t xml:space="preserve">(</w:t>
      </w:r>
      <w:hyperlink w:anchor="ref-Malecha2012">
        <w:r>
          <w:rPr>
            <w:rStyle w:val="Hyperlink"/>
          </w:rPr>
          <w:t xml:space="preserve">Malecha and Reagan 2012</w:t>
        </w:r>
      </w:hyperlink>
      <w:r>
        <w:t xml:space="preserve">)</w:t>
      </w:r>
      <w:r>
        <w:t xml:space="preserve">, interest groups</w:t>
      </w:r>
      <w:r>
        <w:t xml:space="preserve"> </w:t>
      </w:r>
      <w:r>
        <w:t xml:space="preserve">(</w:t>
      </w:r>
      <w:hyperlink w:anchor="ref-Walker1991">
        <w:r>
          <w:rPr>
            <w:rStyle w:val="Hyperlink"/>
          </w:rPr>
          <w:t xml:space="preserve">Walker 1991</w:t>
        </w:r>
      </w:hyperlink>
      <w:r>
        <w:t xml:space="preserve">;</w:t>
      </w:r>
      <w:r>
        <w:t xml:space="preserve"> </w:t>
      </w:r>
      <w:hyperlink w:anchor="ref-Dur2013">
        <w:r>
          <w:rPr>
            <w:rStyle w:val="Hyperlink"/>
          </w:rPr>
          <w:t xml:space="preserve">Dür and Mateo 2013</w:t>
        </w:r>
      </w:hyperlink>
      <w:r>
        <w:t xml:space="preserve">)</w:t>
      </w:r>
      <w:r>
        <w:t xml:space="preserve">, and even Lawyers and Judges</w:t>
      </w:r>
      <w:r>
        <w:t xml:space="preserve"> </w:t>
      </w:r>
      <w:r>
        <w:t xml:space="preserve">(</w:t>
      </w:r>
      <w:hyperlink w:anchor="ref-Davis2011">
        <w:r>
          <w:rPr>
            <w:rStyle w:val="Hyperlink"/>
            <w:bCs/>
            <w:b/>
          </w:rPr>
          <w:t xml:space="preserve">Davis2011?</w:t>
        </w:r>
      </w:hyperlink>
      <w:r>
        <w:t xml:space="preserve">)</w:t>
      </w:r>
      <w:r>
        <w:t xml:space="preserve">.</w:t>
      </w:r>
      <w:r>
        <w:t xml:space="preserve"> </w:t>
      </w:r>
      <w:r>
        <w:t xml:space="preserve">For example, when presidents face difficult negotiations with Congress, they often use their bully pulpit to mobilize segments of the public to pressure elected representatives. Likewise, interest groups mobilize segments of the public to pressure policymakers as part of their lobbying strategy.</w:t>
      </w:r>
      <w:r>
        <w:t xml:space="preserve"> </w:t>
      </w:r>
      <w:r>
        <w:t xml:space="preserve">The ability to mobilize a large number of people can thus be a valuable political resource.</w:t>
      </w:r>
    </w:p>
    <w:p>
      <w:pPr>
        <w:pStyle w:val="BodyText"/>
      </w:pP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w:t>
      </w:r>
      <w:hyperlink w:anchor="ref-Potter2017">
        <w:r>
          <w:rPr>
            <w:rStyle w:val="Hyperlink"/>
          </w:rPr>
          <w:t xml:space="preserve">Potter 2017a</w:t>
        </w:r>
      </w:hyperlink>
      <w:r>
        <w:t xml:space="preserve">)</w:t>
      </w:r>
      <w:r>
        <w:t xml:space="preserve">, citizen groups</w:t>
      </w:r>
      <w:r>
        <w:t xml:space="preserve"> </w:t>
      </w:r>
      <w:r>
        <w:t xml:space="preserve">(</w:t>
      </w:r>
      <w:hyperlink w:anchor="ref-Berry1999">
        <w:r>
          <w:rPr>
            <w:rStyle w:val="Hyperlink"/>
          </w:rPr>
          <w:t xml:space="preserve">Berry 1999</w:t>
        </w:r>
      </w:hyperlink>
      <w:r>
        <w:t xml:space="preserve">)</w:t>
      </w:r>
      <w:r>
        <w:t xml:space="preserve">, policy change organizations</w:t>
      </w:r>
      <w:r>
        <w:t xml:space="preserve"> </w:t>
      </w:r>
      <w:r>
        <w:t xml:space="preserve">(</w:t>
      </w:r>
      <w:hyperlink w:anchor="ref-McNutt2005">
        <w:r>
          <w:rPr>
            <w:rStyle w:val="Hyperlink"/>
            <w:bCs/>
            <w:b/>
          </w:rPr>
          <w:t xml:space="preserve">McNutt2005?</w:t>
        </w:r>
      </w:hyperlink>
      <w:r>
        <w:t xml:space="preserve">)</w:t>
      </w:r>
      <w:r>
        <w:t xml:space="preserve">.</w:t>
      </w:r>
    </w:p>
    <w:bookmarkEnd w:id="65"/>
    <w:bookmarkStart w:id="66" w:name="public-pressure-as-a-resource"/>
    <w:p>
      <w:pPr>
        <w:pStyle w:val="Heading4"/>
      </w:pPr>
      <w:r>
        <w:rPr>
          <w:rStyle w:val="SectionNumber"/>
        </w:rPr>
        <w:t xml:space="preserve">2.2.1.3</w:t>
      </w:r>
      <w:r>
        <w:tab/>
      </w:r>
      <w:r>
        <w:t xml:space="preserve">Public Pressure as a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hyperlink w:anchor="ref-Kollman1998">
        <w:r>
          <w:rPr>
            <w:rStyle w:val="Hyperlink"/>
          </w:rPr>
          <w:t xml:space="preserve">Kollman</w:t>
        </w:r>
      </w:hyperlink>
      <w:r>
        <w:t xml:space="preserve"> </w:t>
      </w:r>
      <w:r>
        <w:t xml:space="preserve">(</w:t>
      </w:r>
      <w:hyperlink w:anchor="ref-Kollman1998">
        <w:r>
          <w:rPr>
            <w:rStyle w:val="Hyperlink"/>
          </w:rPr>
          <w:t xml:space="preserve">1998</w:t>
        </w:r>
      </w:hyperlink>
      <w:r>
        <w:t xml:space="preserve">)</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policy advocacy organizations and pressure groups often mobilize. The broader audiences mobilized through public pressure campaigns are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two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issue networks</w:t>
      </w:r>
      <w:r>
        <w:t xml:space="preserve"> </w:t>
      </w:r>
      <w:r>
        <w:t xml:space="preserve">(</w:t>
      </w:r>
      <w:hyperlink w:anchor="ref-Gormley1986">
        <w:r>
          <w:rPr>
            <w:rStyle w:val="Hyperlink"/>
          </w:rPr>
          <w:t xml:space="preserve">Gormley 1986</w:t>
        </w:r>
      </w:hyperlink>
      <w:r>
        <w:t xml:space="preserve">;</w:t>
      </w:r>
      <w:r>
        <w:t xml:space="preserve"> </w:t>
      </w:r>
      <w:hyperlink w:anchor="ref-Golden1998">
        <w:r>
          <w:rPr>
            <w:rStyle w:val="Hyperlink"/>
          </w:rPr>
          <w:t xml:space="preserve">Golden 1998</w:t>
        </w:r>
      </w:hyperlink>
      <w:r>
        <w:t xml:space="preserve">)</w:t>
      </w:r>
      <w:r>
        <w:t xml:space="preserve"> </w:t>
      </w:r>
      <w:r>
        <w:t xml:space="preserve">and coalitions</w:t>
      </w:r>
      <w:r>
        <w:t xml:space="preserve"> </w:t>
      </w:r>
      <w:r>
        <w:t xml:space="preserve">(</w:t>
      </w:r>
      <w:hyperlink w:anchor="ref-Yackee2006JOP">
        <w:r>
          <w:rPr>
            <w:rStyle w:val="Hyperlink"/>
          </w:rPr>
          <w:t xml:space="preserve">J. W. Yackee and Yackee 2006</w:t>
        </w:r>
      </w:hyperlink>
      <w:r>
        <w:t xml:space="preserve">;</w:t>
      </w:r>
      <w:r>
        <w:t xml:space="preserve"> </w:t>
      </w:r>
      <w:hyperlink w:anchor="ref-Dwidar2019">
        <w:r>
          <w:rPr>
            <w:rStyle w:val="Hyperlink"/>
          </w:rPr>
          <w:t xml:space="preserve">Dwidar 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at least among some segments of the attentive public.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To understand why groups</w:t>
      </w:r>
      <w:r>
        <w:t xml:space="preserve"> </w:t>
      </w:r>
      <w:r>
        <w:t xml:space="preserve">organize public pressure campaigns, we must understand mass mobilization as a tactic</w:t>
      </w:r>
      <w:r>
        <w:t xml:space="preserve"> </w:t>
      </w:r>
      <w:r>
        <w:t xml:space="preserve">aimed at producing political information.</w:t>
      </w:r>
    </w:p>
    <w:bookmarkEnd w:id="66"/>
    <w:bookmarkStart w:id="69" w:name="second-order-representation"/>
    <w:p>
      <w:pPr>
        <w:pStyle w:val="Heading4"/>
      </w:pPr>
      <w:r>
        <w:rPr>
          <w:rStyle w:val="SectionNumber"/>
        </w:rPr>
        <w:t xml:space="preserve">2.2.1.4</w:t>
      </w:r>
      <w:r>
        <w:tab/>
      </w:r>
      <w:r>
        <w:t xml:space="preserve">Second-order Representation</w:t>
      </w:r>
    </w:p>
    <w:p>
      <w:pPr>
        <w:pStyle w:val="FirstParagraph"/>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6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base of public support.</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r>
        <w:t xml:space="preserve"> </w:t>
      </w: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w:t>
      </w:r>
    </w:p>
    <w:p>
      <w:pPr>
        <w:pStyle w:val="BodyText"/>
      </w:pPr>
      <w:r>
        <w:t xml:space="preserve">Membership organizations often claim to represent more than their membership.</w:t>
      </w:r>
      <w:r>
        <w:t xml:space="preserve"> </w:t>
      </w:r>
      <w:r>
        <w:t xml:space="preserve">While political science theories often assume that membership organizations advocate for the exclusive private interests of their members, many membership organizations also lobby for broader policy agendas</w:t>
      </w:r>
      <w:r>
        <w:t xml:space="preserve"> </w:t>
      </w:r>
      <w:r>
        <w:t xml:space="preserve">(</w:t>
      </w:r>
      <w:hyperlink w:anchor="ref-CITE">
        <w:r>
          <w:rPr>
            <w:rStyle w:val="Hyperlink"/>
            <w:bCs/>
            <w:b/>
          </w:rPr>
          <w:t xml:space="preserve">CITE?</w:t>
        </w:r>
      </w:hyperlink>
      <w:r>
        <w:t xml:space="preserve">)</w:t>
      </w:r>
      <w:r>
        <w:t xml:space="preserve">. For example, healthcare worker unions frequently lead policy campaigns focused on public health and even issues like climate change. The link between an organizations’ policy agenda and the preferences of its members is sometimes more plausible than others.</w:t>
      </w:r>
    </w:p>
    <w:p>
      <w:pPr>
        <w:pStyle w:val="BodyText"/>
      </w:pPr>
      <w:r>
        <w:t xml:space="preserve">Mobilizing people to write or sign comments is one way–perhaps the best way—for organizations to provide evidence that they represent who they say they do</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68">
        <w:r>
          <w:rPr>
            <w:rStyle w:val="Hyperlink"/>
          </w:rPr>
          <w:t xml:space="preserve">https://www.nrdc.org/about</w:t>
        </w:r>
      </w:hyperlink>
      <w:r>
        <w:t xml:space="preserve">), presumably including anyone who has donated to or participated in one of its campaigns. Mobilizing comments is one way that NRDC can demonstrate real support for their specific position on any given issue. To be sure, officials may better understand the true number and politics of people who support NRDC than those claimed by the Poker Players Alliance. Still, the scale and intensity with which the attentive public responds to a pressure campaign may provide information about the politics of the issue. A large showing for a campaign supporting a proposed policy may give bureaucrats a talking point with their political superiors. A surprising level of opposition may raise questions about political tactics.</w:t>
      </w:r>
    </w:p>
    <w:p>
      <w:pPr>
        <w:pStyle w:val="BodyText"/>
      </w:pPr>
      <w:r>
        <w:t xml:space="preserve">Furthermore, if D.C. professionals primarily make advocacy group decisions, these</w:t>
      </w:r>
      <w:r>
        <w:t xml:space="preserve"> </w:t>
      </w:r>
      <w:r>
        <w:t xml:space="preserve">advocates themselves may be unsure how broadly their claims resonate</w:t>
      </w:r>
      <w:r>
        <w:t xml:space="preserve"> </w:t>
      </w:r>
      <w:r>
        <w:t xml:space="preserve">until potentially attentive segments of the public are engaged. A large amount of support my encourage professional policy influences to push officials harder to accommodate their requests.</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w:t>
      </w:r>
      <w:r>
        <w:t xml:space="preserve"> </w:t>
      </w:r>
      <w:r>
        <w:t xml:space="preserve">distinguish themselves from truly narrower ones. It suggests that the organization is not entirely</w:t>
      </w:r>
      <w:r>
        <w:t xml:space="preserve"> </w:t>
      </w:r>
      <w:r>
        <w:t xml:space="preserve">“</w:t>
      </w:r>
      <w:r>
        <w:t xml:space="preserve">memberless</w:t>
      </w:r>
      <w:r>
        <w:t xml:space="preserve">”</w:t>
      </w:r>
      <w:r>
        <w:t xml:space="preserve"> </w:t>
      </w:r>
      <w:r>
        <w:t xml:space="preserve">(</w:t>
      </w:r>
      <w:hyperlink w:anchor="ref-Skocpol2003">
        <w:r>
          <w:rPr>
            <w:rStyle w:val="Hyperlink"/>
          </w:rPr>
          <w:t xml:space="preserve">Skocpol 2003</w:t>
        </w:r>
      </w:hyperlink>
      <w:r>
        <w:t xml:space="preserve">)</w:t>
      </w:r>
      <w:r>
        <w:t xml:space="preserve"> </w:t>
      </w:r>
      <w:r>
        <w:t xml:space="preserve">in the sense that it can demonstrate some verifiable public support. An organization mobilizing its members and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project the image of a larger base of support than they truly have.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less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complements technical information, supporting sophisticated lobbying efforts, providing fake political information is a risky strategy. Organizations lobbying in repeated interactions with agencies, and an organization’s reputation–critical to its ability to provide credible technical information–may be harmed if policymakers lean that an organization provided false political information. One observable implication is that astroturf campaigns will often be anonymous or by organizations that do not also engage in sophisticated lobbying. This may provide sophisticated lobbying organizations plausible deniability. However,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bookmarkEnd w:id="69"/>
    <w:bookmarkEnd w:id="70"/>
    <w:bookmarkStart w:id="73" w:name="lobbying-in-bureaucratic-policymaking"/>
    <w:p>
      <w:pPr>
        <w:pStyle w:val="Heading3"/>
      </w:pPr>
      <w:r>
        <w:rPr>
          <w:rStyle w:val="SectionNumber"/>
        </w:rPr>
        <w:t xml:space="preserve">2.2.2</w:t>
      </w:r>
      <w:r>
        <w:tab/>
      </w:r>
      <w:r>
        <w:t xml:space="preserve">Lobbying in Bureaucratic Policymaking</w:t>
      </w:r>
    </w:p>
    <w:p>
      <w:pPr>
        <w:pStyle w:val="FirstParagraph"/>
      </w:pPr>
      <w:r>
        <w:t xml:space="preserve">Theories of bureaucratic policymaking have focused more on sophisticated lobbying than the mobilizing functions of interest groups. Broadly, this scholarship has concluded that The key insight from this scholarship is that</w:t>
      </w:r>
      <w:r>
        <w:t xml:space="preserve"> </w:t>
      </w:r>
      <w:r>
        <w:t xml:space="preserve">technical information is the currency of insider lobbying and that businesses are best positioned to influence bureaucratic policymaking.</w:t>
      </w:r>
    </w:p>
    <w:p>
      <w:pPr>
        <w:pStyle w:val="BodyText"/>
      </w:pPr>
      <w:r>
        <w:t xml:space="preserve">Foundational scholarship on rulemaking</w:t>
      </w:r>
      <w:r>
        <w:t xml:space="preserve"> </w:t>
      </w:r>
      <w:r>
        <w:t xml:space="preserve">(</w:t>
      </w:r>
      <w:hyperlink w:anchor="ref-Furlong2005">
        <w:r>
          <w:rPr>
            <w:rStyle w:val="Hyperlink"/>
          </w:rPr>
          <w:t xml:space="preserve">Scott. R. Furlong and Kerwin 2005</w:t>
        </w:r>
      </w:hyperlink>
      <w:r>
        <w:t xml:space="preserve">;</w:t>
      </w:r>
      <w:r>
        <w:t xml:space="preserve"> </w:t>
      </w:r>
      <w:hyperlink w:anchor="ref-Furlong1997">
        <w:r>
          <w:rPr>
            <w:rStyle w:val="Hyperlink"/>
          </w:rPr>
          <w:t xml:space="preserve">S. R. Furlong 1997</w:t>
        </w:r>
      </w:hyperlink>
      <w:r>
        <w:t xml:space="preserve">,</w:t>
      </w:r>
      <w:r>
        <w:t xml:space="preserve"> </w:t>
      </w:r>
      <w:hyperlink w:anchor="ref-Furlong1998">
        <w:r>
          <w:rPr>
            <w:rStyle w:val="Hyperlink"/>
          </w:rPr>
          <w:t xml:space="preserve">1998</w:t>
        </w:r>
      </w:hyperlink>
      <w:r>
        <w:t xml:space="preserve">;</w:t>
      </w:r>
      <w:r>
        <w:t xml:space="preserve"> </w:t>
      </w:r>
      <w:hyperlink w:anchor="ref-Kerwin2011">
        <w:r>
          <w:rPr>
            <w:rStyle w:val="Hyperlink"/>
          </w:rPr>
          <w:t xml:space="preserve">Kerwin and Furlong 2011</w:t>
        </w:r>
      </w:hyperlink>
      <w:r>
        <w:t xml:space="preserve">)</w:t>
      </w:r>
      <w:r>
        <w:t xml:space="preserve"> </w:t>
      </w:r>
      <w:r>
        <w:t xml:space="preserve">focuses on interest group lobbying. Theoretical models and empirical scholarship has focused on how interest groups help agencies learn about policy problems</w:t>
      </w:r>
      <w:r>
        <w:t xml:space="preserve"> </w:t>
      </w:r>
      <w:r>
        <w:t xml:space="preserve">(</w:t>
      </w:r>
      <w:hyperlink w:anchor="ref-Yackee2012">
        <w:r>
          <w:rPr>
            <w:rStyle w:val="Hyperlink"/>
          </w:rPr>
          <w:t xml:space="preserve">S. W. Yackee 2012</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 Formal models of rulemaking (</w:t>
      </w:r>
      <w:hyperlink w:anchor="ref-Gailmard2017">
        <w:r>
          <w:rPr>
            <w:rStyle w:val="Hyperlink"/>
          </w:rPr>
          <w:t xml:space="preserve">Gailmard and Patty</w:t>
        </w:r>
      </w:hyperlink>
      <w:r>
        <w:t xml:space="preserve"> </w:t>
      </w:r>
      <w:r>
        <w:t xml:space="preserve">(</w:t>
      </w:r>
      <w:hyperlink w:anchor="ref-Gailmard2017">
        <w:r>
          <w:rPr>
            <w:rStyle w:val="Hyperlink"/>
          </w:rPr>
          <w:t xml:space="preserve">2017</w:t>
        </w:r>
      </w:hyperlink>
      <w:r>
        <w:t xml:space="preserve">)</w:t>
      </w:r>
      <w:r>
        <w:t xml:space="preserv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are information-based models where public comments reveal information to the agency. Technical information is so important that flooding policymakers with technical information is a highly effective lobbying strategy</w:t>
      </w:r>
      <w:r>
        <w:t xml:space="preserve"> </w:t>
      </w:r>
      <w:r>
        <w:t xml:space="preserve">(</w:t>
      </w:r>
      <w:hyperlink w:anchor="ref-Wagner2010">
        <w:r>
          <w:rPr>
            <w:rStyle w:val="Hyperlink"/>
          </w:rPr>
          <w:t xml:space="preserve">Wendy E. Wagner 2010</w:t>
        </w:r>
      </w:hyperlink>
      <w:r>
        <w:t xml:space="preserve">)</w:t>
      </w:r>
      <w:r>
        <w:t xml:space="preserve">.</w:t>
      </w:r>
    </w:p>
    <w:p>
      <w:pPr>
        <w:pStyle w:val="BodyText"/>
      </w:pPr>
      <w:r>
        <w:t xml:space="preserve">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7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Empirical scholarship finds that economic elites and business groups</w:t>
      </w:r>
      <w:r>
        <w:t xml:space="preserve"> </w:t>
      </w:r>
      <w:r>
        <w:t xml:space="preserve">dominate American politics in general</w:t>
      </w:r>
      <w:r>
        <w:t xml:space="preserve"> </w:t>
      </w:r>
      <w:hyperlink w:anchor="ref-Gilens2014">
        <w:r>
          <w:rPr>
            <w:rStyle w:val="Hyperlink"/>
          </w:rPr>
          <w:t xml:space="preserve">Gilens and Page</w:t>
        </w:r>
      </w:hyperlink>
      <w:r>
        <w:t xml:space="preserve"> </w:t>
      </w:r>
      <w:r>
        <w:t xml:space="preserve">(</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r>
        <w:t xml:space="preserve"> </w:t>
      </w:r>
    </w:p>
    <w:bookmarkEnd w:id="73"/>
    <w:bookmarkStart w:id="79" w:name="why-mobilize"/>
    <w:p>
      <w:pPr>
        <w:pStyle w:val="Heading3"/>
      </w:pPr>
      <w:r>
        <w:rPr>
          <w:rStyle w:val="SectionNumber"/>
        </w:rPr>
        <w:t xml:space="preserve">2.2.3</w:t>
      </w:r>
      <w:r>
        <w:tab/>
      </w:r>
      <w:r>
        <w:t xml:space="preserve">Incorporating Political Information</w:t>
      </w:r>
    </w:p>
    <w:p>
      <w:pPr>
        <w:pStyle w:val="FirstParagraph"/>
      </w:pPr>
      <w:r>
        <w:t xml:space="preserve">How, if at all, should scholars incorporate public pressure into models of bureaucratic policymaking?</w:t>
      </w:r>
      <w:r>
        <w:t xml:space="preserve"> </w:t>
      </w:r>
      <w:r>
        <w:t xml:space="preserve">I argue that mass engagement produces potentially valuable political information about the coalition that mobilized it. To the extent that groups aim to influence policy, public pressure campaigns support sophisticated lobbying. That is, public pressure should be studied as a potential complement, not an alternative to sophisticated lobbying. This means that the role that public pressure may play in policymaking depends on who mobilized it and why. The first step in understanding the potential impact of public pressure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theory that specifies the conditions under which we should see different kinds of public pressure campaigns.</w:t>
      </w:r>
    </w:p>
    <w:bookmarkStart w:id="74" w:name="ususal-suspects-or-underdogs"/>
    <w:p>
      <w:pPr>
        <w:pStyle w:val="Heading4"/>
      </w:pPr>
      <w:r>
        <w:rPr>
          <w:rStyle w:val="SectionNumber"/>
        </w:rPr>
        <w:t xml:space="preserve">2.2.3.1</w:t>
      </w:r>
      <w:r>
        <w:tab/>
      </w:r>
      <w:r>
        <w:t xml:space="preserve">“</w:t>
      </w:r>
      <w:r>
        <w:t xml:space="preserve">Ususal Suspects</w:t>
      </w:r>
      <w:r>
        <w:t xml:space="preserve">”</w:t>
      </w:r>
      <w:r>
        <w:t xml:space="preserve"> </w:t>
      </w:r>
      <w:r>
        <w:t xml:space="preserve">or</w:t>
      </w:r>
      <w:r>
        <w:t xml:space="preserve"> </w:t>
      </w:r>
      <w:r>
        <w:t xml:space="preserve">“</w:t>
      </w:r>
      <w:r>
        <w:t xml:space="preserve">Underdogs</w:t>
      </w:r>
      <w:r>
        <w:t xml:space="preserve">”</w:t>
      </w:r>
    </w:p>
    <w:p>
      <w:pPr>
        <w:pStyle w:val="FirstParagraph"/>
      </w:pPr>
      <w:r>
        <w:t xml:space="preserve">Existing scholarship suggests two possible reasons why agencies may receive millions of public comments. From a conflict expansion perspective, groups that are disadvantaged by the status quo ought to utilize public pressure campaigns. Existing theories of lobbying the bureaucracy suggest that well-resourced and concentrated interests will dominate.</w:t>
      </w:r>
      <w:r>
        <w:t xml:space="preserve"> </w:t>
      </w:r>
      <w:r>
        <w:t xml:space="preserve">Political information may thus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they serve to strengthen and legitimize demands of the same powerful interests that usually dominate bureaucratic policymaking. Here, just as groups with superior resources use them to flood policymakers with technical information</w:t>
      </w:r>
      <w:r>
        <w:t xml:space="preserve"> </w:t>
      </w:r>
      <w:r>
        <w:t xml:space="preserve">(</w:t>
      </w:r>
      <w:hyperlink w:anchor="ref-Wagner2010">
        <w:r>
          <w:rPr>
            <w:rStyle w:val="Hyperlink"/>
          </w:rPr>
          <w:t xml:space="preserve">Wendy E. Wagner 2010</w:t>
        </w:r>
      </w:hyperlink>
      <w:r>
        <w:t xml:space="preserve">)</w:t>
      </w:r>
      <w:r>
        <w:t xml:space="preserve">, astroturf campaigns convert economic resources into political information—an impression of public support generated by signatures or form letters. Even groups with few members or a narrow or non-existent base of support among the public may create the appearance of public support by sponsoring an astroturf campaign.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The literature on conflict expansion suggests a different possible dynamic. To the extent that less-resourced groups (</w:t>
      </w:r>
      <w:r>
        <w:t xml:space="preserve">“</w:t>
      </w:r>
      <w:r>
        <w:t xml:space="preserve">underdogs</w:t>
      </w:r>
      <w:r>
        <w:t xml:space="preserve">”</w:t>
      </w:r>
      <w:r>
        <w:t xml:space="preserve">) use public pressure campaigns as a conflict expansion tactic,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decisions.</w:t>
      </w:r>
    </w:p>
    <w:p>
      <w:pPr>
        <w:pStyle w:val="BodyText"/>
      </w:pP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bookmarkEnd w:id="74"/>
    <w:bookmarkStart w:id="78" w:name="X2299d75aecc0a76f4324302a3a0ed014a6896bc"/>
    <w:p>
      <w:pPr>
        <w:pStyle w:val="Heading4"/>
      </w:pPr>
      <w:r>
        <w:rPr>
          <w:rStyle w:val="SectionNumber"/>
        </w:rPr>
        <w:t xml:space="preserve">2.2.3.2</w:t>
      </w:r>
      <w:r>
        <w:tab/>
      </w:r>
      <w:r>
        <w:t xml:space="preserve">The Conditions Under Which Public and Private Interests Mobilize</w:t>
      </w:r>
    </w:p>
    <w:p>
      <w:pPr>
        <w:pStyle w:val="FirstParagraph"/>
      </w:pPr>
      <w:r>
        <w:t xml:space="preserve">This section draws on insights from interest group lobbying and conflict expansion intuitions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public participation.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suggest a similar reform whereby people could</w:t>
      </w:r>
      <w:r>
        <w:t xml:space="preserve"> </w:t>
      </w:r>
      <w:r>
        <w:t xml:space="preserve">“</w:t>
      </w:r>
      <w:r>
        <w:t xml:space="preserve">upvote</w:t>
      </w:r>
      <w:r>
        <w:t xml:space="preserve">”</w:t>
      </w:r>
      <w:r>
        <w:t xml:space="preserve"> </w:t>
      </w:r>
      <w:r>
        <w:t xml:space="preserve">comments with which they agree.</w:t>
      </w:r>
      <w:r>
        <w:rPr>
          <w:rStyle w:val="FootnoteReference"/>
        </w:rPr>
        <w:footnoteReference w:id="75"/>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interest group lobbying during bureaucratic policymaking (Figure</w:t>
      </w:r>
      <w:r>
        <w:t xml:space="preserve"> </w:t>
      </w:r>
      <w:r>
        <w:t xml:space="preserve">2.3</w:t>
      </w:r>
      <w:r>
        <w:t xml:space="preserve">. Public demands shape the decisions of</w:t>
      </w:r>
      <w:r>
        <w:t xml:space="preserve"> </w:t>
      </w:r>
      <w:r>
        <w:t xml:space="preserve">organizations that lobby. If they believe the attentive public could be rallied to their cause, an organization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Cs/>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 * to support* 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76"/>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Interest Group Lobbying in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Interest Group Lobbying in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bookmarkEnd w:id="78"/>
    <w:bookmarkEnd w:id="79"/>
    <w:bookmarkStart w:id="82" w:name="types-of-pressure-campaign-motivations"/>
    <w:p>
      <w:pPr>
        <w:pStyle w:val="Heading3"/>
      </w:pPr>
      <w:r>
        <w:rPr>
          <w:rStyle w:val="SectionNumber"/>
        </w:rPr>
        <w:t xml:space="preserve">2.2.4</w:t>
      </w:r>
      <w:r>
        <w:tab/>
      </w:r>
      <w:r>
        <w:t xml:space="preserve">Types of Pressure Campaign Motivations</w:t>
      </w:r>
    </w:p>
    <w:p>
      <w:pPr>
        <w:pStyle w:val="FirstParagraph"/>
      </w:pPr>
      <w:r>
        <w:t xml:space="preserve">The potential effects of public pressure campaigns depend, in part, on the aims of a</w:t>
      </w:r>
      <w:r>
        <w:t xml:space="preserve"> </w:t>
      </w:r>
      <w:r>
        <w:t xml:space="preserve">campaign. Campaigns may pursue four distinct aims: (1) to win concessions by</w:t>
      </w:r>
      <w:r>
        <w:t xml:space="preserve"> </w:t>
      </w:r>
      <w:r>
        <w:rPr>
          <w:iCs/>
          <w:i/>
        </w:rPr>
        <w:t xml:space="preserve">going public</w:t>
      </w:r>
      <w:r>
        <w:t xml:space="preserve">, (2) to</w:t>
      </w:r>
      <w:r>
        <w:t xml:space="preserve"> </w:t>
      </w:r>
      <w:r>
        <w:rPr>
          <w:iCs/>
          <w:i/>
        </w:rPr>
        <w:t xml:space="preserve">disrupt a perceived consensus</w:t>
      </w:r>
      <w:r>
        <w:t xml:space="preserve">, or (3) to satisfy some audience other than policymakers by</w:t>
      </w:r>
      <w:r>
        <w:t xml:space="preserve"> </w:t>
      </w:r>
      <w:r>
        <w:rPr>
          <w:iCs/>
          <w:i/>
        </w:rPr>
        <w:t xml:space="preserve">going down fighting</w:t>
      </w:r>
      <w:r>
        <w:t xml:space="preserve"> </w:t>
      </w:r>
      <w:r>
        <w:t xml:space="preserve">when they anticipate losing or (4) to satisfy some audience other than policymakers by</w:t>
      </w:r>
      <w:r>
        <w:t xml:space="preserve"> </w:t>
      </w:r>
      <w:r>
        <w:rPr>
          <w:iCs/>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Cs/>
          <w:b/>
        </w:rPr>
        <w:t xml:space="preserve">going public</w:t>
      </w:r>
      <w:r>
        <w:t xml:space="preserve"> </w:t>
      </w:r>
      <w:r>
        <w:t xml:space="preserve">to influence policy and engage in power-building tactics, especially</w:t>
      </w:r>
      <w:r>
        <w:t xml:space="preserve"> </w:t>
      </w:r>
      <w:r>
        <w:rPr>
          <w:iCs/>
          <w:i/>
        </w:rPr>
        <w:t xml:space="preserve">credit claiming</w:t>
      </w:r>
      <w:r>
        <w:t xml:space="preserve">. For example, Sierra club organized several campaigns around thanking the Obama EPA for new draft environmental policies and the agency to not back down, thus simultaneously engaging members, implying that the Sierra Club had advanced its policy agenda, and pressure policymakers to hold course or strengthen policy rather than bend to industry pressures.</w:t>
      </w:r>
    </w:p>
    <w:p>
      <w:pPr>
        <w:pStyle w:val="BodyText"/>
      </w:pPr>
      <w:r>
        <w:rPr>
          <w:bCs/>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who would be disadvantaged (those</w:t>
      </w:r>
      <w:r>
        <w:t xml:space="preserve"> </w:t>
      </w:r>
      <w:hyperlink w:anchor="ref-Schattschneider1975">
        <w:r>
          <w:rPr>
            <w:rStyle w:val="Hyperlink"/>
          </w:rPr>
          <w:t xml:space="preserve">E. E. Schattschneider</w:t>
        </w:r>
      </w:hyperlink>
      <w:r>
        <w:t xml:space="preserve"> </w:t>
      </w:r>
      <w:r>
        <w:t xml:space="preserve">(</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 </w:t>
      </w:r>
      <w:r>
        <w:t xml:space="preserve">Indeed, looking at a sample of rules from the Environmental Protection Agency,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r>
        <w:t xml:space="preserve"> </w:t>
      </w:r>
      <w:r>
        <w:t xml:space="preserve">More people may also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The level of consensus among interest groups</w:t>
      </w:r>
      <w:r>
        <w:t xml:space="preserve"> </w:t>
      </w:r>
      <w:r>
        <w:t xml:space="preserve">(</w:t>
      </w:r>
      <w:hyperlink w:anchor="ref-Golden1998">
        <w:r>
          <w:rPr>
            <w:rStyle w:val="Hyperlink"/>
          </w:rPr>
          <w:t xml:space="preserve">Golden 1998</w:t>
        </w:r>
      </w:hyperlink>
      <w:r>
        <w:t xml:space="preserve">;</w:t>
      </w:r>
      <w:r>
        <w:t xml:space="preserve"> </w:t>
      </w:r>
      <w:hyperlink w:anchor="ref-Yackee2006JPART">
        <w:r>
          <w:rPr>
            <w:rStyle w:val="Hyperlink"/>
          </w:rPr>
          <w:t xml:space="preserve">S. W. Yackee 2006</w:t>
        </w:r>
      </w:hyperlink>
      <w:r>
        <w:t xml:space="preserve">)</w:t>
      </w:r>
      <w:r>
        <w:t xml:space="preserve">, especially business unity</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predicts policy change.</w:t>
      </w:r>
      <w:r>
        <w:rPr>
          <w:rStyle w:val="FootnoteReference"/>
        </w:rPr>
        <w:footnoteReference w:id="80"/>
      </w:r>
    </w:p>
    <w:p>
      <w:pPr>
        <w:pStyle w:val="BodyText"/>
      </w:pPr>
      <w:r>
        <w:rPr>
          <w:bCs/>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I expect such campaigns to engage</w:t>
      </w:r>
      <w:r>
        <w:t xml:space="preserve"> </w:t>
      </w:r>
      <w:r>
        <w:t xml:space="preserve">fewer people, less effort per person, and yield a smaller portion of</w:t>
      </w:r>
      <w:r>
        <w:t xml:space="preserve"> </w:t>
      </w:r>
      <w:r>
        <w:t xml:space="preserve">indirect engagement. In the extreme, these campaigns may rely on various forms of deception to compensate for their lack of genuine public support (i.e., astroturf campaigns).</w:t>
      </w:r>
    </w:p>
    <w:p>
      <w:pPr>
        <w:pStyle w:val="BodyText"/>
      </w:pPr>
      <w:r>
        <w:rPr>
          <w:bCs/>
          <w:b/>
        </w:rPr>
        <w:t xml:space="preserve">Credit claiming</w:t>
      </w:r>
      <w:r>
        <w:t xml:space="preserve"> </w:t>
      </w:r>
      <w:r>
        <w:t xml:space="preserve">and</w:t>
      </w:r>
      <w:r>
        <w:t xml:space="preserve"> </w:t>
      </w:r>
      <w:r>
        <w:rPr>
          <w:bCs/>
          <w:b/>
        </w:rPr>
        <w:t xml:space="preserve">going down fighting</w:t>
      </w:r>
      <w:r>
        <w:t xml:space="preserve">. Finally, campaigns may target audiences other than</w:t>
      </w:r>
      <w:r>
        <w:t xml:space="preserve"> </w:t>
      </w:r>
      <w:r>
        <w:t xml:space="preserve">policymakers. When they expect to win, organizations may launch a campaign to draw attention to and associate their organization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These more</w:t>
      </w:r>
      <w:r>
        <w:t xml:space="preserve"> </w:t>
      </w:r>
      <w:r>
        <w:t xml:space="preserve">“</w:t>
      </w:r>
      <w:r>
        <w:t xml:space="preserve">performative</w:t>
      </w:r>
      <w:r>
        <w:t xml:space="preserve">”</w:t>
      </w:r>
      <w:r>
        <w:t xml:space="preserve"> </w:t>
      </w:r>
      <w:r>
        <w:t xml:space="preserve">reasons for organizing a campaign may help engage existing supporters and recruit new members. For example,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Still,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81"/>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inspire countermobilization.</w:t>
      </w:r>
      <w:r>
        <w:t xml:space="preserve"> </w:t>
      </w:r>
      <w:r>
        <w:t xml:space="preserve"> </w:t>
      </w:r>
      <w:r>
        <w:t xml:space="preserve">To the extent that an organization</w:t>
      </w:r>
      <w:r>
        <w:t xml:space="preserve"> </w:t>
      </w:r>
      <w:r>
        <w:t xml:space="preserve">mobilizes for reasons other than influencing policy, opposing organizations</w:t>
      </w:r>
      <w:r>
        <w:t xml:space="preserve"> </w:t>
      </w:r>
      <w:r>
        <w:t xml:space="preserve">with less public support have little reason to countermobilize. The reverse is not true. Private interest groups ought to only launch campaigns when the policy is in play, and when they do, public interest groups also have incentives to mobilize. Thus, member-funded public interest groups should be more common than campaigns sponsored by narrow private interests, simply because they have more occasions where mobilizing has benefits. Campaigns sponsored by narrow private interest should occur in opposition to another campaign, but public interest groups have reasons to launch a campaign even when policy is unlikely to move.</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organizations likely know their chances of success and should</w:t>
      </w:r>
      <w:r>
        <w:t xml:space="preserve"> </w:t>
      </w:r>
      <w:r>
        <w:t xml:space="preserve">thus invest less in providing technical information when they see little opportunity to affect policy. By identifying cases where coalitions engage in large</w:t>
      </w:r>
      <w:r>
        <w:t xml:space="preserve"> </w:t>
      </w:r>
      <w:r>
        <w:t xml:space="preserve">public campaigns without corresponding investment in technical information, we may be able to assess whether countermobilization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val="0020"/>
        <w:tblCaption w:val="Table 2.1: Observable Differences in Lobbying Strategies"/>
      </w:tblPr>
      <w:tblGrid>
        <w:gridCol w:w="1667"/>
        <w:gridCol w:w="2084"/>
        <w:gridCol w:w="2084"/>
        <w:gridCol w:w="2084"/>
      </w:tblGrid>
      <w:tr>
        <w:tc>
          <w:p/>
        </w:tc>
        <w:tc>
          <w:p>
            <w:pPr>
              <w:pStyle w:val="Compact"/>
              <w:jc w:val="center"/>
            </w:pPr>
            <w:r>
              <w:t xml:space="preserve">Inside lobbying (e.g., technical information provided)</w:t>
            </w:r>
          </w:p>
        </w:tc>
        <w:tc>
          <w:p>
            <w:pPr>
              <w:pStyle w:val="Compact"/>
              <w:jc w:val="center"/>
            </w:pPr>
            <w:r>
              <w:t xml:space="preserve">Outside lobbying (e.g., the number of comments from a public pressure campaign)</w:t>
            </w:r>
          </w:p>
        </w:tc>
        <w:tc>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Cs/>
          <w:i/>
        </w:rPr>
        <w:t xml:space="preserve">relative</w:t>
      </w:r>
      <w:r>
        <w:t xml:space="preserve"> </w:t>
      </w:r>
      <w:r>
        <w:t xml:space="preserve">level of technical and political information provided by an organization or coalition.</w:t>
      </w:r>
    </w:p>
    <w:bookmarkEnd w:id="82"/>
    <w:bookmarkStart w:id="95" w:name="X82e681ce8f86c704962111d90f542ae06d5ce18"/>
    <w:p>
      <w:pPr>
        <w:pStyle w:val="Heading3"/>
      </w:pPr>
      <w:r>
        <w:rPr>
          <w:rStyle w:val="SectionNumber"/>
        </w:rPr>
        <w:t xml:space="preserve">2.2.5</w:t>
      </w:r>
      <w:r>
        <w:tab/>
      </w:r>
      <w:r>
        <w:t xml:space="preserve">Hypotheses About the Drivers of Mass Mobilization</w:t>
      </w:r>
    </w:p>
    <w:p>
      <w:pPr>
        <w:pStyle w:val="FirstParagraph"/>
      </w:pPr>
      <w:r>
        <w:t xml:space="preserve">The observable implications of the theory described above suggest several testable hypotheses.</w:t>
      </w:r>
    </w:p>
    <w:p>
      <w:pPr>
        <w:pStyle w:val="BodyText"/>
      </w:pPr>
      <w:r>
        <w:t xml:space="preserve">First, national politics in the United States is the terrain of organized groups. While observers frequently talk about ordinary people engaging in policymaking as individuals, political science theory suggests that an organized group will almost always mediate the participation of individuals who are not professional policy influencers. Given the technocratic nature of bureaucratic policymaking,</w:t>
      </w:r>
      <w:r>
        <w:t xml:space="preserve"> </w:t>
      </w:r>
      <w:r>
        <w:t xml:space="preserve">“</w:t>
      </w:r>
      <w:r>
        <w:t xml:space="preserve">citizen-initiated contacts</w:t>
      </w:r>
      <w:r>
        <w:t xml:space="preserve">”</w:t>
      </w:r>
      <w:r>
        <w:t xml:space="preserve"> </w:t>
      </w:r>
      <w:r>
        <w:t xml:space="preserve">should be rare.</w:t>
      </w:r>
    </w:p>
    <w:p>
      <w:pPr>
        <w:pStyle w:val="BodyText"/>
      </w:pPr>
    </w:p>
    <w:p>
      <w:pPr>
        <w:pStyle w:val="BodyText"/>
      </w:pPr>
      <w:bookmarkStart w:id="84" w:name="hyp:meditated"/>
      <w:bookmarkStart w:id="83" w:name="hyp:meditated"/>
      <w:bookmarkEnd w:id="83"/>
      <w:r>
        <w:t xml:space="preserve">Hypothesis 2.1</w:t>
      </w:r>
      <w:r>
        <w:t xml:space="preserve"> </w:t>
      </w:r>
      <w:bookmarkEnd w:id="84"/>
      <w:r>
        <w:t xml:space="preserve">Most people engage in national policy processes as a result of organized public pressure campaigns.</w:t>
      </w:r>
    </w:p>
    <w:p>
      <w:pPr>
        <w:pStyle w:val="BodyText"/>
      </w:pPr>
      <w:r>
        <w:t xml:space="preserve">Stated another way, Hypothesis</w:t>
      </w:r>
      <w:r>
        <w:t xml:space="preserve"> </w:t>
      </w:r>
      <w:r>
        <w:t xml:space="preserve">??</w:t>
      </w:r>
      <w:r>
        <w:t xml:space="preserve"> </w:t>
      </w:r>
      <w:r>
        <w:t xml:space="preserve">posits that people engage in behaviors like letter-writing and petition-signing as part of a coordinated activity—</w:t>
      </w:r>
      <w:r>
        <w:t xml:space="preserve">“</w:t>
      </w:r>
      <w:r>
        <w:t xml:space="preserve">citizen-initiated contacts</w:t>
      </w:r>
      <w:r>
        <w:t xml:space="preserve">”</w:t>
      </w:r>
      <w:r>
        <w:t xml:space="preserve"> </w:t>
      </w:r>
      <w:r>
        <w:t xml:space="preserve">on matters of national policy are relatively rare.</w:t>
      </w:r>
    </w:p>
    <w:p>
      <w:pPr>
        <w:pStyle w:val="BodyText"/>
      </w:pPr>
      <w:r>
        <w:t xml:space="preserve">I argue that public pressure tactics are a compliment, not a substitute for sophisticated technical lobbying. Whereas previous studies compare mass comment campaigns to technical lobbying efforts, I argue that the relevant unit of analysis is the lobbying coalition. Coalitions may use both sophisticated technical lobbying and public pressure tactics.</w:t>
      </w:r>
    </w:p>
    <w:p>
      <w:pPr>
        <w:pStyle w:val="BodyText"/>
      </w:pPr>
    </w:p>
    <w:p>
      <w:pPr>
        <w:pStyle w:val="BodyText"/>
      </w:pPr>
      <w:bookmarkStart w:id="86" w:name="hyp:coalitions"/>
      <w:bookmarkStart w:id="85" w:name="hyp:coalitions"/>
      <w:bookmarkEnd w:id="85"/>
      <w:r>
        <w:t xml:space="preserve">Hypothesis 2.2</w:t>
      </w:r>
      <w:r>
        <w:t xml:space="preserve"> </w:t>
      </w:r>
      <w:bookmarkEnd w:id="86"/>
      <w:r>
        <w:t xml:space="preserve">Public pressure campaigns are organized by</w:t>
      </w:r>
      <w:r>
        <w:t xml:space="preserve"> </w:t>
      </w:r>
      <w:r>
        <w:rPr>
          <w:iCs/>
          <w:i/>
        </w:rPr>
        <w:t xml:space="preserve">coalitions</w:t>
      </w:r>
      <w:r>
        <w:t xml:space="preserve"> </w:t>
      </w:r>
      <w:r>
        <w:t xml:space="preserve">that include groups that engage in sophisticated technical lobbying.</w:t>
      </w:r>
    </w:p>
    <w:p>
      <w:pPr>
        <w:pStyle w:val="BodyText"/>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BodyText"/>
      </w:pPr>
      <w:r>
        <w:t xml:space="preserve">Building on Lowi and Wilson,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When policy fight pits broad public interests against narrower private interests, the public interest groups more often incentives to launch public pressure campaigns, both for policy and organizational reasons. Because outside lobbying can alter the decision environment, those who have the advantage in the usual rulemaking process (where a more limited set of actors participate) have little incentive to expand the scope of the conflict. Additionally, I argue, public interest groups have greater incentives than businesses to launch public pressure campaigns for reasons other than influencing policy. Both policy and non-policy reasons to launch a campaign suggest that public interest groups will use outside strategies more often.</w:t>
      </w:r>
    </w:p>
    <w:p>
      <w:pPr>
        <w:pStyle w:val="BodyText"/>
      </w:pPr>
    </w:p>
    <w:p>
      <w:pPr>
        <w:pStyle w:val="BodyText"/>
      </w:pPr>
      <w:bookmarkStart w:id="88" w:name="hyp:public"/>
      <w:bookmarkStart w:id="87" w:name="hyp:public"/>
      <w:bookmarkEnd w:id="87"/>
      <w:r>
        <w:t xml:space="preserve">Hypothesis 2.3</w:t>
      </w:r>
      <w:r>
        <w:t xml:space="preserve"> </w:t>
      </w:r>
      <w:bookmarkEnd w:id="88"/>
      <w:r>
        <w:t xml:space="preserve">Public interest group coalitions mobilize</w:t>
      </w:r>
      <w:r>
        <w:t xml:space="preserve"> </w:t>
      </w:r>
      <w:r>
        <w:rPr>
          <w:iCs/>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use public pressure campaigns when they lobby than private interests are.</w:t>
      </w:r>
    </w:p>
    <w:p>
      <w:pPr>
        <w:pStyle w:val="BodyText"/>
      </w:pPr>
      <w:r>
        <w:t xml:space="preserve">The</w:t>
      </w:r>
      <w:r>
        <w:t xml:space="preserve"> </w:t>
      </w:r>
      <w:r>
        <w:t xml:space="preserve">converse could also be true. Business groups that are</w:t>
      </w:r>
      <w:r>
        <w:t xml:space="preserve"> </w:t>
      </w:r>
      <w:r>
        <w:t xml:space="preserve">already advantaged in the policy process may leverage</w:t>
      </w:r>
      <w:r>
        <w:t xml:space="preserve"> </w:t>
      </w:r>
      <w:r>
        <w:t xml:space="preserve">their superior resources to further mobilize support or bolster claims that they represent more than their private</w:t>
      </w:r>
      <w:r>
        <w:t xml:space="preserve"> </w:t>
      </w:r>
      <w:r>
        <w:t xml:space="preserve">interest. If mobilization most often takes this 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90" w:name="hyp:public-success"/>
      <w:bookmarkStart w:id="89" w:name="hyp:public-success"/>
      <w:bookmarkEnd w:id="89"/>
      <w:r>
        <w:t xml:space="preserve">Hypothesis 2.4</w:t>
      </w:r>
      <w:r>
        <w:t xml:space="preserve"> </w:t>
      </w:r>
      <w:bookmarkEnd w:id="90"/>
      <w:r>
        <w:t xml:space="preserve">Public interest group coalitions mobilize</w:t>
      </w:r>
      <w:r>
        <w:t xml:space="preserve"> </w:t>
      </w:r>
      <w:r>
        <w:rPr>
          <w:iCs/>
          <w:i/>
        </w:rPr>
        <w:t xml:space="preserve">more successfully</w:t>
      </w:r>
      <w:r>
        <w:t xml:space="preserve"> </w:t>
      </w:r>
      <w:r>
        <w:t xml:space="preserve">than private interest group (e.g., business-led) coalitions.</w:t>
      </w:r>
    </w:p>
    <w:p>
      <w:pPr>
        <w:pStyle w:val="BodyText"/>
      </w:pPr>
      <w:r>
        <w:t xml:space="preserve">Following the typology developed above, indicators of a successful mobilization campaign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that should lead coalitions advancing broad public interests to mobilize public support more often and more successfully than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 This means that public pressure tactics are only an option for a small subset of public interest organizations.</w:t>
      </w:r>
      <w:r>
        <w:t xml:space="preserve"> </w:t>
      </w:r>
    </w:p>
    <w:p>
      <w:pPr>
        <w:pStyle w:val="BodyText"/>
      </w:pPr>
    </w:p>
    <w:p>
      <w:pPr>
        <w:pStyle w:val="BodyText"/>
      </w:pPr>
      <w:bookmarkStart w:id="92" w:name="hyp:resources"/>
      <w:bookmarkStart w:id="91" w:name="hyp:resources"/>
      <w:bookmarkEnd w:id="91"/>
      <w:r>
        <w:t xml:space="preserve">Hypothesis 2.5</w:t>
      </w:r>
      <w:r>
        <w:t xml:space="preserve"> </w:t>
      </w:r>
      <w:bookmarkEnd w:id="92"/>
      <w:r>
        <w:t xml:space="preserve">Public pressure campaigns targeting national policy are most often run by large national policy advocacy organizations.</w:t>
      </w:r>
    </w:p>
    <w:p>
      <w:pPr>
        <w:pStyle w:val="BodyText"/>
      </w:pPr>
      <w:r>
        <w:t xml:space="preserve">If conflict expansion theory is correct, narrow private interests only have incentives to mobilize public support to counteract an opposing campaign.</w:t>
      </w:r>
      <w:r>
        <w:t xml:space="preserve"> </w:t>
      </w:r>
      <w:r>
        <w:t xml:space="preserve">If private interest groups like businesses primarily use public pressure campaigns to counter a message of public consensus advanced by an opposing lobbying coalition, we should rarely see private interest groups lobbying unopposed.</w:t>
      </w:r>
    </w:p>
    <w:p>
      <w:pPr>
        <w:pStyle w:val="BodyText"/>
      </w:pPr>
    </w:p>
    <w:p>
      <w:pPr>
        <w:pStyle w:val="BodyText"/>
      </w:pPr>
      <w:bookmarkStart w:id="94" w:name="hyp:disrupt"/>
      <w:bookmarkStart w:id="93" w:name="hyp:disrupt"/>
      <w:bookmarkEnd w:id="93"/>
      <w:r>
        <w:t xml:space="preserve">Hypothesis 2.6</w:t>
      </w:r>
      <w:r>
        <w:t xml:space="preserve"> </w:t>
      </w:r>
      <w:bookmarkEnd w:id="94"/>
      <w:r>
        <w:t xml:space="preserve">If narrow private interest groups (e.g., businesses) lunch public pressure campaigns, it is a response to an opposing campaign.</w:t>
      </w:r>
    </w:p>
    <w:p>
      <w:pPr>
        <w:pStyle w:val="BodyText"/>
      </w:pPr>
      <w:r>
        <w:t xml:space="preserve">Hypothesis</w:t>
      </w:r>
      <w:r>
        <w:t xml:space="preserve"> </w:t>
      </w:r>
      <w:r>
        <w:t xml:space="preserve">2.6</w:t>
      </w:r>
      <w:r>
        <w:t xml:space="preserve"> </w:t>
      </w:r>
      <w:r>
        <w:t xml:space="preserve">would be supported by evidence that public interest group coalitions more often lobby unopposed than private interest groups.</w:t>
      </w:r>
    </w:p>
    <w:bookmarkEnd w:id="95"/>
    <w:bookmarkEnd w:id="96"/>
    <w:bookmarkStart w:id="136" w:name="why-data-methods"/>
    <w:p>
      <w:pPr>
        <w:pStyle w:val="Heading2"/>
      </w:pPr>
      <w:r>
        <w:rPr>
          <w:rStyle w:val="SectionNumber"/>
        </w:rPr>
        <w:t xml:space="preserve">2.3</w:t>
      </w:r>
      <w:r>
        <w:tab/>
      </w:r>
      <w:r>
        <w:t xml:space="preserve">Testing the Theory</w:t>
      </w:r>
    </w:p>
    <w:p>
      <w:pPr>
        <w:pStyle w:val="FirstParagraph"/>
      </w:pPr>
      <w:r>
        <w:t xml:space="preserve">I focus on public comments in federal agency rulemaking, but the theories and methods here may also apply to other kinds of political engagement such as through social media or protests as well as to other political decisions, including state-level rulemaking.</w:t>
      </w:r>
      <w:r>
        <w:rPr>
          <w:rStyle w:val="FootnoteReference"/>
        </w:rPr>
        <w:footnoteReference w:id="97"/>
      </w:r>
    </w:p>
    <w:bookmarkStart w:id="100" w:name="why-data"/>
    <w:p>
      <w:pPr>
        <w:pStyle w:val="Heading3"/>
      </w:pPr>
      <w:r>
        <w:rPr>
          <w:rStyle w:val="SectionNumber"/>
        </w:rPr>
        <w:t xml:space="preserve">2.3.1</w:t>
      </w:r>
      <w:r>
        <w:tab/>
      </w:r>
      <w:r>
        <w:t xml:space="preserve">Data</w:t>
      </w:r>
    </w:p>
    <w:p>
      <w:pPr>
        <w:pStyle w:val="FirstParagraph"/>
      </w:pPr>
      <w:r>
        <w:t xml:space="preserve">To assess my hypotheses about which groups should mobilize public participation in bureaucratic policymaking, I collected a corpus of approximately 99 million public comments via the</w:t>
      </w:r>
      <w:r>
        <w:t xml:space="preserve"> </w:t>
      </w:r>
      <w:r>
        <w:t xml:space="preserve">regulations.gov API. 76 million of these comments are on rulemaking dockets.</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BodyText"/>
      </w:pPr>
      <w:r>
        <w:t xml:space="preserve">From 2005 to 2020, agencies posted 130,135 rulemaking dockets to regulations.gov. and solicited public comments on 127,824. Only 2,119 rulemaking dockets received more than 100 comments, but these rules garnered 99.78%, or 76,065,254, of the comments. The top 10 rulemaking dockets account for 43.53% (33,182,975), of the comments.</w:t>
      </w:r>
    </w:p>
    <w:p>
      <w:pPr>
        <w:pStyle w:val="TableCaption"/>
      </w:pPr>
      <w:r>
        <w:t xml:space="preserve">Table 2.2:</w:t>
      </w:r>
      <w:r>
        <w:t xml:space="preserve"> </w:t>
      </w:r>
      <w:bookmarkStart w:id="190092db-e4e1-4191-b8d3-c9031fd012df" w:name="tab:unnamed-chunk-5"/>
      <w:r>
        <w:t xml:space="preserve">Rulemaking Dockets by Number of Comments on regulations.gov, 2005-2020</w:t>
      </w:r>
      <w:bookmarkEnd w:id="190092db-e4e1-4191-b8d3-c9031fd012d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0"/>
        <w:gridCol w:w="5177"/>
        <w:gridCol w:w="912"/>
      </w:tblGrid>
      <w:tr>
        <w:trPr>
          <w:cantSplit/>
          <w:trHeight w:val="38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docket_title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comments</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from Existing So...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8,722,467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EPA-HQ-OAR-2011-0660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Greenhouse Gas New Source Performance Standard for Electric Generating...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5,313,771</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EPA-HQ-OAR-2013-0495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of Performance for Greenhouse Gas Emissions for New Stationa...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4,214,489</w:t>
            </w:r>
          </w:p>
        </w:tc>
      </w:tr>
      <w:tr>
        <w:trPr>
          <w:cantSplit/>
          <w:trHeight w:val="39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EPA-HQ-OAR-2010-0505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Natural Gas Sector -- New Source Performance Standards,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3,377,345</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Payday, Vehicle, Title and Certain High-Cost Installment Loans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2,827,572</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EPA-HQ-OW-2011-0880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Under the Clean Water Act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2,246,777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EPA-HQ-OAR-2017-0355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Repeal of Carbon Dioxide Emission Guidelines for Existing Stationary 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1,876,577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FWS-HQ-ES-2013-0073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from the List of Endangered and Threatened Wild...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1,611,111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EPA-HQ-OAR-2016-0004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Renewable Fuel Standard Program: Standards for 2017 and Biomass-Based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1,513,149</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EPA-HQ-OW-2017-0203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“Waters of the United States” – Recodification of Pre-Ex...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1,479,717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BLM-2013-0002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Oil and Gas; Hydraulic Fracturing on Federal and Indian Lands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1,348,563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FWS-HQ-IA-2013-0091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Revision of the Special Rule for the African Elephant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1,315,513</w:t>
            </w:r>
          </w:p>
        </w:tc>
      </w:tr>
      <w:tr>
        <w:trPr>
          <w:cantSplit/>
          <w:trHeight w:val="39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Update to the Regulations Implementing the Procedural Provisions of 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1,145,571</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EPA-HQ-OA-2018-0259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Strengthening Transparency in Regulatory Science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993,463</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FWS-HQ-ES-2018-0097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Removing the Gray Wolf (Canis lupus) from the List of Endangered and 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837,647</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EPA-HQ-OPP-2011-0184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Pesticides: Agricultural Worker Protection Standard Revisions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786,866</w:t>
            </w:r>
          </w:p>
        </w:tc>
      </w:tr>
      <w:tr>
        <w:trPr>
          <w:cantSplit/>
          <w:trHeight w:val="38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EPA-HQ-OAR-2009-0234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National Emission Standards for Hazardous Air Pollutants for Coal- 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729,196</w:t>
            </w:r>
          </w:p>
        </w:tc>
      </w:tr>
      <w:tr>
        <w:trPr>
          <w:cantSplit/>
          <w:trHeight w:val="4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EBSA-2010-0050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Definition of the Term Fiduciary; Conflict of Interest Rule - Retireme...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728,539</w:t>
            </w:r>
          </w:p>
        </w:tc>
      </w:tr>
      <w:tr>
        <w:trPr>
          <w:cantSplit/>
          <w:trHeight w:val="40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EPA-HQ-OAR-2015-0111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Standards for the Renewable Fuel Standard (RFS) Program for 2014, 2015...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675,700</w:t>
            </w:r>
          </w:p>
        </w:tc>
      </w:tr>
      <w:tr>
        <w:trPr>
          <w:cantSplit/>
          <w:trHeight w:val="38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EPA-HQ-OW-2018-0149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Revised Definition of “Waters of the United States”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4"/>
                <w:szCs w:val="14"/>
                <w:color w:val="000000"/>
              </w:rPr>
              <w:t xml:space="preserve">661,692</w:t>
            </w:r>
          </w:p>
        </w:tc>
      </w:tr>
    </w:tbl>
    <w:p>
      <w:pPr>
        <w:pStyle w:val="BodyText"/>
      </w:pPr>
      <w:r>
        <w:t xml:space="preserve">Figure</w:t>
      </w:r>
      <w:r>
        <w:t xml:space="preserve"> </w:t>
      </w:r>
      <w:r>
        <w:t xml:space="preserve">2.5</w:t>
      </w:r>
      <w:r>
        <w:t xml:space="preserve"> </w:t>
      </w:r>
      <w:r>
        <w:t xml:space="preserve">shows a sample of rules matched to Office of Information and Regulatory Affairs coding for major and non-major rules</w:t>
      </w:r>
      <w:r>
        <w:t xml:space="preserve"> </w:t>
      </w:r>
      <w:r>
        <w:drawing>
          <wp:inline>
            <wp:extent cx="5334000" cy="4078941"/>
            <wp:effectExtent b="0" l="0" r="0" t="0"/>
            <wp:docPr descr="Figure 2.5: Comments on Draft Rules Posted to Regulations.gov 2005-2020"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98"/>
                    <a:stretch>
                      <a:fillRect/>
                    </a:stretch>
                  </pic:blipFill>
                  <pic:spPr bwMode="auto">
                    <a:xfrm>
                      <a:off x="0" y="0"/>
                      <a:ext cx="5334000" cy="4078941"/>
                    </a:xfrm>
                    <a:prstGeom prst="rect">
                      <a:avLst/>
                    </a:prstGeom>
                    <a:noFill/>
                    <a:ln w="9525">
                      <a:noFill/>
                      <a:headEnd/>
                      <a:tailEnd/>
                    </a:ln>
                  </pic:spPr>
                </pic:pic>
              </a:graphicData>
            </a:graphic>
          </wp:inline>
        </w:drawing>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BodyText"/>
      </w:pPr>
      <w:r>
        <w:t xml:space="preserve">Figure</w:t>
      </w:r>
      <w:r>
        <w:t xml:space="preserve"> </w:t>
      </w:r>
      <w:r>
        <w:t xml:space="preserve">2.6</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6: Comments per Proposed Rule 2005-2020 (log scale)"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99"/>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2.6: Comments per Proposed Rule 2005-2020 (log scale)</w:t>
      </w:r>
    </w:p>
    <w:bookmarkEnd w:id="100"/>
    <w:bookmarkStart w:id="119" w:name="Xfc9256c0bb9cf464536a256c54060d7ccae8842"/>
    <w:p>
      <w:pPr>
        <w:pStyle w:val="Heading3"/>
      </w:pPr>
      <w:r>
        <w:rPr>
          <w:rStyle w:val="SectionNumber"/>
        </w:rPr>
        <w:t xml:space="preserve">2.3.2</w:t>
      </w:r>
      <w:r>
        <w:tab/>
      </w:r>
      <w:r>
        <w:t xml:space="preserve">The Observable Implications of Various Forms of Public Engagement</w:t>
      </w:r>
    </w:p>
    <w:p>
      <w:pPr>
        <w:pStyle w:val="FirstParagraph"/>
      </w:pPr>
      <w:r>
        <w:t xml:space="preserve">The different forms of participation asserted or assumed in the literature have empirically observable patterns.</w:t>
      </w:r>
    </w:p>
    <w:bookmarkStart w:id="101" w:name="individuals"/>
    <w:p>
      <w:pPr>
        <w:pStyle w:val="Heading4"/>
      </w:pPr>
      <w:r>
        <w:rPr>
          <w:rStyle w:val="SectionNumber"/>
        </w:rPr>
        <w:t xml:space="preserve">2.3.2.1</w:t>
      </w:r>
      <w:r>
        <w:tab/>
      </w:r>
      <w:r>
        <w:t xml:space="preserve">Individuals</w:t>
      </w:r>
    </w:p>
    <w:p>
      <w:pPr>
        <w:pStyle w:val="FirstParagraph"/>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the remaining forms of participation are all mediated through an organization’s pressure campaign–what</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call a</w:t>
      </w:r>
      <w:r>
        <w:t xml:space="preserve"> </w:t>
      </w:r>
      <w:r>
        <w:t xml:space="preserve">“</w:t>
      </w:r>
      <w:r>
        <w:t xml:space="preserve">cooperative activity.</w:t>
      </w:r>
      <w:r>
        <w:t xml:space="preserve">”</w:t>
      </w:r>
      <w:r>
        <w:t xml:space="preserve"> </w:t>
      </w: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information.</w:t>
      </w:r>
    </w:p>
    <w:bookmarkEnd w:id="101"/>
    <w:bookmarkStart w:id="105" w:name="membership-organizations"/>
    <w:p>
      <w:pPr>
        <w:pStyle w:val="Heading4"/>
      </w:pPr>
      <w:r>
        <w:rPr>
          <w:rStyle w:val="SectionNumber"/>
        </w:rPr>
        <w:t xml:space="preserve">2.3.2.2</w:t>
      </w:r>
      <w:r>
        <w:tab/>
      </w:r>
      <w:r>
        <w:t xml:space="preserve">Membership Organizations</w:t>
      </w:r>
    </w:p>
    <w:p>
      <w:pPr>
        <w:pStyle w:val="FirstParagraph"/>
      </w:pPr>
      <w:r>
        <w:t xml:space="preserve">Membership organizations exist to serve their members interests. Unions frequently lobbying rulemaking.</w:t>
      </w:r>
    </w:p>
    <w:p>
      <w:pPr>
        <w:pStyle w:val="BlockText"/>
      </w:pPr>
      <w:r>
        <w:t xml:space="preserve">“</w:t>
      </w:r>
      <w:r>
        <w:t xml:space="preserve">The American Federation of State, County and Municipal Employees (</w:t>
      </w:r>
      <w:r>
        <w:t xml:space="preserve">”</w:t>
      </w:r>
      <w:r>
        <w:t xml:space="preserve">AFSCME</w:t>
      </w:r>
      <w:r>
        <w:t xml:space="preserve">“</w:t>
      </w:r>
      <w:r>
        <w:t xml:space="preserve">) represents 1.6 million state and local government, health care and child care workers and we write to express our strong support of the proposed rule</w:t>
      </w:r>
      <w:r>
        <w:t xml:space="preserve">”</w:t>
      </w:r>
      <w:r>
        <w:t xml:space="preserve"> </w:t>
      </w:r>
      <w:r>
        <w:t xml:space="preserve">(</w:t>
      </w:r>
      <w:hyperlink r:id="rId102">
        <w:r>
          <w:rPr>
            <w:rStyle w:val="Hyperlink"/>
          </w:rPr>
          <w:t xml:space="preserve">IRS-2016-0015-0133</w:t>
        </w:r>
      </w:hyperlink>
      <w:r>
        <w:t xml:space="preserve">)</w:t>
      </w:r>
    </w:p>
    <w:p>
      <w:pPr>
        <w:pStyle w:val="FirstParagraph"/>
      </w:pPr>
      <w:r>
        <w:t xml:space="preserve">Some membership organizations join to form larger federations.</w:t>
      </w:r>
    </w:p>
    <w:p>
      <w:pPr>
        <w:pStyle w:val="BlockText"/>
      </w:pPr>
      <w:r>
        <w:t xml:space="preserve">“</w:t>
      </w:r>
      <w:r>
        <w:t xml:space="preserve">The Coalition on Human Needs, which represents more than 100 national member organizations and maintains a network of tens of thousands of individuals and groups nationwide, strongly supports the proposed rule</w:t>
      </w:r>
      <w:r>
        <w:t xml:space="preserve">”</w:t>
      </w:r>
      <w:r>
        <w:t xml:space="preserve"> </w:t>
      </w:r>
      <w:r>
        <w:t xml:space="preserve">(</w:t>
      </w:r>
      <w:hyperlink r:id="rId103">
        <w:r>
          <w:rPr>
            <w:rStyle w:val="Hyperlink"/>
          </w:rPr>
          <w:t xml:space="preserve">IRS-2016-0015-0131</w:t>
        </w:r>
      </w:hyperlink>
      <w:r>
        <w:t xml:space="preserve">)</w:t>
      </w:r>
    </w:p>
    <w:p>
      <w:pPr>
        <w:pStyle w:val="FirstParagraph"/>
      </w:pPr>
      <w:r>
        <w:t xml:space="preserve">Membership organizations often claim to represent more than their membership.</w:t>
      </w:r>
    </w:p>
    <w:p>
      <w:pPr>
        <w:pStyle w:val="BlockText"/>
      </w:pPr>
      <w:r>
        <w:t xml:space="preserve">“</w:t>
      </w:r>
      <w:r>
        <w:t xml:space="preserve">As a leading representative of the nation’s 28 million small business owners, Small Business Majority is writing to comment on the U.S. Department of the Treasury’s proposed rule on Inversions and Related Transactions.</w:t>
      </w:r>
      <w:r>
        <w:t xml:space="preserve">”</w:t>
      </w:r>
      <w:r>
        <w:t xml:space="preserve"> </w:t>
      </w:r>
      <w:r>
        <w:t xml:space="preserve">(</w:t>
      </w:r>
      <w:hyperlink r:id="rId104">
        <w:r>
          <w:rPr>
            <w:rStyle w:val="Hyperlink"/>
          </w:rPr>
          <w:t xml:space="preserve">IRS-2016-0015-0127</w:t>
        </w:r>
      </w:hyperlink>
      <w:r>
        <w:t xml:space="preserve">)</w:t>
      </w:r>
    </w:p>
    <w:p>
      <w:pPr>
        <w:pStyle w:val="FirstParagraph"/>
      </w:pPr>
      <w:r>
        <w:t xml:space="preserve">If most commenters are members of membership organizations as</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will usually require a large coalition of membership organizations. We would expect commenters to identify themselves as members of these many organizations.</w:t>
      </w:r>
    </w:p>
    <w:p>
      <w:pPr>
        <w:pStyle w:val="BlockText"/>
      </w:pPr>
      <w:r>
        <w:t xml:space="preserve">TODO: ADD EXAMPLE: For example, if membership groups mobilize most comments, we would expect …</w:t>
      </w:r>
    </w:p>
    <w:bookmarkEnd w:id="105"/>
    <w:bookmarkStart w:id="118" w:name="Xe5c95492632ea86eef5ce5aa15b900f8e4e7c51"/>
    <w:p>
      <w:pPr>
        <w:pStyle w:val="Heading4"/>
      </w:pPr>
      <w:r>
        <w:rPr>
          <w:rStyle w:val="SectionNumber"/>
        </w:rPr>
        <w:t xml:space="preserve">2.3.2.3</w:t>
      </w:r>
      <w:r>
        <w:tab/>
      </w:r>
      <w:r>
        <w:t xml:space="preserve">Policy Advocacy Organizations: From Grassroots to Astroturf</w:t>
      </w:r>
    </w:p>
    <w:p>
      <w:pPr>
        <w:pStyle w:val="FirstParagraph"/>
      </w:pPr>
      <w:r>
        <w:t xml:space="preserve">Mobilizing people just for a particular policy fight requires a significant organizing capacity.</w:t>
      </w:r>
      <w:r>
        <w:rPr>
          <w:rStyle w:val="FootnoteReference"/>
        </w:rPr>
        <w:footnoteReference w:id="106"/>
      </w:r>
      <w:r>
        <w:t xml:space="preserve"> </w:t>
      </w:r>
      <w:hyperlink w:anchor="ref-McNutt2007">
        <w:r>
          <w:rPr>
            <w:rStyle w:val="Hyperlink"/>
          </w:rPr>
          <w:t xml:space="preserve">McNutt and Boland</w:t>
        </w:r>
      </w:hyperlink>
      <w:r>
        <w:t xml:space="preserve"> </w:t>
      </w:r>
      <w:r>
        <w:t xml:space="preserve">(</w:t>
      </w:r>
      <w:hyperlink w:anchor="ref-McNutt2007">
        <w:r>
          <w:rPr>
            <w:rStyle w:val="Hyperlink"/>
          </w:rPr>
          <w:t xml:space="preserve">2007</w:t>
        </w:r>
      </w:hyperlink>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07">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08"/>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10"/>
      </w:r>
      <w:r>
        <w:t xml:space="preserve"> </w:t>
      </w:r>
      <w:r>
        <w:t xml:space="preserve">paying actors to pose as concerned citizens, and skirting Facebook’s policy against deceptive advertising.</w:t>
      </w:r>
      <w:r>
        <w:rPr>
          <w:rStyle w:val="FootnoteReference"/>
        </w:rPr>
        <w:footnoteReference w:id="112"/>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Access Financial) was engaged in serial re-lending that put this customer deeper in debt. In their own comments, Axcess claimed that it did not do this. To the extent that this campaign relied on deception and not the customer’s genuine interests (even as the customers understood them), this would count as astroturf. Second, Axcess sponsored an effort to gather petition signatures at churches. Finally, Axcess and other payday loan companies uploaded supportive notes from community organizations to which they had given money. Like the churchgoers, these people had no reason to comment except that they had received money from the potentially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hyperlink w:anchor="ref-Lyon2005">
        <w:r>
          <w:rPr>
            <w:rStyle w:val="Hyperlink"/>
          </w:rPr>
          <w:t xml:space="preserve">Lyon and Maxwell 2004</w:t>
        </w:r>
      </w:hyperlink>
      <w:r>
        <w:t xml:space="preserve">)</w:t>
      </w:r>
      <w:r>
        <w:t xml:space="preserve">.</w:t>
      </w:r>
    </w:p>
    <w:p>
      <w:pPr>
        <w:pStyle w:val="BodyText"/>
      </w:pPr>
      <w:r>
        <w:t xml:space="preserve">Not all public pressure campaigns on behalf of private interests fall decisively on the astroturf side of the spectrum. In a cover letter to a batch of comments opposing the regulation of glyphosate herbicides, major glyphosate manufacture, Monsanto, specified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14">
        <w:r>
          <w:rPr>
            <w:rStyle w:val="Hyperlink"/>
          </w:rPr>
          <w:t xml:space="preserve">EPA-HQ-OPP-2009-0361-0891</w:t>
        </w:r>
      </w:hyperlink>
      <w:r>
        <w:t xml:space="preserve">)</w:t>
      </w:r>
    </w:p>
    <w:p>
      <w:pPr>
        <w:pStyle w:val="FirstParagraph"/>
      </w:pPr>
      <w:r>
        <w:t xml:space="preserve">Monsanto may have, like Energy Citizens, given out shirts in exchange for many of these signatures,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15"/>
      </w:r>
    </w:p>
    <w:p>
      <w:pPr>
        <w:pStyle w:val="FirstParagraph"/>
      </w:pPr>
      <w:r>
        <w:t xml:space="preserve">Though Shell’s private interests stood to benefit from the rule, the signatories of this petition were mostly companies and workers in the oil and gas sector. Several elected officials also used Shell’s form letter (e.g. </w:t>
      </w:r>
      <w:hyperlink r:id="rId116">
        <w:r>
          <w:rPr>
            <w:rStyle w:val="Hyperlink"/>
          </w:rPr>
          <w:t xml:space="preserve">BSEE-2013-0011-0033</w:t>
        </w:r>
      </w:hyperlink>
      <w:r>
        <w:t xml:space="preserve"> </w:t>
      </w:r>
      <w:r>
        <w:t xml:space="preserve">and</w:t>
      </w:r>
      <w:r>
        <w:t xml:space="preserve"> </w:t>
      </w:r>
      <w:hyperlink r:id="rId117">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bookmarkEnd w:id="118"/>
    <w:bookmarkEnd w:id="119"/>
    <w:bookmarkStart w:id="133" w:name="why-methods"/>
    <w:p>
      <w:pPr>
        <w:pStyle w:val="Heading3"/>
      </w:pPr>
      <w:r>
        <w:rPr>
          <w:rStyle w:val="SectionNumber"/>
        </w:rPr>
        <w:t xml:space="preserve">2.3.3</w:t>
      </w:r>
      <w:r>
        <w:tab/>
      </w:r>
      <w:r>
        <w:t xml:space="preserve">Methods: Measuring Public Pressure and Political Information</w:t>
      </w:r>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1987, 9</w:t>
        </w:r>
      </w:hyperlink>
      <w:r>
        <w:t xml:space="preserve">)</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bookmarkStart w:id="126" w:name="identifying-organizations-and-coalitions"/>
    <w:p>
      <w:pPr>
        <w:pStyle w:val="Heading4"/>
      </w:pPr>
      <w:r>
        <w:rPr>
          <w:rStyle w:val="SectionNumber"/>
        </w:rPr>
        <w:t xml:space="preserve">2.3.3.1</w:t>
      </w:r>
      <w:r>
        <w:tab/>
      </w:r>
      <w:r>
        <w:t xml:space="preserve">Identifying Organizations and Coalitions</w:t>
      </w:r>
    </w:p>
    <w:p>
      <w:pPr>
        <w:pStyle w:val="FirstParagraph"/>
      </w:pPr>
      <w:r>
        <w:t xml:space="preserve">The primariy unit of analiysis is the a coalition–a group of organizations advocating for the same policy changes in their comments on a draft rule.</w:t>
      </w:r>
      <w:r>
        <w:t xml:space="preserve"> </w:t>
      </w:r>
      <w:r>
        <w:t xml:space="preserve">Advocacy organizations work together on campaigns. For example,</w:t>
      </w:r>
      <w:r>
        <w:t xml:space="preserve"> </w:t>
      </w:r>
      <w:r>
        <w:t xml:space="preserve">“</w:t>
      </w:r>
      <w:r>
        <w:t xml:space="preserve">Save our Environment</w:t>
      </w:r>
      <w:r>
        <w:t xml:space="preserve">”</w:t>
      </w:r>
      <w:r>
        <w:t xml:space="preserve"> </w:t>
      </w:r>
      <w:r>
        <w:t xml:space="preserve">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(SaveOurEnvironment.org).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bookmarkStart w:id="124" w:name="reuse"/>
    <w:p>
      <w:pPr>
        <w:pStyle w:val="Heading5"/>
      </w:pPr>
      <w:r>
        <w:rPr>
          <w:rStyle w:val="SectionNumber"/>
        </w:rPr>
        <w:t xml:space="preserve">2.3.3.1.1</w:t>
      </w:r>
      <w:r>
        <w:tab/>
      </w:r>
      <w:r>
        <w:t xml:space="preserve">Identifying Coalitions Using Text Reuse</w:t>
      </w:r>
    </w:p>
    <w:p>
      <w:pPr>
        <w:pStyle w:val="FirstParagraph"/>
      </w:pPr>
      <w:r>
        <w:t xml:space="preserve">For all comments on a docket,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20"/>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exact same ten-word phrases) captures this alignment.</w:t>
      </w:r>
    </w:p>
    <w:p>
      <w:pPr>
        <w:pStyle w:val="BodyText"/>
      </w:pPr>
      <w:r>
        <w:t xml:space="preserve">Figure</w:t>
      </w:r>
      <w:r>
        <w:t xml:space="preserve"> </w:t>
      </w:r>
      <w:r>
        <w:t xml:space="preserve">2.7</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block of grey squares indicates a coalition of commenters using some identical text.</w:t>
      </w:r>
      <w:r>
        <w:t xml:space="preserve"> </w:t>
      </w:r>
      <w:r>
        <w:t xml:space="preserve">Comments</w:t>
      </w:r>
      <w:r>
        <w:t xml:space="preserve"> </w:t>
      </w:r>
      <w:hyperlink r:id="rId121">
        <w:r>
          <w:rPr>
            <w:rStyle w:val="Hyperlink"/>
          </w:rPr>
          <w:t xml:space="preserve">91130</w:t>
        </w:r>
      </w:hyperlink>
      <w:r>
        <w:t xml:space="preserve"> </w:t>
      </w:r>
      <w:r>
        <w:t xml:space="preserve">through</w:t>
      </w:r>
      <w:r>
        <w:t xml:space="preserve"> </w:t>
      </w:r>
      <w:hyperlink r:id="rId122">
        <w:r>
          <w:rPr>
            <w:rStyle w:val="Hyperlink"/>
          </w:rPr>
          <w:t xml:space="preserve">91156</w:t>
        </w:r>
      </w:hyperlink>
      <w:r>
        <w:t xml:space="preserve"> </w:t>
      </w:r>
      <w:r>
        <w:t xml:space="preserve">are all partial or exact matches. Most are part of a mass comment campaign by Access Financial. The percent of the identical text is lower than many mass-comment campaigns because these are hand-written comments, but the n-gram method still picks up overlap in the OCRed text in the header and footer.</w:t>
      </w:r>
    </w:p>
    <w:p>
      <w:pPr>
        <w:pStyle w:val="CaptionedFigure"/>
      </w:pPr>
      <w:r>
        <w:drawing>
          <wp:inline>
            <wp:extent cx="5334000" cy="4211052"/>
            <wp:effectExtent b="0" l="0" r="0" t="0"/>
            <wp:docPr descr="Figure 2.7: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23"/>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2.7: Percent of Matching Text in a Sample of Public Comments</w:t>
      </w:r>
    </w:p>
    <w:bookmarkEnd w:id="124"/>
    <w:bookmarkStart w:id="125" w:name="hand-coded-organizations-and-coalitions"/>
    <w:p>
      <w:pPr>
        <w:pStyle w:val="Heading5"/>
      </w:pPr>
      <w:r>
        <w:rPr>
          <w:rStyle w:val="SectionNumber"/>
        </w:rPr>
        <w:t xml:space="preserve">2.3.3.1.2</w:t>
      </w:r>
      <w:r>
        <w:tab/>
      </w:r>
      <w:r>
        <w:t xml:space="preserve">Hand-coded Organizations and Coalitions</w:t>
      </w:r>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The second sample includes nearly all comments on a random sample of rules. The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 identify the organization responsible for over 40 million comments, including all organizations responsible for mobilizing 100 or more comments with repeated text–either identical text or partially unique 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 as businesses, industry associations, other nonprofits, governments, or individual elected officials and a range of sub-types within these broader categories.</w:t>
      </w:r>
    </w:p>
    <w:bookmarkEnd w:id="125"/>
    <w:bookmarkEnd w:id="126"/>
    <w:bookmarkStart w:id="128" w:name="classifying-public-and-private-interests"/>
    <w:p>
      <w:pPr>
        <w:pStyle w:val="Heading4"/>
      </w:pPr>
      <w:r>
        <w:rPr>
          <w:rStyle w:val="SectionNumber"/>
        </w:rPr>
        <w:t xml:space="preserve">2.3.3.2</w:t>
      </w:r>
      <w:r>
        <w:tab/>
      </w:r>
      <w:r>
        <w:t xml:space="preserve">Classifying Public and Private Interests</w:t>
      </w:r>
    </w:p>
    <w:p>
      <w:pPr>
        <w:pStyle w:val="FirstParagraph"/>
      </w:pPr>
      <w:r>
        <w:t xml:space="preserve">Classifying coalitions as primarily driven by private or public interest provides analytic leverage, but scholars have not converged on a approach to do so.</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hyperlink w:anchor="ref-Berry1999">
        <w:r>
          <w:rPr>
            <w:rStyle w:val="Hyperlink"/>
          </w:rPr>
          <w:t xml:space="preserve">Berry</w:t>
        </w:r>
      </w:hyperlink>
      <w:r>
        <w:t xml:space="preserve"> </w:t>
      </w:r>
      <w:r>
        <w:t xml:space="preserve">(</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especially difficult to classify.</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 groups lobby. If a union lobbies alongside businesses</w:t>
      </w:r>
      <w:r>
        <w:t xml:space="preserve"> </w:t>
      </w:r>
      <w:r>
        <w:t xml:space="preserve">(see</w:t>
      </w:r>
      <w:r>
        <w:t xml:space="preserve"> </w:t>
      </w:r>
      <w:hyperlink w:anchor="ref-Mildenberger2020">
        <w:r>
          <w:rPr>
            <w:rStyle w:val="Hyperlink"/>
          </w:rPr>
          <w:t xml:space="preserve">Mildenberger 2020</w:t>
        </w:r>
      </w:hyperlink>
      <w:r>
        <w:t xml:space="preserve">)</w:t>
      </w:r>
      <w:r>
        <w:t xml:space="preserve">, I classify this as a private interest-driven coalition. If a union lobbies with</w:t>
      </w:r>
      <w:r>
        <w:t xml:space="preserve"> </w:t>
      </w:r>
      <w:r>
        <w:t xml:space="preserve">public interest groups on public health or safety issues, I classify</w:t>
      </w:r>
      <w:r>
        <w:t xml:space="preserve"> </w:t>
      </w:r>
      <w:r>
        <w:t xml:space="preserve">this as a public interest group coalition.</w:t>
      </w:r>
    </w:p>
    <w:p>
      <w:pPr>
        <w:pStyle w:val="BodyText"/>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27">
        <w:r>
          <w:rPr>
            <w:rStyle w:val="Hyperlink"/>
          </w:rPr>
          <w:t xml:space="preserve">NOAA-NMFS-2012-0059-0185</w:t>
        </w:r>
      </w:hyperlink>
      <w:r>
        <w:t xml:space="preserve">) 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bookmarkEnd w:id="128"/>
    <w:bookmarkStart w:id="130" w:name="coding-policy-positions"/>
    <w:p>
      <w:pPr>
        <w:pStyle w:val="Heading4"/>
      </w:pPr>
      <w:r>
        <w:rPr>
          <w:rStyle w:val="SectionNumber"/>
        </w:rPr>
        <w:t xml:space="preserve">2.3.3.3</w:t>
      </w:r>
      <w:r>
        <w:tab/>
      </w:r>
      <w:r>
        <w:t xml:space="preserve">Coding Policy Positions</w:t>
      </w:r>
    </w:p>
    <w:p>
      <w:pPr>
        <w:pStyle w:val="FirstParagraph"/>
      </w:pPr>
      <w:r>
        <w:t xml:space="preserve">To assess whether organizations and their broader coalitions lobby in opposition to other interests or unopposed, I code the position of each organization on each proposed policy (Figure</w:t>
      </w:r>
      <w:r>
        <w:t xml:space="preserve"> </w:t>
      </w:r>
      <w:r>
        <w:t xml:space="preserve">2.8</w:t>
      </w:r>
      <w:r>
        <w:t xml:space="preserve">). For example, if the ideal point of the commenter</w:t>
      </w:r>
      <w:r>
        <w:t xml:space="preserve"> </w:t>
      </w:r>
      <m:oMath>
        <m:r>
          <m:t>i</m:t>
        </m:r>
      </m:oMath>
      <w:r>
        <w:t xml:space="preserve"> </w:t>
      </w:r>
      <w:r>
        <w:t xml:space="preserve">is the current policy (</w:t>
      </w:r>
      <m:oMath>
        <m:sSub>
          <m:e>
            <m:r>
              <m:t>α</m:t>
            </m:r>
          </m:e>
          <m:sub>
            <m:r>
              <m:t>i</m:t>
            </m:r>
          </m:sub>
        </m:sSub>
        <m:r>
          <m:rPr>
            <m:sty m:val="p"/>
          </m:rP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α</m:t>
            </m:r>
          </m:e>
          <m:sub>
            <m:r>
              <m:t>i</m:t>
            </m:r>
          </m:sub>
        </m:sSub>
        <m:r>
          <m:rPr>
            <m:sty m:val="p"/>
          </m:rPr>
          <m:t>=</m:t>
        </m:r>
        <m:sSub>
          <m:e>
            <m:r>
              <m:t>x</m:t>
            </m:r>
          </m:e>
          <m:sub>
            <m:r>
              <m:t>1</m:t>
            </m:r>
          </m:sub>
        </m:sSub>
      </m:oMath>
      <w:r>
        <w:t xml:space="preserve">) or closer to it, they likely support the proposal. While incompatible with a monotonic model of preferences,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Such positions are likely the result of the repeated game nature of policymaking, where commenters believe that rejecting a small change in their preferred direction now is likely to result in a larger change later.</w:t>
      </w:r>
    </w:p>
    <w:p>
      <w:pPr>
        <w:pStyle w:val="CaptionedFigure"/>
      </w:pPr>
      <w:r>
        <w:drawing>
          <wp:inline>
            <wp:extent cx="5334000" cy="762000"/>
            <wp:effectExtent b="0" l="0" r="0" t="0"/>
            <wp:docPr descr="Figure 2.8: Coding the Spatial Position of Commener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29"/>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2.8: Coding the Spatial Position of Commeners on Proposed Policy Changes</w:t>
      </w:r>
    </w:p>
    <w:p>
      <w:pPr>
        <w:pStyle w:val="BodyText"/>
      </w:pPr>
      <w:r>
        <w:t xml:space="preserve">Having identified the coalitions lobbying on each proposed rule, I assign the position of the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only consider such mildly diverging interests to be one coalition if the asks are entirely compatible with the position of organizations that did not ask for them.</w:t>
      </w:r>
    </w:p>
    <w:bookmarkEnd w:id="130"/>
    <w:bookmarkStart w:id="131" w:name="measuring-intensity-of-prefrences"/>
    <w:p>
      <w:pPr>
        <w:pStyle w:val="Heading4"/>
      </w:pPr>
      <w:r>
        <w:rPr>
          <w:rStyle w:val="SectionNumber"/>
        </w:rPr>
        <w:t xml:space="preserve">2.3.3.4</w:t>
      </w:r>
      <w:r>
        <w:tab/>
      </w:r>
      <w:r>
        <w:t xml:space="preserve">Measuring Intensity of Prefrences</w:t>
      </w:r>
    </w:p>
    <w:p>
      <w:pPr>
        <w:pStyle w:val="FirstParagraph"/>
      </w:pPr>
      <w:r>
        <w:t xml:space="preserve">Finally, I develop computational methods to measure the intensity of preferences</w:t>
      </w:r>
      <w:r>
        <w:t xml:space="preserve"> </w:t>
      </w:r>
      <w:r>
        <w:t xml:space="preserve">expressed by those mobilized by public pressure campaigns.</w:t>
      </w:r>
      <w:r>
        <w:t xml:space="preserve"> </w:t>
      </w:r>
      <w:r>
        <w:t xml:space="preserve">To measure the mobilizing success of each campaign, I measure</w:t>
      </w:r>
      <w:r>
        <w:t xml:space="preserve"> </w:t>
      </w:r>
      <w:r>
        <w:t xml:space="preserve">the scale and intensity of support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bookmarkEnd w:id="131"/>
    <w:bookmarkStart w:id="132" w:name="differences-with-prior-studies"/>
    <w:p>
      <w:pPr>
        <w:pStyle w:val="Heading4"/>
      </w:pPr>
      <w:r>
        <w:rPr>
          <w:rStyle w:val="SectionNumber"/>
        </w:rPr>
        <w:t xml:space="preserve">2.3.3.5</w:t>
      </w:r>
      <w:r>
        <w:tab/>
      </w:r>
      <w:r>
        <w:t xml:space="preserve">Differences with Prior Studies</w:t>
      </w:r>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This is important because many comments that might be attributed to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and response would count this one campaign as 40 observations. My methods allow me to measure levels of public pressure per organization</w:t>
      </w:r>
      <w:r>
        <w:t xml:space="preserve"> </w:t>
      </w:r>
      <w:r>
        <w:rPr>
          <w:iCs/>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Cs/>
          <w:i/>
        </w:rPr>
        <w:t xml:space="preserve">attribute</w:t>
      </w:r>
      <w:r>
        <w:t xml:space="preserve"> </w:t>
      </w:r>
      <w:r>
        <w:t xml:space="preserve">mass comments to organizations and coalitions that also submit sophisticated technical comments. This difference is less important to the present analysis of the drivers of public pressure campaigns, but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bookmarkEnd w:id="132"/>
    <w:bookmarkEnd w:id="133"/>
    <w:bookmarkStart w:id="135" w:name="X6aca79f51bb98839a4e1b978053774776e3b184"/>
    <w:p>
      <w:pPr>
        <w:pStyle w:val="Heading3"/>
      </w:pPr>
      <w:r>
        <w:rPr>
          <w:rStyle w:val="SectionNumber"/>
        </w:rPr>
        <w:t xml:space="preserve">2.3.4</w:t>
      </w:r>
      <w:r>
        <w:tab/>
      </w:r>
      <w:r>
        <w:t xml:space="preserve">Measuring the Volume, Intensity, and Potential Contagion of Public Engagement</w:t>
      </w:r>
    </w:p>
    <w:p>
      <w:pPr>
        <w:pStyle w:val="FirstParagraph"/>
      </w:pPr>
      <w:r>
        <w:t xml:space="preserve">I measure variation in engagement in three ways, corresponding to the three types of comments described above.</w:t>
      </w:r>
    </w:p>
    <w:p>
      <w:pPr>
        <w:pStyle w:val="BodyText"/>
      </w:pPr>
      <w:r>
        <w:rPr>
          <w:bCs/>
          <w:b/>
        </w:rPr>
        <w:t xml:space="preserve">Volume.</w:t>
      </w:r>
      <w:r>
        <w:t xml:space="preserve"> </w:t>
      </w:r>
      <w:r>
        <w:t xml:space="preserve">First, I measure the total number of comments per organization, coalition, and rule.</w:t>
      </w:r>
      <w:r>
        <w:t xml:space="preserve"> </w:t>
      </w:r>
      <w:r>
        <w:t xml:space="preserve">Commenting results from multiple processes. First, a group must decide to</w:t>
      </w:r>
      <w:r>
        <w:t xml:space="preserve"> </w:t>
      </w:r>
      <w:r>
        <w:t xml:space="preserve">lobby. Then, a group must decide to mobilize public pressure. Finally, the resulting number of comments depends on the response to the</w:t>
      </w:r>
      <w:r>
        <w:t xml:space="preserve"> </w:t>
      </w:r>
      <w:r>
        <w:t xml:space="preserve">campaign. There may be many cases where groups may have had</w:t>
      </w:r>
      <w:r>
        <w:t xml:space="preserve"> </w:t>
      </w:r>
      <w:r>
        <w:t xml:space="preserve">success mobilizing but never reached the choice of whether to mobilize</w:t>
      </w:r>
      <w:r>
        <w:t xml:space="preserve"> </w:t>
      </w:r>
      <w:r>
        <w:t xml:space="preserve">or not. For example, relevant groups may have been unaware of the draft rule or lacked the resources to launch a campaign. Once the decision</w:t>
      </w:r>
      <w:r>
        <w:t xml:space="preserve"> </w:t>
      </w:r>
      <w:r>
        <w:t xml:space="preserve">to mobilize has been reached and made, the response to mobilizing is a</w:t>
      </w:r>
      <w:r>
        <w:t xml:space="preserve"> </w:t>
      </w:r>
      <w:r>
        <w:t xml:space="preserve">count process. I thus expect the count of comments across rules to</w:t>
      </w:r>
      <w:r>
        <w:t xml:space="preserve"> </w:t>
      </w:r>
      <w:r>
        <w:t xml:space="preserve">follow a zero-inflated negative binomial distribution.</w:t>
      </w:r>
    </w:p>
    <w:p>
      <w:pPr>
        <w:pStyle w:val="BodyText"/>
      </w:pPr>
      <w:r>
        <w:rPr>
          <w:bCs/>
          <w:b/>
        </w:rPr>
        <w:t xml:space="preserve">Effort.</w:t>
      </w:r>
      <w:r>
        <w:t xml:space="preserve"> </w:t>
      </w:r>
      <w:r>
        <w:t xml:space="preserve">I measure effort per comment by the number of words people</w:t>
      </w:r>
      <w:r>
        <w:t xml:space="preserve"> </w:t>
      </w:r>
      <w:r>
        <w:t xml:space="preserve">write, omitting any text longer than ten words that is not unique to that comment,</w:t>
      </w:r>
      <w:r>
        <w:t xml:space="preserve"> </w:t>
      </w:r>
      <w:r>
        <w:t xml:space="preserve">usually because a mobilizing organization provided it. For example, the Sierra Club mobilized more than 47,710</w:t>
      </w:r>
      <w:r>
        <w:t xml:space="preserve"> </w:t>
      </w:r>
      <w:r>
        <w:t xml:space="preserve">people to submit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2.4</w:t>
      </w:r>
      <w:r>
        <w:t xml:space="preserve">). Organizations often encourage</w:t>
      </w:r>
      <w:r>
        <w:t xml:space="preserve"> </w:t>
      </w:r>
      <w:r>
        <w:t xml:space="preserve">“</w:t>
      </w:r>
      <w:r>
        <w:t xml:space="preserve">personalized notes</w:t>
      </w:r>
      <w:r>
        <w:t xml:space="preserve">”</w:t>
      </w:r>
      <w:r>
        <w:t xml:space="preserve"> </w:t>
      </w:r>
      <w:r>
        <w:t xml:space="preserve">because the number of additional words shows the individual was willing to exert additional effort.</w:t>
      </w:r>
      <w:r>
        <w:t xml:space="preserve"> </w:t>
      </w:r>
      <w:r>
        <w:t xml:space="preserve">As</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note, signing a form letter requires</w:t>
      </w:r>
      <w:r>
        <w:t xml:space="preserve"> </w:t>
      </w:r>
      <w:r>
        <w:t xml:space="preserve">“</w:t>
      </w:r>
      <w:r>
        <w:t xml:space="preserve">some</w:t>
      </w:r>
      <w:r>
        <w:t xml:space="preserve">”</w:t>
      </w:r>
      <w:r>
        <w:t xml:space="preserve"> </w:t>
      </w:r>
      <w:r>
        <w:t xml:space="preserve">effort, whereas writing an original letter to a government official requires</w:t>
      </w:r>
      <w:r>
        <w:t xml:space="preserve"> </w:t>
      </w:r>
      <w:r>
        <w:t xml:space="preserve">“</w:t>
      </w:r>
      <w:r>
        <w:t xml:space="preserve">a lot.</w:t>
      </w:r>
      <w:r>
        <w:t xml:space="preserve">”</w:t>
      </w:r>
      <w:r>
        <w:t xml:space="preserve"> </w:t>
      </w:r>
      <w:r>
        <w:t xml:space="preserve">The longer the letter, the more effort required. Unique comments (those that do not copy text from a form letter) generally indicated high levels of effort.</w:t>
      </w:r>
    </w:p>
    <w:p>
      <w:pPr>
        <w:pStyle w:val="BodyText"/>
      </w:pPr>
      <w:r>
        <w:t xml:space="preserve">While effort, as measured by the number of words people write, may be normally distributed, the low end of the observed distribution is truncated.</w:t>
      </w:r>
      <w:r>
        <w:t xml:space="preserve"> </w:t>
      </w:r>
      <w:r>
        <w:t xml:space="preserve">This is because we will not observe people who have low levels of passion for the issue; they either do not meet the threshold required to participate or opt</w:t>
      </w:r>
      <w:r>
        <w:t xml:space="preserve"> </w:t>
      </w:r>
      <w:r>
        <w:t xml:space="preserve">to write nothing more than the form letter.</w:t>
      </w:r>
    </w:p>
    <w:p>
      <w:pPr>
        <w:pStyle w:val="BodyText"/>
      </w:pPr>
      <w:r>
        <w:rPr>
          <w:bCs/>
          <w:b/>
        </w:rPr>
        <w:t xml:space="preserve">Contagion.</w:t>
      </w:r>
      <w:r>
        <w:t xml:space="preserve"> </w:t>
      </w:r>
      <w:r>
        <w:t xml:space="preserve">Mass-comment campaigns have wildly different results.</w:t>
      </w:r>
      <w:r>
        <w:t xml:space="preserve"> </w:t>
      </w:r>
      <w:r>
        <w:t xml:space="preserve">Some organizations submit a clean 10,000 copies of (signatures on) the same comment.</w:t>
      </w:r>
      <w:r>
        <w:rPr>
          <w:rStyle w:val="FootnoteReference"/>
        </w:rPr>
        <w:footnoteReference w:id="134"/>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 In the hand-coded sample, these people are coded as</w:t>
      </w:r>
      <w:r>
        <w:t xml:space="preserve"> </w:t>
      </w:r>
      <w:r>
        <w:t xml:space="preserve">“</w:t>
      </w:r>
      <w:r>
        <w:t xml:space="preserve">individual</w:t>
      </w:r>
      <w:r>
        <w:t xml:space="preserve">”</w:t>
      </w:r>
      <w:r>
        <w:t xml:space="preserve"> </w:t>
      </w:r>
      <w:r>
        <w:t xml:space="preserve">members of the coalition. Though perhaps officially unaffiliated, they were clearly inspired by the campaign indirectly.</w:t>
      </w:r>
    </w:p>
    <w:p>
      <w:pPr>
        <w:pStyle w:val="BlockText"/>
      </w:pPr>
      <w:r>
        <w:t xml:space="preserve">TODO: Align this with my terminology in the previous section.</w:t>
      </w:r>
    </w:p>
    <w:bookmarkEnd w:id="135"/>
    <w:bookmarkEnd w:id="136"/>
    <w:bookmarkStart w:id="146" w:name="why-results"/>
    <w:p>
      <w:pPr>
        <w:pStyle w:val="Heading2"/>
      </w:pPr>
      <w:r>
        <w:rPr>
          <w:rStyle w:val="SectionNumber"/>
        </w:rPr>
        <w:t xml:space="preserve">2.4</w:t>
      </w:r>
      <w:r>
        <w:tab/>
      </w:r>
      <w:r>
        <w:t xml:space="preserve">Results: Patterns of Public Engagement in Rulemaking</w:t>
      </w:r>
    </w:p>
    <w:bookmarkStart w:id="139" w:name="Xc7c136a870cf88432c0135081d515fe07362b58"/>
    <w:p>
      <w:pPr>
        <w:pStyle w:val="Heading3"/>
      </w:pPr>
      <w:r>
        <w:rPr>
          <w:rStyle w:val="SectionNumber"/>
        </w:rPr>
        <w:t xml:space="preserve">2.4.1</w:t>
      </w:r>
      <w:r>
        <w:tab/>
      </w:r>
      <w:r>
        <w:t xml:space="preserve">Most Comments Result from Public Pressure Campaigns</w:t>
      </w:r>
    </w:p>
    <w:p>
      <w:pPr>
        <w:pStyle w:val="FirstParagraph"/>
      </w:pPr>
      <w:r>
        <w:t xml:space="preserve">In line with Hypothesis</w:t>
      </w:r>
      <w:r>
        <w:t xml:space="preserve"> </w:t>
      </w:r>
      <w:r>
        <w:t xml:space="preserve">2.1</w:t>
      </w:r>
      <w:r>
        <w:t xml:space="preserve">, most people engage in the policy process due to organized public pressure campaigns. Indeed as Figure</w:t>
      </w:r>
      <w:r>
        <w:t xml:space="preserve"> </w:t>
      </w:r>
      <w:r>
        <w:t xml:space="preserve">2.9</w:t>
      </w:r>
      <w:r>
        <w:t xml:space="preserve"> </w:t>
      </w:r>
      <w:r>
        <w:t xml:space="preserve">shows, every year since 2008, most people who</w:t>
      </w:r>
      <w:r>
        <w:t xml:space="preserve"> </w:t>
      </w:r>
      <w:r>
        <w:t xml:space="preserve">comment on draft regulations did so as a result of a public pressure campaign.</w:t>
      </w:r>
      <w:r>
        <w:rPr>
          <w:rStyle w:val="FootnoteReference"/>
        </w:rPr>
        <w:footnoteReference w:id="137"/>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38"/>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lockText"/>
      </w:pPr>
      <w:r>
        <w:t xml:space="preserve">TODO show this more clearly</w:t>
      </w:r>
    </w:p>
    <w:bookmarkEnd w:id="139"/>
    <w:bookmarkStart w:id="140" w:name="Xd40a56e27122cdc250f92ee326a717f1b868237"/>
    <w:p>
      <w:pPr>
        <w:pStyle w:val="Heading3"/>
      </w:pPr>
      <w:r>
        <w:rPr>
          <w:rStyle w:val="SectionNumber"/>
        </w:rPr>
        <w:t xml:space="preserve">2.4.2</w:t>
      </w:r>
      <w:r>
        <w:tab/>
      </w:r>
      <w:r>
        <w:t xml:space="preserve">Most Comments and Campaigns are Mobilized by Public Interest Coalitions</w:t>
      </w:r>
    </w:p>
    <w:p>
      <w:pPr>
        <w:pStyle w:val="FirstParagraph"/>
      </w:pPr>
      <w:r>
        <w:t xml:space="preserve">In line with Hypothesis</w:t>
      </w:r>
      <w:r>
        <w:t xml:space="preserve"> </w:t>
      </w:r>
      <w:r>
        <w:t xml:space="preserve">2.2</w:t>
      </w:r>
      <w:r>
        <w:t xml:space="preserve">, public pressure campaigns are organized by coalitions that include groups that engage in sophisticated technical lobbying.</w:t>
      </w:r>
    </w:p>
    <w:p>
      <w:pPr>
        <w:pStyle w:val="BodyText"/>
      </w:pPr>
      <w:r>
        <w:t xml:space="preserve">Just 100 organizations mobilized over 80% of comments on proposed rules posted to regulations.gov. These top 100 mobilizing organizations</w:t>
      </w:r>
      <w:r>
        <w:t xml:space="preserve"> </w:t>
      </w:r>
      <w:r>
        <w:t xml:space="preserve">each mobilized between 55 thousand and 4.2 million comments.</w:t>
      </w:r>
    </w:p>
    <w:p>
      <w:pPr>
        <w:pStyle w:val="TableCaption"/>
      </w:pPr>
      <w:r>
        <w:t xml:space="preserve">Table 2.3:</w:t>
      </w:r>
      <w:r>
        <w:t xml:space="preserve"> </w:t>
      </w:r>
      <w:bookmarkStart w:id="1e3162de-8b6a-4c69-82ac-f95ce1ca20f2" w:name="tab:toporgs"/>
      <w:r>
        <w:t xml:space="preserve">Organizations Mobilizing the Most Public Comments 2005-2020</w:t>
      </w:r>
      <w:bookmarkEnd w:id="1e3162de-8b6a-4c69-82ac-f95ce1ca20f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446"/>
        <w:gridCol w:w="1189"/>
        <w:gridCol w:w="700"/>
        <w:gridCol w:w="1234"/>
        <w:gridCol w:w="945"/>
        <w:gridCol w:w="990"/>
      </w:tblGrid>
      <w:tr>
        <w:trPr>
          <w:cantSplit/>
          <w:trHeight w:val="45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org_name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campaigns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percent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average</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2,160,804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World Wildlife Fund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1,511,290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302,258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1,371,978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1,191,110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62,690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Credo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520,828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65,104</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505,725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45,975</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Friends Of The Earth</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467,526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42,502</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448,052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40,732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432,783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33,291</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Endangered Species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258,436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64,609</w:t>
            </w:r>
          </w:p>
        </w:tc>
      </w:tr>
      <w:tr>
        <w:trPr>
          <w:cantSplit/>
          <w:trHeight w:val="456"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Greenpeace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255,010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63,752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Environmental Action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58.8%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24,796</w:t>
            </w:r>
          </w:p>
        </w:tc>
      </w:tr>
      <w:tr>
        <w:trPr>
          <w:cantSplit/>
          <w:trHeight w:val="45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Consumer Energy Alliance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242,434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14.6%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34,633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Wildlife Conservation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238,085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59,521</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Humane Society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227,328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75,776</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Mandate Media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186,544</w:t>
            </w:r>
          </w:p>
        </w:tc>
      </w:tr>
      <w:tr>
        <w:trPr>
          <w:cantSplit/>
          <w:trHeight w:val="45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Preventobesity.net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181,675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90,838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177,490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Environment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173,418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24,774</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Oceana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171,788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42,947</w:t>
            </w:r>
          </w:p>
        </w:tc>
      </w:tr>
    </w:tbl>
    <w:p>
      <w:pPr>
        <w:pStyle w:val="BodyText"/>
      </w:pPr>
      <w:r>
        <w:t xml:space="preserve">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r>
        <w:t xml:space="preserve"> </w:t>
      </w:r>
      <w:r>
        <w:t xml:space="preserve">In short, I find much more evidence of grassroots participation than astroturf participation.</w:t>
      </w:r>
    </w:p>
    <w:p>
      <w:pPr>
        <w:pStyle w:val="BodyText"/>
      </w:pPr>
      <w:r>
        <w:t xml:space="preserve">In line with Hypothesis</w:t>
      </w:r>
      <w:r>
        <w:t xml:space="preserve"> </w:t>
      </w:r>
      <w:r>
        <w:t xml:space="preserve">2.3</w:t>
      </w:r>
      <w:r>
        <w:t xml:space="preserve">, nearly all of these top mobilizing organizations lobby together in public interest coalitions, especially on environmental issues. These coalitions include organizations that engage in sophisticated lobbying. Indeed, many of the most prolific organizers of public pressure engage in sophisticated lobbying themselves. Public pressure is a compliment, not an alternative to sophisticated technical lobbying. Table</w:t>
      </w:r>
      <w:r>
        <w:t xml:space="preserve"> </w:t>
      </w:r>
      <w:r>
        <w:t xml:space="preserve">2.3</w:t>
      </w:r>
      <w:r>
        <w:t xml:space="preserve"> </w:t>
      </w:r>
      <w:r>
        <w:t xml:space="preserve">shows the top organizers of comments posted to regulations.gov.</w:t>
      </w:r>
    </w:p>
    <w:p>
      <w:pPr>
        <w:pStyle w:val="BlockText"/>
      </w:pPr>
      <w:r>
        <w:t xml:space="preserve">TODO: MORE ON ORG TYPES.</w:t>
      </w:r>
      <w:r>
        <w:t xml:space="preserve"> </w:t>
      </w:r>
      <w:r>
        <w:t xml:space="preserve">1. Update with 2019-2020 data</w:t>
      </w:r>
      <w:r>
        <w:t xml:space="preserve"> </w:t>
      </w:r>
      <w:r>
        <w:t xml:space="preserve">2. ADD TABLE OF TOP ORGS AND DESCRIPTIVES ABOUT HOW MANY ARE MEMBERSHIP VS ADVOCACY ORGS</w:t>
      </w:r>
      <w:r>
        <w:t xml:space="preserve"> </w:t>
      </w:r>
      <w:r>
        <w:t xml:space="preserve">3.BRING IN HAND-CODED SAMPLE</w:t>
      </w:r>
    </w:p>
    <w:p>
      <w:pPr>
        <w:pStyle w:val="BlockText"/>
      </w:pPr>
      <w:r>
        <w:t xml:space="preserve">TODO: In line with Hypothesis</w:t>
      </w:r>
      <w:r>
        <w:t xml:space="preserve"> </w:t>
      </w:r>
      <w:r>
        <w:t xml:space="preserve">2.3</w:t>
      </w:r>
      <w:r>
        <w:t xml:space="preserve">, XX percent of public pressure campaigns are led by public interest coalitions.</w:t>
      </w:r>
      <w:r>
        <w:t xml:space="preserve"> </w:t>
      </w:r>
      <w:r>
        <w:t xml:space="preserve">In line with Hypothesis</w:t>
      </w:r>
      <w:r>
        <w:t xml:space="preserve"> </w:t>
      </w:r>
      <w:r>
        <w:t xml:space="preserve">2.4</w:t>
      </w:r>
      <w:r>
        <w:t xml:space="preserve"> </w:t>
      </w:r>
      <w:r>
        <w:t xml:space="preserve">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the average number of comments for a public interest campaign is XXXX. In contrast, the average number of comments for a private interest campaign is XXX.</w:t>
      </w:r>
    </w:p>
    <w:p>
      <w:pPr>
        <w:pStyle w:val="FirstParagraph"/>
      </w:pPr>
      <w:r>
        <w:t xml:space="preserve">In line with Hypothesis</w:t>
      </w:r>
      <w:r>
        <w:t xml:space="preserve"> </w:t>
      </w:r>
      <w:r>
        <w:t xml:space="preserve">2.5</w:t>
      </w:r>
      <w:r>
        <w:t xml:space="preserve">, large national policy advocacy organizations are responsible for most pressure campaigns targeting national policy.</w:t>
      </w:r>
    </w:p>
    <w:bookmarkEnd w:id="140"/>
    <w:bookmarkStart w:id="141" w:name="Xcf3dbf20df6d020b99a8827fb1a14acd9c08e72"/>
    <w:p>
      <w:pPr>
        <w:pStyle w:val="Heading3"/>
      </w:pPr>
      <w:r>
        <w:rPr>
          <w:rStyle w:val="SectionNumber"/>
        </w:rPr>
        <w:t xml:space="preserve">2.4.3</w:t>
      </w:r>
      <w:r>
        <w:tab/>
      </w:r>
      <w:r>
        <w:t xml:space="preserve">Private Interests Rarely Use Public Pressure</w:t>
      </w:r>
    </w:p>
    <w:p>
      <w:pPr>
        <w:pStyle w:val="FirstParagraph"/>
      </w:pPr>
      <w:r>
        <w:t xml:space="preserve">Only a few of the top mobilizing organizations lobby in coalitions that focus on narrow material interests. The most prolific is a coalition of oil and gas companies led by the American Petroleum Institute (API). This coalition includes national policy advocacy organizations funded by the oil and gas industry, including Consumer Energy Alliance, Energy Citizens, and Energy Nation. It also includes industry associations in adjacent sectors, such as the Interstate Natural Gas Association of America and Association of Oil Pipe Lines, and state-level industry associations, such as The Alaska Oil and Gas Association (AOGA). API lobbied on over 400 rulemaking dockets, but it only launched public pressure comment campaigns on a few rules on which environmental groups ran much larger and more successful campaigns. API only attached their name to one of these campaigns. On non-rulemaking issues related to electricity production (specifically, the Obama EPA’s Clean Power Plan), this coalition included America’s Electric Cooperatives, an industry association for electric utilities.</w:t>
      </w:r>
    </w:p>
    <w:p>
      <w:pPr>
        <w:pStyle w:val="BodyText"/>
      </w:pPr>
      <w:r>
        <w:t xml:space="preserve">The only other private-interest coalition leader among the top 100 mobilizing organizations is Axcess Financial. Axcess led only one campaign in opposition to the CFPB’s Payday Loans rule.</w:t>
      </w:r>
      <w:r>
        <w:t xml:space="preserve"> </w:t>
      </w:r>
    </w:p>
    <w:p>
      <w:pPr>
        <w:pStyle w:val="BodyText"/>
      </w:pPr>
      <w:r>
        <w:t xml:space="preserve">In line with Hypothesis</w:t>
      </w:r>
      <w:r>
        <w:t xml:space="preserve"> </w:t>
      </w:r>
      <w:r>
        <w:t xml:space="preserve">2.6</w:t>
      </w:r>
      <w:r>
        <w:t xml:space="preserve">, private interest coalitions are less likely than public interest coalitions to lobby unopposed, suggesting that they often launch pressure campaigns in response to an opposing campaign.</w:t>
      </w:r>
    </w:p>
    <w:p>
      <w:pPr>
        <w:pStyle w:val="BlockText"/>
      </w:pPr>
      <w:r>
        <w:t xml:space="preserve">TODO: SUMMARIZE DATA ON THIS.</w:t>
      </w:r>
    </w:p>
    <w:p>
      <w:pPr>
        <w:pStyle w:val="FirstParagraph"/>
      </w:pPr>
      <w:r>
        <w:t xml:space="preserve">As Table</w:t>
      </w:r>
      <w:r>
        <w:t xml:space="preserve"> </w:t>
      </w:r>
      <w:r>
        <w:t xml:space="preserve">2.3</w:t>
      </w:r>
      <w:r>
        <w:t xml:space="preserve"> </w:t>
      </w:r>
      <w:r>
        <w:t xml:space="preserve">shows, the most prolific mobilizers are</w:t>
      </w:r>
      <w:r>
        <w:t xml:space="preserve"> </w:t>
      </w:r>
      <w:r>
        <w:t xml:space="preserve">environmental groups. On five out of the top ten dockets (Figure</w:t>
      </w:r>
      <w:r>
        <w:t xml:space="preserve"> </w:t>
      </w:r>
      <w:r>
        <w:t xml:space="preserve">2.10</w:t>
      </w:r>
      <w:r>
        <w:t xml:space="preserve"> </w:t>
      </w:r>
      <w:r>
        <w:t xml:space="preserve">including</w:t>
      </w:r>
      <w:r>
        <w:t xml:space="preserve"> </w:t>
      </w:r>
      <w:r>
        <w:t xml:space="preserve">rulemaking and non-rulemaking dockets), a similar coalition of groups</w:t>
      </w:r>
      <w:r>
        <w:t xml:space="preserve"> </w:t>
      </w:r>
      <w:r>
        <w:t xml:space="preserve">mobilized most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nearly all of the top mobilizers generally</w:t>
      </w:r>
      <w:r>
        <w:t xml:space="preserve"> </w:t>
      </w:r>
      <w:r>
        <w:t xml:space="preserve">lobby together.</w:t>
      </w:r>
    </w:p>
    <w:p>
      <w:pPr>
        <w:pStyle w:val="BodyText"/>
      </w:pPr>
      <w:r>
        <w:t xml:space="preserve">America’s Energy Cooperatives (AEC)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w:t>
      </w:r>
      <w:r>
        <w:t xml:space="preserve"> </w:t>
      </w:r>
      <w:r>
        <w:t xml:space="preserve">2.6</w:t>
      </w:r>
      <w:r>
        <w:t xml:space="preserve">. If AEC found their policy goals in the Clean Power Plan rulemaking threatened by the political information being generated by environmental groups, it would make sense to devote resources to their own public pressure campaign to disrupt any perceived consensus. Likewise, if AEC were not concerned that environmental group mobilizing would affect the Clean Power Plan repeal, sponsoring a public pressure campaign would be a poor investment. Thus, while public interest groups had incentives to mobilize public comments in both cases, the private interests only had incentives to mobilize to in one. This mirrors the broader trend.</w:t>
      </w:r>
    </w:p>
    <w:bookmarkEnd w:id="141"/>
    <w:bookmarkStart w:id="143" w:name="Xf2d537954dbbe79a7fb19e5d01da5fcde763a2f"/>
    <w:p>
      <w:pPr>
        <w:pStyle w:val="Heading3"/>
      </w:pPr>
      <w:r>
        <w:rPr>
          <w:rStyle w:val="SectionNumber"/>
        </w:rPr>
        <w:t xml:space="preserve">2.4.4</w:t>
      </w:r>
      <w:r>
        <w:tab/>
      </w:r>
      <w:r>
        <w:t xml:space="preserve">Most Comments Occur on a Small Number of Salient Rules</w:t>
      </w:r>
    </w:p>
    <w:p>
      <w:pPr>
        <w:pStyle w:val="FirstParagraph"/>
      </w:pPr>
      <w:r>
        <w:t xml:space="preserve">One consequence of the dominance of a few national policy advocacy organizations is that public pressure campaigns target a narrow subset of the wide range of issues addressed by agency rulemaking.</w:t>
      </w:r>
      <w:r>
        <w:t xml:space="preserve"> </w:t>
      </w:r>
      <w:r>
        <w:t xml:space="preserve">Public engagement in rulemaking is highly</w:t>
      </w:r>
      <w:r>
        <w:t xml:space="preserve"> </w:t>
      </w:r>
      <w:r>
        <w:t xml:space="preserve">clustered on a few rules made salient by these campaigns.</w:t>
      </w:r>
      <w:r>
        <w:t xml:space="preserve"> </w:t>
      </w:r>
      <w:r>
        <w:t xml:space="preserve">Just ten rulemaking dockets account for 43.53% (33,182,975), of the comments (Figure</w:t>
      </w:r>
      <w:r>
        <w:t xml:space="preserve"> </w:t>
      </w:r>
      <w:r>
        <w:t xml:space="preserve">2.10</w:t>
      </w:r>
      <w:r>
        <w:t xml:space="preserve">). Because public pressure requires resources and capacity, policy issues of interest to organizations with the resources and capacity to launch a campaign receive disproportionate amounts of public attention.</w:t>
      </w:r>
    </w:p>
    <w:p>
      <w:pPr>
        <w:pStyle w:val="CaptionedFigure"/>
      </w:pPr>
      <w:r>
        <w:drawing>
          <wp:inline>
            <wp:extent cx="5334000" cy="2222500"/>
            <wp:effectExtent b="0" l="0" r="0" t="0"/>
            <wp:docPr descr="Figure 2.10: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4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2.10: Top 10 Dockets Receiving the Most Comments on regulations.gov and the top 20 Mobilizers</w:t>
      </w:r>
    </w:p>
    <w:bookmarkEnd w:id="143"/>
    <w:bookmarkStart w:id="145" w:name="partisan-asymmetry"/>
    <w:p>
      <w:pPr>
        <w:pStyle w:val="Heading3"/>
      </w:pPr>
      <w:r>
        <w:rPr>
          <w:rStyle w:val="SectionNumber"/>
        </w:rPr>
        <w:t xml:space="preserve">2.4.5</w:t>
      </w:r>
      <w:r>
        <w:tab/>
      </w:r>
      <w:r>
        <w:t xml:space="preserve">Partisan Asymmetry</w:t>
      </w:r>
    </w:p>
    <w:p>
      <w:pPr>
        <w:pStyle w:val="FirstParagraph"/>
      </w:pPr>
      <w:r>
        <w:t xml:space="preserve">Of the top 100 mobilizing organizations, 97 lobby in public interest coalitions. Only one organization, the National Association for Gun Rights, is aligned with the political right.</w:t>
      </w:r>
    </w:p>
    <w:p>
      <w:pPr>
        <w:pStyle w:val="BodyText"/>
      </w:pPr>
      <w:r>
        <w:t xml:space="preserve">Figure</w:t>
      </w:r>
      <w:r>
        <w:t xml:space="preserve"> </w:t>
      </w:r>
      <w:r>
        <w:t xml:space="preserve">2.11</w:t>
      </w:r>
      <w:r>
        <w:t xml:space="preserve"> </w:t>
      </w:r>
      <w:r>
        <w:t xml:space="preserve">shows that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 compared to those mentioning</w:t>
      </w:r>
      <w:r>
        <w:t xml:space="preserve"> </w:t>
      </w:r>
      <w:r>
        <w:t xml:space="preserve">“</w:t>
      </w:r>
      <w:r>
        <w:t xml:space="preserve">oppose</w:t>
      </w:r>
      <w:r>
        <w:t xml:space="preserve">”</w:t>
      </w:r>
      <w:r>
        <w:t xml:space="preserve"> </w:t>
      </w:r>
      <w:r>
        <w:t xml:space="preserve">(Figure</w:t>
      </w:r>
      <w:r>
        <w:t xml:space="preserve"> </w:t>
      </w:r>
      <w:r>
        <w:t xml:space="preserve">2.11</w:t>
      </w:r>
      <w:r>
        <w:t xml:space="preserve">. This may be a function of the</w:t>
      </w:r>
      <w:r>
        <w:t xml:space="preserve"> </w:t>
      </w:r>
      <w:r>
        <w:t xml:space="preserve">changing regulatory agenda due to the change in the presidential</w:t>
      </w:r>
      <w:r>
        <w:t xml:space="preserve"> </w:t>
      </w:r>
      <w:r>
        <w:t xml:space="preserve">administration. However,</w:t>
      </w:r>
      <w:r>
        <w:t xml:space="preserve"> </w:t>
      </w:r>
      <w:r>
        <w:t xml:space="preserve">“</w:t>
      </w:r>
      <w:r>
        <w:t xml:space="preserve">support</w:t>
      </w:r>
      <w:r>
        <w:t xml:space="preserve">”</w:t>
      </w:r>
      <w:r>
        <w:t xml:space="preserve"> </w:t>
      </w:r>
      <w:r>
        <w:t xml:space="preserve">and</w:t>
      </w:r>
      <w:r>
        <w:t xml:space="preserve"> </w:t>
      </w:r>
      <w:r>
        <w:t xml:space="preserve">“</w:t>
      </w:r>
      <w:r>
        <w:t xml:space="preserve">oppose</w:t>
      </w:r>
      <w:r>
        <w:t xml:space="preserve">”</w:t>
      </w:r>
      <w:r>
        <w:t xml:space="preserve"> </w:t>
      </w:r>
      <w:r>
        <w:t xml:space="preserve">are noisy signals. These words are not used in all comments</w:t>
      </w:r>
      <w:r>
        <w:t xml:space="preserve"> </w:t>
      </w:r>
      <w:r>
        <w:t xml:space="preserve">and do not always indicate support for or opposition to a rule.</w:t>
      </w:r>
    </w:p>
    <w:p>
      <w:pPr>
        <w:pStyle w:val="CaptionedFigure"/>
      </w:pPr>
      <w:r>
        <w:drawing>
          <wp:inline>
            <wp:extent cx="4595937" cy="2848523"/>
            <wp:effectExtent b="0" l="0" r="0" t="0"/>
            <wp:docPr descr="Figure 2.11: 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44"/>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2.11: Comments on Draft Rules Posted to Regulations.gov 2006-2018</w:t>
      </w:r>
    </w:p>
    <w:bookmarkEnd w:id="145"/>
    <w:bookmarkEnd w:id="146"/>
    <w:bookmarkStart w:id="147" w:name="conclusion-1"/>
    <w:p>
      <w:pPr>
        <w:pStyle w:val="Heading2"/>
      </w:pPr>
      <w:r>
        <w:rPr>
          <w:rStyle w:val="SectionNumber"/>
        </w:rPr>
        <w:t xml:space="preserve">2.5</w:t>
      </w:r>
      <w:r>
        <w:tab/>
      </w:r>
      <w:r>
        <w:t xml:space="preserve">Conclusion</w:t>
      </w:r>
    </w:p>
    <w:p>
      <w:pPr>
        <w:pStyle w:val="FirstParagraph"/>
      </w:pPr>
      <w:r>
        <w:t xml:space="preserve">As suggested by the</w:t>
      </w:r>
      <w:r>
        <w:t xml:space="preserve"> </w:t>
      </w:r>
      <w:r>
        <w:t xml:space="preserve">solicitations on Regulations.gov—most comments are 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The political information generated by public pressure campaigns is not a substitute for sophisticated with technical information; public pressure campaigns almost always explicitly support a more sophisticated lobbying effort.</w:t>
      </w:r>
    </w:p>
    <w:p>
      <w:pPr>
        <w:pStyle w:val="BodyText"/>
      </w:pPr>
      <w:r>
        <w:t xml:space="preserve">A few public interest organizations mobilize the vast majority of civic engagement in bureaucratic policymaking. Most campaigns are not astroturf or even advancing narrow private interests. Compared to the usual suspects found lobbying, especially in rulemaking, both the participants and the groups that mobilized them represent broader segments of the public. However, astroturf campaigns are most likely to occur precisely when public pressure is most decisive, so they may still present a normative concern.</w:t>
      </w:r>
    </w:p>
    <w:p>
      <w:pPr>
        <w:pStyle w:val="BodyText"/>
      </w:pPr>
      <w:r>
        <w:t xml:space="preserve">Because public pressure campaigns require resources and specialized capacities, they shine a light on a fairly narrow set of policy issues that interest the few large national policy advocacy groups with the capacity to mobilize large numbers of people.</w:t>
      </w:r>
    </w:p>
    <w:p>
      <w:pPr>
        <w:pStyle w:val="BodyText"/>
      </w:pPr>
      <w:r>
        <w:t xml:space="preserve">Public pressure campaigns targeting the bureaucracy are primarily a tool used by left-aligned lobbying coalitions. The constituencies utilizing public pressure do not alternate under different presidents, as some theories would predict. Instead, organizations with the capacity to mobilize public pressure do so under both Democrat and Republican administrations, generally supporting the policies of the former and opposing the policies of the latter.</w:t>
      </w:r>
    </w:p>
    <w:bookmarkEnd w:id="147"/>
    <w:bookmarkEnd w:id="148"/>
    <w:bookmarkStart w:id="208" w:name="X161de8945e9e99c59f2e14a370cb32bddbf8df0"/>
    <w:p>
      <w:pPr>
        <w:pStyle w:val="Heading1"/>
      </w:pPr>
      <w:r>
        <w:rPr>
          <w:rStyle w:val="SectionNumber"/>
        </w:rPr>
        <w:t xml:space="preserve">3</w:t>
      </w:r>
      <w:r>
        <w:tab/>
      </w:r>
      <w:r>
        <w:t xml:space="preserve">Policy Influence: Do Public Pressure Campaigns Influence Bureaucratic Policymaking?</w:t>
      </w:r>
    </w:p>
    <w:p>
      <w:pPr>
        <w:pStyle w:val="FirstParagraph"/>
      </w:pPr>
      <w:r>
        <w:t xml:space="preserve">See the preanalysis plan for this chapter</w:t>
      </w:r>
      <w:r>
        <w:t xml:space="preserve"> </w:t>
      </w:r>
      <w:hyperlink r:id="rId149">
        <w:r>
          <w:rPr>
            <w:rStyle w:val="Hyperlink"/>
            <w:iCs/>
            <w:i/>
          </w:rPr>
          <w:t xml:space="preserve">here</w:t>
        </w:r>
      </w:hyperlink>
      <w:r>
        <w:t xml:space="preserve">.</w:t>
      </w:r>
    </w:p>
    <w:bookmarkStart w:id="150" w:name="abstract-1"/>
    <w:p>
      <w:pPr>
        <w:pStyle w:val="Heading4"/>
      </w:pPr>
      <w:r>
        <w:t xml:space="preserve">Abstract</w:t>
      </w:r>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rules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mediator for the policy effects of public pressure campaigns.</w:t>
      </w:r>
    </w:p>
    <w:bookmarkEnd w:id="150"/>
    <w:bookmarkStart w:id="153" w:name="introduction-1"/>
    <w:p>
      <w:pPr>
        <w:pStyle w:val="Heading2"/>
      </w:pPr>
      <w:r>
        <w:rPr>
          <w:rStyle w:val="SectionNumber"/>
        </w:rPr>
        <w:t xml:space="preserve">3.1</w:t>
      </w:r>
      <w:r>
        <w:tab/>
      </w:r>
      <w:r>
        <w:t xml:space="preserve">Introduction</w:t>
      </w:r>
    </w:p>
    <w:p>
      <w:pPr>
        <w:pStyle w:val="FirstParagraph"/>
      </w:pPr>
      <w:r>
        <w:t xml:space="preserve">There is little overlap between scholarship on interest group influence and scholarship on mass public pressure. Studies and models of interest group lobbing rarely include pubic pressure as a tactic. Studies of public pressure rarely include specific policy outcomes as their dependent variable. When they do, the tend to focus on landmark policies.</w:t>
      </w:r>
    </w:p>
    <w:p>
      <w:pPr>
        <w:pStyle w:val="BlockText"/>
      </w:pPr>
      <w:r>
        <w:t xml:space="preserve">TODO</w:t>
      </w:r>
    </w:p>
    <w:bookmarkStart w:id="151" w:name="interest-group-influence"/>
    <w:p>
      <w:pPr>
        <w:pStyle w:val="Heading3"/>
      </w:pPr>
      <w:r>
        <w:rPr>
          <w:rStyle w:val="SectionNumber"/>
        </w:rPr>
        <w:t xml:space="preserve">3.1.1</w:t>
      </w:r>
      <w:r>
        <w:tab/>
      </w:r>
      <w:r>
        <w:t xml:space="preserve">Interest Group Influence</w:t>
      </w:r>
    </w:p>
    <w:p>
      <w:pPr>
        <w:pStyle w:val="BlockText"/>
      </w:pPr>
      <w:r>
        <w:t xml:space="preserve">TODO For studies attempting to study interest group influence, measuring lobbying success is a major challenge</w:t>
      </w:r>
      <w:r>
        <w:t xml:space="preserve"> </w:t>
      </w:r>
      <w:r>
        <w:t xml:space="preserve">(</w:t>
      </w:r>
      <w:hyperlink w:anchor="ref-RashinXXXX">
        <w:r>
          <w:rPr>
            <w:rStyle w:val="Hyperlink"/>
            <w:bCs/>
            <w:b/>
          </w:rPr>
          <w:t xml:space="preserve">RashinXXXX?</w:t>
        </w:r>
      </w:hyperlink>
      <w:r>
        <w:t xml:space="preserve">)</w:t>
      </w:r>
      <w:r>
        <w:t xml:space="preserve">.</w:t>
      </w:r>
    </w:p>
    <w:p>
      <w:pPr>
        <w:pStyle w:val="BlockText"/>
      </w:pPr>
      <w:r>
        <w:t xml:space="preserve">“</w:t>
      </w:r>
      <w:r>
        <w:t xml:space="preserve">A client agency will have to struggle mightily to avoid having its work influenced by the single, organized group with which it must deal on a daily basis. Many do not succceed, a few do not even try.</w:t>
      </w:r>
      <w:r>
        <w:t xml:space="preserve">”</w:t>
      </w:r>
      <w:r>
        <w:t xml:space="preserve"> </w:t>
      </w:r>
      <w:r>
        <w:t xml:space="preserve">(</w:t>
      </w:r>
      <w:hyperlink w:anchor="ref-Wilson1989">
        <w:r>
          <w:rPr>
            <w:rStyle w:val="Hyperlink"/>
          </w:rPr>
          <w:t xml:space="preserve">Wilson 1989, pg.79</w:t>
        </w:r>
      </w:hyperlink>
      <w:r>
        <w:t xml:space="preserve">)</w:t>
      </w:r>
    </w:p>
    <w:bookmarkEnd w:id="151"/>
    <w:bookmarkStart w:id="152" w:name="public-pressure"/>
    <w:p>
      <w:pPr>
        <w:pStyle w:val="Heading3"/>
      </w:pPr>
      <w:r>
        <w:rPr>
          <w:rStyle w:val="SectionNumber"/>
        </w:rPr>
        <w:t xml:space="preserve">3.1.2</w:t>
      </w:r>
      <w:r>
        <w:tab/>
      </w:r>
      <w:r>
        <w:t xml:space="preserve">Public Pressure</w:t>
      </w:r>
    </w:p>
    <w:p>
      <w:pPr>
        <w:pStyle w:val="BlockText"/>
      </w:pPr>
      <w:r>
        <w:t xml:space="preserve">TODO Review theory section.</w:t>
      </w:r>
    </w:p>
    <w:p>
      <w:pPr>
        <w:pStyle w:val="FirstParagraph"/>
      </w:pPr>
      <w:r>
        <w:t xml:space="preserve">Social movements and activist pressure occasionally lead to the creattion of new agencies, but these agencies may be left voulerable when pressure wanes.</w:t>
      </w:r>
    </w:p>
    <w:p>
      <w:pPr>
        <w:pStyle w:val="BodyText"/>
      </w:pPr>
      <w:r>
        <w:t xml:space="preserve">Public engagement in rulemaking is highly</w:t>
      </w:r>
      <w:r>
        <w:t xml:space="preserve"> </w:t>
      </w:r>
      <w:r>
        <w:t xml:space="preserve">clustered on a few rules made salient by public pressure campaigns. It is</w:t>
      </w:r>
      <w:r>
        <w:t xml:space="preserve"> </w:t>
      </w:r>
      <w:r>
        <w:t xml:space="preserve">plausible that at least some of the time, these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To address this gap, 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public pressure campaigns as a lobbying</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bookmarkEnd w:id="152"/>
    <w:bookmarkEnd w:id="153"/>
    <w:bookmarkStart w:id="168" w:name="influence-theory"/>
    <w:p>
      <w:pPr>
        <w:pStyle w:val="Heading2"/>
      </w:pPr>
      <w:r>
        <w:rPr>
          <w:rStyle w:val="SectionNumber"/>
        </w:rPr>
        <w:t xml:space="preserve">3.2</w:t>
      </w:r>
      <w:r>
        <w:tab/>
      </w:r>
      <w:r>
        <w:t xml:space="preserve">Theory</w:t>
      </w:r>
    </w:p>
    <w:p>
      <w:pPr>
        <w:pStyle w:val="FirstParagraph"/>
      </w:pPr>
      <w:r>
        <w:t xml:space="preserve">Scholars of bureaucratic policymaking have focused either on</w:t>
      </w:r>
      <w:r>
        <w:t xml:space="preserve"> </w:t>
      </w:r>
      <w:r>
        <w:t xml:space="preserve">the sophisticated lobbying efforts of powerful interest groups such as</w:t>
      </w:r>
      <w:r>
        <w:t xml:space="preserve"> </w:t>
      </w:r>
      <w:r>
        <w:t xml:space="preserve">business coalitions or principal agent dynamics, especially with respect to congress. In this section is first discuss the</w:t>
      </w:r>
      <w:r>
        <w:t xml:space="preserve"> </w:t>
      </w:r>
      <w:r>
        <w:t xml:space="preserve">“</w:t>
      </w:r>
      <w:r>
        <w:t xml:space="preserve">classic model</w:t>
      </w:r>
      <w:r>
        <w:t xml:space="preserve">”</w:t>
      </w:r>
      <w:r>
        <w:t xml:space="preserve"> </w:t>
      </w:r>
      <w:r>
        <w:t xml:space="preserve">of interest group influence and then amend it to incorporate public pressure campaigns. I then do the same with a simiple principal-agent model. The result is one model of interest group influence that includes interactions among sophisiticated lobbying strategies, political principals, and public pressure capaigns.</w:t>
      </w:r>
    </w:p>
    <w:p>
      <w:pPr>
        <w:pStyle w:val="BodyText"/>
      </w:pPr>
      <w:r>
        <w:t xml:space="preserve">The first model focuses on interest group lobbying.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 Diamonds indicate observable choices, ovals indicate latent preferences, and rectangles indicate information–the mechanism of influence in this model.</w:t>
      </w:r>
    </w:p>
    <w:p>
      <w:pPr>
        <w:pStyle w:val="BodyText"/>
      </w:pPr>
      <w:r>
        <w:t xml:space="preserve">The first broadly observable step in the ruemaking process is usually the publication of a draft rule in the Federal Register.</w:t>
      </w:r>
      <w:r>
        <w:t xml:space="preserve"> </w:t>
      </w:r>
      <w:r>
        <w:t xml:space="preserve">While organized groups certianly shape the content of draft policies, the public portion of the policy process begins when the draft is officially published. Organized groups’ latent policy prefrences then take the form of concrete demands for changes the draft policy document. These demands lead to an lobbying strategy that a research may, in theory, observrve. The provision of technical information is the the mechanism of policy influence on which scholars have thusfar focused. There are many reasons to beleive that this is a powerful, likely the primary way that organized groups can affect policymaking, especially in the bureaucracy. Finally, we observe the resutling policy. Inferences about the extent to which lobbying caused any changes (or lack of changes) between the draft and final rule are challenging, but studies of policy generally use observational data and thus require some assumptions linking policy success (a lobbying group getting their desired result) and policy influence (causeing a policy outcome). Groups inveset in providing information</w:t>
      </w:r>
      <w:r>
        <w:t xml:space="preserve"> </w:t>
      </w:r>
      <w:r>
        <w:t xml:space="preserve">“</w:t>
      </w:r>
      <w:r>
        <w:t xml:space="preserve">relevant</w:t>
      </w:r>
      <w:r>
        <w:t xml:space="preserve">”</w:t>
      </w:r>
      <w:r>
        <w:t xml:space="preserve"> </w:t>
      </w:r>
      <w:r>
        <w:t xml:space="preserve">to technocratic policymakers, and the policy response is assumped to be a function of this information.</w:t>
      </w:r>
    </w:p>
    <w:p>
      <w:pPr>
        <w:pStyle w:val="BodyText"/>
      </w:pPr>
      <w:r>
        <w:t xml:space="preserve">Public pressure campaigns have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7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bookmarkStart w:id="154" w:name="how-might-ordinary-people-matter"/>
    <w:p>
      <w:pPr>
        <w:pStyle w:val="Heading3"/>
      </w:pPr>
      <w:r>
        <w:rPr>
          <w:rStyle w:val="SectionNumber"/>
        </w:rPr>
        <w:t xml:space="preserve">3.2.1</w:t>
      </w:r>
      <w:r>
        <w:tab/>
      </w:r>
      <w:r>
        <w:t xml:space="preserve">How Might Ordinary People Matter?</w:t>
      </w:r>
    </w:p>
    <w:p>
      <w:pPr>
        <w:pStyle w:val="FirstParagraph"/>
      </w:pPr>
      <w:r>
        <w:t xml:space="preserve">Skepticism rulemaking as a venue for collective action, has led most scholars to dismiss public pressure campaigns as epiphenomenal to bargaining among agency officials, their political principals, and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hyperlink w:anchor="ref-Epstein2014">
        <w:r>
          <w:rPr>
            <w:rStyle w:val="Hyperlink"/>
          </w:rPr>
          <w:t xml:space="preserve">Dmitry Epstein, Heidt, and Farina</w:t>
        </w:r>
      </w:hyperlink>
      <w:r>
        <w:t xml:space="preserve"> </w:t>
      </w:r>
      <w:r>
        <w:t xml:space="preserve">(</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bookmarkEnd w:id="154"/>
    <w:bookmarkStart w:id="159" w:name="public-pressure-a-political-resource"/>
    <w:p>
      <w:pPr>
        <w:pStyle w:val="Heading3"/>
      </w:pPr>
      <w:r>
        <w:rPr>
          <w:rStyle w:val="SectionNumber"/>
        </w:rPr>
        <w:t xml:space="preserve">3.2.2</w:t>
      </w:r>
      <w:r>
        <w:tab/>
      </w:r>
      <w:r>
        <w:t xml:space="preserve">Public Pressure: a Political Resource</w:t>
      </w:r>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 Public engagement and mobilization can be a</w:t>
      </w:r>
      <w:r>
        <w:t xml:space="preserve"> </w:t>
      </w:r>
      <w:r>
        <w:t xml:space="preserve">tactic to gain power. Scholars who understand mobilization</w:t>
      </w:r>
      <w:r>
        <w:t xml:space="preserve"> </w:t>
      </w:r>
      <w:r>
        <w:t xml:space="preserve">as a lobbying tactic</w:t>
      </w:r>
      <w:r>
        <w:t xml:space="preserve"> </w:t>
      </w:r>
      <w:r>
        <w:t xml:space="preserve">(</w:t>
      </w:r>
      <w:hyperlink w:anchor="ref-Furlong1997">
        <w:r>
          <w:rPr>
            <w:rStyle w:val="Hyperlink"/>
          </w:rPr>
          <w:t xml:space="preserve">S. R. Furlong 1997</w:t>
        </w:r>
      </w:hyperlink>
      <w:r>
        <w:t xml:space="preserve">;</w:t>
      </w:r>
      <w:r>
        <w:t xml:space="preserve"> </w:t>
      </w:r>
      <w:hyperlink w:anchor="ref-Kerwin2011">
        <w:r>
          <w:rPr>
            <w:rStyle w:val="Hyperlink"/>
          </w:rPr>
          <w:t xml:space="preserve">Kerwin and Furlong 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beyond to include the mobilizing of broader audiences–the</w:t>
      </w:r>
      <w:r>
        <w:t xml:space="preserve"> </w:t>
      </w:r>
      <w:r>
        <w:t xml:space="preserve">“</w:t>
      </w:r>
      <w:r>
        <w:t xml:space="preserve">attentive public</w:t>
      </w:r>
      <w:r>
        <w:t xml:space="preserve">”</w:t>
      </w:r>
      <w:r>
        <w:t xml:space="preserve"> </w:t>
      </w:r>
      <w:r>
        <w:t xml:space="preserve">(</w:t>
      </w:r>
      <w:hyperlink w:anchor="ref-Key1961">
        <w:r>
          <w:rPr>
            <w:rStyle w:val="Hyperlink"/>
          </w:rPr>
          <w:t xml:space="preserve">Key 1961</w:t>
        </w:r>
      </w:hyperlink>
      <w:r>
        <w:t xml:space="preserve">)</w:t>
      </w:r>
      <w:r>
        <w:t xml:space="preserve"> </w:t>
      </w:r>
      <w:r>
        <w:t xml:space="preserve">or</w:t>
      </w:r>
      <w:r>
        <w:t xml:space="preserve"> </w:t>
      </w:r>
      <w:r>
        <w:t xml:space="preserve">“</w:t>
      </w:r>
      <w:r>
        <w:t xml:space="preserve">issue public</w:t>
      </w:r>
      <w:r>
        <w:t xml:space="preserve">”</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Here I build on three insights. First,</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Cs/>
          <w:i/>
        </w:rPr>
        <w:t xml:space="preserve">public</w:t>
      </w:r>
      <w:r>
        <w:t xml:space="preserve"> </w:t>
      </w:r>
      <w:r>
        <w:t xml:space="preserve">consensus. Instead of bolstering</w:t>
      </w:r>
      <w:r>
        <w:t xml:space="preserve"> </w:t>
      </w:r>
      <w:r>
        <w:rPr>
          <w:iCs/>
          <w:i/>
        </w:rPr>
        <w:t xml:space="preserve">scientific</w:t>
      </w:r>
      <w:r>
        <w:t xml:space="preserve"> </w:t>
      </w:r>
      <w:r>
        <w:t xml:space="preserve">claims, a perceived public consensus bolsters</w:t>
      </w:r>
      <w:r>
        <w:t xml:space="preserve"> </w:t>
      </w:r>
      <w:r>
        <w:rPr>
          <w:iCs/>
          <w:i/>
        </w:rPr>
        <w:t xml:space="preserve">political</w:t>
      </w:r>
      <w:r>
        <w:t xml:space="preserve"> </w:t>
      </w:r>
      <w:r>
        <w:t xml:space="preserve">claims. Finally,</w:t>
      </w:r>
      <w:r>
        <w:t xml:space="preserve"> </w:t>
      </w:r>
      <w:hyperlink w:anchor="ref-Furlong1998">
        <w:r>
          <w:rPr>
            <w:rStyle w:val="Hyperlink"/>
          </w:rPr>
          <w:t xml:space="preserve">S. R. Furlong</w:t>
        </w:r>
      </w:hyperlink>
      <w:r>
        <w:t xml:space="preserve"> </w:t>
      </w:r>
      <w:r>
        <w:t xml:space="preserve">(</w:t>
      </w:r>
      <w:hyperlink w:anchor="ref-Furlong1998">
        <w:r>
          <w:rPr>
            <w:rStyle w:val="Hyperlink"/>
          </w:rPr>
          <w:t xml:space="preserve">1998</w:t>
        </w:r>
      </w:hyperlink>
      <w:r>
        <w:t xml:space="preserve">)</w:t>
      </w:r>
      <w:r>
        <w:t xml:space="preserve">,</w:t>
      </w:r>
      <w:r>
        <w:t xml:space="preserve"> </w:t>
      </w:r>
      <w:hyperlink w:anchor="ref-Yackee2006JPART">
        <w:r>
          <w:rPr>
            <w:rStyle w:val="Hyperlink"/>
          </w:rPr>
          <w:t xml:space="preserve">S. W. Yackee</w:t>
        </w:r>
      </w:hyperlink>
      <w:r>
        <w:t xml:space="preserve"> </w:t>
      </w:r>
      <w:r>
        <w:t xml:space="preserve">(</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 </w:t>
      </w:r>
      <w:r>
        <w:t xml:space="preserve">calls on agency officials to pay more</w:t>
      </w:r>
      <w:r>
        <w:t xml:space="preserve"> </w:t>
      </w:r>
      <w:r>
        <w:t xml:space="preserve">attention to ordinary peoples’ expressions of preference and</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w:t>
      </w:r>
      <w:r>
        <w:t xml:space="preserve">suggests reforms to the public comment process to include</w:t>
      </w:r>
      <w:r>
        <w:t xml:space="preserve"> </w:t>
      </w:r>
      <w:r>
        <w:t xml:space="preserve">opinion polls. I build from a similar intuition that mass comment</w:t>
      </w:r>
      <w:r>
        <w:t xml:space="preserve"> </w:t>
      </w:r>
      <w:r>
        <w:t xml:space="preserve">campaigns currently function like a poll or</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55"/>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w:t>
      </w:r>
      <w:hyperlink w:anchor="ref-Mansbridge1992">
        <w:r>
          <w:rPr>
            <w:rStyle w:val="Hyperlink"/>
          </w:rPr>
          <w:t xml:space="preserve">J. J. Mansbridge 1992</w:t>
        </w:r>
      </w:hyperlink>
      <w:r>
        <w:t xml:space="preserve">;</w:t>
      </w:r>
      <w:r>
        <w:t xml:space="preserve"> </w:t>
      </w:r>
      <w:hyperlink w:anchor="ref-Mahoney2007">
        <w:r>
          <w:rPr>
            <w:rStyle w:val="Hyperlink"/>
          </w:rPr>
          <w:t xml:space="preserve">Mahoney 2007b</w:t>
        </w:r>
      </w:hyperlink>
      <w:r>
        <w:t xml:space="preserve">)</w:t>
      </w:r>
      <w:r>
        <w:t xml:space="preserve">. Campaigns inform agency officials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w:t>
      </w:r>
      <w:hyperlink w:anchor="ref-Hutchings2003">
        <w:r>
          <w:rPr>
            <w:rStyle w:val="Hyperlink"/>
          </w:rPr>
          <w:t xml:space="preserve">Hutchings 2003</w:t>
        </w:r>
      </w:hyperlink>
      <w:r>
        <w:t xml:space="preserve">)</w:t>
      </w:r>
      <w:r>
        <w:t xml:space="preserve">.</w:t>
      </w:r>
      <w:r>
        <w:t xml:space="preserve"> </w:t>
      </w:r>
      <w:r>
        <w:t xml:space="preserve"> </w:t>
      </w:r>
      <w:r>
        <w:t xml:space="preserve">If a lobbying strategist believes the attentive public is</w:t>
      </w:r>
      <w:r>
        <w:t xml:space="preserve"> </w:t>
      </w:r>
      <w:r>
        <w:t xml:space="preserve">on their side, they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77"/>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156"/>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agency officials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hyperlink w:anchor="ref-Carpenter2014b">
        <w:r>
          <w:rPr>
            <w:rStyle w:val="Hyperlink"/>
          </w:rPr>
          <w:t xml:space="preserve">D. Carpenter and Moore</w:t>
        </w:r>
      </w:hyperlink>
      <w:r>
        <w:t xml:space="preserve"> </w:t>
      </w:r>
      <w:r>
        <w:t xml:space="preserve">(</w:t>
      </w:r>
      <w:hyperlink w:anchor="ref-Carpenter2014b">
        <w:r>
          <w:rPr>
            <w:rStyle w:val="Hyperlink"/>
          </w:rPr>
          <w:t xml:space="preserve">2014</w:t>
        </w:r>
      </w:hyperlink>
      <w:r>
        <w:t xml:space="preserve">)</w:t>
      </w:r>
      <w:r>
        <w:t xml:space="preserve">).</w:t>
      </w:r>
    </w:p>
    <w:bookmarkStart w:id="158" w:name="mass-comment-campaigns"/>
    <w:p>
      <w:pPr>
        <w:pStyle w:val="Heading4"/>
      </w:pPr>
      <w:r>
        <w:rPr>
          <w:rStyle w:val="SectionNumber"/>
        </w:rPr>
        <w:t xml:space="preserve">3.2.2.1</w:t>
      </w:r>
      <w:r>
        <w:tab/>
      </w:r>
      <w:r>
        <w:t xml:space="preserve">Mass comment campaigns</w:t>
      </w:r>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 Review</w:t>
      </w:r>
      <w:r>
        <w:t xml:space="preserve"> </w:t>
      </w:r>
      <w:hyperlink w:anchor="ref-Cook2017">
        <w:r>
          <w:rPr>
            <w:rStyle w:val="Hyperlink"/>
          </w:rPr>
          <w:t xml:space="preserve">Cook</w:t>
        </w:r>
      </w:hyperlink>
      <w:r>
        <w:t xml:space="preserve"> </w:t>
      </w:r>
      <w:r>
        <w:t xml:space="preserve">(</w:t>
      </w:r>
      <w:hyperlink w:anchor="ref-Cook2017">
        <w:r>
          <w:rPr>
            <w:rStyle w:val="Hyperlink"/>
          </w:rPr>
          <w:t xml:space="preserve">2017</w:t>
        </w:r>
      </w:hyperlink>
      <w:r>
        <w:t xml:space="preserve">)</w:t>
      </w:r>
    </w:p>
    <w:p>
      <w:pPr>
        <w:pStyle w:val="FirstParagraph"/>
      </w:pPr>
      <w:r>
        <w:t xml:space="preserve">Responding to public pressure campaings, agency officials often reject the notion that public pressure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57">
        <w:r>
          <w:rPr>
            <w:rStyle w:val="Hyperlink"/>
          </w:rPr>
          <w:t xml:space="preserve">CFPB-2020-14935</w:t>
        </w:r>
      </w:hyperlink>
    </w:p>
    <w:bookmarkEnd w:id="158"/>
    <w:bookmarkEnd w:id="159"/>
    <w:bookmarkStart w:id="160" w:name="formal"/>
    <w:p>
      <w:pPr>
        <w:pStyle w:val="Heading3"/>
      </w:pPr>
      <w:r>
        <w:rPr>
          <w:rStyle w:val="SectionNumber"/>
        </w:rPr>
        <w:t xml:space="preserve">3.2.3</w:t>
      </w:r>
      <w:r>
        <w:tab/>
      </w:r>
      <w:r>
        <w:t xml:space="preserve">Incorporating Political Information into Formal Models of Rulemaking</w:t>
      </w:r>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hyperlink w:anchor="ref-Libgober2018">
        <w:r>
          <w:rPr>
            <w:rStyle w:val="Hyperlink"/>
          </w:rPr>
          <w:t xml:space="preserve">Libgober</w:t>
        </w:r>
      </w:hyperlink>
      <w:r>
        <w:t xml:space="preserve"> </w:t>
      </w:r>
      <w:r>
        <w:t xml:space="preserve">(</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rPr>
            <m:sty m:val="p"/>
          </m:rPr>
          <m:t>(</m:t>
        </m:r>
        <m:sSub>
          <m:e>
            <m:r>
              <m:t>x</m:t>
            </m:r>
          </m:e>
          <m:sub>
            <m:r>
              <m:t>F</m:t>
            </m:r>
          </m:sub>
        </m:sSub>
        <m:r>
          <m:rPr>
            <m:sty m:val="p"/>
          </m:rPr>
          <m:t>)</m:t>
        </m:r>
        <m:r>
          <m:rPr>
            <m:sty m:val="p"/>
          </m:rPr>
          <m:t>=</m:t>
        </m:r>
        <m:sSub>
          <m:e>
            <m:r>
              <m:t>α</m:t>
            </m:r>
          </m:e>
          <m:sub>
            <m:r>
              <m:t>0</m:t>
            </m:r>
          </m:sub>
        </m:sSub>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sSub>
              <m:e>
                <m:r>
                  <m:t>α</m:t>
                </m:r>
              </m:e>
              <m:sub>
                <m:r>
                  <m:t>i</m:t>
                </m:r>
              </m:sub>
            </m:sSub>
          </m:e>
        </m:nary>
        <m:sSub>
          <m:e>
            <m:r>
              <m:t>u</m:t>
            </m:r>
          </m:e>
          <m:sub>
            <m:r>
              <m:t>i</m:t>
            </m:r>
          </m:sub>
        </m:sSub>
        <m:r>
          <m:rPr>
            <m:sty m:val="p"/>
          </m:rPr>
          <m:t>(</m:t>
        </m:r>
        <m:sSub>
          <m:e>
            <m:r>
              <m:t>x</m:t>
            </m:r>
          </m:e>
          <m:sub>
            <m:r>
              <m:t>f</m:t>
            </m:r>
          </m:sub>
        </m:sSub>
        <m:r>
          <m:rPr>
            <m:sty m:val="p"/>
          </m:rP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 decisionmakers</w:t>
      </w:r>
      <w:r>
        <w:t xml:space="preserve"> </w:t>
      </w:r>
      <w:r>
        <w:t xml:space="preserve">care about their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rPr>
                <m:sty m:val="p"/>
              </m:rPr>
              <m:t>=</m:t>
            </m:r>
            <m:r>
              <m:t>1</m:t>
            </m:r>
            <m:r>
              <m:rPr>
                <m:sty m:val="p"/>
              </m:rP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agency officials care?</w:t>
      </w:r>
      <w:r>
        <w:t xml:space="preserve">”</w:t>
      </w:r>
    </w:p>
    <w:p>
      <w:pPr>
        <w:pStyle w:val="BodyText"/>
      </w:pPr>
      <w:r>
        <w:t xml:space="preserve">Like other lobbying strategies, public pressure campaigns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agency officials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rPr>
            <m:sty m:val="p"/>
          </m:rPr>
          <m:t>(</m:t>
        </m:r>
        <m:sSub>
          <m:e>
            <m:r>
              <m:t>x</m:t>
            </m:r>
          </m:e>
          <m:sub>
            <m:r>
              <m:t>F</m:t>
            </m:r>
          </m:sub>
        </m:sSub>
        <m:r>
          <m:rPr>
            <m:sty m:val="p"/>
          </m:rPr>
          <m:t>)</m:t>
        </m:r>
        <m:r>
          <m:rPr>
            <m:sty m:val="p"/>
          </m:rPr>
          <m:t>=</m:t>
        </m:r>
        <m:r>
          <m:rPr>
            <m:sty m:val="p"/>
          </m:rPr>
          <m:t>(</m:t>
        </m:r>
        <m:sSub>
          <m:e>
            <m:r>
              <m:t>α</m:t>
            </m:r>
          </m:e>
          <m:sub>
            <m:r>
              <m:t>t</m:t>
            </m:r>
            <m:r>
              <m:t>0</m:t>
            </m:r>
          </m:sub>
        </m:sSub>
        <m:r>
          <m:rPr>
            <m:sty m:val="p"/>
          </m:rPr>
          <m:t>+</m:t>
        </m:r>
        <m:sSub>
          <m:e>
            <m:r>
              <m:t>α</m:t>
            </m:r>
          </m:e>
          <m:sub>
            <m:r>
              <m:t>s</m:t>
            </m:r>
            <m:r>
              <m:t>0</m:t>
            </m:r>
          </m:sub>
        </m:sSub>
        <m:r>
          <m:rPr>
            <m:sty m:val="p"/>
          </m:rPr>
          <m:t>+</m:t>
        </m:r>
        <m:sSub>
          <m:e>
            <m:r>
              <m:t>α</m:t>
            </m:r>
          </m:e>
          <m:sub>
            <m:r>
              <m:t>d</m:t>
            </m:r>
            <m:r>
              <m:t>0</m:t>
            </m:r>
          </m:sub>
        </m:sSub>
        <m:r>
          <m:rPr>
            <m:sty m:val="p"/>
          </m:rPr>
          <m:t>)</m:t>
        </m:r>
        <m:sSubSup>
          <m:e>
            <m:r>
              <m:t>x</m:t>
            </m:r>
          </m:e>
          <m:sub>
            <m:r>
              <m:t>f</m:t>
            </m:r>
          </m:sub>
          <m:sup>
            <m:r>
              <m:t>2</m:t>
            </m:r>
          </m:sup>
        </m:sSubSup>
        <m:r>
          <m:rPr>
            <m:sty m:val="p"/>
          </m:rPr>
          <m:t>+</m:t>
        </m:r>
        <m:nary>
          <m:naryPr>
            <m:chr m:val="∑"/>
            <m:limLoc m:val="undOvr"/>
            <m:subHide m:val="0"/>
            <m:supHide m:val="0"/>
          </m:naryPr>
          <m:sub>
            <m:r>
              <m:t>i</m:t>
            </m:r>
            <m:r>
              <m:rPr>
                <m:sty m:val="p"/>
              </m:rPr>
              <m:t>=</m:t>
            </m:r>
            <m:r>
              <m:t>1</m:t>
            </m:r>
          </m:sub>
          <m:sup>
            <m:r>
              <m:t>N</m:t>
            </m:r>
          </m:sup>
          <m:e>
            <m:r>
              <m:rPr>
                <m:sty m:val="p"/>
              </m:rPr>
              <m:t>(</m:t>
            </m:r>
          </m:e>
        </m:nary>
        <m:sSub>
          <m:e>
            <m:r>
              <m:t>α</m:t>
            </m:r>
          </m:e>
          <m:sub>
            <m:r>
              <m:t>t</m:t>
            </m:r>
            <m:r>
              <m:t>i</m:t>
            </m:r>
          </m:sub>
        </m:sSub>
        <m:r>
          <m:rPr>
            <m:sty m:val="p"/>
          </m:rPr>
          <m:t>+</m:t>
        </m:r>
        <m:sSub>
          <m:e>
            <m:r>
              <m:t>α</m:t>
            </m:r>
          </m:e>
          <m:sub>
            <m:r>
              <m:t>s</m:t>
            </m:r>
            <m:r>
              <m:t>i</m:t>
            </m:r>
          </m:sub>
        </m:sSub>
        <m:r>
          <m:rPr>
            <m:sty m:val="p"/>
          </m:rPr>
          <m:t>+</m:t>
        </m:r>
        <m:sSub>
          <m:e>
            <m:r>
              <m:t>α</m:t>
            </m:r>
          </m:e>
          <m:sub>
            <m:r>
              <m:t>d</m:t>
            </m:r>
            <m:r>
              <m:t>i</m:t>
            </m:r>
          </m:sub>
        </m:sSub>
        <m:r>
          <m:rPr>
            <m:sty m:val="p"/>
          </m:rPr>
          <m:t>)</m:t>
        </m:r>
        <m:sSub>
          <m:e>
            <m:r>
              <m:t>u</m:t>
            </m:r>
          </m:e>
          <m:sub>
            <m:r>
              <m:t>i</m:t>
            </m:r>
          </m:sub>
        </m:sSub>
        <m:r>
          <m:rPr>
            <m:sty m:val="p"/>
          </m:rPr>
          <m:t>(</m:t>
        </m:r>
        <m:sSub>
          <m:e>
            <m:r>
              <m:t>x</m:t>
            </m:r>
          </m:e>
          <m:sub>
            <m:r>
              <m:t>f</m:t>
            </m:r>
          </m:sub>
        </m:sSub>
        <m:r>
          <m:rPr>
            <m:sty m:val="p"/>
          </m:rPr>
          <m:t>)</m:t>
        </m:r>
      </m:oMath>
      <w:r>
        <w:t xml:space="preserve">.</w:t>
      </w:r>
      <w:r>
        <w:t xml:space="preserve"> </w:t>
      </w:r>
      <w:r>
        <w:t xml:space="preserve">If, after the comment period, the strategic environment is</w:t>
      </w:r>
      <w:r>
        <w:t xml:space="preserve"> </w:t>
      </w:r>
      <w:r>
        <w:t xml:space="preserve">unchanged and officials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bookmarkEnd w:id="160"/>
    <w:bookmarkStart w:id="163" w:name="oversight-theory"/>
    <w:p>
      <w:pPr>
        <w:pStyle w:val="Heading3"/>
      </w:pPr>
      <w:r>
        <w:rPr>
          <w:rStyle w:val="SectionNumber"/>
        </w:rPr>
        <w:t xml:space="preserve">3.2.4</w:t>
      </w:r>
      <w:r>
        <w:tab/>
      </w:r>
      <w:r>
        <w:t xml:space="preserve">Congressional oversight as a mediator of interest-group influence</w:t>
      </w:r>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Other examples show that members of Congress know about and may be spurred to act by public pressure campaigns.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Pracitice Rule and Used Car Rule:</w:t>
      </w:r>
    </w:p>
    <w:p>
      <w:pPr>
        <w:pStyle w:val="BlockText"/>
      </w:pPr>
      <w:r>
        <w:t xml:space="preserve">“</w:t>
      </w:r>
      <w:r>
        <w:t xml:space="preserve">Undertaker sand used -care dealers were out raged by these proposed rules. Very quicly, members of Congress discovered just how many undertakers and car dealers they had in their districts and how well-connected they were. The FTC suddenly had activated large , hostile interests who were succesful in getting Congress to force the agency to back down.</w:t>
      </w:r>
      <w:r>
        <w:t xml:space="preserve">”</w:t>
      </w:r>
      <w:r>
        <w:t xml:space="preserve"> </w:t>
      </w:r>
      <w:r>
        <w:t xml:space="preserve">(</w:t>
      </w:r>
      <w:hyperlink w:anchor="ref-Wilson1989">
        <w:r>
          <w:rPr>
            <w:rStyle w:val="Hyperlink"/>
          </w:rPr>
          <w:t xml:space="preserve">Wilson 1989</w:t>
        </w:r>
      </w:hyperlink>
      <w:r>
        <w:t xml:space="preserve">, pg. 83)</w:t>
      </w:r>
    </w:p>
    <w:p>
      <w:pPr>
        <w:pStyle w:val="FirstParagraph"/>
      </w:pPr>
      <w:r>
        <w:t xml:space="preserve">Public pressure campaigns often seek to influence policy by informing them of constituent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61">
        <w:r>
          <w:rPr>
            <w:rStyle w:val="Hyperlink"/>
          </w:rPr>
          <w:t xml:space="preserve">EPA-HQ-OAR-2005-0161-2624</w:t>
        </w:r>
      </w:hyperlink>
      <w:r>
        <w:t xml:space="preserve">).</w:t>
      </w:r>
    </w:p>
    <w:p>
      <w:pPr>
        <w:pStyle w:val="BodyText"/>
      </w:pPr>
      <w:r>
        <w:t xml:space="preserve">Lobbying campaigns can also capture the attention of members of Congress on the opposite side of the issue. For example, in 2016, a group of Democratic legislators wrote encouraging words to Obama’s the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bookmarkStart w:id="162" w:name="Xb7ad59683a2b61bcbb6b497794c66cb873a4d0c"/>
    <w:p>
      <w:pPr>
        <w:pStyle w:val="Heading4"/>
      </w:pPr>
      <w:r>
        <w:rPr>
          <w:rStyle w:val="SectionNumber"/>
        </w:rPr>
        <w:t xml:space="preserve">3.2.4.1</w:t>
      </w:r>
      <w:r>
        <w:tab/>
      </w:r>
      <w:r>
        <w:t xml:space="preserve">Principal-agent Relationships During Rulemaking</w:t>
      </w:r>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w:t>
      </w:r>
      <w:hyperlink w:anchor="ref-Potter2016">
        <w:r>
          <w:rPr>
            <w:rStyle w:val="Hyperlink"/>
          </w:rPr>
          <w:t xml:space="preserve">Potter 2017b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w:t>
      </w:r>
      <w:hyperlink w:anchor="ref-Cuellar2005">
        <w:r>
          <w:rPr>
            <w:rStyle w:val="Hyperlink"/>
          </w:rPr>
          <w:t xml:space="preserve">Cuéllar 2005</w:t>
        </w:r>
      </w:hyperlink>
      <w:r>
        <w:t xml:space="preserve">)</w:t>
      </w:r>
      <w:r>
        <w:t xml:space="preserve">. 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w:t>
      </w:r>
      <w:hyperlink w:anchor="ref-Epstein1994">
        <w:r>
          <w:rPr>
            <w:rStyle w:val="Hyperlink"/>
          </w:rPr>
          <w:t xml:space="preserve">David Epstein and O’Halloran 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hyperlink w:anchor="ref-McCubbins1987">
        <w:r>
          <w:rPr>
            <w:rStyle w:val="Hyperlink"/>
          </w:rPr>
          <w:t xml:space="preserve">Mathew D. McCubbins, Noll, and Weingast</w:t>
        </w:r>
      </w:hyperlink>
      <w:r>
        <w:t xml:space="preserve"> </w:t>
      </w:r>
      <w:r>
        <w:t xml:space="preserve">(</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w:t>
      </w:r>
      <w:hyperlink w:anchor="ref-Balla1998">
        <w:r>
          <w:rPr>
            <w:rStyle w:val="Hyperlink"/>
          </w:rPr>
          <w:t xml:space="preserve">Steven J. Balla 1998</w:t>
        </w:r>
      </w:hyperlink>
      <w:r>
        <w:t xml:space="preserve">)</w:t>
      </w:r>
      <w:r>
        <w:t xml:space="preserve">.</w:t>
      </w:r>
    </w:p>
    <w:bookmarkEnd w:id="162"/>
    <w:bookmarkEnd w:id="163"/>
    <w:bookmarkStart w:id="165" w:name="X740691dbc1d13859f3bf171ce470f133d6a4896"/>
    <w:p>
      <w:pPr>
        <w:pStyle w:val="Heading3"/>
      </w:pPr>
      <w:r>
        <w:rPr>
          <w:rStyle w:val="SectionNumber"/>
        </w:rPr>
        <w:t xml:space="preserve">3.2.5</w:t>
      </w:r>
      <w:r>
        <w:tab/>
      </w:r>
      <w:r>
        <w:t xml:space="preserve">Incorporating Political Information into Models of Political Oversight</w:t>
      </w:r>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Cs/>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cover needed to hold course.</w:t>
      </w:r>
    </w:p>
    <w:p>
      <w:pPr>
        <w:pStyle w:val="CaptionedFigure"/>
      </w:pPr>
      <w:r>
        <w:drawing>
          <wp:inline>
            <wp:extent cx="5334000" cy="2374952"/>
            <wp:effectExtent b="0" l="0" r="0" t="0"/>
            <wp:docPr descr="Figure 3.3: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64"/>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Incorporating Congressional Oversight into Model of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w:t>
      </w:r>
      <w:hyperlink w:anchor="ref-Arnold1979">
        <w:r>
          <w:rPr>
            <w:rStyle w:val="Hyperlink"/>
          </w:rPr>
          <w:t xml:space="preserve">Arnold 1979</w:t>
        </w:r>
      </w:hyperlink>
      <w:r>
        <w:t xml:space="preserve">;</w:t>
      </w:r>
      <w:r>
        <w:t xml:space="preserve"> </w:t>
      </w:r>
      <w:hyperlink w:anchor="ref-Mayhew2000">
        <w:r>
          <w:rPr>
            <w:rStyle w:val="Hyperlink"/>
          </w:rPr>
          <w:t xml:space="preserve">Mayhew 2000</w:t>
        </w:r>
      </w:hyperlink>
      <w:r>
        <w:t xml:space="preserve">)</w:t>
      </w:r>
      <w:r>
        <w:t xml:space="preserve">.</w:t>
      </w:r>
      <w:r>
        <w:t xml:space="preserve"> </w:t>
      </w:r>
      <w:hyperlink w:anchor="ref-Moore2018">
        <w:r>
          <w:rPr>
            <w:rStyle w:val="Hyperlink"/>
          </w:rPr>
          <w:t xml:space="preserve">Emily H. Moore</w:t>
        </w:r>
      </w:hyperlink>
      <w:r>
        <w:t xml:space="preserve"> </w:t>
      </w:r>
      <w:r>
        <w:t xml:space="preserve">(</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bookmarkEnd w:id="165"/>
    <w:bookmarkStart w:id="167" w:name="oversight-hypotheses"/>
    <w:p>
      <w:pPr>
        <w:pStyle w:val="Heading3"/>
      </w:pPr>
      <w:r>
        <w:rPr>
          <w:rStyle w:val="SectionNumber"/>
        </w:rPr>
        <w:t xml:space="preserve">3.2.6</w:t>
      </w:r>
      <w:r>
        <w:tab/>
      </w:r>
      <w:r>
        <w:t xml:space="preserve">Hypotheses about the relationship between mass engagement and oversight</w:t>
      </w:r>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Cs/>
          <w:b/>
        </w:rPr>
        <w:t xml:space="preserve">Hypothesis 2:</w:t>
      </w:r>
      <w:r>
        <w:t xml:space="preserve"> </w:t>
      </w:r>
      <w:r>
        <w:rPr>
          <w:iCs/>
          <w:i/>
        </w:rPr>
        <w:t xml:space="preserve">Elected officials’ advocacy is moderated by mass</w:t>
      </w:r>
      <w:r>
        <w:rPr>
          <w:iCs/>
          <w:i/>
        </w:rPr>
        <w:t xml:space="preserve"> </w:t>
      </w:r>
      <w:r>
        <w:rPr>
          <w:iCs/>
          <w:i/>
        </w:rPr>
        <w:t xml:space="preserve">engagement.</w:t>
      </w:r>
    </w:p>
    <w:p>
      <w:pPr>
        <w:pStyle w:val="BodyText"/>
      </w:pPr>
      <w:r>
        <w:rPr>
          <w:bCs/>
          <w:b/>
        </w:rPr>
        <w:t xml:space="preserve">Hypothesis 3:</w:t>
      </w:r>
      <w:r>
        <w:t xml:space="preserve"> </w:t>
      </w: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r>
        <w:rPr>
          <w:bCs/>
          <w:b/>
        </w:rPr>
        <w:t xml:space="preserve">Hypothesis 4:</w:t>
      </w:r>
      <w:r>
        <w:t xml:space="preserve"> </w:t>
      </w: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 3 implies that</w:t>
      </w:r>
      <w:r>
        <w:t xml:space="preserve"> </w:t>
      </w:r>
      <m:oMath>
        <m:sSub>
          <m:e>
            <m:r>
              <m:t>β</m:t>
            </m:r>
          </m:e>
          <m:sub>
            <m:r>
              <m:t>1</m:t>
            </m:r>
          </m:sub>
        </m:sSub>
      </m:oMath>
      <w:r>
        <w:t xml:space="preserve"> </w:t>
      </w:r>
      <w:r>
        <w:t xml:space="preserve">is positive and</w:t>
      </w:r>
      <w:r>
        <w:t xml:space="preserve"> </w:t>
      </w:r>
      <w:r>
        <w:t xml:space="preserve">Hypothesis 4</w:t>
      </w:r>
      <w:r>
        <w:t xml:space="preserve"> </w:t>
      </w:r>
      <m:oMath>
        <m:sSub>
          <m:e>
            <m:r>
              <m:t>β</m:t>
            </m:r>
          </m:e>
          <m:sub>
            <m:r>
              <m:t>2</m:t>
            </m:r>
          </m:sub>
        </m:sSub>
      </m:oMath>
      <w:r>
        <w:t xml:space="preserve"> </w:t>
      </w:r>
      <w:r>
        <w:t xml:space="preserve">is negative in this statement:</w:t>
      </w:r>
      <w:r>
        <w:t xml:space="preserve"> </w:t>
      </w:r>
      <w:r>
        <w:rPr>
          <w:iCs/>
          <w:i/>
        </w:rPr>
        <w:t xml:space="preserve">Pr(Principal Comments</w:t>
      </w:r>
      <w:r>
        <w:rPr>
          <w:iCs/>
          <w:i/>
        </w:rPr>
        <w:t xml:space="preserve"> </w:t>
      </w:r>
      <m:oMath>
        <m:r>
          <m:rPr>
            <m:sty m:val="p"/>
          </m:rPr>
          <m:t>|</m:t>
        </m:r>
      </m:oMath>
      <w:r>
        <w:rPr>
          <w:iCs/>
          <w:i/>
        </w:rPr>
        <w:t xml:space="preserve"> </w:t>
      </w:r>
      <w:r>
        <w:rPr>
          <w:iCs/>
          <w:i/>
        </w:rPr>
        <w:t xml:space="preserve">Principal Position</w:t>
      </w:r>
      <w:r>
        <w:rPr>
          <w:iCs/>
          <w:i/>
        </w:rPr>
        <w:t xml:space="preserve"> </w:t>
      </w:r>
      <m:oMath>
        <m:r>
          <m:t>i</m:t>
        </m:r>
      </m:oMath>
      <w:r>
        <w:rPr>
          <w:iCs/>
          <w:i/>
        </w:rPr>
        <w:t xml:space="preserve">)</w:t>
      </w:r>
      <w:r>
        <w:rPr>
          <w:iCs/>
          <w:i/>
        </w:rPr>
        <w:t xml:space="preserve"> </w:t>
      </w:r>
      <m:oMath>
        <m:r>
          <m:rPr>
            <m:sty m:val="p"/>
          </m:rPr>
          <m:t>∼</m:t>
        </m:r>
        <m:sSub>
          <m:e>
            <m:r>
              <m:t>β</m:t>
            </m:r>
          </m:e>
          <m:sub>
            <m:r>
              <m:t>0</m:t>
            </m:r>
          </m:sub>
        </m:sSub>
        <m:r>
          <m:rPr>
            <m:sty m:val="p"/>
          </m:rPr>
          <m:t>+</m:t>
        </m:r>
        <m:sSub>
          <m:e>
            <m:r>
              <m:t>β</m:t>
            </m:r>
          </m:e>
          <m:sub>
            <m:r>
              <m:t>1</m:t>
            </m:r>
          </m:sub>
        </m:sSub>
      </m:oMath>
      <w:r>
        <w:rPr>
          <w:iCs/>
          <w:i/>
        </w:rPr>
        <w:t xml:space="preserve">Comments supporting</w:t>
      </w:r>
      <w:r>
        <w:rPr>
          <w:iCs/>
          <w:i/>
        </w:rPr>
        <w:t xml:space="preserve"> </w:t>
      </w:r>
      <m:oMath>
        <m:r>
          <m:t>i</m:t>
        </m:r>
        <m:r>
          <m:rPr>
            <m:sty m:val="p"/>
          </m:rPr>
          <m:t>+</m:t>
        </m:r>
        <m:sSub>
          <m:e>
            <m:r>
              <m:t>β</m:t>
            </m:r>
          </m:e>
          <m:sub>
            <m:r>
              <m:t>2</m:t>
            </m:r>
          </m:sub>
        </m:sSub>
      </m:oMath>
      <w:r>
        <w:rPr>
          <w:iCs/>
          <w:i/>
        </w:rPr>
        <w:t xml:space="preserve">Comments</w:t>
      </w:r>
      <w:r>
        <w:rPr>
          <w:iCs/>
          <w:i/>
        </w:rPr>
        <w:t xml:space="preserve"> </w:t>
      </w:r>
      <w:r>
        <w:rPr>
          <w:iCs/>
          <w:i/>
        </w:rPr>
        <w:t xml:space="preserve">opposing</w:t>
      </w:r>
      <w:r>
        <w:rPr>
          <w:iCs/>
          <w:i/>
        </w:rPr>
        <w:t xml:space="preserve"> </w:t>
      </w:r>
      <m:oMath>
        <m:r>
          <m:t>i</m:t>
        </m:r>
      </m:oMath>
    </w:p>
    <w:p>
      <w:pPr>
        <w:pStyle w:val="BodyText"/>
      </w:pPr>
      <w:r>
        <w:t xml:space="preserve">If Hypothesis 3 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66"/>
      </w:r>
    </w:p>
    <w:p>
      <w:pPr>
        <w:pStyle w:val="BodyText"/>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r>
        <w:t xml:space="preserve">3 or</w:t>
      </w:r>
      <w:r>
        <w:t xml:space="preserve"> </w:t>
      </w:r>
      <w:r>
        <w:t xml:space="preserve">4 respectively.</w:t>
      </w:r>
    </w:p>
    <w:p>
      <w:pPr>
        <w:pStyle w:val="BodyText"/>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bookmarkEnd w:id="167"/>
    <w:bookmarkEnd w:id="168"/>
    <w:bookmarkStart w:id="195" w:name="testing-the-theory"/>
    <w:p>
      <w:pPr>
        <w:pStyle w:val="Heading2"/>
      </w:pPr>
      <w:r>
        <w:rPr>
          <w:rStyle w:val="SectionNumber"/>
        </w:rPr>
        <w:t xml:space="preserve">3.3</w:t>
      </w:r>
      <w:r>
        <w:tab/>
      </w:r>
      <w:r>
        <w:t xml:space="preserve">Testing the Theory</w:t>
      </w:r>
    </w:p>
    <w:bookmarkStart w:id="174" w:name="influence-data"/>
    <w:p>
      <w:pPr>
        <w:pStyle w:val="Heading3"/>
      </w:pPr>
      <w:r>
        <w:rPr>
          <w:rStyle w:val="SectionNumber"/>
        </w:rPr>
        <w:t xml:space="preserve">3.3.1</w:t>
      </w:r>
      <w:r>
        <w:tab/>
      </w:r>
      <w:r>
        <w:t xml:space="preserve">Data</w:t>
      </w:r>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2020, that received at least one comment from an organization, and that saw a final agency action between 2005 and 2020.</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69"/>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w:t>
      </w:r>
      <w:r>
        <w:t xml:space="preserve"> </w:t>
      </w:r>
      <w:r>
        <w:t xml:space="preserve">For hand-coding, I first select a random sample of 100 proposed rules with a mass-comment campaign. I then selected all comments that were likely to be from organizations.</w:t>
      </w:r>
      <w:r>
        <w:rPr>
          <w:rStyle w:val="FootnoteReference"/>
        </w:rPr>
        <w:footnoteReference w:id="171"/>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selecting a sample of 100 proposed rules on which the same organizations commented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72"/>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73"/>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bookmarkEnd w:id="174"/>
    <w:bookmarkStart w:id="178" w:name="the-dependent-variable-lobbying-success"/>
    <w:p>
      <w:pPr>
        <w:pStyle w:val="Heading3"/>
      </w:pPr>
      <w:r>
        <w:rPr>
          <w:rStyle w:val="SectionNumber"/>
        </w:rPr>
        <w:t xml:space="preserve">3.3.2</w:t>
      </w:r>
      <w:r>
        <w:tab/>
      </w:r>
      <w:r>
        <w:t xml:space="preserve">The Dependent Variable: Lobbying Success</w:t>
      </w:r>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75"/>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p>
    <w:p>
      <w:pPr>
        <w:pStyle w:val="BodyText"/>
      </w:pPr>
      <w:r>
        <w:t xml:space="preserve">I trained a team of undergraduate research assistants to apply the codebook to a random sample of 100 rules with mass comment campaigns and 100 rules without a mass comment campaign, most of which had a draft and final rule. Several rules were double-coded by the shole team. Intercoder reliability was XX. I also double-coded all comments that were part of mass comment campaigns with more than XX comments.</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w:t>
      </w:r>
    </w:p>
    <w:bookmarkEnd w:id="178"/>
    <w:bookmarkStart w:id="179" w:name="the-main-predictor-variable"/>
    <w:p>
      <w:pPr>
        <w:pStyle w:val="Heading3"/>
      </w:pPr>
      <w:r>
        <w:rPr>
          <w:rStyle w:val="SectionNumber"/>
        </w:rPr>
        <w:t xml:space="preserve">3.3.3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Cs/>
          <w:i/>
        </w:rPr>
        <w:t xml:space="preserve">log mass comments</w:t>
      </w:r>
      <w:r>
        <w:t xml:space="preserve"> </w:t>
      </w:r>
      <w:r>
        <w:t xml:space="preserve">takes a value of 0.</w:t>
      </w:r>
    </w:p>
    <w:bookmarkEnd w:id="179"/>
    <w:bookmarkStart w:id="182" w:name="explanatory-variables"/>
    <w:p>
      <w:pPr>
        <w:pStyle w:val="Heading3"/>
      </w:pPr>
      <w:r>
        <w:rPr>
          <w:rStyle w:val="SectionNumber"/>
        </w:rPr>
        <w:t xml:space="preserve">3.3.4</w:t>
      </w:r>
      <w:r>
        <w:tab/>
      </w:r>
      <w:r>
        <w:t xml:space="preserve">Explanatory variables</w:t>
      </w:r>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Cs/>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Cs/>
          <w:i/>
        </w:rPr>
        <w:t xml:space="preserve">business-led</w:t>
      </w:r>
      <w:r>
        <w:t xml:space="preserve"> </w:t>
      </w:r>
      <w:r>
        <w:t xml:space="preserve">coalition with</w:t>
      </w:r>
      <w:r>
        <w:t xml:space="preserve"> </w:t>
      </w:r>
      <w:r>
        <w:rPr>
          <w:iCs/>
          <w:i/>
        </w:rPr>
        <w:t xml:space="preserve">N</w:t>
      </w:r>
      <w:r>
        <w:t xml:space="preserve"> </w:t>
      </w:r>
      <w:r>
        <w:t xml:space="preserve">organizational members). Coalition</w:t>
      </w:r>
      <w:r>
        <w:t xml:space="preserve"> </w:t>
      </w:r>
      <w:r>
        <w:rPr>
          <w:iCs/>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Cs/>
          <w:i/>
        </w:rPr>
        <w:t xml:space="preserve">size</w:t>
      </w:r>
      <w:r>
        <w:t xml:space="preserve"> </w:t>
      </w:r>
      <w:r>
        <w:t xml:space="preserve">is 1. A coalition is</w:t>
      </w:r>
      <w:r>
        <w:t xml:space="preserve"> </w:t>
      </w:r>
      <w:r>
        <w:rPr>
          <w:iCs/>
          <w:i/>
        </w:rPr>
        <w:t xml:space="preserve">unopposed</w:t>
      </w:r>
      <w:r>
        <w:t xml:space="preserve"> </w:t>
      </w:r>
      <w:r>
        <w:t xml:space="preserve">when no opposing organizations comments. I code a coalition as</w:t>
      </w:r>
      <w:r>
        <w:t xml:space="preserve"> </w:t>
      </w:r>
      <w:r>
        <w:rPr>
          <w:iCs/>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80"/>
      </w:r>
    </w:p>
    <w:bookmarkEnd w:id="182"/>
    <w:bookmarkStart w:id="184" w:name="examples-of-hand-coded-lobbying-success"/>
    <w:p>
      <w:pPr>
        <w:pStyle w:val="Heading3"/>
      </w:pPr>
      <w:r>
        <w:rPr>
          <w:rStyle w:val="SectionNumber"/>
        </w:rPr>
        <w:t xml:space="preserve">3.3.5</w:t>
      </w:r>
      <w:r>
        <w:tab/>
      </w:r>
      <w:r>
        <w:t xml:space="preserve">Examples of hand-coded lobbying success</w:t>
      </w:r>
    </w:p>
    <w:p>
      <w:pPr>
        <w:pStyle w:val="FirstParagraph"/>
      </w:pPr>
      <w:r>
        <w:rPr>
          <w:bCs/>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83"/>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15,</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69/88, 0.78, and</w:t>
      </w:r>
      <w:r>
        <w:t xml:space="preserve"> </w:t>
      </w:r>
      <w:r>
        <w:rPr>
          <w:iCs/>
          <w:i/>
        </w:rPr>
        <w:t xml:space="preserve">log mass comments</w:t>
      </w:r>
      <w:r>
        <w:t xml:space="preserve"> </w:t>
      </w:r>
      <w:r>
        <w:t xml:space="preserve">is log(943,931), 13.76.</w:t>
      </w:r>
    </w:p>
    <w:p>
      <w:pPr>
        <w:pStyle w:val="BodyText"/>
      </w:pPr>
      <w:r>
        <w:rPr>
          <w:bCs/>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129,</w:t>
      </w:r>
      <w:r>
        <w:t xml:space="preserve"> </w:t>
      </w:r>
      <w:r>
        <w:rPr>
          <w:iCs/>
          <w:i/>
        </w:rPr>
        <w:t xml:space="preserve">business coalition</w:t>
      </w:r>
      <w:r>
        <w:t xml:space="preserve"> </w:t>
      </w:r>
      <w:r>
        <w:t xml:space="preserve">is 1,</w:t>
      </w:r>
      <w:r>
        <w:t xml:space="preserve"> </w:t>
      </w:r>
      <w:r>
        <w:rPr>
          <w:iCs/>
          <w:i/>
        </w:rPr>
        <w:t xml:space="preserve">comment length</w:t>
      </w:r>
      <w:r>
        <w:t xml:space="preserve"> </w:t>
      </w:r>
      <w:r>
        <w:t xml:space="preserve">is 63/85, 0.74, and</w:t>
      </w:r>
      <w:r>
        <w:t xml:space="preserve"> </w:t>
      </w:r>
      <w:r>
        <w:rPr>
          <w:iCs/>
          <w:i/>
        </w:rPr>
        <w:t xml:space="preserve">log mass comments</w:t>
      </w:r>
      <w:r>
        <w:t xml:space="preserve"> </w:t>
      </w:r>
      <w:r>
        <w:t xml:space="preserve">is 0.</w:t>
      </w:r>
    </w:p>
    <w:p>
      <w:pPr>
        <w:pStyle w:val="BodyText"/>
      </w:pPr>
      <w:r>
        <w:t xml:space="preserve">For the State of Oregon’s coalition, the dependent variable,</w:t>
      </w:r>
      <w:r>
        <w:t xml:space="preserve"> </w:t>
      </w:r>
      <w:r>
        <w:rPr>
          <w:iCs/>
          <w:i/>
        </w:rPr>
        <w:t xml:space="preserve">coalitions success</w:t>
      </w:r>
      <w:r>
        <w:t xml:space="preserve"> </w:t>
      </w:r>
      <w:r>
        <w:t xml:space="preserve">is 2,</w:t>
      </w:r>
      <w:r>
        <w:t xml:space="preserve"> </w:t>
      </w:r>
      <w:r>
        <w:rPr>
          <w:iCs/>
          <w:i/>
        </w:rPr>
        <w:t xml:space="preserve">coalition size</w:t>
      </w:r>
      <w:r>
        <w:t xml:space="preserve"> </w:t>
      </w:r>
      <w:r>
        <w:t xml:space="preserve">is 6,</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5/85, 0.06, and</w:t>
      </w:r>
      <w:r>
        <w:t xml:space="preserve"> </w:t>
      </w:r>
      <w:r>
        <w:rPr>
          <w:iCs/>
          <w:i/>
        </w:rPr>
        <w:t xml:space="preserve">log mass comments</w:t>
      </w:r>
      <w:r>
        <w:t xml:space="preserve"> </w:t>
      </w:r>
      <w:r>
        <w:t xml:space="preserve">is 0.</w:t>
      </w:r>
    </w:p>
    <w:p>
      <w:pPr>
        <w:pStyle w:val="BodyText"/>
      </w:pPr>
      <w:r>
        <w:t xml:space="preserve">For the EarthJustice coalition, the dependent variable,</w:t>
      </w:r>
      <w:r>
        <w:t xml:space="preserve"> </w:t>
      </w:r>
      <w:r>
        <w:rPr>
          <w:iCs/>
          <w:i/>
        </w:rPr>
        <w:t xml:space="preserve">coalitions success</w:t>
      </w:r>
      <w:r>
        <w:t xml:space="preserve"> </w:t>
      </w:r>
      <w:r>
        <w:t xml:space="preserve">is 1,</w:t>
      </w:r>
      <w:r>
        <w:t xml:space="preserve"> </w:t>
      </w:r>
      <w:r>
        <w:rPr>
          <w:iCs/>
          <w:i/>
        </w:rPr>
        <w:t xml:space="preserve">coalition size</w:t>
      </w:r>
      <w:r>
        <w:t xml:space="preserve"> </w:t>
      </w:r>
      <w:r>
        <w:t xml:space="preserve">is 3,</w:t>
      </w:r>
      <w:r>
        <w:t xml:space="preserve"> </w:t>
      </w:r>
      <w:r>
        <w:rPr>
          <w:iCs/>
          <w:i/>
        </w:rPr>
        <w:t xml:space="preserve">business coalition</w:t>
      </w:r>
      <w:r>
        <w:t xml:space="preserve"> </w:t>
      </w:r>
      <w:r>
        <w:t xml:space="preserve">is 0,</w:t>
      </w:r>
      <w:r>
        <w:t xml:space="preserve"> </w:t>
      </w:r>
      <w:r>
        <w:rPr>
          <w:iCs/>
          <w:i/>
        </w:rPr>
        <w:t xml:space="preserve">comment length</w:t>
      </w:r>
      <w:r>
        <w:t xml:space="preserve"> </w:t>
      </w:r>
      <w:r>
        <w:t xml:space="preserve">is 7/85, 0.08, and</w:t>
      </w:r>
      <w:r>
        <w:t xml:space="preserve"> </w:t>
      </w:r>
      <w:r>
        <w:rPr>
          <w:iCs/>
          <w:i/>
        </w:rPr>
        <w:t xml:space="preserve">log mass comments</w:t>
      </w:r>
      <w:r>
        <w:t xml:space="preserve"> </w:t>
      </w:r>
      <w:r>
        <w:t xml:space="preserve">is 0.</w:t>
      </w:r>
    </w:p>
    <w:bookmarkEnd w:id="184"/>
    <w:bookmarkStart w:id="186" w:name="limitations-1"/>
    <w:p>
      <w:pPr>
        <w:pStyle w:val="Heading3"/>
      </w:pPr>
      <w:r>
        <w:rPr>
          <w:rStyle w:val="SectionNumber"/>
        </w:rPr>
        <w:t xml:space="preserve">3.3.6</w:t>
      </w:r>
      <w:r>
        <w:tab/>
      </w:r>
      <w:r>
        <w:t xml:space="preserve">Limitations</w:t>
      </w:r>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85"/>
      </w:r>
    </w:p>
    <w:p>
      <w:pPr>
        <w:pStyle w:val="BodyText"/>
      </w:pPr>
      <w:r>
        <w:t xml:space="preserve">Second, bureaucrats may anticipate public pressure campaigns when writing draft rules, muting the observed relationship between public pressure and rule change at the final rule stage of the policy process.</w:t>
      </w:r>
    </w:p>
    <w:bookmarkEnd w:id="186"/>
    <w:bookmarkStart w:id="189" w:name="modeling-the-direct-relationship"/>
    <w:p>
      <w:pPr>
        <w:pStyle w:val="Heading3"/>
      </w:pPr>
      <w:r>
        <w:rPr>
          <w:rStyle w:val="SectionNumber"/>
        </w:rPr>
        <w:t xml:space="preserve">3.3.7</w:t>
      </w:r>
      <w:r>
        <w:tab/>
      </w:r>
      <w:r>
        <w:t xml:space="preserve">Modeling the direct relationship</w:t>
      </w:r>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87"/>
      </w:r>
      <w:r>
        <w:t xml:space="preserve"> </w:t>
      </w:r>
      <w:r>
        <w:t xml:space="preserve">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l</m:t>
          </m:r>
          <m:r>
            <m:t>e</m:t>
          </m:r>
          <m:r>
            <m:t>n</m:t>
          </m:r>
          <m:r>
            <m:t>g</m:t>
          </m:r>
          <m:r>
            <m:t>t</m:t>
          </m:r>
          <m:sSub>
            <m:e>
              <m:r>
                <m:t>h</m:t>
              </m:r>
            </m:e>
            <m:sub>
              <m:r>
                <m:t>i</m:t>
              </m:r>
            </m:sub>
          </m:sSub>
          <m:r>
            <m:rPr>
              <m:sty m:val="p"/>
            </m:rPr>
            <m:t>+</m:t>
          </m:r>
          <m:sSub>
            <m:e>
              <m:r>
                <m:t>β</m:t>
              </m:r>
            </m:e>
            <m:sub>
              <m:r>
                <m:t>3</m:t>
              </m:r>
            </m:sub>
          </m:sSub>
          <m:r>
            <m:t>u</m:t>
          </m:r>
          <m:r>
            <m:t>n</m:t>
          </m:r>
          <m:r>
            <m:t>o</m:t>
          </m:r>
          <m:r>
            <m:t>p</m:t>
          </m:r>
          <m:r>
            <m:t>p</m:t>
          </m:r>
          <m:r>
            <m:t>o</m:t>
          </m:r>
          <m:r>
            <m:t>s</m:t>
          </m:r>
          <m:r>
            <m:t>e</m:t>
          </m:r>
          <m:sSub>
            <m:e>
              <m:r>
                <m:t>d</m:t>
              </m:r>
            </m:e>
            <m:sub>
              <m:r>
                <m:t>i</m:t>
              </m:r>
            </m:sub>
          </m:sSub>
          <m:r>
            <m:rPr>
              <m:sty m:val="p"/>
            </m:rPr>
            <m:t>+</m:t>
          </m:r>
          <m:sSub>
            <m:e>
              <m:r>
                <m:t>β</m:t>
              </m:r>
            </m:e>
            <m:sub>
              <m:r>
                <m:t>4</m:t>
              </m:r>
            </m:sub>
          </m:sSub>
          <m:r>
            <m:t>s</m:t>
          </m:r>
          <m:r>
            <m:t>i</m:t>
          </m:r>
          <m:r>
            <m:t>z</m:t>
          </m:r>
          <m:sSub>
            <m:e>
              <m:r>
                <m:t>e</m:t>
              </m:r>
            </m:e>
            <m:sub>
              <m:r>
                <m:t>i</m:t>
              </m:r>
            </m:sub>
          </m:sSub>
          <m:r>
            <m:rPr>
              <m:sty m:val="p"/>
            </m:rPr>
            <m:t>+</m:t>
          </m:r>
          <m:sSub>
            <m:e>
              <m:r>
                <m:t>β</m:t>
              </m:r>
            </m:e>
            <m:sub>
              <m:r>
                <m:t>5</m:t>
              </m:r>
            </m:sub>
          </m:sSub>
          <m:r>
            <m:t>b</m:t>
          </m:r>
          <m:r>
            <m:t>u</m:t>
          </m:r>
          <m:r>
            <m:t>s</m:t>
          </m:r>
          <m:r>
            <m:t>i</m:t>
          </m:r>
          <m:r>
            <m:t>n</m:t>
          </m:r>
          <m:r>
            <m:t>e</m:t>
          </m:r>
          <m:r>
            <m:t>s</m:t>
          </m:r>
          <m:sSub>
            <m:e>
              <m:r>
                <m:t>s</m:t>
              </m:r>
            </m:e>
            <m:sub>
              <m:r>
                <m:t>i</m:t>
              </m:r>
            </m:sub>
          </m:sSub>
          <m:r>
            <m:rPr>
              <m:sty m:val="p"/>
            </m:rPr>
            <m:t>+</m:t>
          </m:r>
          <m:sSub>
            <m:e>
              <m:r>
                <m:t>ϵ</m:t>
              </m:r>
            </m:e>
            <m:sub>
              <m:r>
                <m:t>i</m:t>
              </m:r>
            </m:sub>
          </m:sSub>
        </m:oMath>
      </m:oMathPara>
    </w:p>
    <w:bookmarkEnd w:id="189"/>
    <w:bookmarkStart w:id="190" w:name="modeling-mediated-relationships"/>
    <w:p>
      <w:pPr>
        <w:pStyle w:val="Heading3"/>
      </w:pPr>
      <w:r>
        <w:rPr>
          <w:rStyle w:val="SectionNumber"/>
        </w:rPr>
        <w:t xml:space="preserve">3.3.8</w:t>
      </w:r>
      <w:r>
        <w:tab/>
      </w:r>
      <w:r>
        <w:t xml:space="preserve">Modeling mediated relationships</w:t>
      </w:r>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Cs/>
          <w:i/>
        </w:rPr>
        <w:t xml:space="preserve">length</w:t>
      </w:r>
      <w:r>
        <w:t xml:space="preserve">,</w:t>
      </w:r>
      <w:r>
        <w:t xml:space="preserve"> </w:t>
      </w:r>
      <w:r>
        <w:rPr>
          <w:iCs/>
          <w:i/>
        </w:rPr>
        <w:t xml:space="preserve">unopposed</w:t>
      </w:r>
      <w:r>
        <w:t xml:space="preserve">,</w:t>
      </w:r>
      <w:r>
        <w:t xml:space="preserve"> </w:t>
      </w:r>
      <w:r>
        <w:rPr>
          <w:iCs/>
          <w:i/>
        </w:rPr>
        <w:t xml:space="preserve">size</w:t>
      </w:r>
      <w:r>
        <w:t xml:space="preserve">, and</w:t>
      </w:r>
      <w:r>
        <w:t xml:space="preserve"> </w:t>
      </w:r>
      <w:r>
        <w:rPr>
          <w:iCs/>
          <w:i/>
        </w:rPr>
        <w:t xml:space="preserve">business</w:t>
      </w:r>
      <w:r>
        <w:t xml:space="preserve">) and then the outcome as a combination of the mediator,</w:t>
      </w:r>
      <w:r>
        <w:t xml:space="preserve"> </w:t>
      </w:r>
      <w:r>
        <w:rPr>
          <w:iCs/>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r>
                <m:rPr>
                  <m:sty m:val="p"/>
                </m:rPr>
                <m:t>−</m:t>
              </m:r>
              <m:r>
                <m:t>n</m:t>
              </m:r>
            </m:sub>
          </m:sSub>
          <m:sSub>
            <m:e>
              <m:r>
                <m:t>X</m:t>
              </m:r>
            </m:e>
            <m:sub>
              <m:r>
                <m:t>i</m:t>
              </m:r>
            </m:sub>
          </m:sSub>
          <m:r>
            <m:rPr>
              <m:sty m:val="p"/>
            </m:rP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r>
            <m:t>l</m:t>
          </m:r>
          <m:r>
            <m:t>o</m:t>
          </m:r>
          <m:r>
            <m:t>g</m:t>
          </m:r>
          <m:r>
            <m:rPr>
              <m:sty m:val="p"/>
            </m:rPr>
            <m:t>(</m:t>
          </m:r>
          <m:r>
            <m:t>c</m:t>
          </m:r>
          <m:r>
            <m:t>o</m:t>
          </m:r>
          <m:r>
            <m:t>m</m:t>
          </m:r>
          <m:r>
            <m:t>m</m:t>
          </m:r>
          <m:r>
            <m:t>e</m:t>
          </m:r>
          <m:r>
            <m:t>n</m:t>
          </m:r>
          <m:r>
            <m:t>t</m:t>
          </m:r>
          <m:sSub>
            <m:e>
              <m:r>
                <m:t>s</m:t>
              </m:r>
            </m:e>
            <m:sub>
              <m:r>
                <m:t>i</m:t>
              </m:r>
            </m:sub>
          </m:sSub>
          <m:r>
            <m:rPr>
              <m:sty m:val="p"/>
            </m:rPr>
            <m:t>)</m:t>
          </m:r>
          <m:r>
            <m:rPr>
              <m:sty m:val="p"/>
            </m:rP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rPr>
              <m:sty m:val="p"/>
            </m:rPr>
            <m:t>+</m:t>
          </m:r>
          <m:sSub>
            <m:e>
              <m:r>
                <m:t>β</m:t>
              </m:r>
            </m:e>
            <m:sub>
              <m:r>
                <m:t>3</m:t>
              </m:r>
              <m:r>
                <m:rPr>
                  <m:sty m:val="p"/>
                </m:rPr>
                <m:t>−</m:t>
              </m:r>
              <m:r>
                <m:t>n</m:t>
              </m:r>
            </m:sub>
          </m:sSub>
          <m:sSub>
            <m:e>
              <m:r>
                <m:t>X</m:t>
              </m:r>
            </m:e>
            <m:sub>
              <m:r>
                <m:t>i</m:t>
              </m:r>
            </m:sub>
          </m:sSub>
          <m:r>
            <m:rPr>
              <m:sty m:val="p"/>
            </m:rPr>
            <m:t>+</m:t>
          </m:r>
          <m:sSub>
            <m:e>
              <m:r>
                <m:t>ϵ</m:t>
              </m:r>
            </m:e>
            <m:sub>
              <m:r>
                <m:t>i</m:t>
              </m:r>
            </m:sub>
          </m:sSub>
        </m:oMath>
      </m:oMathPara>
    </w:p>
    <w:bookmarkEnd w:id="190"/>
    <w:bookmarkStart w:id="193" w:name="X9dad55b8bdc23bf4fff055b9986eec589ac675c"/>
    <w:p>
      <w:pPr>
        <w:pStyle w:val="Heading3"/>
      </w:pPr>
      <w:r>
        <w:rPr>
          <w:rStyle w:val="SectionNumber"/>
        </w:rPr>
        <w:t xml:space="preserve">3.3.9</w:t>
      </w:r>
      <w:r>
        <w:tab/>
      </w:r>
      <w:r>
        <w:t xml:space="preserve">A Census of Comments from Members of Congress in Agency Rulemaking</w:t>
      </w:r>
    </w:p>
    <w:p>
      <w:pPr>
        <w:pStyle w:val="FirstParagraph"/>
      </w:pPr>
      <w:r>
        <w:t xml:space="preserve">Through an iterative combination of automated search methods and hand-coding, I identify the comments submitted by elected officials.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91"/>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p>
      <w:pPr>
        <w:pStyle w:val="BodyText"/>
      </w:pPr>
      <w:r>
        <w:t xml:space="preserve">To assess the hypothesis that public pressure campaigns affect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3.5</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5: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92"/>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3.5: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bookmarkEnd w:id="193"/>
    <w:bookmarkStart w:id="194" w:name="X8af8b91adbbff91858bc367bca7d07a7f38dd8d"/>
    <w:p>
      <w:pPr>
        <w:pStyle w:val="Heading3"/>
      </w:pPr>
      <w:r>
        <w:rPr>
          <w:rStyle w:val="SectionNumber"/>
        </w:rPr>
        <w:t xml:space="preserve">3.3.10</w:t>
      </w:r>
      <w:r>
        <w:tab/>
      </w:r>
      <w:r>
        <w:t xml:space="preserve">Models testing the relationship between mass engagement and congressional oversight</w:t>
      </w:r>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Cs/>
          <w:i/>
        </w:rPr>
        <w:t xml:space="preserve"> </w:t>
      </w:r>
      <w:r>
        <w:rPr>
          <w:iCs/>
          <w:i/>
        </w:rPr>
        <w:t xml:space="preserve">= Total comments from Congress</w:t>
      </w:r>
      <w:r>
        <w:t xml:space="preserve"> </w:t>
      </w:r>
      <m:oMath>
        <m:r>
          <m:rPr>
            <m:sty m:val="p"/>
          </m:rP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rPr>
                    <m:sty m:val="p"/>
                  </m:rPr>
                  <m:t>∼</m:t>
                </m:r>
                <m:sSub>
                  <m:e>
                    <m:r>
                      <m:t>β</m:t>
                    </m:r>
                  </m:e>
                  <m:sub>
                    <m:r>
                      <m:t>0</m:t>
                    </m:r>
                  </m:sub>
                </m:sSub>
                <m:r>
                  <m:rPr>
                    <m:sty m:val="p"/>
                  </m:rP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Cs/>
          <w:i/>
        </w:rPr>
        <w:t xml:space="preserve">Total comments from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Cs/>
          <w:i/>
        </w:rPr>
        <w:t xml:space="preserve">Share of Members of Congress</w:t>
      </w:r>
      <w:r>
        <w:rPr>
          <w:iCs/>
          <w:i/>
        </w:rPr>
        <w:t xml:space="preserve"> </w:t>
      </w:r>
      <w:r>
        <w:rPr>
          <w:iCs/>
          <w:i/>
        </w:rPr>
        <w:t xml:space="preserve">supporting coalition</w:t>
      </w:r>
      <w:r>
        <w:rPr>
          <w:iCs/>
          <w:i/>
        </w:rPr>
        <w:t xml:space="preserve"> </w:t>
      </w:r>
      <m:oMath>
        <m:r>
          <m:t>i</m:t>
        </m:r>
      </m:oMath>
      <w:r>
        <w:t xml:space="preserve"> </w:t>
      </w:r>
      <m:oMath>
        <m:r>
          <m:rPr>
            <m:sty m:val="p"/>
          </m:rP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Cs/>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rPr>
                    <m:sty m:val="p"/>
                  </m:rPr>
                  <m:t>∼</m:t>
                </m:r>
                <m:sSub>
                  <m:e>
                    <m:r>
                      <m:t>β</m:t>
                    </m:r>
                  </m:e>
                  <m:sub>
                    <m:r>
                      <m:t>0</m:t>
                    </m:r>
                  </m:sub>
                </m:sSub>
                <m:r>
                  <m:rPr>
                    <m:sty m:val="p"/>
                  </m:rPr>
                  <m:t>+</m:t>
                </m:r>
                <m:sSub>
                  <m:e>
                    <m:r>
                      <m:t>β</m:t>
                    </m:r>
                  </m:e>
                  <m:sub>
                    <m:r>
                      <m:t>1</m:t>
                    </m:r>
                  </m:sub>
                </m:sSub>
                <m:sSub>
                  <m:e>
                    <m:r>
                      <m:t>z</m:t>
                    </m:r>
                  </m:e>
                  <m:sub>
                    <m:r>
                      <m:t>i</m:t>
                    </m:r>
                  </m:sub>
                </m:sSub>
              </m:e>
            </m:mr>
          </m:m>
        </m:oMath>
      </m:oMathPara>
    </w:p>
    <w:p>
      <w:pPr>
        <w:pStyle w:val="FirstParagraph"/>
      </w:pPr>
    </w:p>
    <w:p>
      <w:r>
        <w:br w:type="page"/>
      </w:r>
    </w:p>
    <w:bookmarkEnd w:id="194"/>
    <w:bookmarkEnd w:id="195"/>
    <w:bookmarkStart w:id="206" w:name="influence-results"/>
    <w:p>
      <w:pPr>
        <w:pStyle w:val="Heading2"/>
      </w:pPr>
      <w:r>
        <w:rPr>
          <w:rStyle w:val="SectionNumber"/>
        </w:rPr>
        <w:t xml:space="preserve">3.4</w:t>
      </w:r>
      <w:r>
        <w:tab/>
      </w:r>
      <w:r>
        <w:t xml:space="preserve">Results</w:t>
      </w:r>
    </w:p>
    <w:bookmarkStart w:id="196" w:name="machine-coded-data"/>
    <w:p>
      <w:pPr>
        <w:pStyle w:val="Heading3"/>
      </w:pPr>
      <w:r>
        <w:rPr>
          <w:rStyle w:val="SectionNumber"/>
        </w:rPr>
        <w:t xml:space="preserve">3.4.1</w:t>
      </w:r>
      <w:r>
        <w:tab/>
      </w:r>
      <w:r>
        <w:t xml:space="preserve">Machine-coded Data</w:t>
      </w:r>
    </w:p>
    <w:p>
      <w:pPr>
        <w:pStyle w:val="BlockText"/>
      </w:pPr>
      <w:r>
        <w:t xml:space="preserve">IN PROGRESS</w:t>
      </w:r>
    </w:p>
    <w:p>
      <w:pPr>
        <w:pStyle w:val="FirstParagraph"/>
      </w:pPr>
      <w:r>
        <w:rPr>
          <w:bCs/>
          <w:b/>
        </w:rPr>
        <w:t xml:space="preserve">Dependent variable:</w:t>
      </w:r>
      <w:r>
        <w:t xml:space="preserve"> </w:t>
      </w:r>
      <w:r>
        <w:rPr>
          <w:iCs/>
          <w:i/>
        </w:rPr>
        <w:t xml:space="preserve">The percent change in policy text</w:t>
      </w:r>
      <w:r>
        <w:t xml:space="preserve">…</w:t>
      </w:r>
    </w:p>
    <w:p>
      <w:pPr>
        <w:pStyle w:val="BodyText"/>
      </w:pPr>
      <w:r>
        <w:rPr>
          <w:bCs/>
          <w:b/>
        </w:rPr>
        <w:t xml:space="preserve">Explanatory variables:</w:t>
      </w:r>
      <w:r>
        <w:t xml:space="preserve"> </w:t>
      </w:r>
      <w:r>
        <w:t xml:space="preserve">The</w:t>
      </w:r>
      <w:r>
        <w:t xml:space="preserve"> </w:t>
      </w:r>
      <w:r>
        <w:rPr>
          <w:iCs/>
          <w:i/>
        </w:rPr>
        <w:t xml:space="preserve">total number of comments</w:t>
      </w:r>
      <w:r>
        <w:t xml:space="preserve">…</w:t>
      </w:r>
    </w:p>
    <w:bookmarkEnd w:id="196"/>
    <w:bookmarkStart w:id="201" w:name="hand-coded-data"/>
    <w:p>
      <w:pPr>
        <w:pStyle w:val="Heading3"/>
      </w:pPr>
      <w:r>
        <w:rPr>
          <w:rStyle w:val="SectionNumber"/>
        </w:rPr>
        <w:t xml:space="preserve">3.4.2</w:t>
      </w:r>
      <w:r>
        <w:tab/>
      </w:r>
      <w:r>
        <w:t xml:space="preserve">Hand-coded Data</w:t>
      </w:r>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FirstParagraph"/>
      </w:pPr>
      <w:r>
        <w:rPr>
          <w:bCs/>
          <w:b/>
        </w:rPr>
        <w:t xml:space="preserve">Dependent variable:</w:t>
      </w:r>
      <w:r>
        <w:t xml:space="preserve"> </w:t>
      </w:r>
      <w:r>
        <w:rPr>
          <w:iCs/>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Cs/>
          <w:b/>
        </w:rPr>
        <w:t xml:space="preserve">Explanatory variables:</w:t>
      </w:r>
      <w:r>
        <w:t xml:space="preserve"> </w:t>
      </w:r>
      <w:r>
        <w:rPr>
          <w:iCs/>
          <w:i/>
        </w:rPr>
        <w:t xml:space="preserve">Coalition size</w:t>
      </w:r>
      <w:r>
        <w:t xml:space="preserve"> </w:t>
      </w:r>
      <w:r>
        <w:t xml:space="preserve">(a count) is the number of organizations lobbying together on the rule.</w:t>
      </w:r>
      <w:r>
        <w:t xml:space="preserve"> </w:t>
      </w:r>
      <w:r>
        <w:rPr>
          <w:iCs/>
          <w:i/>
        </w:rPr>
        <w:t xml:space="preserve">Business colation</w:t>
      </w:r>
      <w:r>
        <w:t xml:space="preserve"> </w:t>
      </w:r>
      <w:r>
        <w:t xml:space="preserve">is binomial.</w:t>
      </w:r>
      <w:r>
        <w:t xml:space="preserve"> </w:t>
      </w:r>
      <w:r>
        <w:rPr>
          <w:iCs/>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These hand-coded data include 3,845 unique comments, some of which have identical coppies for a total of 5,015,581 comments. These comments represent 147 distinct lobbying coalitions ranging in size from 2 to 223 organizations. Figure</w:t>
      </w:r>
      <w:r>
        <w:t xml:space="preserve"> </w:t>
      </w:r>
      <w:r>
        <w:t xml:space="preserve">3.6</w:t>
      </w:r>
      <w:r>
        <w:t xml:space="preserve"> </w:t>
      </w:r>
      <w:r>
        <w:t xml:space="preserve">shows that coalitions are fairly ballenced between thouse that succeed and fail to get the changes they seek in the final rule. 23%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b73d1784-a319-497c-a5e0-28a5fd869746" w:name="tab:data-coded"/>
      <w:r>
        <w:t xml:space="preserve">A Sample of Hand-Coded Summarized by Coaltion</w:t>
      </w:r>
      <w:bookmarkEnd w:id="b73d1784-a319-497c-a5e0-28a5fd86974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5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-1.2941176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Partnership Project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2,160,081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WCBC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0.8235294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Access Financial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-0.4929577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LSHV</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-0.4615385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0.9230769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The Coalition for Comuninty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Advocates for Children of New York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California Down Syndrome Advocacy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Colorado Children's Campaign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Naitonal Down Syndrome Congress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330,381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-0.5175439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DPE 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USCIS-2010-0017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NCAPA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NFIB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NELA/NY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EPI</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-1.9756098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44,391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WHD-2019-0003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SHRM</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0.9600000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9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98"/>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99"/>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20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bookmarkEnd w:id="201"/>
    <w:bookmarkStart w:id="204" w:name="results"/>
    <w:p>
      <w:pPr>
        <w:pStyle w:val="Heading3"/>
      </w:pPr>
      <w:r>
        <w:rPr>
          <w:rStyle w:val="SectionNumber"/>
        </w:rPr>
        <w:t xml:space="preserve">3.4.3</w:t>
      </w:r>
      <w:r>
        <w:tab/>
      </w:r>
      <w:r>
        <w:t xml:space="preserve">Results</w:t>
      </w:r>
    </w:p>
    <w:p>
      <w:pPr>
        <w:pStyle w:val="FirstParagraph"/>
      </w:pPr>
      <w:r>
        <w:t xml:space="preserve">The results of this model (Figure</w:t>
      </w:r>
      <w:r>
        <w:t xml:space="preserve"> </w:t>
      </w:r>
      <w:r>
        <w:t xml:space="preserve">3.10</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0: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202"/>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3.10: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203"/>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bookmarkEnd w:id="204"/>
    <w:bookmarkStart w:id="205" w:name="preliminary-findings"/>
    <w:p>
      <w:pPr>
        <w:pStyle w:val="Heading3"/>
      </w:pPr>
      <w:r>
        <w:rPr>
          <w:rStyle w:val="SectionNumber"/>
        </w:rPr>
        <w:t xml:space="preserve">3.4.4</w:t>
      </w:r>
      <w:r>
        <w:tab/>
      </w:r>
      <w:r>
        <w:t xml:space="preserve">Preliminary findings</w:t>
      </w:r>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bookmarkEnd w:id="205"/>
    <w:bookmarkEnd w:id="206"/>
    <w:bookmarkStart w:id="207" w:name="conclusion-2"/>
    <w:p>
      <w:pPr>
        <w:pStyle w:val="Heading2"/>
      </w:pPr>
      <w:r>
        <w:rPr>
          <w:rStyle w:val="SectionNumber"/>
        </w:rPr>
        <w:t xml:space="preserve">3.5</w:t>
      </w:r>
      <w:r>
        <w:tab/>
      </w:r>
      <w:r>
        <w:t xml:space="preserve">Conclusion</w:t>
      </w:r>
    </w:p>
    <w:p>
      <w:pPr>
        <w:pStyle w:val="BlockText"/>
      </w:pPr>
      <w:r>
        <w:t xml:space="preserve">TODO</w:t>
      </w:r>
    </w:p>
    <w:bookmarkEnd w:id="207"/>
    <w:bookmarkEnd w:id="208"/>
    <w:bookmarkStart w:id="257" w:name="Xad1e5e3cf28743755c8bc9c8447ea666bb332bf"/>
    <w:p>
      <w:pPr>
        <w:pStyle w:val="Heading1"/>
      </w:pPr>
      <w:r>
        <w:rPr>
          <w:rStyle w:val="SectionNumber"/>
        </w:rPr>
        <w:t xml:space="preserve">4</w:t>
      </w:r>
      <w:r>
        <w:tab/>
      </w:r>
      <w:r>
        <w:t xml:space="preserve">The Environmental Justice Movement and Technocratic Policymaking</w:t>
      </w:r>
    </w:p>
    <w:p>
      <w:pPr>
        <w:pStyle w:val="FirstParagraph"/>
      </w:pPr>
      <w:r>
        <w:t xml:space="preserve">See the working paper version of this chapter</w:t>
      </w:r>
      <w:r>
        <w:t xml:space="preserve"> </w:t>
      </w:r>
      <w:hyperlink r:id="rId209">
        <w:r>
          <w:rPr>
            <w:rStyle w:val="Hyperlink"/>
            <w:iCs/>
            <w:i/>
          </w:rPr>
          <w:t xml:space="preserve">here</w:t>
        </w:r>
      </w:hyperlink>
      <w:r>
        <w:t xml:space="preserve">.</w:t>
      </w:r>
    </w:p>
    <w:bookmarkStart w:id="210" w:name="abstract-2"/>
    <w:p>
      <w:pPr>
        <w:pStyle w:val="Heading4"/>
      </w:pPr>
      <w:r>
        <w:t xml:space="preserve">Abstract</w:t>
      </w:r>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bookmarkEnd w:id="210"/>
    <w:bookmarkStart w:id="211" w:name="introduction-2"/>
    <w:p>
      <w:pPr>
        <w:pStyle w:val="Heading2"/>
      </w:pPr>
      <w:r>
        <w:rPr>
          <w:rStyle w:val="SectionNumber"/>
        </w:rPr>
        <w:t xml:space="preserve">4.1</w:t>
      </w:r>
      <w:r>
        <w:tab/>
      </w:r>
      <w:r>
        <w:t xml:space="preserve">Introduction</w:t>
      </w:r>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w:t>
      </w:r>
      <w:hyperlink w:anchor="ref-Skocpol2013">
        <w:r>
          <w:rPr>
            <w:rStyle w:val="Hyperlink"/>
          </w:rPr>
          <w:t xml:space="preserve">Skocpol 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w:t>
      </w:r>
      <w:hyperlink w:anchor="ref-Bullard1993">
        <w:r>
          <w:rPr>
            <w:rStyle w:val="Hyperlink"/>
          </w:rPr>
          <w:t xml:space="preserve">Bullard 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w:t>
      </w:r>
      <w:hyperlink w:anchor="ref-Carpenter2001">
        <w:r>
          <w:rPr>
            <w:rStyle w:val="Hyperlink"/>
          </w:rPr>
          <w:t xml:space="preserve">D. P. Carpenter 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Cs/>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bookmarkEnd w:id="211"/>
    <w:bookmarkStart w:id="222" w:name="theory-1"/>
    <w:p>
      <w:pPr>
        <w:pStyle w:val="Heading2"/>
      </w:pPr>
      <w:r>
        <w:rPr>
          <w:rStyle w:val="SectionNumber"/>
        </w:rPr>
        <w:t xml:space="preserve">4.2</w:t>
      </w:r>
      <w:r>
        <w:tab/>
      </w:r>
      <w:r>
        <w:t xml:space="preserve">Theory</w:t>
      </w:r>
    </w:p>
    <w:p>
      <w:pPr>
        <w:pStyle w:val="FirstParagraph"/>
      </w:pPr>
      <w:r>
        <w:t xml:space="preserve">Participatory processes like public comment periods, where policymakers must solicit public input on draft policies, are said to provide democratic legitimacy</w:t>
      </w:r>
      <w:r>
        <w:t xml:space="preserve"> </w:t>
      </w:r>
      <w:r>
        <w:t xml:space="preserve">(</w:t>
      </w:r>
      <w:hyperlink w:anchor="ref-Croley2003">
        <w:r>
          <w:rPr>
            <w:rStyle w:val="Hyperlink"/>
          </w:rPr>
          <w:t xml:space="preserve">Croley 2003</w:t>
        </w:r>
      </w:hyperlink>
      <w:r>
        <w:t xml:space="preserve">;</w:t>
      </w:r>
      <w:r>
        <w:t xml:space="preserve"> </w:t>
      </w:r>
      <w:hyperlink w:anchor="ref-Rosenbloom2003">
        <w:r>
          <w:rPr>
            <w:rStyle w:val="Hyperlink"/>
          </w:rPr>
          <w:t xml:space="preserve">Rosenbloom 2003</w:t>
        </w:r>
      </w:hyperlink>
      <w:r>
        <w:t xml:space="preserve">)</w:t>
      </w:r>
      <w:r>
        <w:t xml:space="preserve">, new technical information</w:t>
      </w:r>
      <w:r>
        <w:t xml:space="preserve"> </w:t>
      </w:r>
      <w:r>
        <w:t xml:space="preserve">(</w:t>
      </w:r>
      <w:hyperlink w:anchor="ref-Yackee2006JPART">
        <w:r>
          <w:rPr>
            <w:rStyle w:val="Hyperlink"/>
          </w:rPr>
          <w:t xml:space="preserve">S. W. Yackee 2006</w:t>
        </w:r>
      </w:hyperlink>
      <w:r>
        <w:t xml:space="preserve">;</w:t>
      </w:r>
      <w:r>
        <w:t xml:space="preserve"> </w:t>
      </w:r>
      <w:hyperlink w:anchor="ref-Nelson2012">
        <w:r>
          <w:rPr>
            <w:rStyle w:val="Hyperlink"/>
          </w:rPr>
          <w:t xml:space="preserve">Nelson and Yackee 2012</w:t>
        </w:r>
      </w:hyperlink>
      <w:r>
        <w:t xml:space="preserve">)</w:t>
      </w:r>
      <w:r>
        <w:t xml:space="preserve">, and political oversight opportunities</w:t>
      </w:r>
      <w:r>
        <w:t xml:space="preserve"> </w:t>
      </w:r>
      <w:r>
        <w:t xml:space="preserve">(</w:t>
      </w:r>
      <w:hyperlink w:anchor="ref-Balla1998">
        <w:r>
          <w:rPr>
            <w:rStyle w:val="Hyperlink"/>
          </w:rPr>
          <w:t xml:space="preserve">Steven J. Balla 1998</w:t>
        </w:r>
      </w:hyperlink>
      <w:r>
        <w:t xml:space="preserve">;</w:t>
      </w:r>
      <w:r>
        <w:t xml:space="preserve"> </w:t>
      </w:r>
      <w:hyperlink w:anchor="ref-McCubbins1984">
        <w:r>
          <w:rPr>
            <w:rStyle w:val="Hyperlink"/>
          </w:rPr>
          <w:t xml:space="preserve">Mathew D. McCubbins and Schwartz 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12"/>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bookmarkStart w:id="213" w:name="social-movements-and-policy-change"/>
    <w:p>
      <w:pPr>
        <w:pStyle w:val="Heading3"/>
      </w:pPr>
      <w:r>
        <w:rPr>
          <w:rStyle w:val="SectionNumber"/>
        </w:rPr>
        <w:t xml:space="preserve">4.2.1</w:t>
      </w:r>
      <w:r>
        <w:tab/>
      </w:r>
      <w:r>
        <w:t xml:space="preserve">Social Movements and Policy Change</w:t>
      </w:r>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w:t>
      </w:r>
      <w:hyperlink w:anchor="ref-Lowi2015">
        <w:r>
          <w:rPr>
            <w:rStyle w:val="Hyperlink"/>
          </w:rPr>
          <w:t xml:space="preserve">T. J. Lowi and Nicholson 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w:t>
      </w:r>
      <w:hyperlink w:anchor="ref-Baumgartner2001">
        <w:r>
          <w:rPr>
            <w:rStyle w:val="Hyperlink"/>
          </w:rPr>
          <w:t xml:space="preserve">Baumgartner and Leech 2001</w:t>
        </w:r>
      </w:hyperlink>
      <w:r>
        <w:t xml:space="preserve">;</w:t>
      </w:r>
      <w:r>
        <w:t xml:space="preserve"> </w:t>
      </w:r>
      <w:hyperlink w:anchor="ref-Coglianese2001">
        <w:r>
          <w:rPr>
            <w:rStyle w:val="Hyperlink"/>
          </w:rPr>
          <w:t xml:space="preserve">Coglianese 2001</w:t>
        </w:r>
      </w:hyperlink>
      <w:r>
        <w:t xml:space="preserve">)</w:t>
      </w:r>
      <w:r>
        <w:t xml:space="preserve">. Conversely, the lack of broad-based support for and movement pressure can be the failure of a policy effort</w:t>
      </w:r>
      <w:r>
        <w:t xml:space="preserve"> </w:t>
      </w:r>
      <w:r>
        <w:t xml:space="preserve">(</w:t>
      </w:r>
      <w:hyperlink w:anchor="ref-Skocpol2013">
        <w:r>
          <w:rPr>
            <w:rStyle w:val="Hyperlink"/>
          </w:rPr>
          <w:t xml:space="preserve">Skocpol 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w:t>
      </w:r>
      <w:hyperlink w:anchor="ref-Gillion2013">
        <w:r>
          <w:rPr>
            <w:rStyle w:val="Hyperlink"/>
          </w:rPr>
          <w:t xml:space="preserve">Gillion 2013</w:t>
        </w:r>
      </w:hyperlink>
      <w:r>
        <w:t xml:space="preserve">)</w:t>
      </w:r>
      <w:r>
        <w:t xml:space="preserve">. Activists reshape political parties to enact new policy agendas</w:t>
      </w:r>
      <w:r>
        <w:t xml:space="preserve"> </w:t>
      </w:r>
      <w:r>
        <w:t xml:space="preserve">(</w:t>
      </w:r>
      <w:hyperlink w:anchor="ref-Schattschneider1942">
        <w:r>
          <w:rPr>
            <w:rStyle w:val="Hyperlink"/>
          </w:rPr>
          <w:t xml:space="preserve">E. Schattschneider 1942</w:t>
        </w:r>
      </w:hyperlink>
      <w:r>
        <w:t xml:space="preserve">;</w:t>
      </w:r>
      <w:r>
        <w:t xml:space="preserve"> </w:t>
      </w:r>
      <w:hyperlink w:anchor="ref-Cohen2008">
        <w:r>
          <w:rPr>
            <w:rStyle w:val="Hyperlink"/>
          </w:rPr>
          <w:t xml:space="preserve">Cohen et al. 2008</w:t>
        </w:r>
      </w:hyperlink>
      <w:r>
        <w:t xml:space="preserve">;</w:t>
      </w:r>
      <w:r>
        <w:t xml:space="preserve"> </w:t>
      </w:r>
      <w:hyperlink w:anchor="ref-Schlozman2015">
        <w:r>
          <w:rPr>
            <w:rStyle w:val="Hyperlink"/>
          </w:rPr>
          <w:t xml:space="preserve">D. Schlozman 2015</w:t>
        </w:r>
      </w:hyperlink>
      <w:r>
        <w:t xml:space="preserve">;</w:t>
      </w:r>
      <w:r>
        <w:t xml:space="preserve"> </w:t>
      </w:r>
      <w:hyperlink w:anchor="ref-Skocpol2016">
        <w:r>
          <w:rPr>
            <w:rStyle w:val="Hyperlink"/>
          </w:rPr>
          <w:t xml:space="preserve">Skocpol and Williamson 2016</w:t>
        </w:r>
      </w:hyperlink>
      <w:r>
        <w:t xml:space="preserve">)</w:t>
      </w:r>
      <w:r>
        <w:t xml:space="preserve">. Petition campaigns, in particular, can both build the organizational capacity and political coalitions required to to affect policy and place issues on national agendas. As</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w:t>
      </w:r>
      <w:hyperlink w:anchor="ref-CarpenterPetitions">
        <w:r>
          <w:rPr>
            <w:rStyle w:val="Hyperlink"/>
          </w:rPr>
          <w:t xml:space="preserve">D. Carpenter 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hyperlink w:anchor="ref-Gillion2013">
        <w:r>
          <w:rPr>
            <w:rStyle w:val="Hyperlink"/>
          </w:rPr>
          <w:t xml:space="preserve">Gillion</w:t>
        </w:r>
      </w:hyperlink>
      <w:r>
        <w:t xml:space="preserve"> </w:t>
      </w:r>
      <w:r>
        <w:t xml:space="preserve">(</w:t>
      </w:r>
      <w:hyperlink w:anchor="ref-Gillion2013">
        <w:r>
          <w:rPr>
            <w:rStyle w:val="Hyperlink"/>
          </w:rPr>
          <w:t xml:space="preserve">2013</w:t>
        </w:r>
      </w:hyperlink>
      <w:r>
        <w:t xml:space="preserve">)</w:t>
      </w:r>
      <w:r>
        <w:t xml:space="preserve">).</w:t>
      </w:r>
      <w:r>
        <w:t xml:space="preserve"> </w:t>
      </w:r>
      <w:hyperlink w:anchor="ref-CarpenterPetitions">
        <w:r>
          <w:rPr>
            <w:rStyle w:val="Hyperlink"/>
          </w:rPr>
          <w:t xml:space="preserve">D. Carpenter</w:t>
        </w:r>
      </w:hyperlink>
      <w:r>
        <w:t xml:space="preserve"> </w:t>
      </w:r>
      <w:r>
        <w:t xml:space="preserve">(</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hyperlink w:anchor="ref-Meyer2004">
        <w:r>
          <w:rPr>
            <w:rStyle w:val="Hyperlink"/>
          </w:rPr>
          <w:t xml:space="preserve">Meyer</w:t>
        </w:r>
      </w:hyperlink>
      <w:r>
        <w:t xml:space="preserve"> </w:t>
      </w:r>
      <w:r>
        <w:t xml:space="preserve">(</w:t>
      </w:r>
      <w:hyperlink w:anchor="ref-Meyer2004">
        <w:r>
          <w:rPr>
            <w:rStyle w:val="Hyperlink"/>
          </w:rPr>
          <w:t xml:space="preserve">2004</w:t>
        </w:r>
      </w:hyperlink>
      <w:r>
        <w:t xml:space="preserve">)</w:t>
      </w:r>
      <w:r>
        <w:t xml:space="preserve"> </w:t>
      </w:r>
      <w:r>
        <w:t xml:space="preserve">and</w:t>
      </w:r>
      <w:r>
        <w:t xml:space="preserve"> </w:t>
      </w:r>
      <w:hyperlink w:anchor="ref-Mcadam2017">
        <w:r>
          <w:rPr>
            <w:rStyle w:val="Hyperlink"/>
          </w:rPr>
          <w:t xml:space="preserve">Mcadam</w:t>
        </w:r>
      </w:hyperlink>
      <w:r>
        <w:t xml:space="preserve"> </w:t>
      </w:r>
      <w:r>
        <w:t xml:space="preserve">(</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w:t>
      </w:r>
      <w:hyperlink w:anchor="ref-Andrews2004">
        <w:r>
          <w:rPr>
            <w:rStyle w:val="Hyperlink"/>
          </w:rPr>
          <w:t xml:space="preserve">Andrews and Edwards 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w:t>
      </w:r>
      <w:hyperlink w:anchor="ref-Gillion2013">
        <w:r>
          <w:rPr>
            <w:rStyle w:val="Hyperlink"/>
          </w:rPr>
          <w:t xml:space="preserve">Gillion 2013</w:t>
        </w:r>
      </w:hyperlink>
      <w:r>
        <w:t xml:space="preserve">)</w:t>
      </w:r>
      <w:r>
        <w:t xml:space="preserve"> </w:t>
      </w:r>
      <w:r>
        <w:t xml:space="preserve">or case studies of local policy issues</w:t>
      </w:r>
      <w:r>
        <w:t xml:space="preserve"> </w:t>
      </w:r>
      <w:r>
        <w:t xml:space="preserve">(e.g.,</w:t>
      </w:r>
      <w:r>
        <w:t xml:space="preserve"> </w:t>
      </w:r>
      <w:hyperlink w:anchor="ref-Bullard1993">
        <w:r>
          <w:rPr>
            <w:rStyle w:val="Hyperlink"/>
          </w:rPr>
          <w:t xml:space="preserve">Bullard 1993</w:t>
        </w:r>
      </w:hyperlink>
      <w:r>
        <w:t xml:space="preserve">;</w:t>
      </w:r>
      <w:r>
        <w:t xml:space="preserve"> </w:t>
      </w:r>
      <w:hyperlink w:anchor="ref-Rochon1993">
        <w:r>
          <w:rPr>
            <w:rStyle w:val="Hyperlink"/>
          </w:rPr>
          <w:t xml:space="preserve">Rochon and Mazmanian 1993</w:t>
        </w:r>
      </w:hyperlink>
      <w:r>
        <w:t xml:space="preserve">)</w:t>
      </w:r>
      <w:r>
        <w:t xml:space="preserve">. Reviewing the specificity of measures used to assess the impact of advocacy campaigns,</w:t>
      </w:r>
      <w:r>
        <w:t xml:space="preserve"> </w:t>
      </w:r>
      <w:hyperlink w:anchor="ref-Burstein2020">
        <w:r>
          <w:rPr>
            <w:rStyle w:val="Hyperlink"/>
          </w:rPr>
          <w:t xml:space="preserve">Burstein</w:t>
        </w:r>
      </w:hyperlink>
      <w:r>
        <w:t xml:space="preserve"> </w:t>
      </w:r>
      <w:r>
        <w:t xml:space="preserve">(</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hyperlink w:anchor="ref-Leech2010">
        <w:r>
          <w:rPr>
            <w:rStyle w:val="Hyperlink"/>
          </w:rPr>
          <w:t xml:space="preserve">Leech</w:t>
        </w:r>
      </w:hyperlink>
      <w:r>
        <w:t xml:space="preserve"> </w:t>
      </w:r>
      <w:r>
        <w:t xml:space="preserve">(</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hyperlink w:anchor="ref-Lowery2013">
        <w:r>
          <w:rPr>
            <w:rStyle w:val="Hyperlink"/>
          </w:rPr>
          <w:t xml:space="preserve">Lowery</w:t>
        </w:r>
      </w:hyperlink>
      <w:r>
        <w:t xml:space="preserve"> </w:t>
      </w:r>
      <w:r>
        <w:t xml:space="preserve">(</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w:t>
      </w:r>
      <w:hyperlink w:anchor="ref-Hojnacki2012">
        <w:r>
          <w:rPr>
            <w:rStyle w:val="Hyperlink"/>
          </w:rPr>
          <w:t xml:space="preserve">Hojnacki et al. 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bookmarkEnd w:id="213"/>
    <w:bookmarkStart w:id="214" w:name="X1c3790d66e0c8fcd3dabc4541111806693f8d51"/>
    <w:p>
      <w:pPr>
        <w:pStyle w:val="Heading3"/>
      </w:pPr>
      <w:r>
        <w:rPr>
          <w:rStyle w:val="SectionNumber"/>
        </w:rPr>
        <w:t xml:space="preserve">4.2.2</w:t>
      </w:r>
      <w:r>
        <w:tab/>
      </w:r>
      <w:r>
        <w:t xml:space="preserve">Technical Information: the Currency of Lobbying</w:t>
      </w:r>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w:t>
      </w:r>
      <w:hyperlink w:anchor="ref-Kerwin2011">
        <w:r>
          <w:rPr>
            <w:rStyle w:val="Hyperlink"/>
          </w:rPr>
          <w:t xml:space="preserve">Kerwin and Furlong 2011</w:t>
        </w:r>
      </w:hyperlink>
      <w:r>
        <w:t xml:space="preserve">)</w:t>
      </w:r>
      <w:r>
        <w:t xml:space="preserve">. Leading formal models are information-based models where sophisticated lobbying groups affect policy by revealing information to the agency</w:t>
      </w:r>
      <w:r>
        <w:t xml:space="preserve"> </w:t>
      </w:r>
      <w:r>
        <w:t xml:space="preserve">(</w:t>
      </w:r>
      <w:hyperlink w:anchor="ref-Gailmard2017">
        <w:r>
          <w:rPr>
            <w:rStyle w:val="Hyperlink"/>
          </w:rPr>
          <w:t xml:space="preserve">Gailmard and Patty 2017</w:t>
        </w:r>
      </w:hyperlink>
      <w:r>
        <w:t xml:space="preserve">;</w:t>
      </w:r>
      <w:r>
        <w:t xml:space="preserve"> </w:t>
      </w:r>
      <w:hyperlink w:anchor="ref-Libgober2018">
        <w:r>
          <w:rPr>
            <w:rStyle w:val="Hyperlink"/>
          </w:rPr>
          <w:t xml:space="preserve">Libgober 2018</w:t>
        </w:r>
      </w:hyperlink>
      <w:r>
        <w:t xml:space="preserve">)</w:t>
      </w:r>
      <w:r>
        <w:t xml:space="preserve">, and empirical studies support the conclusion that information is the currency of lobbying in rulemaking</w:t>
      </w:r>
      <w:r>
        <w:t xml:space="preserve"> </w:t>
      </w:r>
      <w:r>
        <w:t xml:space="preserve">(</w:t>
      </w:r>
      <w:hyperlink w:anchor="ref-Yackee2012">
        <w:r>
          <w:rPr>
            <w:rStyle w:val="Hyperlink"/>
          </w:rPr>
          <w:t xml:space="preserve">S. W. Yackee 2012</w:t>
        </w:r>
      </w:hyperlink>
      <w:r>
        <w:t xml:space="preserve">;</w:t>
      </w:r>
      <w:r>
        <w:t xml:space="preserve"> </w:t>
      </w:r>
      <w:hyperlink w:anchor="ref-Cook2017">
        <w:r>
          <w:rPr>
            <w:rStyle w:val="Hyperlink"/>
          </w:rPr>
          <w:t xml:space="preserve">Cook 2017</w:t>
        </w:r>
      </w:hyperlink>
      <w:r>
        <w:t xml:space="preserve">;</w:t>
      </w:r>
      <w:r>
        <w:t xml:space="preserve"> </w:t>
      </w:r>
      <w:hyperlink w:anchor="ref-Gordon2018">
        <w:r>
          <w:rPr>
            <w:rStyle w:val="Hyperlink"/>
          </w:rPr>
          <w:t xml:space="preserve">Gordon and Rashin 2018</w:t>
        </w:r>
      </w:hyperlink>
      <w:r>
        <w:t xml:space="preserve">;</w:t>
      </w:r>
      <w:r>
        <w:t xml:space="preserve"> </w:t>
      </w:r>
      <w:hyperlink w:anchor="ref-Walters2019">
        <w:r>
          <w:rPr>
            <w:rStyle w:val="Hyperlink"/>
          </w:rPr>
          <w:t xml:space="preserve">Walters 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t>
      </w:r>
      <w:hyperlink w:anchor="ref-Wagner2010">
        <w:r>
          <w:rPr>
            <w:rStyle w:val="Hyperlink"/>
          </w:rPr>
          <w:t xml:space="preserve">Wendy E. Wagner 2010</w:t>
        </w:r>
      </w:hyperlink>
      <w:r>
        <w:t xml:space="preserve">)</w:t>
      </w:r>
      <w:r>
        <w:t xml:space="preserve">.</w:t>
      </w:r>
      <w:r>
        <w:t xml:space="preserve"> </w:t>
      </w:r>
      <w:r>
        <w:t xml:space="preserve"> </w:t>
      </w:r>
      <w:r>
        <w:t xml:space="preserve">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w:t>
      </w:r>
      <w:hyperlink w:anchor="ref-Jacobs2005">
        <w:r>
          <w:rPr>
            <w:rStyle w:val="Hyperlink"/>
          </w:rPr>
          <w:t xml:space="preserve">Jacobs and Skocpol 2005</w:t>
        </w:r>
      </w:hyperlink>
      <w:r>
        <w:t xml:space="preserve">;</w:t>
      </w:r>
      <w:r>
        <w:t xml:space="preserve"> </w:t>
      </w:r>
      <w:hyperlink w:anchor="ref-Soss2007">
        <w:r>
          <w:rPr>
            <w:rStyle w:val="Hyperlink"/>
          </w:rPr>
          <w:t xml:space="preserve">Soss, Hacker, and Mettler 2007</w:t>
        </w:r>
      </w:hyperlink>
      <w:r>
        <w:t xml:space="preserve">;</w:t>
      </w:r>
      <w:r>
        <w:t xml:space="preserve"> </w:t>
      </w:r>
      <w:hyperlink w:anchor="ref-Hertel-Fernandez2019">
        <w:r>
          <w:rPr>
            <w:rStyle w:val="Hyperlink"/>
          </w:rPr>
          <w:t xml:space="preserve">Hertel-Fernandez 2019</w:t>
        </w:r>
      </w:hyperlink>
      <w:r>
        <w:t xml:space="preserve">;</w:t>
      </w:r>
      <w:r>
        <w:t xml:space="preserve"> </w:t>
      </w:r>
      <w:hyperlink w:anchor="ref-Hacker2003">
        <w:r>
          <w:rPr>
            <w:rStyle w:val="Hyperlink"/>
          </w:rPr>
          <w:t xml:space="preserve">Hacker 2003</w:t>
        </w:r>
      </w:hyperlink>
      <w:r>
        <w:t xml:space="preserve">;</w:t>
      </w:r>
      <w:r>
        <w:t xml:space="preserve"> </w:t>
      </w:r>
      <w:hyperlink w:anchor="ref-Gilens2014">
        <w:r>
          <w:rPr>
            <w:rStyle w:val="Hyperlink"/>
          </w:rPr>
          <w:t xml:space="preserve">Gilens and Page 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w:t>
      </w:r>
      <w:hyperlink w:anchor="ref-Michaels2015">
        <w:r>
          <w:rPr>
            <w:rStyle w:val="Hyperlink"/>
          </w:rPr>
          <w:t xml:space="preserve">Michaels 2015</w:t>
        </w:r>
      </w:hyperlink>
      <w:r>
        <w:t xml:space="preserve">;</w:t>
      </w:r>
      <w:r>
        <w:t xml:space="preserve"> </w:t>
      </w:r>
      <w:hyperlink w:anchor="ref-Metzger2010">
        <w:r>
          <w:rPr>
            <w:rStyle w:val="Hyperlink"/>
          </w:rPr>
          <w:t xml:space="preserve">Metzger 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w:t>
      </w:r>
      <w:hyperlink w:anchor="ref-Seifter2016UCLA">
        <w:r>
          <w:rPr>
            <w:rStyle w:val="Hyperlink"/>
          </w:rPr>
          <w:t xml:space="preserve">Seifter 2016</w:t>
        </w:r>
      </w:hyperlink>
      <w:r>
        <w:t xml:space="preserve">;</w:t>
      </w:r>
      <w:r>
        <w:t xml:space="preserve"> </w:t>
      </w:r>
      <w:hyperlink w:anchor="ref-Crow2015">
        <w:r>
          <w:rPr>
            <w:rStyle w:val="Hyperlink"/>
          </w:rPr>
          <w:t xml:space="preserve">Crow, Albright, and Koebele 2015</w:t>
        </w:r>
      </w:hyperlink>
      <w:r>
        <w:t xml:space="preserve">;</w:t>
      </w:r>
      <w:r>
        <w:t xml:space="preserve"> </w:t>
      </w:r>
      <w:hyperlink w:anchor="ref-Wagner2011">
        <w:r>
          <w:rPr>
            <w:rStyle w:val="Hyperlink"/>
          </w:rPr>
          <w:t xml:space="preserve">Wendy E. Wagner, Barnes, and Peters 2011</w:t>
        </w:r>
      </w:hyperlink>
      <w:r>
        <w:t xml:space="preserve">;</w:t>
      </w:r>
      <w:r>
        <w:t xml:space="preserve"> </w:t>
      </w:r>
      <w:hyperlink w:anchor="ref-West2009">
        <w:r>
          <w:rPr>
            <w:rStyle w:val="Hyperlink"/>
          </w:rPr>
          <w:t xml:space="preserve">West 2009</w:t>
        </w:r>
      </w:hyperlink>
      <w:r>
        <w:t xml:space="preserve">;</w:t>
      </w:r>
      <w:r>
        <w:t xml:space="preserve"> </w:t>
      </w:r>
      <w:hyperlink w:anchor="ref-Yackee2006JOP">
        <w:r>
          <w:rPr>
            <w:rStyle w:val="Hyperlink"/>
          </w:rPr>
          <w:t xml:space="preserve">J. W. Yackee and Yackee 2006</w:t>
        </w:r>
      </w:hyperlink>
      <w:r>
        <w:t xml:space="preserve">;</w:t>
      </w:r>
      <w:r>
        <w:t xml:space="preserve"> </w:t>
      </w:r>
      <w:hyperlink w:anchor="ref-Yackee2006JPART">
        <w:r>
          <w:rPr>
            <w:rStyle w:val="Hyperlink"/>
          </w:rPr>
          <w:t xml:space="preserve">S. W. Yackee 2006</w:t>
        </w:r>
      </w:hyperlink>
      <w:r>
        <w:t xml:space="preserve">;</w:t>
      </w:r>
      <w:r>
        <w:t xml:space="preserve"> </w:t>
      </w:r>
      <w:hyperlink w:anchor="ref-Golden1998">
        <w:r>
          <w:rPr>
            <w:rStyle w:val="Hyperlink"/>
          </w:rPr>
          <w:t xml:space="preserve">Golden 1998</w:t>
        </w:r>
      </w:hyperlink>
      <w:r>
        <w:t xml:space="preserve">;</w:t>
      </w:r>
      <w:r>
        <w:t xml:space="preserve"> </w:t>
      </w:r>
      <w:hyperlink w:anchor="ref-Haeder2015">
        <w:r>
          <w:rPr>
            <w:rStyle w:val="Hyperlink"/>
          </w:rPr>
          <w:t xml:space="preserve">Haeder and Yackee 2015</w:t>
        </w:r>
      </w:hyperlink>
      <w:r>
        <w:t xml:space="preserve">;</w:t>
      </w:r>
      <w:r>
        <w:t xml:space="preserve"> </w:t>
      </w:r>
      <w:hyperlink w:anchor="ref-Cook2017">
        <w:r>
          <w:rPr>
            <w:rStyle w:val="Hyperlink"/>
          </w:rPr>
          <w:t xml:space="preserve">Cook 2017</w:t>
        </w:r>
      </w:hyperlink>
      <w:r>
        <w:t xml:space="preserve">;</w:t>
      </w:r>
      <w:r>
        <w:t xml:space="preserve"> </w:t>
      </w:r>
      <w:hyperlink w:anchor="ref-LibgoberCarpenter2018">
        <w:r>
          <w:rPr>
            <w:rStyle w:val="Hyperlink"/>
          </w:rPr>
          <w:t xml:space="preserve">Libgober and Carpenter 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hyperlink w:anchor="ref-Balla2018">
        <w:r>
          <w:rPr>
            <w:rStyle w:val="Hyperlink"/>
          </w:rPr>
          <w:t xml:space="preserve">Steven J. Balla et al.</w:t>
        </w:r>
      </w:hyperlink>
      <w:r>
        <w:t xml:space="preserve"> </w:t>
      </w:r>
      <w:r>
        <w:t xml:space="preserve">(</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bookmarkEnd w:id="214"/>
    <w:bookmarkStart w:id="217" w:name="political-information"/>
    <w:p>
      <w:pPr>
        <w:pStyle w:val="Heading3"/>
      </w:pPr>
      <w:r>
        <w:rPr>
          <w:rStyle w:val="SectionNumber"/>
        </w:rPr>
        <w:t xml:space="preserve">4.2.3</w:t>
      </w:r>
      <w:r>
        <w:tab/>
      </w:r>
      <w:r>
        <w:t xml:space="preserve">Political Information</w:t>
      </w:r>
    </w:p>
    <w:p>
      <w:pPr>
        <w:pStyle w:val="FirstParagraph"/>
      </w:pPr>
      <w:r>
        <w:t xml:space="preserve">While social movement organizations do engage in fights over technical reports and scientific studies, the information that activists provide is often more overtly political.</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bookmarkStart w:id="215" w:name="X21a46321adfedfeae14da998745a5e83b4f58d7"/>
    <w:p>
      <w:pPr>
        <w:pStyle w:val="Heading4"/>
      </w:pPr>
      <w:r>
        <w:rPr>
          <w:rStyle w:val="SectionNumber"/>
        </w:rPr>
        <w:t xml:space="preserve">4.2.3.1</w:t>
      </w:r>
      <w:r>
        <w:tab/>
      </w:r>
      <w:r>
        <w:t xml:space="preserve">Information About a Policy’s Disparate Effects</w:t>
      </w:r>
    </w:p>
    <w:p>
      <w:pPr>
        <w:pStyle w:val="FirstParagraph"/>
      </w:pPr>
      <w:r>
        <w:t xml:space="preserve">First, while specific</w:t>
      </w:r>
      <w:r>
        <w:t xml:space="preserve"> </w:t>
      </w:r>
      <w:r>
        <w:rPr>
          <w:iCs/>
          <w:i/>
        </w:rPr>
        <w:t xml:space="preserve">data</w:t>
      </w:r>
      <w:r>
        <w:t xml:space="preserve"> </w:t>
      </w:r>
      <w:r>
        <w:t xml:space="preserve">on disparate impacts of policy may require expertise, anyone can highlight a community of concern or potential distributive effects of a policy. Just as</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Cs/>
          <w:i/>
        </w:rPr>
        <w:t xml:space="preserve">scientific</w:t>
      </w:r>
      <w:r>
        <w:t xml:space="preserve"> </w:t>
      </w:r>
      <w:r>
        <w:t xml:space="preserve">claims, such comments focusing on a policy’s disparate impacts bolster</w:t>
      </w:r>
      <w:r>
        <w:t xml:space="preserve"> </w:t>
      </w:r>
      <w:r>
        <w:rPr>
          <w:iCs/>
          <w:i/>
        </w:rPr>
        <w:t xml:space="preserve">political</w:t>
      </w:r>
      <w:r>
        <w:t xml:space="preserve"> </w:t>
      </w:r>
      <w:r>
        <w:t xml:space="preserve">claims about who counts and even</w:t>
      </w:r>
      <w:r>
        <w:t xml:space="preserve"> </w:t>
      </w:r>
      <w:r>
        <w:rPr>
          <w:iCs/>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hyperlink w:anchor="ref-Gellhorn1972">
        <w:r>
          <w:rPr>
            <w:rStyle w:val="Hyperlink"/>
          </w:rPr>
          <w:t xml:space="preserve">Gellhorn</w:t>
        </w:r>
      </w:hyperlink>
      <w:r>
        <w:t xml:space="preserve"> </w:t>
      </w:r>
      <w:r>
        <w:t xml:space="preserve">(</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w:t>
      </w:r>
      <w:hyperlink w:anchor="ref-Lowi1964">
        <w:r>
          <w:rPr>
            <w:rStyle w:val="Hyperlink"/>
          </w:rPr>
          <w:t xml:space="preserve">Theodore J. Lowi 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w:t>
      </w:r>
      <w:hyperlink w:anchor="ref-Feinstein2021">
        <w:r>
          <w:rPr>
            <w:rStyle w:val="Hyperlink"/>
          </w:rPr>
          <w:t xml:space="preserve">Feinstein 2021</w:t>
        </w:r>
      </w:hyperlink>
      <w:r>
        <w:t xml:space="preserve">)</w:t>
      </w:r>
      <w:r>
        <w:t xml:space="preserve">. This means that the political construction of relevant groups depends on who participates and the identities they mobilize or claim to represent. As</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w:t>
      </w:r>
      <w:hyperlink w:anchor="ref-Rossi1997">
        <w:r>
          <w:rPr>
            <w:rStyle w:val="Hyperlink"/>
          </w:rPr>
          <w:t xml:space="preserve">Rossi 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w:t>
      </w:r>
      <w:hyperlink w:anchor="ref-Bierschbach2012">
        <w:r>
          <w:rPr>
            <w:rStyle w:val="Hyperlink"/>
          </w:rPr>
          <w:t xml:space="preserve">Bierschbach and Bibas 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w:t>
      </w:r>
      <w:hyperlink w:anchor="ref-Seifter2016UCLA">
        <w:r>
          <w:rPr>
            <w:rStyle w:val="Hyperlink"/>
          </w:rPr>
          <w:t xml:space="preserve">Seifter 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Cs/>
          <w:i/>
        </w:rPr>
        <w:t xml:space="preserve">United States v. Mead Corp.</w:t>
      </w:r>
      <w:r>
        <w:t xml:space="preserve">, 533 U.S. 218 2001), though empirical evidence suggests skepticism about the importance of policy processes for judicial review</w:t>
      </w:r>
      <w:r>
        <w:t xml:space="preserve"> </w:t>
      </w:r>
      <w:r>
        <w:t xml:space="preserve">(</w:t>
      </w:r>
      <w:hyperlink w:anchor="ref-judgelord2016MPSA">
        <w:r>
          <w:rPr>
            <w:rStyle w:val="Hyperlink"/>
          </w:rPr>
          <w:t xml:space="preserve">Judge-Lord 2016</w:t>
        </w:r>
      </w:hyperlink>
      <w:r>
        <w:t xml:space="preserve">)</w:t>
      </w:r>
      <w:r>
        <w:t xml:space="preserve">.</w:t>
      </w:r>
    </w:p>
    <w:bookmarkEnd w:id="215"/>
    <w:bookmarkStart w:id="216" w:name="public-pressure-as-a-political-resource"/>
    <w:p>
      <w:pPr>
        <w:pStyle w:val="Heading4"/>
      </w:pPr>
      <w:r>
        <w:rPr>
          <w:rStyle w:val="SectionNumber"/>
        </w:rPr>
        <w:t xml:space="preserve">4.2.3.2</w:t>
      </w:r>
      <w:r>
        <w:tab/>
      </w:r>
      <w:r>
        <w:t xml:space="preserve">Public pressure as a political resource</w:t>
      </w:r>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Cs/>
          <w:i/>
        </w:rPr>
        <w:t xml:space="preserve">scientific</w:t>
      </w:r>
      <w:r>
        <w:t xml:space="preserve"> </w:t>
      </w:r>
      <w:r>
        <w:t xml:space="preserve">claims, perceived levels of public support bolster</w:t>
      </w:r>
      <w:r>
        <w:t xml:space="preserve"> </w:t>
      </w:r>
      <w:r>
        <w:rPr>
          <w:iCs/>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w:t>
      </w:r>
      <w:hyperlink w:anchor="ref-Schattschneider1975">
        <w:r>
          <w:rPr>
            <w:rStyle w:val="Hyperlink"/>
          </w:rPr>
          <w:t xml:space="preserve">E. E. Schattschneider 1975</w:t>
        </w:r>
      </w:hyperlink>
      <w:r>
        <w:t xml:space="preserve">)</w:t>
      </w:r>
      <w:r>
        <w:t xml:space="preserv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hyperlink w:anchor="ref-Furlong1997">
        <w:r>
          <w:rPr>
            <w:rStyle w:val="Hyperlink"/>
          </w:rPr>
          <w:t xml:space="preserve">S. R. Furlong</w:t>
        </w:r>
      </w:hyperlink>
      <w:r>
        <w:t xml:space="preserve"> </w:t>
      </w:r>
      <w:r>
        <w:t xml:space="preserve">(</w:t>
      </w:r>
      <w:hyperlink w:anchor="ref-Furlong1997">
        <w:r>
          <w:rPr>
            <w:rStyle w:val="Hyperlink"/>
          </w:rPr>
          <w:t xml:space="preserve">1997</w:t>
        </w:r>
      </w:hyperlink>
      <w:r>
        <w:t xml:space="preserve">)</w:t>
      </w:r>
      <w:r>
        <w:t xml:space="preserve"> </w:t>
      </w:r>
      <w:r>
        <w:t xml:space="preserve">and</w:t>
      </w:r>
      <w:r>
        <w:t xml:space="preserve"> </w:t>
      </w:r>
      <w:hyperlink w:anchor="ref-Kerwin2011">
        <w:r>
          <w:rPr>
            <w:rStyle w:val="Hyperlink"/>
          </w:rPr>
          <w:t xml:space="preserve">Kerwin and Furlong</w:t>
        </w:r>
      </w:hyperlink>
      <w:r>
        <w:t xml:space="preserve"> </w:t>
      </w:r>
      <w:r>
        <w:t xml:space="preserve">(</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w:t>
      </w:r>
      <w:hyperlink w:anchor="ref-Key1961">
        <w:r>
          <w:rPr>
            <w:rStyle w:val="Hyperlink"/>
          </w:rPr>
          <w:t xml:space="preserve">Key 1961</w:t>
        </w:r>
      </w:hyperlink>
      <w:r>
        <w:t xml:space="preserve">)</w:t>
      </w:r>
      <w:r>
        <w:t xml:space="preserve"> </w:t>
      </w:r>
      <w:r>
        <w:t xml:space="preserve">or issue public</w:t>
      </w:r>
      <w:r>
        <w:t xml:space="preserve"> </w:t>
      </w:r>
      <w:r>
        <w:t xml:space="preserve">(</w:t>
      </w:r>
      <w:hyperlink w:anchor="ref-Converse1964">
        <w:r>
          <w:rPr>
            <w:rStyle w:val="Hyperlink"/>
          </w:rPr>
          <w:t xml:space="preserve">Converse 1964</w:t>
        </w:r>
      </w:hyperlink>
      <w:r>
        <w:t xml:space="preserve">)</w:t>
      </w:r>
      <w:r>
        <w:t xml:space="preserve">.</w:t>
      </w:r>
    </w:p>
    <w:p>
      <w:pPr>
        <w:pStyle w:val="BodyText"/>
      </w:pPr>
      <w:r>
        <w:t xml:space="preserve">While scholars have generally distinguished the participation of groups from individual citizens (see</w:t>
      </w:r>
      <w:r>
        <w:t xml:space="preserve"> </w:t>
      </w:r>
      <w:hyperlink w:anchor="ref-Yackee2019">
        <w:r>
          <w:rPr>
            <w:rStyle w:val="Hyperlink"/>
          </w:rPr>
          <w:t xml:space="preserve">S. W. Yackee</w:t>
        </w:r>
      </w:hyperlink>
      <w:r>
        <w:t xml:space="preserve"> </w:t>
      </w:r>
      <w:r>
        <w:t xml:space="preserve">(</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w:t>
      </w:r>
      <w:hyperlink w:anchor="ref-Seifter2016UCLA">
        <w:r>
          <w:rPr>
            <w:rStyle w:val="Hyperlink"/>
          </w:rPr>
          <w:t xml:space="preserve">Seifter 2016</w:t>
        </w:r>
      </w:hyperlink>
      <w:r>
        <w:t xml:space="preserve">, pg. 1313)</w:t>
      </w:r>
      <w:r>
        <w:t xml:space="preserve">. I argue that we should view the participation of individuals as a direct result of interest group mobilization. As</w:t>
      </w:r>
      <w:r>
        <w:t xml:space="preserve"> </w:t>
      </w:r>
      <w:r>
        <w:t xml:space="preserve">(</w:t>
      </w:r>
      <w:hyperlink w:anchor="ref-Rossi1997">
        <w:r>
          <w:rPr>
            <w:rStyle w:val="Hyperlink"/>
          </w:rPr>
          <w:t xml:space="preserve">Rossi 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w:t>
      </w:r>
      <w:hyperlink w:anchor="ref-judgelord2019SPSA">
        <w:r>
          <w:rPr>
            <w:rStyle w:val="Hyperlink"/>
          </w:rPr>
          <w:t xml:space="preserve">Judge-Lord 2019b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w:t>
      </w:r>
      <w:hyperlink w:anchor="ref-Baumgartner2001">
        <w:r>
          <w:rPr>
            <w:rStyle w:val="Hyperlink"/>
          </w:rPr>
          <w:t xml:space="preserve">Baumgartner and Leech 2001</w:t>
        </w:r>
      </w:hyperlink>
      <w:r>
        <w:t xml:space="preserve">;</w:t>
      </w:r>
      <w:r>
        <w:t xml:space="preserve"> </w:t>
      </w:r>
      <w:hyperlink w:anchor="ref-Skocpol2003">
        <w:r>
          <w:rPr>
            <w:rStyle w:val="Hyperlink"/>
          </w:rPr>
          <w:t xml:space="preserve">Skocpol 2003</w:t>
        </w:r>
      </w:hyperlink>
      <w:r>
        <w:t xml:space="preserve">;</w:t>
      </w:r>
      <w:r>
        <w:t xml:space="preserve"> </w:t>
      </w:r>
      <w:hyperlink w:anchor="ref-Schlozman2012">
        <w:r>
          <w:rPr>
            <w:rStyle w:val="Hyperlink"/>
          </w:rPr>
          <w:t xml:space="preserve">K. L. Schlozman, Verba, and Brady 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w:t>
      </w:r>
      <w:hyperlink w:anchor="ref-Seifter2016UCLA">
        <w:r>
          <w:rPr>
            <w:rStyle w:val="Hyperlink"/>
          </w:rPr>
          <w:t xml:space="preserve">Seifter 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w:t>
      </w:r>
      <w:hyperlink w:anchor="ref-judgelord2019SPSA">
        <w:r>
          <w:rPr>
            <w:rStyle w:val="Hyperlink"/>
          </w:rPr>
          <w:t xml:space="preserve">Judge-Lord 2019b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w:t>
      </w:r>
      <w:hyperlink w:anchor="ref-McCubbins1984">
        <w:r>
          <w:rPr>
            <w:rStyle w:val="Hyperlink"/>
          </w:rPr>
          <w:t xml:space="preserve">Mathew D. McCubbins and Schwartz 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w:t>
      </w:r>
      <w:hyperlink w:anchor="ref-judgelord2019SPSA">
        <w:r>
          <w:rPr>
            <w:rStyle w:val="Hyperlink"/>
          </w:rPr>
          <w:t xml:space="preserve">Judge-Lord 2019b</w:t>
        </w:r>
      </w:hyperlink>
      <w:r>
        <w:t xml:space="preserve">)</w:t>
      </w:r>
      <w:r>
        <w:t xml:space="preserve">.</w:t>
      </w:r>
    </w:p>
    <w:bookmarkEnd w:id="216"/>
    <w:bookmarkEnd w:id="217"/>
    <w:bookmarkStart w:id="221" w:name="hypotheses"/>
    <w:p>
      <w:pPr>
        <w:pStyle w:val="Heading3"/>
      </w:pPr>
      <w:r>
        <w:rPr>
          <w:rStyle w:val="SectionNumber"/>
        </w:rPr>
        <w:t xml:space="preserve">4.2.4</w:t>
      </w:r>
      <w:r>
        <w:tab/>
      </w:r>
      <w:r>
        <w:t xml:space="preserve">Hypotheses</w:t>
      </w:r>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Cs/>
          <w:i/>
        </w:rPr>
        <w:t xml:space="preserve">any</w:t>
      </w:r>
      <w:r>
        <w:t xml:space="preserve"> </w:t>
      </w:r>
      <w:r>
        <w:t xml:space="preserve">effect at all on policy documents.</w:t>
      </w:r>
    </w:p>
    <w:bookmarkStart w:id="219" w:name="distributive-information-hypotheses"/>
    <w:p>
      <w:pPr>
        <w:pStyle w:val="Heading4"/>
      </w:pPr>
      <w:r>
        <w:rPr>
          <w:rStyle w:val="SectionNumber"/>
        </w:rPr>
        <w:t xml:space="preserve">4.2.4.1</w:t>
      </w:r>
      <w:r>
        <w:tab/>
      </w:r>
      <w:r>
        <w:t xml:space="preserve">Distributive Information Hypotheses</w:t>
      </w:r>
    </w:p>
    <w:p>
      <w:pPr>
        <w:pStyle w:val="BlockText"/>
      </w:pPr>
      <w:r>
        <w:rPr>
          <w:iCs/>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Cs/>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w:t>
      </w:r>
      <w:hyperlink w:anchor="ref-Mendelson2011">
        <w:r>
          <w:rPr>
            <w:rStyle w:val="Hyperlink"/>
          </w:rPr>
          <w:t xml:space="preserve">Mendelson 2011</w:t>
        </w:r>
      </w:hyperlink>
      <w:r>
        <w:t xml:space="preserve">;</w:t>
      </w:r>
      <w:r>
        <w:t xml:space="preserve"> </w:t>
      </w:r>
      <w:hyperlink w:anchor="ref-Nelson2012">
        <w:r>
          <w:rPr>
            <w:rStyle w:val="Hyperlink"/>
          </w:rPr>
          <w:t xml:space="preserve">Nelson and Yackee 2012</w:t>
        </w:r>
      </w:hyperlink>
      <w:r>
        <w:t xml:space="preserve">)</w:t>
      </w:r>
      <w:r>
        <w:t xml:space="preserve">. This implies that the more unique comments raise EJ concerns, the more likely the coalition will influence policy.</w:t>
      </w:r>
      <w:r>
        <w:rPr>
          <w:rStyle w:val="FootnoteReference"/>
        </w:rPr>
        <w:footnoteReference w:id="218"/>
      </w:r>
    </w:p>
    <w:p>
      <w:pPr>
        <w:pStyle w:val="BodyText"/>
      </w:pPr>
      <w:r>
        <w:t xml:space="preserve">Competing intuitions and other prior studies oppose both the</w:t>
      </w:r>
      <w:r>
        <w:t xml:space="preserve"> </w:t>
      </w:r>
      <w:r>
        <w:rPr>
          <w:iCs/>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t>
      </w:r>
      <w:hyperlink w:anchor="ref-Wagner2010">
        <w:r>
          <w:rPr>
            <w:rStyle w:val="Hyperlink"/>
          </w:rPr>
          <w:t xml:space="preserve">Wendy E. Wagner 2010</w:t>
        </w:r>
      </w:hyperlink>
      <w:r>
        <w:t xml:space="preserve">)</w:t>
      </w:r>
      <w:r>
        <w:t xml:space="preserve">. Furthermore, scholarship finds business commenters are influential, and public interest groups are not</w:t>
      </w:r>
      <w:r>
        <w:t xml:space="preserve"> </w:t>
      </w:r>
      <w:r>
        <w:t xml:space="preserve">(</w:t>
      </w:r>
      <w:hyperlink w:anchor="ref-Yackee2006JOP">
        <w:r>
          <w:rPr>
            <w:rStyle w:val="Hyperlink"/>
          </w:rPr>
          <w:t xml:space="preserve">J. W. Yackee and Yackee 2006</w:t>
        </w:r>
      </w:hyperlink>
      <w:r>
        <w:t xml:space="preserve">;</w:t>
      </w:r>
      <w:r>
        <w:t xml:space="preserve"> </w:t>
      </w:r>
      <w:hyperlink w:anchor="ref-Haeder2015">
        <w:r>
          <w:rPr>
            <w:rStyle w:val="Hyperlink"/>
          </w:rPr>
          <w:t xml:space="preserve">Haeder and Yackee 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Cs/>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Cs/>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Cs/>
          <w:i/>
        </w:rPr>
        <w:t xml:space="preserve">Policy Receptivity Hypothesis</w:t>
      </w:r>
      <w:r>
        <w:t xml:space="preserve"> </w:t>
      </w:r>
      <w:r>
        <w:t xml:space="preserve">is that policymakers familiar with EJ concerns are the</w:t>
      </w:r>
      <w:r>
        <w:t xml:space="preserve"> </w:t>
      </w:r>
      <w:r>
        <w:rPr>
          <w:iCs/>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bookmarkEnd w:id="219"/>
    <w:bookmarkStart w:id="220" w:name="public-pressure-hypotheses"/>
    <w:p>
      <w:pPr>
        <w:pStyle w:val="Heading4"/>
      </w:pPr>
      <w:r>
        <w:rPr>
          <w:rStyle w:val="SectionNumber"/>
        </w:rPr>
        <w:t xml:space="preserve">4.2.4.2</w:t>
      </w:r>
      <w:r>
        <w:tab/>
      </w:r>
      <w:r>
        <w:t xml:space="preserve">Public Pressure Hypotheses</w:t>
      </w:r>
    </w:p>
    <w:p>
      <w:pPr>
        <w:pStyle w:val="BlockText"/>
      </w:pPr>
      <w:r>
        <w:rPr>
          <w:iCs/>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w:t>
      </w:r>
      <w:hyperlink w:anchor="ref-Leech2010">
        <w:r>
          <w:rPr>
            <w:rStyle w:val="Hyperlink"/>
          </w:rPr>
          <w:t xml:space="preserve">Leech 2010</w:t>
        </w:r>
      </w:hyperlink>
      <w:r>
        <w:t xml:space="preserve">)</w:t>
      </w:r>
      <w:r>
        <w:t xml:space="preserve">.</w:t>
      </w:r>
    </w:p>
    <w:p>
      <w:pPr>
        <w:pStyle w:val="BodyText"/>
      </w:pPr>
      <w:r>
        <w:t xml:space="preserve">The competing intuition against the</w:t>
      </w:r>
      <w:r>
        <w:t xml:space="preserve"> </w:t>
      </w:r>
      <w:r>
        <w:rPr>
          <w:iCs/>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Cs/>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Cs/>
          <w:i/>
        </w:rPr>
        <w:t xml:space="preserve">Specific Pressure Hypothesis</w:t>
      </w:r>
      <w:r>
        <w:t xml:space="preserve">: Policies are more likely to address an issue when they receive more public attention (e.g., more public comments)</w:t>
      </w:r>
      <w:r>
        <w:t xml:space="preserve"> </w:t>
      </w:r>
      <w:r>
        <w:rPr>
          <w:iCs/>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Cs/>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bookmarkEnd w:id="220"/>
    <w:bookmarkEnd w:id="221"/>
    <w:bookmarkEnd w:id="222"/>
    <w:bookmarkStart w:id="243" w:name="testing-the-theory-1"/>
    <w:p>
      <w:pPr>
        <w:pStyle w:val="Heading2"/>
      </w:pPr>
      <w:r>
        <w:rPr>
          <w:rStyle w:val="SectionNumber"/>
        </w:rPr>
        <w:t xml:space="preserve">4.3</w:t>
      </w:r>
      <w:r>
        <w:tab/>
      </w:r>
      <w:r>
        <w:t xml:space="preserve">Testing the Theory</w:t>
      </w:r>
    </w:p>
    <w:bookmarkStart w:id="223" w:name="X4d4dbe491c27800adf325f3bb7b12eac02210b9"/>
    <w:p>
      <w:pPr>
        <w:pStyle w:val="Heading3"/>
      </w:pPr>
      <w:r>
        <w:rPr>
          <w:rStyle w:val="SectionNumber"/>
        </w:rPr>
        <w:t xml:space="preserve">4.3.1</w:t>
      </w:r>
      <w:r>
        <w:tab/>
      </w:r>
      <w:r>
        <w:t xml:space="preserve">“</w:t>
      </w:r>
      <w:r>
        <w:t xml:space="preserve">Environmental Justice</w:t>
      </w:r>
      <w:r>
        <w:t xml:space="preserve">”</w:t>
      </w:r>
      <w:r>
        <w:t xml:space="preserve"> </w:t>
      </w:r>
      <w:r>
        <w:t xml:space="preserve">as a Boundary-drawing Tool</w:t>
      </w:r>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Cs/>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Cs/>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Cs/>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bookmarkEnd w:id="223"/>
    <w:bookmarkStart w:id="235" w:name="data-1"/>
    <w:p>
      <w:pPr>
        <w:pStyle w:val="Heading3"/>
      </w:pPr>
      <w:r>
        <w:rPr>
          <w:rStyle w:val="SectionNumber"/>
        </w:rPr>
        <w:t xml:space="preserve">4.3.2</w:t>
      </w:r>
      <w:r>
        <w:tab/>
      </w:r>
      <w:r>
        <w:t xml:space="preserve">Data</w:t>
      </w:r>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24"/>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25"/>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26"/>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27"/>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bookmarkStart w:id="229" w:name="comments"/>
    <w:p>
      <w:pPr>
        <w:pStyle w:val="Heading4"/>
      </w:pPr>
      <w:r>
        <w:rPr>
          <w:rStyle w:val="SectionNumber"/>
        </w:rPr>
        <w:t xml:space="preserve">4.3.2.1</w:t>
      </w:r>
      <w:r>
        <w:tab/>
      </w:r>
      <w:r>
        <w:t xml:space="preserve">Comments</w:t>
      </w:r>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2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bookmarkEnd w:id="229"/>
    <w:bookmarkStart w:id="234" w:name="X5bc72fdd8ee21381c1bed30b551ba5f6b7d1f04"/>
    <w:p>
      <w:pPr>
        <w:pStyle w:val="Heading4"/>
      </w:pPr>
      <w:r>
        <w:rPr>
          <w:rStyle w:val="SectionNumber"/>
        </w:rPr>
        <w:t xml:space="preserve">4.3.2.2</w:t>
      </w:r>
      <w:r>
        <w:tab/>
      </w:r>
      <w:r>
        <w:t xml:space="preserve">Interest Groups and Second-order Representation</w:t>
      </w:r>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w:t>
      </w:r>
      <w:hyperlink w:anchor="ref-Seifter2016UCLA">
        <w:r>
          <w:rPr>
            <w:rStyle w:val="Hyperlink"/>
          </w:rPr>
          <w:t xml:space="preserve">Seifter 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w:t>
      </w:r>
      <w:hyperlink w:anchor="ref-Seifter2016UCLA">
        <w:r>
          <w:rPr>
            <w:rStyle w:val="Hyperlink"/>
          </w:rPr>
          <w:t xml:space="preserve">Seifter 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w:t>
      </w:r>
      <w:hyperlink w:anchor="ref-Seifter2016UCLA">
        <w:r>
          <w:rPr>
            <w:rStyle w:val="Hyperlink"/>
          </w:rPr>
          <w:t xml:space="preserve">Seifter 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w:t>
      </w:r>
      <w:hyperlink w:anchor="ref-Seifter2016UCLA">
        <w:r>
          <w:rPr>
            <w:rStyle w:val="Hyperlink"/>
          </w:rPr>
          <w:t xml:space="preserve">Seifter 2016</w:t>
        </w:r>
      </w:hyperlink>
      <w:r>
        <w:t xml:space="preserve">)</w:t>
      </w:r>
      <w:r>
        <w:t xml:space="preserve">.</w:t>
      </w:r>
    </w:p>
    <w:bookmarkStart w:id="230" w:name="Xa0465661e073274b9a5bc0617e85f811e5e5137"/>
    <w:p>
      <w:pPr>
        <w:pStyle w:val="Heading5"/>
      </w:pPr>
      <w:r>
        <w:rPr>
          <w:rStyle w:val="SectionNumber"/>
        </w:rPr>
        <w:t xml:space="preserve">4.3.2.2.1</w:t>
      </w:r>
      <w:r>
        <w:tab/>
      </w:r>
      <w:r>
        <w:t xml:space="preserve">Which Organizations Most often Raise EJ Concerns?</w:t>
      </w:r>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w:t>
      </w:r>
      <w:hyperlink w:anchor="ref-Earthjustice2017">
        <w:r>
          <w:rPr>
            <w:rStyle w:val="Hyperlink"/>
          </w:rPr>
          <w:t xml:space="preserve">Earthjustice 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t>
      </w:r>
      <w:hyperlink w:anchor="ref-WEACT2017">
        <w:r>
          <w:rPr>
            <w:rStyle w:val="Hyperlink"/>
          </w:rPr>
          <w:t xml:space="preserve">WEACT 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w:t>
      </w:r>
      <w:hyperlink w:anchor="ref-CBECAL2017">
        <w:r>
          <w:rPr>
            <w:rStyle w:val="Hyperlink"/>
          </w:rPr>
          <w:t xml:space="preserve">CBECAL 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w:t>
      </w:r>
      <w:hyperlink w:anchor="ref-CBECAL2017">
        <w:r>
          <w:rPr>
            <w:rStyle w:val="Hyperlink"/>
          </w:rPr>
          <w:t xml:space="preserve">CBECAL 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w:t>
      </w:r>
      <w:hyperlink w:anchor="ref-Hobson2004">
        <w:r>
          <w:rPr>
            <w:rStyle w:val="Hyperlink"/>
          </w:rPr>
          <w:t xml:space="preserve">Hobson 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w:t>
      </w:r>
      <w:hyperlink w:anchor="ref-Mansbridge2003">
        <w:r>
          <w:rPr>
            <w:rStyle w:val="Hyperlink"/>
          </w:rPr>
          <w:t xml:space="preserve">J. Mansbridge 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bookmarkEnd w:id="230"/>
    <w:bookmarkStart w:id="233" w:name="commenter-race"/>
    <w:p>
      <w:pPr>
        <w:pStyle w:val="Heading5"/>
      </w:pPr>
      <w:r>
        <w:rPr>
          <w:rStyle w:val="SectionNumber"/>
        </w:rPr>
        <w:t xml:space="preserve">4.3.2.2.2</w:t>
      </w:r>
      <w:r>
        <w:tab/>
      </w:r>
      <w:r>
        <w:t xml:space="preserve">Commenter Race</w:t>
      </w:r>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31"/>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32"/>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w:t>
      </w:r>
      <w:hyperlink w:anchor="ref-Bullard1993">
        <w:r>
          <w:rPr>
            <w:rStyle w:val="Hyperlink"/>
          </w:rPr>
          <w:t xml:space="preserve">Bullard 1993</w:t>
        </w:r>
      </w:hyperlink>
      <w:r>
        <w:t xml:space="preserve">)</w:t>
      </w:r>
      <w:r>
        <w:t xml:space="preserve">.</w:t>
      </w:r>
    </w:p>
    <w:bookmarkEnd w:id="233"/>
    <w:bookmarkEnd w:id="234"/>
    <w:bookmarkEnd w:id="235"/>
    <w:bookmarkStart w:id="237" w:name="Xa5d348ccb1676da69c867e395370eaa18ed3817"/>
    <w:p>
      <w:pPr>
        <w:pStyle w:val="Heading3"/>
      </w:pPr>
      <w:r>
        <w:rPr>
          <w:rStyle w:val="SectionNumber"/>
        </w:rPr>
        <w:t xml:space="preserve">4.3.3</w:t>
      </w:r>
      <w:r>
        <w:tab/>
      </w:r>
      <w:r>
        <w:t xml:space="preserve">Tracing Ideas Through Rulemaking:</w:t>
      </w:r>
      <w:r>
        <w:t xml:space="preserve"> </w:t>
      </w:r>
      <w:r>
        <w:t xml:space="preserve">“</w:t>
      </w:r>
      <w:r>
        <w:t xml:space="preserve">Environmental Justice</w:t>
      </w:r>
      <w:r>
        <w:t xml:space="preserve">”</w:t>
      </w:r>
      <w:r>
        <w:t xml:space="preserve"> </w:t>
      </w:r>
      <w:r>
        <w:t xml:space="preserve">as a Contested Concept</w:t>
      </w:r>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w:t>
      </w:r>
      <w:hyperlink w:anchor="ref-Bullard1993">
        <w:r>
          <w:rPr>
            <w:rStyle w:val="Hyperlink"/>
          </w:rPr>
          <w:t xml:space="preserve">Bullard 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bookmarkStart w:id="236" w:name="Xcf30ced5e2318c2b966e4ae47416aff842c0b7c"/>
    <w:p>
      <w:pPr>
        <w:pStyle w:val="Heading4"/>
      </w:pPr>
      <w:r>
        <w:rPr>
          <w:rStyle w:val="SectionNumber"/>
        </w:rPr>
        <w:t xml:space="preserve">4.3.3.1</w:t>
      </w:r>
      <w:r>
        <w:tab/>
      </w:r>
      <w:r>
        <w:t xml:space="preserve">The Evolving Distributional Politics of Mercury Pollution</w:t>
      </w:r>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w:t>
      </w:r>
      <w:hyperlink w:anchor="ref-Gillion2013">
        <w:r>
          <w:rPr>
            <w:rStyle w:val="Hyperlink"/>
          </w:rPr>
          <w:t xml:space="preserve">Gillion 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bookmarkEnd w:id="236"/>
    <w:bookmarkEnd w:id="237"/>
    <w:bookmarkStart w:id="242" w:name="measuring-policy-change"/>
    <w:p>
      <w:pPr>
        <w:pStyle w:val="Heading3"/>
      </w:pPr>
      <w:r>
        <w:rPr>
          <w:rStyle w:val="SectionNumber"/>
        </w:rPr>
        <w:t xml:space="preserve">4.3.4</w:t>
      </w:r>
      <w:r>
        <w:tab/>
      </w:r>
      <w:r>
        <w:t xml:space="preserve">Measuring Policy Change</w:t>
      </w:r>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Cs/>
          <w:i/>
        </w:rPr>
        <w:t xml:space="preserve">whether</w:t>
      </w:r>
      <w:r>
        <w:t xml:space="preserve"> </w:t>
      </w:r>
      <w:r>
        <w:t xml:space="preserve">a rule addresses EJ and change in</w:t>
      </w:r>
      <w:r>
        <w:t xml:space="preserve"> </w:t>
      </w:r>
      <w:r>
        <w:rPr>
          <w:iCs/>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hyperlink w:anchor="ref-Balla2020">
        <w:r>
          <w:rPr>
            <w:rStyle w:val="Hyperlink"/>
          </w:rPr>
          <w:t xml:space="preserve">“Lost in the Flood?: Agency Responsiveness to Mass Comment Campaigns in Administrative Rulemaking”</w:t>
        </w:r>
      </w:hyperlink>
      <w:r>
        <w:t xml:space="preserve"> </w:t>
      </w:r>
      <w:r>
        <w:t xml:space="preserve">(</w:t>
      </w:r>
      <w:hyperlink w:anchor="ref-Balla2020">
        <w:r>
          <w:rPr>
            <w:rStyle w:val="Hyperlink"/>
          </w:rPr>
          <w:t xml:space="preserve">2020</w:t>
        </w:r>
      </w:hyperlink>
      <w:r>
        <w:t xml:space="preserve">)</w:t>
      </w:r>
      <w:r>
        <w:t xml:space="preserve">. The low empirical bar is appropriate given that prior research shows little to no effect of public comments from advocacy groups</w:t>
      </w:r>
      <w:r>
        <w:t xml:space="preserve"> </w:t>
      </w:r>
      <w:r>
        <w:t xml:space="preserve">(</w:t>
      </w:r>
      <w:hyperlink w:anchor="ref-Yackee2006JOP">
        <w:r>
          <w:rPr>
            <w:rStyle w:val="Hyperlink"/>
          </w:rPr>
          <w:t xml:space="preserve">J. W. Yackee and Yackee 2006</w:t>
        </w:r>
      </w:hyperlink>
      <w:r>
        <w:t xml:space="preserve">;</w:t>
      </w:r>
      <w:r>
        <w:t xml:space="preserve"> </w:t>
      </w:r>
      <w:hyperlink w:anchor="ref-Balla2020">
        <w:r>
          <w:rPr>
            <w:rStyle w:val="Hyperlink"/>
          </w:rPr>
          <w:t xml:space="preserve">“Lost in the Flood?: Agency Responsiveness to Mass Comment Campaigns in Administrative Rulemaking”</w:t>
        </w:r>
        <w:r>
          <w:rPr>
            <w:rStyle w:val="Hyperlink"/>
          </w:rPr>
          <w:t xml:space="preserve"> </w:t>
        </w:r>
        <w:r>
          <w:rPr>
            <w:rStyle w:val="Hyperlink"/>
          </w:rPr>
          <w:t xml:space="preserve">2020</w:t>
        </w:r>
      </w:hyperlink>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bookmarkStart w:id="238" w:name="X31bf8ee7b1badcf23c858e7b743e74b4096d22d"/>
    <w:p>
      <w:pPr>
        <w:pStyle w:val="Heading4"/>
      </w:pPr>
      <w:r>
        <w:rPr>
          <w:rStyle w:val="SectionNumber"/>
        </w:rPr>
        <w:t xml:space="preserve">4.3.4.1</w:t>
      </w:r>
      <w:r>
        <w:tab/>
      </w:r>
      <w:r>
        <w:t xml:space="preserve">Measure 1: Adding Text Addressing EJ to Final Rules</w:t>
      </w:r>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bookmarkEnd w:id="238"/>
    <w:bookmarkStart w:id="241" w:name="X3d604303bfede2a71706b8d5c03a6208b82a9aa"/>
    <w:p>
      <w:pPr>
        <w:pStyle w:val="Heading4"/>
      </w:pPr>
      <w:r>
        <w:rPr>
          <w:rStyle w:val="SectionNumber"/>
        </w:rPr>
        <w:t xml:space="preserve">4.3.4.2</w:t>
      </w:r>
      <w:r>
        <w:tab/>
      </w:r>
      <w:r>
        <w:t xml:space="preserve">Measure 2: Changing Text Addressing EJ in Final Rules</w:t>
      </w:r>
    </w:p>
    <w:p>
      <w:pPr>
        <w:pStyle w:val="FirstParagraph"/>
      </w:pPr>
      <w:r>
        <w:t xml:space="preserve">Where draft rules did address EJ, I measured whether a rule changed</w:t>
      </w:r>
      <w:r>
        <w:t xml:space="preserve"> </w:t>
      </w:r>
      <w:r>
        <w:rPr>
          <w:iCs/>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39"/>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40"/>
      </w:r>
    </w:p>
    <w:bookmarkEnd w:id="241"/>
    <w:bookmarkEnd w:id="242"/>
    <w:bookmarkEnd w:id="243"/>
    <w:bookmarkStart w:id="255" w:name="results-1"/>
    <w:p>
      <w:pPr>
        <w:pStyle w:val="Heading2"/>
      </w:pPr>
      <w:r>
        <w:rPr>
          <w:rStyle w:val="SectionNumber"/>
        </w:rPr>
        <w:t xml:space="preserve">4.4</w:t>
      </w:r>
      <w:r>
        <w:tab/>
      </w:r>
      <w:r>
        <w:t xml:space="preserve">Results</w:t>
      </w:r>
    </w:p>
    <w:bookmarkStart w:id="250" w:name="X3ac71875dcf4a6fa0ed5df60562bda96690e359"/>
    <w:p>
      <w:pPr>
        <w:pStyle w:val="Heading3"/>
      </w:pPr>
      <w:r>
        <w:rPr>
          <w:rStyle w:val="SectionNumber"/>
        </w:rPr>
        <w:t xml:space="preserve">4.4.1</w:t>
      </w:r>
      <w:r>
        <w:tab/>
      </w:r>
      <w:r>
        <w:t xml:space="preserve">Are final rules more likely to address environmental justice after comments do so?</w:t>
      </w:r>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Cs/>
          <w:i/>
        </w:rPr>
        <w:t xml:space="preserve">across</w:t>
      </w:r>
      <w:r>
        <w:t xml:space="preserve"> </w:t>
      </w:r>
      <w:r>
        <w:t xml:space="preserve">agencies, whereas estimates in models 2 and 4 only rely on variation</w:t>
      </w:r>
      <w:r>
        <w:t xml:space="preserve"> </w:t>
      </w:r>
      <w:r>
        <w:rPr>
          <w:iCs/>
          <w:i/>
        </w:rPr>
        <w:t xml:space="preserve">within</w:t>
      </w:r>
      <w:r>
        <w:t xml:space="preserve"> </w:t>
      </w:r>
      <w:r>
        <w:t xml:space="preserve">agencies. All estimates rely on variation</w:t>
      </w:r>
      <w:r>
        <w:t xml:space="preserve"> </w:t>
      </w:r>
      <w:r>
        <w:rPr>
          <w:iCs/>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44"/>
                    <a:stretch>
                      <a:fillRect/>
                    </a:stretch>
                  </pic:blipFill>
                  <pic:spPr bwMode="auto">
                    <a:xfrm>
                      <a:off x="0" y="0"/>
                      <a:ext cx="1614726" cy="1837974"/>
                    </a:xfrm>
                    <a:prstGeom prst="rect">
                      <a:avLst/>
                    </a:prstGeom>
                    <a:noFill/>
                    <a:ln w="9525">
                      <a:noFill/>
                      <a:headEnd/>
                      <a:tailEnd/>
                    </a:ln>
                  </pic:spPr>
                </pic:pic>
              </a:graphicData>
            </a:graphic>
          </wp:inline>
        </w:drawing>
      </w:r>
    </w:p>
    <w:bookmarkStart w:id="249" w:name="the-predicted-probability-of-added-text"/>
    <w:p>
      <w:pPr>
        <w:pStyle w:val="Heading4"/>
      </w:pPr>
      <w:r>
        <w:rPr>
          <w:rStyle w:val="SectionNumber"/>
        </w:rPr>
        <w:t xml:space="preserve">4.4.1.1</w:t>
      </w:r>
      <w:r>
        <w:tab/>
      </w:r>
      <w:r>
        <w:t xml:space="preserve">The Predicted Probability of Added Text</w:t>
      </w:r>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Cs/>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45"/>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46"/>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Cs/>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Cs/>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Cs/>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Cs/>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47"/>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Cs/>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4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bookmarkEnd w:id="249"/>
    <w:bookmarkEnd w:id="250"/>
    <w:bookmarkStart w:id="254" w:name="X359aa25eb254b4dd11d195bec28ae6b4f08071c"/>
    <w:p>
      <w:pPr>
        <w:pStyle w:val="Heading3"/>
      </w:pPr>
      <w:r>
        <w:rPr>
          <w:rStyle w:val="SectionNumber"/>
        </w:rPr>
        <w:t xml:space="preserve">4.4.2</w:t>
      </w:r>
      <w:r>
        <w:tab/>
      </w:r>
      <w:r>
        <w:t xml:space="preserve">Are rules more likely to change how they address environmental justice when comments mention it?</w:t>
      </w:r>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bookmarkStart w:id="253" w:name="X04127dd06ed2c9e81e39c0dab2ab957e3608a00"/>
    <w:p>
      <w:pPr>
        <w:pStyle w:val="Heading4"/>
      </w:pPr>
      <w:r>
        <w:rPr>
          <w:rStyle w:val="SectionNumber"/>
        </w:rPr>
        <w:t xml:space="preserve">4.4.2.1</w:t>
      </w:r>
      <w:r>
        <w:tab/>
      </w:r>
      <w:r>
        <w:t xml:space="preserve">The Predicted Probability of Changed Text</w:t>
      </w:r>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51"/>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Cs/>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Cs/>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Cs/>
          <w:i/>
        </w:rPr>
        <w:t xml:space="preserve">fewer</w:t>
      </w:r>
      <w:r>
        <w:t xml:space="preserve"> </w:t>
      </w:r>
      <w:r>
        <w:t xml:space="preserve">comments. Thus, the total number of comments has the opposite relationship to</w:t>
      </w:r>
      <w:r>
        <w:t xml:space="preserve"> </w:t>
      </w:r>
      <w:r>
        <w:rPr>
          <w:iCs/>
          <w:i/>
        </w:rPr>
        <w:t xml:space="preserve">how</w:t>
      </w:r>
      <w:r>
        <w:t xml:space="preserve"> </w:t>
      </w:r>
      <w:r>
        <w:t xml:space="preserve">rules that already addressed EJ changed as it did to</w:t>
      </w:r>
      <w:r>
        <w:t xml:space="preserve"> </w:t>
      </w:r>
      <w:r>
        <w:rPr>
          <w:iCs/>
          <w:i/>
        </w:rPr>
        <w:t xml:space="preserve">whether</w:t>
      </w:r>
      <w:r>
        <w:t xml:space="preserve"> </w:t>
      </w:r>
      <w:r>
        <w:t xml:space="preserve">rules added any EJ text. While the</w:t>
      </w:r>
      <w:r>
        <w:t xml:space="preserve"> </w:t>
      </w:r>
      <w:r>
        <w:rPr>
          <w:iCs/>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5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Cs/>
          <w:i/>
        </w:rPr>
        <w:t xml:space="preserve">How</w:t>
      </w:r>
      <w:r>
        <w:t xml:space="preserve"> </w:t>
      </w:r>
      <w:r>
        <w:t xml:space="preserve">Environmental Justice is Addressed Between Draft and Final Rules by Number of Comments</w:t>
      </w:r>
    </w:p>
    <w:bookmarkEnd w:id="253"/>
    <w:bookmarkEnd w:id="254"/>
    <w:bookmarkEnd w:id="255"/>
    <w:bookmarkStart w:id="256" w:name="conclusion-3"/>
    <w:p>
      <w:pPr>
        <w:pStyle w:val="Heading2"/>
      </w:pPr>
      <w:r>
        <w:rPr>
          <w:rStyle w:val="SectionNumber"/>
        </w:rPr>
        <w:t xml:space="preserve">4.5</w:t>
      </w:r>
      <w:r>
        <w:tab/>
      </w:r>
      <w:r>
        <w:t xml:space="preserve">Conclusion</w:t>
      </w:r>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bookmarkEnd w:id="256"/>
    <w:bookmarkEnd w:id="257"/>
    <w:bookmarkStart w:id="545" w:name="reforming-the-policy-process"/>
    <w:p>
      <w:pPr>
        <w:pStyle w:val="Heading1"/>
      </w:pPr>
      <w:r>
        <w:rPr>
          <w:rStyle w:val="SectionNumber"/>
        </w:rPr>
        <w:t xml:space="preserve">5</w:t>
      </w:r>
      <w:r>
        <w:tab/>
      </w:r>
      <w:r>
        <w:t xml:space="preserve">Reforming the Policy Process</w:t>
      </w:r>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bookmarkStart w:id="265" w:name="X95a4d56b1510c33521d1dc807d18cbf9cd4503d"/>
    <w:p>
      <w:pPr>
        <w:pStyle w:val="Heading2"/>
      </w:pPr>
      <w:r>
        <w:rPr>
          <w:rStyle w:val="SectionNumber"/>
        </w:rPr>
        <w:t xml:space="preserve">5.1</w:t>
      </w:r>
      <w:r>
        <w:tab/>
      </w:r>
      <w:r>
        <w:t xml:space="preserve">Re-thinking Public Participation in Bureaucratic Policymaking</w:t>
      </w:r>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w:t>
      </w:r>
      <w:r>
        <w:t xml:space="preserve">, and</w:t>
      </w:r>
      <w:r>
        <w:t xml:space="preserve"> </w:t>
      </w:r>
      <w:r>
        <w:t xml:space="preserve">??</w:t>
      </w:r>
      <w:r>
        <w:t xml:space="preserve"> </w:t>
      </w:r>
      <w:r>
        <w:t xml:space="preserve">runs against how it is often discussed by scholars and agencies. With a few notable exceptions (e.g.,</w:t>
      </w:r>
      <w:r>
        <w:t xml:space="preserve"> </w:t>
      </w:r>
      <w:hyperlink w:anchor="ref-Cuellar2005">
        <w:r>
          <w:rPr>
            <w:rStyle w:val="Hyperlink"/>
          </w:rPr>
          <w:t xml:space="preserve">Cuéllar</w:t>
        </w:r>
      </w:hyperlink>
      <w:r>
        <w:t xml:space="preserve"> </w:t>
      </w:r>
      <w:r>
        <w:t xml:space="preserve">(</w:t>
      </w:r>
      <w:hyperlink w:anchor="ref-Cuellar2005">
        <w:r>
          <w:rPr>
            <w:rStyle w:val="Hyperlink"/>
          </w:rPr>
          <w:t xml:space="preserve">2005</w:t>
        </w:r>
      </w:hyperlink>
      <w:r>
        <w:t xml:space="preserve">)</w:t>
      </w:r>
      <w:r>
        <w:t xml:space="preser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58">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59">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60">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61">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62">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63">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64">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bookmarkEnd w:id="265"/>
    <w:bookmarkStart w:id="283" w:name="reforms"/>
    <w:p>
      <w:pPr>
        <w:pStyle w:val="Heading2"/>
      </w:pPr>
      <w:r>
        <w:rPr>
          <w:rStyle w:val="SectionNumber"/>
        </w:rPr>
        <w:t xml:space="preserve">5.2</w:t>
      </w:r>
      <w:r>
        <w:tab/>
      </w:r>
      <w:r>
        <w:t xml:space="preserve">Reforms</w:t>
      </w:r>
    </w:p>
    <w:bookmarkStart w:id="271" w:name="the-debate-in-administrative-law"/>
    <w:p>
      <w:pPr>
        <w:pStyle w:val="Heading3"/>
      </w:pPr>
      <w:r>
        <w:rPr>
          <w:rStyle w:val="SectionNumber"/>
        </w:rPr>
        <w:t xml:space="preserve">5.2.1</w:t>
      </w:r>
      <w:r>
        <w:tab/>
      </w:r>
      <w:r>
        <w:t xml:space="preserve">The Debate in Administrative Law</w:t>
      </w:r>
    </w:p>
    <w:p>
      <w:pPr>
        <w:pStyle w:val="FirstParagraph"/>
      </w:pPr>
      <w:r>
        <w:t xml:space="preserve">Scholars vary significantly in both the value they place on political information and the extent to which they believe that meaningfully engaging large numbers of people is possible.</w:t>
      </w:r>
    </w:p>
    <w:bookmarkStart w:id="266" w:name="participatory-democracy-optimists"/>
    <w:p>
      <w:pPr>
        <w:pStyle w:val="Heading4"/>
      </w:pPr>
      <w:r>
        <w:t xml:space="preserve">Participatory democracy optimists</w:t>
      </w:r>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bookmarkEnd w:id="266"/>
    <w:bookmarkStart w:id="267" w:name="regulatory-democracy-reformers"/>
    <w:p>
      <w:pPr>
        <w:pStyle w:val="Heading4"/>
      </w:pPr>
      <w:r>
        <w:t xml:space="preserve">“</w:t>
      </w:r>
      <w:r>
        <w:t xml:space="preserve">Regulatory democracy</w:t>
      </w:r>
      <w:r>
        <w:t xml:space="preserve">”</w:t>
      </w:r>
      <w:r>
        <w:t xml:space="preserve"> </w:t>
      </w:r>
      <w:r>
        <w:t xml:space="preserve">reformers</w:t>
      </w:r>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hyperlink w:anchor="ref-Mendelson2011">
        <w:r>
          <w:rPr>
            <w:rStyle w:val="Hyperlink"/>
          </w:rPr>
          <w:t xml:space="preserve">Mendelson</w:t>
        </w:r>
      </w:hyperlink>
      <w:r>
        <w:t xml:space="preserve"> </w:t>
      </w:r>
      <w:r>
        <w:t xml:space="preserve">(</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bookmarkEnd w:id="267"/>
    <w:bookmarkStart w:id="268" w:name="pluralist-reformers"/>
    <w:p>
      <w:pPr>
        <w:pStyle w:val="Heading4"/>
      </w:pPr>
      <w:r>
        <w:t xml:space="preserve">Pluralist reformers</w:t>
      </w:r>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hyperlink w:anchor="ref-Seifter2016UCLA">
        <w:r>
          <w:rPr>
            <w:rStyle w:val="Hyperlink"/>
          </w:rPr>
          <w:t xml:space="preserve">Seifter 2016</w:t>
        </w:r>
      </w:hyperlink>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Howevever reforms requiring groups to disclose information about their funding and</w:t>
      </w:r>
      <w:r>
        <w:t xml:space="preserve"> </w:t>
      </w:r>
      <w:r>
        <w:t xml:space="preserve">membership only go part way to assess groups’ representationsal claims, which often extend well beyond their membership.</w:t>
      </w:r>
    </w:p>
    <w:bookmarkEnd w:id="268"/>
    <w:bookmarkStart w:id="269" w:name="rational-pluralists"/>
    <w:p>
      <w:pPr>
        <w:pStyle w:val="Heading4"/>
      </w:pPr>
      <w:r>
        <w:t xml:space="preserve">Rational pluralists</w:t>
      </w:r>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bookmarkEnd w:id="269"/>
    <w:bookmarkStart w:id="270" w:name="skeptics"/>
    <w:p>
      <w:pPr>
        <w:pStyle w:val="Heading4"/>
      </w:pPr>
      <w:r>
        <w:t xml:space="preserve">Skeptics</w:t>
      </w:r>
    </w:p>
    <w:p>
      <w:pPr>
        <w:pStyle w:val="FirstParagraph"/>
      </w:pPr>
      <w:r>
        <w:t xml:space="preserve">The most skeptical camp goes even further, arguing that open solicitations to the general public should be abolished.</w:t>
      </w:r>
    </w:p>
    <w:bookmarkEnd w:id="270"/>
    <w:bookmarkEnd w:id="271"/>
    <w:bookmarkStart w:id="275" w:name="challenges"/>
    <w:p>
      <w:pPr>
        <w:pStyle w:val="Heading3"/>
      </w:pPr>
      <w:r>
        <w:rPr>
          <w:rStyle w:val="SectionNumber"/>
        </w:rPr>
        <w:t xml:space="preserve">5.2.2</w:t>
      </w:r>
      <w:r>
        <w:tab/>
      </w:r>
      <w:r>
        <w:t xml:space="preserve">Challenges</w:t>
      </w:r>
    </w:p>
    <w:bookmarkStart w:id="273" w:name="fraud"/>
    <w:p>
      <w:pPr>
        <w:pStyle w:val="Heading4"/>
      </w:pPr>
      <w:r>
        <w:t xml:space="preserve">Fraud</w:t>
      </w:r>
    </w:p>
    <w:p>
      <w:pPr>
        <w:pStyle w:val="FirstParagraph"/>
      </w:pPr>
      <w:r>
        <w:t xml:space="preserve">(The Wall Street Journal](</w:t>
      </w:r>
      <w:hyperlink r:id="rId272">
        <w:r>
          <w:rPr>
            <w:rStyle w:val="Hyperlink"/>
          </w:rPr>
          <w:t xml:space="preserve">https://www.wsj.com/articles/many-comments-critical-of-fiduciary-rule-are-fake-1514370601</w:t>
        </w:r>
      </w:hyperlink>
      <w:r>
        <w:t xml:space="preserve">) reported that 40% of comments on one Department of Labor rule used fraudulent identities.</w:t>
      </w:r>
    </w:p>
    <w:bookmarkEnd w:id="273"/>
    <w:bookmarkStart w:id="274" w:name="astroturf"/>
    <w:p>
      <w:pPr>
        <w:pStyle w:val="Heading4"/>
      </w:pPr>
      <w:r>
        <w:rPr>
          <w:rStyle w:val="SectionNumber"/>
        </w:rPr>
        <w:t xml:space="preserve">5.2.2.1</w:t>
      </w:r>
      <w:r>
        <w:tab/>
      </w:r>
      <w:r>
        <w:t xml:space="preserve">Astroturf</w:t>
      </w:r>
    </w:p>
    <w:p>
      <w:pPr>
        <w:pStyle w:val="BlockText"/>
      </w:pPr>
      <w:r>
        <w:t xml:space="preserve">TODO</w:t>
      </w:r>
    </w:p>
    <w:bookmarkEnd w:id="274"/>
    <w:bookmarkEnd w:id="275"/>
    <w:bookmarkStart w:id="282" w:name="reforms-1"/>
    <w:p>
      <w:pPr>
        <w:pStyle w:val="Heading3"/>
      </w:pPr>
      <w:r>
        <w:rPr>
          <w:rStyle w:val="SectionNumber"/>
        </w:rPr>
        <w:t xml:space="preserve">5.2.3</w:t>
      </w:r>
      <w:r>
        <w:tab/>
      </w:r>
      <w:r>
        <w:t xml:space="preserve">Reforms</w:t>
      </w:r>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hyperlink w:anchor="ref-Potter2019">
        <w:r>
          <w:rPr>
            <w:rStyle w:val="Hyperlink"/>
          </w:rPr>
          <w:t xml:space="preserve">Potter et al.</w:t>
        </w:r>
      </w:hyperlink>
      <w:r>
        <w:t xml:space="preserve"> </w:t>
      </w:r>
      <w:r>
        <w:t xml:space="preserve">(</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w:t>
      </w:r>
      <w:hyperlink w:anchor="ref-Yackee2006JOP">
        <w:r>
          <w:rPr>
            <w:rStyle w:val="Hyperlink"/>
          </w:rPr>
          <w:t xml:space="preserve">J. W. Yackee and Yackee 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bookmarkStart w:id="276" w:name="aims-of-reform"/>
    <w:p>
      <w:pPr>
        <w:pStyle w:val="Heading4"/>
      </w:pPr>
      <w:r>
        <w:t xml:space="preserve">Aims of reform</w:t>
      </w:r>
    </w:p>
    <w:p>
      <w:pPr>
        <w:pStyle w:val="FirstParagraph"/>
      </w:pPr>
      <w:r>
        <w:rPr>
          <w:bCs/>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Cs/>
          <w:b/>
        </w:rPr>
        <w:t xml:space="preserve">Increase transparency.</w:t>
      </w:r>
    </w:p>
    <w:p>
      <w:pPr>
        <w:pStyle w:val="BodyText"/>
      </w:pPr>
      <w:r>
        <w:rPr>
          <w:bCs/>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Cs/>
          <w:b/>
        </w:rPr>
        <w:t xml:space="preserve">Gaurd against fraud.</w:t>
      </w:r>
    </w:p>
    <w:bookmarkEnd w:id="276"/>
    <w:bookmarkStart w:id="277" w:name="parsing-the-questions"/>
    <w:p>
      <w:pPr>
        <w:pStyle w:val="Heading4"/>
      </w:pPr>
      <w:r>
        <w:t xml:space="preserve">Parsing the questions</w:t>
      </w:r>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bookmarkEnd w:id="277"/>
    <w:bookmarkStart w:id="278" w:name="offering-answers"/>
    <w:p>
      <w:pPr>
        <w:pStyle w:val="Heading4"/>
      </w:pPr>
      <w:r>
        <w:t xml:space="preserve">Offering answers</w:t>
      </w:r>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bookmarkEnd w:id="278"/>
    <w:bookmarkStart w:id="279" w:name="acus-report"/>
    <w:p>
      <w:pPr>
        <w:pStyle w:val="Heading4"/>
      </w:pPr>
      <w:r>
        <w:t xml:space="preserve">ACUS Report</w:t>
      </w:r>
    </w:p>
    <w:p>
      <w:r>
        <w:pict>
          <v:rect style="width:0;height:1.5pt" o:hralign="center" o:hrstd="t" o:hr="t"/>
        </w:pict>
      </w:r>
    </w:p>
    <w:bookmarkEnd w:id="279"/>
    <w:bookmarkStart w:id="280" w:name="X373c49abac0f56889b518962547d41b908b2dc6"/>
    <w:p>
      <w:pPr>
        <w:pStyle w:val="Heading4"/>
      </w:pPr>
      <w:r>
        <w:t xml:space="preserve">Increasing transparency and public participation (GSA-2019-02)</w:t>
      </w:r>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bookmarkEnd w:id="280"/>
    <w:bookmarkStart w:id="281" w:name="gaurding-against-fraud"/>
    <w:p>
      <w:pPr>
        <w:pStyle w:val="Heading4"/>
      </w:pPr>
      <w:r>
        <w:t xml:space="preserve">Gaurding against fraud</w:t>
      </w:r>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Cs/>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Cs/>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Cs/>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bookmarkEnd w:id="281"/>
    <w:bookmarkEnd w:id="282"/>
    <w:bookmarkEnd w:id="283"/>
    <w:bookmarkStart w:id="544" w:name="conclusion-4"/>
    <w:p>
      <w:pPr>
        <w:pStyle w:val="Heading2"/>
      </w:pPr>
      <w:r>
        <w:rPr>
          <w:rStyle w:val="SectionNumber"/>
        </w:rPr>
        <w:t xml:space="preserve">5.3</w:t>
      </w:r>
      <w:r>
        <w:tab/>
      </w:r>
      <w:r>
        <w:t xml:space="preserve">Conclusion</w:t>
      </w:r>
    </w:p>
    <w:p>
      <w:pPr>
        <w:pStyle w:val="FirstParagraph"/>
      </w:pPr>
      <w:r>
        <w:t xml:space="preserve">The legitimacy of bureaucratic policymaking is said to depend on the premise that rulemaking provides for public voice</w:t>
      </w:r>
      <w:r>
        <w:t xml:space="preserve"> </w:t>
      </w:r>
      <w:hyperlink w:anchor="ref-Rosenbloom2003">
        <w:r>
          <w:rPr>
            <w:rStyle w:val="Hyperlink"/>
          </w:rPr>
          <w:t xml:space="preserve">Rosenbloom</w:t>
        </w:r>
      </w:hyperlink>
      <w:r>
        <w:t xml:space="preserve"> </w:t>
      </w:r>
      <w:r>
        <w:t xml:space="preserve">(</w:t>
      </w:r>
      <w:hyperlink w:anchor="ref-Rosenbloom2003">
        <w:r>
          <w:rPr>
            <w:rStyle w:val="Hyperlink"/>
          </w:rPr>
          <w:t xml:space="preserve">2003</w:t>
        </w:r>
      </w:hyperlink>
      <w:r>
        <w:t xml:space="preserve">)</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43" w:name="refs"/>
    <w:bookmarkStart w:id="285" w:name="ref-ACUS2018"/>
    <w:p>
      <w:pPr>
        <w:pStyle w:val="Bibliography"/>
      </w:pPr>
      <w:r>
        <w:t xml:space="preserve">ACUS. 2018.</w:t>
      </w:r>
      <w:r>
        <w:t xml:space="preserve"> </w:t>
      </w:r>
      <w:r>
        <w:t xml:space="preserve">“</w:t>
      </w:r>
      <w:r>
        <w:t xml:space="preserve">Mass and Fake Comments in Agency Rulemaking</w:t>
      </w:r>
      <w:r>
        <w:t xml:space="preserve">.”</w:t>
      </w:r>
      <w:r>
        <w:t xml:space="preserve"> </w:t>
      </w:r>
      <w:r>
        <w:t xml:space="preserve">Administrative Conference of the United States.</w:t>
      </w:r>
      <w:r>
        <w:t xml:space="preserve"> </w:t>
      </w:r>
      <w:hyperlink r:id="rId284">
        <w:r>
          <w:rPr>
            <w:rStyle w:val="Hyperlink"/>
          </w:rPr>
          <w:t xml:space="preserve">https://www.acus.gov/sites/default/files/documents/ACUS Recommendations Packet.pdf</w:t>
        </w:r>
      </w:hyperlink>
      <w:r>
        <w:t xml:space="preserve">.</w:t>
      </w:r>
    </w:p>
    <w:bookmarkEnd w:id="285"/>
    <w:bookmarkStart w:id="287" w:name="ref-Andrews2004"/>
    <w:p>
      <w:pPr>
        <w:pStyle w:val="Bibliography"/>
      </w:pPr>
      <w:r>
        <w:t xml:space="preserve">Andrews, Kenneth T., and Bob Edwards. 2004.</w:t>
      </w:r>
      <w:r>
        <w:t xml:space="preserve"> </w:t>
      </w:r>
      <w:r>
        <w:t xml:space="preserve">“</w:t>
      </w:r>
      <w:r>
        <w:t xml:space="preserve">Advocacy Organizations in the U.S. Political Process</w:t>
      </w:r>
      <w:r>
        <w:t xml:space="preserve">.”</w:t>
      </w:r>
      <w:r>
        <w:t xml:space="preserve"> </w:t>
      </w:r>
      <w:r>
        <w:rPr>
          <w:iCs/>
          <w:i/>
        </w:rPr>
        <w:t xml:space="preserve">Annual Review of Political Science</w:t>
      </w:r>
      <w:r>
        <w:t xml:space="preserve"> </w:t>
      </w:r>
      <w:r>
        <w:t xml:space="preserve">30: 479–506.</w:t>
      </w:r>
      <w:r>
        <w:t xml:space="preserve"> </w:t>
      </w:r>
      <w:hyperlink r:id="rId286">
        <w:r>
          <w:rPr>
            <w:rStyle w:val="Hyperlink"/>
          </w:rPr>
          <w:t xml:space="preserve">https://doi.org/10.1146/annurev.soc.30.012703.110542</w:t>
        </w:r>
      </w:hyperlink>
      <w:r>
        <w:t xml:space="preserve">.</w:t>
      </w:r>
    </w:p>
    <w:bookmarkEnd w:id="287"/>
    <w:bookmarkStart w:id="289" w:name="ref-Arnold1979"/>
    <w:p>
      <w:pPr>
        <w:pStyle w:val="Bibliography"/>
      </w:pPr>
      <w:r>
        <w:t xml:space="preserve">Arnold, R. Douglas. 1979.</w:t>
      </w:r>
      <w:r>
        <w:t xml:space="preserve"> </w:t>
      </w:r>
      <w:r>
        <w:rPr>
          <w:iCs/>
          <w:i/>
        </w:rPr>
        <w:t xml:space="preserve">Congress and the bureaucracy: a theory of influence</w:t>
      </w:r>
      <w:r>
        <w:t xml:space="preserve">. New Haven: Yale University Press.</w:t>
      </w:r>
      <w:r>
        <w:t xml:space="preserve"> </w:t>
      </w:r>
      <w:hyperlink r:id="rId288">
        <w:r>
          <w:rPr>
            <w:rStyle w:val="Hyperlink"/>
          </w:rPr>
          <w:t xml:space="preserve">https://yalebooks.yale.edu/book/9780300025927/congress-and-bureaucracy</w:t>
        </w:r>
      </w:hyperlink>
      <w:r>
        <w:t xml:space="preserve">.</w:t>
      </w:r>
    </w:p>
    <w:bookmarkEnd w:id="289"/>
    <w:bookmarkStart w:id="291" w:name="ref-Balla1998"/>
    <w:p>
      <w:pPr>
        <w:pStyle w:val="Bibliography"/>
      </w:pPr>
      <w:r>
        <w:t xml:space="preserve">Balla, Steven J. 1998.</w:t>
      </w:r>
      <w:r>
        <w:t xml:space="preserve"> </w:t>
      </w:r>
      <w:r>
        <w:t xml:space="preserve">“</w:t>
      </w:r>
      <w:r>
        <w:t xml:space="preserve">Administrative Procedures and Political Control of the Bureaucracy</w:t>
      </w:r>
      <w:r>
        <w:t xml:space="preserve">.”</w:t>
      </w:r>
      <w:r>
        <w:t xml:space="preserve"> </w:t>
      </w:r>
      <w:r>
        <w:rPr>
          <w:iCs/>
          <w:i/>
        </w:rPr>
        <w:t xml:space="preserve">American Political Science Review</w:t>
      </w:r>
      <w:r>
        <w:t xml:space="preserve"> </w:t>
      </w:r>
      <w:r>
        <w:t xml:space="preserve">92 (03): 663–73.</w:t>
      </w:r>
      <w:r>
        <w:t xml:space="preserve"> </w:t>
      </w:r>
      <w:hyperlink r:id="rId290">
        <w:r>
          <w:rPr>
            <w:rStyle w:val="Hyperlink"/>
          </w:rPr>
          <w:t xml:space="preserve">https://doi.org/10.2307/2585488</w:t>
        </w:r>
      </w:hyperlink>
      <w:r>
        <w:t xml:space="preserve">.</w:t>
      </w:r>
    </w:p>
    <w:bookmarkEnd w:id="291"/>
    <w:bookmarkStart w:id="292" w:name="ref-Balla2018"/>
    <w:p>
      <w:pPr>
        <w:pStyle w:val="Bibliography"/>
      </w:pPr>
      <w:r>
        <w:t xml:space="preserve">Balla, Steven J, Alexander R Beck, William C Cubbison, and Aryamala Prasad. 2018.</w:t>
      </w:r>
      <w:r>
        <w:t xml:space="preserve"> </w:t>
      </w:r>
      <w:r>
        <w:t xml:space="preserve">“</w:t>
      </w:r>
      <w:r>
        <w:t xml:space="preserve">Where’s the Spam? Mass Comment Campaigns in Agency Rulemaking</w:t>
      </w:r>
      <w:r>
        <w:t xml:space="preserve">.”</w:t>
      </w:r>
    </w:p>
    <w:bookmarkEnd w:id="292"/>
    <w:bookmarkStart w:id="294" w:name="ref-Baumgartner2001"/>
    <w:p>
      <w:pPr>
        <w:pStyle w:val="Bibliography"/>
      </w:pPr>
      <w:r>
        <w:t xml:space="preserve">Baumgartner, Frank R., and Beth L. Leech. 2001.</w:t>
      </w:r>
      <w:r>
        <w:t xml:space="preserve"> </w:t>
      </w:r>
      <w:r>
        <w:rPr>
          <w:iCs/>
          <w:i/>
        </w:rPr>
        <w:t xml:space="preserve">Basic Interests: The Importance of Groups in Politics and in Political Science.</w:t>
      </w:r>
      <w:r>
        <w:t xml:space="preserve"> Princeton University Press.</w:t>
      </w:r>
      <w:r>
        <w:t xml:space="preserve"> </w:t>
      </w:r>
      <w:hyperlink r:id="rId293">
        <w:r>
          <w:rPr>
            <w:rStyle w:val="Hyperlink"/>
          </w:rPr>
          <w:t xml:space="preserve">https://doi.org/10.1515/9781400822485</w:t>
        </w:r>
      </w:hyperlink>
      <w:r>
        <w:t xml:space="preserve">.</w:t>
      </w:r>
    </w:p>
    <w:bookmarkEnd w:id="294"/>
    <w:bookmarkStart w:id="296" w:name="ref-Berry1999"/>
    <w:p>
      <w:pPr>
        <w:pStyle w:val="Bibliography"/>
      </w:pPr>
      <w:r>
        <w:t xml:space="preserve">Berry, Jeffrey M. 1999.</w:t>
      </w:r>
      <w:r>
        <w:t xml:space="preserve"> </w:t>
      </w:r>
      <w:r>
        <w:rPr>
          <w:iCs/>
          <w:i/>
        </w:rPr>
        <w:t xml:space="preserve">The New Liberalism: The Rising Power of Citizen Groups</w:t>
      </w:r>
      <w:r>
        <w:t xml:space="preserve">. Brookings.</w:t>
      </w:r>
      <w:r>
        <w:t xml:space="preserve"> </w:t>
      </w:r>
      <w:hyperlink r:id="rId295">
        <w:r>
          <w:rPr>
            <w:rStyle w:val="Hyperlink"/>
          </w:rPr>
          <w:t xml:space="preserve">https://www.brookings.edu/book/the-new-liberalism/</w:t>
        </w:r>
      </w:hyperlink>
      <w:r>
        <w:t xml:space="preserve">.</w:t>
      </w:r>
    </w:p>
    <w:bookmarkEnd w:id="296"/>
    <w:bookmarkStart w:id="297" w:name="ref-Bierschbach2012"/>
    <w:p>
      <w:pPr>
        <w:pStyle w:val="Bibliography"/>
      </w:pPr>
      <w:r>
        <w:t xml:space="preserve">Bierschbach, Richard A., and Stephanos Bibas. 2012.</w:t>
      </w:r>
      <w:r>
        <w:t xml:space="preserve"> </w:t>
      </w:r>
      <w:r>
        <w:t xml:space="preserve">“Notice-and-Comment Sentencing.”</w:t>
      </w:r>
      <w:r>
        <w:t xml:space="preserve"> </w:t>
      </w:r>
      <w:r>
        <w:rPr>
          <w:iCs/>
          <w:i/>
        </w:rPr>
        <w:t xml:space="preserve">Minnesota Law Review</w:t>
      </w:r>
      <w:r>
        <w:t xml:space="preserve"> </w:t>
      </w:r>
      <w:r>
        <w:t xml:space="preserve">97 (1): 24.</w:t>
      </w:r>
    </w:p>
    <w:bookmarkEnd w:id="297"/>
    <w:bookmarkStart w:id="299" w:name="ref-Boulianne2018"/>
    <w:p>
      <w:pPr>
        <w:pStyle w:val="Bibliography"/>
      </w:pPr>
      <w:r>
        <w:t xml:space="preserve">Boulianne, Shelley. 2018.</w:t>
      </w:r>
      <w:r>
        <w:t xml:space="preserve"> </w:t>
      </w:r>
      <w:r>
        <w:t xml:space="preserve">“</w:t>
      </w:r>
      <w:r>
        <w:t xml:space="preserve">Twenty Years of Digital Media Effects on Civic and Political Participation</w:t>
      </w:r>
      <w:r>
        <w:t xml:space="preserve">.”</w:t>
      </w:r>
      <w:r>
        <w:t xml:space="preserve"> </w:t>
      </w:r>
      <w:r>
        <w:rPr>
          <w:iCs/>
          <w:i/>
        </w:rPr>
        <w:t xml:space="preserve">Communication Research</w:t>
      </w:r>
      <w:r>
        <w:t xml:space="preserve">, October, 009365021880818.</w:t>
      </w:r>
      <w:r>
        <w:t xml:space="preserve"> </w:t>
      </w:r>
      <w:hyperlink r:id="rId298">
        <w:r>
          <w:rPr>
            <w:rStyle w:val="Hyperlink"/>
          </w:rPr>
          <w:t xml:space="preserve">https://doi.org/10.1177/0093650218808186</w:t>
        </w:r>
      </w:hyperlink>
      <w:r>
        <w:t xml:space="preserve">.</w:t>
      </w:r>
    </w:p>
    <w:bookmarkEnd w:id="299"/>
    <w:bookmarkStart w:id="301" w:name="ref-Bullard1993"/>
    <w:p>
      <w:pPr>
        <w:pStyle w:val="Bibliography"/>
      </w:pPr>
      <w:r>
        <w:t xml:space="preserve">Bullard, Robert D. 1993.</w:t>
      </w:r>
      <w:r>
        <w:t xml:space="preserve"> </w:t>
      </w:r>
      <w:r>
        <w:rPr>
          <w:iCs/>
          <w:i/>
        </w:rPr>
        <w:t xml:space="preserve">Confronting environmental racism: voices from the grassroots</w:t>
      </w:r>
      <w:r>
        <w:t xml:space="preserve">. Boston Mass.: South End Press.</w:t>
      </w:r>
      <w:r>
        <w:t xml:space="preserve"> </w:t>
      </w:r>
      <w:hyperlink r:id="rId300">
        <w:r>
          <w:rPr>
            <w:rStyle w:val="Hyperlink"/>
          </w:rPr>
          <w:t xml:space="preserve">http://www.worldcat.org/title/confronting-environmental-racism-voices-from-the-grassroots/oclc/26351432</w:t>
        </w:r>
      </w:hyperlink>
      <w:r>
        <w:t xml:space="preserve">.</w:t>
      </w:r>
    </w:p>
    <w:bookmarkEnd w:id="301"/>
    <w:bookmarkStart w:id="303" w:name="ref-Burstein2020"/>
    <w:p>
      <w:pPr>
        <w:pStyle w:val="Bibliography"/>
      </w:pPr>
      <w:r>
        <w:t xml:space="preserve">Burstein, Paul. 2020.</w:t>
      </w:r>
      <w:r>
        <w:t xml:space="preserve"> </w:t>
      </w:r>
      <w:r>
        <w:t xml:space="preserve">“Why Do Lobbying, Protest, and Other Forms of Advocacy Often Fail to Affect Policy? Some Possible Explanations.”</w:t>
      </w:r>
      <w:r>
        <w:t xml:space="preserve"> </w:t>
      </w:r>
      <w:r>
        <w:rPr>
          <w:iCs/>
          <w:i/>
        </w:rPr>
        <w:t xml:space="preserve">APSA Preprints</w:t>
      </w:r>
      <w:r>
        <w:t xml:space="preserve">.</w:t>
      </w:r>
      <w:r>
        <w:t xml:space="preserve"> </w:t>
      </w:r>
      <w:hyperlink r:id="rId302">
        <w:r>
          <w:rPr>
            <w:rStyle w:val="Hyperlink"/>
          </w:rPr>
          <w:t xml:space="preserve">https://doi.org/10.33774/apsa-2020-k78wc</w:t>
        </w:r>
      </w:hyperlink>
      <w:r>
        <w:t xml:space="preserve">.</w:t>
      </w:r>
    </w:p>
    <w:bookmarkEnd w:id="303"/>
    <w:bookmarkStart w:id="305" w:name="ref-Carmines1989"/>
    <w:p>
      <w:pPr>
        <w:pStyle w:val="Bibliography"/>
      </w:pPr>
      <w:r>
        <w:t xml:space="preserve">Carmines, Edward G., and James A. Stimson. 1989.</w:t>
      </w:r>
      <w:r>
        <w:t xml:space="preserve"> </w:t>
      </w:r>
      <w:r>
        <w:rPr>
          <w:iCs/>
          <w:i/>
        </w:rPr>
        <w:t xml:space="preserve">Issue Evolution: Race and the Transformation of American Politics</w:t>
      </w:r>
      <w:r>
        <w:t xml:space="preserve">. Princeton University Press.</w:t>
      </w:r>
      <w:r>
        <w:t xml:space="preserve"> </w:t>
      </w:r>
      <w:hyperlink r:id="rId304">
        <w:r>
          <w:rPr>
            <w:rStyle w:val="Hyperlink"/>
          </w:rPr>
          <w:t xml:space="preserve">http://press.princeton.edu/titles/4385.html http://web.stanford.edu/class/polisci177a/Notes.Week2.pdf</w:t>
        </w:r>
      </w:hyperlink>
      <w:r>
        <w:t xml:space="preserve">.</w:t>
      </w:r>
    </w:p>
    <w:bookmarkEnd w:id="305"/>
    <w:bookmarkStart w:id="307" w:name="ref-CarpenterPetitions"/>
    <w:p>
      <w:pPr>
        <w:pStyle w:val="Bibliography"/>
      </w:pPr>
      <w:r>
        <w:t xml:space="preserve">Carpenter, Daniel. 2021.</w:t>
      </w:r>
      <w:r>
        <w:t xml:space="preserve"> </w:t>
      </w:r>
      <w:r>
        <w:rPr>
          <w:iCs/>
          <w:i/>
        </w:rPr>
        <w:t xml:space="preserve">Democracy by Petition: Popular Politics in Transformation, 1790-1870</w:t>
      </w:r>
      <w:r>
        <w:t xml:space="preserve">. Harvard University Press.</w:t>
      </w:r>
      <w:r>
        <w:t xml:space="preserve"> </w:t>
      </w:r>
      <w:hyperlink r:id="rId306">
        <w:r>
          <w:rPr>
            <w:rStyle w:val="Hyperlink"/>
          </w:rPr>
          <w:t xml:space="preserve">http://www.jstor.org/stable/j.ctv1j9mk15</w:t>
        </w:r>
      </w:hyperlink>
      <w:r>
        <w:t xml:space="preserve">.</w:t>
      </w:r>
    </w:p>
    <w:bookmarkEnd w:id="307"/>
    <w:bookmarkStart w:id="308" w:name="ref-Carpenter2001"/>
    <w:p>
      <w:pPr>
        <w:pStyle w:val="Bibliography"/>
      </w:pPr>
      <w:r>
        <w:t xml:space="preserve">Carpenter, Daniel P. 2001.</w:t>
      </w:r>
      <w:r>
        <w:t xml:space="preserve"> </w:t>
      </w:r>
      <w:r>
        <w:rPr>
          <w:iCs/>
          <w:i/>
        </w:rPr>
        <w:t xml:space="preserve">The Forging of Bureaucratic Autonomy: Reputations, Networks, and Policy Innovation in Executive Agencies, 1862-1928</w:t>
      </w:r>
      <w:r>
        <w:t xml:space="preserve">. Princeton University Press.</w:t>
      </w:r>
    </w:p>
    <w:bookmarkEnd w:id="308"/>
    <w:bookmarkStart w:id="310" w:name="ref-Carpenter2014b"/>
    <w:p>
      <w:pPr>
        <w:pStyle w:val="Bibliography"/>
      </w:pPr>
      <w:r>
        <w:t xml:space="preserve">Carpenter, Daniel, and Colin D. Moore. 2014.</w:t>
      </w:r>
      <w:r>
        <w:t xml:space="preserve"> </w:t>
      </w:r>
      <w:r>
        <w:t xml:space="preserve">“</w:t>
      </w:r>
      <w:r>
        <w:t xml:space="preserve">When Canvassers Became Activists: Antislavery Petitioning and the Political Mobilization of American Women</w:t>
      </w:r>
      <w:r>
        <w:t xml:space="preserve">.”</w:t>
      </w:r>
      <w:r>
        <w:t xml:space="preserve"> </w:t>
      </w:r>
      <w:r>
        <w:rPr>
          <w:iCs/>
          <w:i/>
        </w:rPr>
        <w:t xml:space="preserve">American Political Science Review</w:t>
      </w:r>
      <w:r>
        <w:t xml:space="preserve"> </w:t>
      </w:r>
      <w:r>
        <w:t xml:space="preserve">108 (03): 479–98.</w:t>
      </w:r>
      <w:r>
        <w:t xml:space="preserve"> </w:t>
      </w:r>
      <w:hyperlink r:id="rId309">
        <w:r>
          <w:rPr>
            <w:rStyle w:val="Hyperlink"/>
          </w:rPr>
          <w:t xml:space="preserve">https://doi.org/10.1017/S000305541400029X</w:t>
        </w:r>
      </w:hyperlink>
      <w:r>
        <w:t xml:space="preserve">.</w:t>
      </w:r>
    </w:p>
    <w:bookmarkEnd w:id="310"/>
    <w:bookmarkStart w:id="311" w:name="ref-Casas2017"/>
    <w:p>
      <w:pPr>
        <w:pStyle w:val="Bibliography"/>
      </w:pPr>
      <w:r>
        <w:t xml:space="preserve">Casas, Andreu, Matthew J Denny, and John Wilkerson. 2017.</w:t>
      </w:r>
      <w:r>
        <w:t xml:space="preserve"> </w:t>
      </w:r>
      <w:r>
        <w:t xml:space="preserve">“</w:t>
      </w:r>
      <w:r>
        <w:t xml:space="preserve">Legislative Hitchhikers: Re-envisioning Legislative Productivity and Bill Sponsorship Success</w:t>
      </w:r>
      <w:r>
        <w:t xml:space="preserve">.”</w:t>
      </w:r>
    </w:p>
    <w:bookmarkEnd w:id="311"/>
    <w:bookmarkStart w:id="313" w:name="ref-CBECAL2017"/>
    <w:p>
      <w:pPr>
        <w:pStyle w:val="Bibliography"/>
      </w:pPr>
      <w:r>
        <w:t xml:space="preserve">CBECAL. 2017.</w:t>
      </w:r>
      <w:r>
        <w:t xml:space="preserve"> </w:t>
      </w:r>
      <w:r>
        <w:t xml:space="preserve">“</w:t>
      </w:r>
      <w:r>
        <w:t xml:space="preserve">Communities for a Better Environment</w:t>
      </w:r>
      <w:r>
        <w:t xml:space="preserve">.”</w:t>
      </w:r>
      <w:r>
        <w:t xml:space="preserve"> </w:t>
      </w:r>
      <w:hyperlink r:id="rId312">
        <w:r>
          <w:rPr>
            <w:rStyle w:val="Hyperlink"/>
          </w:rPr>
          <w:t xml:space="preserve">http://www.cbecal.org/</w:t>
        </w:r>
      </w:hyperlink>
      <w:r>
        <w:t xml:space="preserve">.</w:t>
      </w:r>
    </w:p>
    <w:bookmarkEnd w:id="313"/>
    <w:bookmarkStart w:id="315" w:name="ref-Clinton2014AJPS"/>
    <w:p>
      <w:pPr>
        <w:pStyle w:val="Bibliography"/>
      </w:pPr>
      <w:r>
        <w:t xml:space="preserve">Clinton, Joshua D., David E. Lewis, and Jennifer L. Selin. 2014.</w:t>
      </w:r>
      <w:r>
        <w:t xml:space="preserve"> </w:t>
      </w:r>
      <w:r>
        <w:t xml:space="preserve">“</w:t>
      </w:r>
      <w:r>
        <w:t xml:space="preserve">Influencing the Bureaucracy: The Irony of Congressional Oversight</w:t>
      </w:r>
      <w:r>
        <w:t xml:space="preserve">.”</w:t>
      </w:r>
      <w:r>
        <w:t xml:space="preserve"> </w:t>
      </w:r>
      <w:r>
        <w:rPr>
          <w:iCs/>
          <w:i/>
        </w:rPr>
        <w:t xml:space="preserve">American Journal of Political Science</w:t>
      </w:r>
      <w:r>
        <w:t xml:space="preserve"> </w:t>
      </w:r>
      <w:r>
        <w:t xml:space="preserve">58 (2): 387–401.</w:t>
      </w:r>
      <w:r>
        <w:t xml:space="preserve"> </w:t>
      </w:r>
      <w:hyperlink r:id="rId314">
        <w:r>
          <w:rPr>
            <w:rStyle w:val="Hyperlink"/>
          </w:rPr>
          <w:t xml:space="preserve">https://doi.org/10.1111/ajps.12066</w:t>
        </w:r>
      </w:hyperlink>
      <w:r>
        <w:t xml:space="preserve">.</w:t>
      </w:r>
    </w:p>
    <w:bookmarkEnd w:id="315"/>
    <w:bookmarkStart w:id="317" w:name="ref-Coglianese2001"/>
    <w:p>
      <w:pPr>
        <w:pStyle w:val="Bibliography"/>
      </w:pPr>
      <w:r>
        <w:t xml:space="preserve">Coglianese, Cary. 2001.</w:t>
      </w:r>
      <w:r>
        <w:t xml:space="preserve"> </w:t>
      </w:r>
      <w:r>
        <w:t xml:space="preserve">“</w:t>
      </w:r>
      <w:r>
        <w:t xml:space="preserve">Social Movements, Law, and Society: The Institutionalization of the Environmental Movement</w:t>
      </w:r>
      <w:r>
        <w:t xml:space="preserve">.”</w:t>
      </w:r>
      <w:r>
        <w:t xml:space="preserve"> </w:t>
      </w:r>
      <w:r>
        <w:rPr>
          <w:iCs/>
          <w:i/>
        </w:rPr>
        <w:t xml:space="preserve">University of Pennsylvania Law Review</w:t>
      </w:r>
      <w:r>
        <w:t xml:space="preserve"> </w:t>
      </w:r>
      <w:r>
        <w:t xml:space="preserve">51.</w:t>
      </w:r>
      <w:r>
        <w:t xml:space="preserve"> </w:t>
      </w:r>
      <w:hyperlink r:id="rId316">
        <w:r>
          <w:rPr>
            <w:rStyle w:val="Hyperlink"/>
          </w:rPr>
          <w:t xml:space="preserve">http://scholarship.law.upenn.edu/faculty{\_}scholarship</w:t>
        </w:r>
      </w:hyperlink>
      <w:r>
        <w:t xml:space="preserve">.</w:t>
      </w:r>
    </w:p>
    <w:bookmarkEnd w:id="317"/>
    <w:bookmarkStart w:id="319" w:name="ref-Coglianese2006"/>
    <w:p>
      <w:pPr>
        <w:pStyle w:val="Bibliography"/>
      </w:pPr>
      <w:r>
        <w:t xml:space="preserve">———. 2006.</w:t>
      </w:r>
      <w:r>
        <w:t xml:space="preserve"> </w:t>
      </w:r>
      <w:r>
        <w:t xml:space="preserve">“</w:t>
      </w:r>
      <w:r>
        <w:t xml:space="preserve">Citizen Participation in Rulemaking: Past, Present, and Future</w:t>
      </w:r>
      <w:r>
        <w:t xml:space="preserve">.”</w:t>
      </w:r>
      <w:r>
        <w:t xml:space="preserve"> </w:t>
      </w:r>
      <w:r>
        <w:rPr>
          <w:iCs/>
          <w:i/>
        </w:rPr>
        <w:t xml:space="preserve">Duke Law Journal</w:t>
      </w:r>
      <w:r>
        <w:t xml:space="preserve"> </w:t>
      </w:r>
      <w:r>
        <w:t xml:space="preserve">55 (5): 943–68.</w:t>
      </w:r>
      <w:r>
        <w:t xml:space="preserve"> </w:t>
      </w:r>
      <w:hyperlink r:id="rId318">
        <w:r>
          <w:rPr>
            <w:rStyle w:val="Hyperlink"/>
          </w:rPr>
          <w:t xml:space="preserve">https://www.jstor.org/stable/pdf/40040532.pdf?refreqid=excelsior%3A3eeeeaa9f2da6db1832f107aa771d14f</w:t>
        </w:r>
      </w:hyperlink>
      <w:r>
        <w:t xml:space="preserve">.</w:t>
      </w:r>
    </w:p>
    <w:bookmarkEnd w:id="319"/>
    <w:bookmarkStart w:id="320" w:name="ref-Cohen2008"/>
    <w:p>
      <w:pPr>
        <w:pStyle w:val="Bibliography"/>
      </w:pPr>
      <w:r>
        <w:t xml:space="preserve">Cohen, Marty, David Karol, Hans Noel, and John Zaller. 2008.</w:t>
      </w:r>
      <w:r>
        <w:t xml:space="preserve"> </w:t>
      </w:r>
      <w:r>
        <w:rPr>
          <w:iCs/>
          <w:i/>
        </w:rPr>
        <w:t xml:space="preserve">The Party Decides: Presidential Nominations Before and After Reform</w:t>
      </w:r>
      <w:r>
        <w:t xml:space="preserve">. Chicago: University of Chicago Press.</w:t>
      </w:r>
    </w:p>
    <w:bookmarkEnd w:id="320"/>
    <w:bookmarkStart w:id="322" w:name="ref-Converse1964"/>
    <w:p>
      <w:pPr>
        <w:pStyle w:val="Bibliography"/>
      </w:pPr>
      <w:r>
        <w:t xml:space="preserve">Converse, Philip E. 1964.</w:t>
      </w:r>
      <w:r>
        <w:t xml:space="preserve"> </w:t>
      </w:r>
      <w:r>
        <w:rPr>
          <w:iCs/>
          <w:i/>
        </w:rPr>
        <w:t xml:space="preserve">The nature of belief systems in mass publics</w:t>
      </w:r>
      <w:r>
        <w:t xml:space="preserve">.</w:t>
      </w:r>
      <w:r>
        <w:t xml:space="preserve"> </w:t>
      </w:r>
      <w:hyperlink r:id="rId321">
        <w:r>
          <w:rPr>
            <w:rStyle w:val="Hyperlink"/>
          </w:rPr>
          <w:t xml:space="preserve">https://doi.org/10.1080/08913810608443650</w:t>
        </w:r>
      </w:hyperlink>
      <w:r>
        <w:t xml:space="preserve">.</w:t>
      </w:r>
    </w:p>
    <w:bookmarkEnd w:id="322"/>
    <w:bookmarkStart w:id="324" w:name="ref-Cook2017"/>
    <w:p>
      <w:pPr>
        <w:pStyle w:val="Bibliography"/>
      </w:pPr>
      <w:r>
        <w:t xml:space="preserve">Cook, Jeffrey J. 2017.</w:t>
      </w:r>
      <w:r>
        <w:t xml:space="preserve"> </w:t>
      </w:r>
      <w:r>
        <w:t xml:space="preserve">“</w:t>
      </w:r>
      <w:r>
        <w:t xml:space="preserve">Setting the record straight: interest group influence on climate policy at the Environmental Protection Agency</w:t>
      </w:r>
      <w:r>
        <w:t xml:space="preserve">.”</w:t>
      </w:r>
      <w:r>
        <w:t xml:space="preserve"> </w:t>
      </w:r>
      <w:r>
        <w:t xml:space="preserve">PhD thesis, Colorado State University.</w:t>
      </w:r>
      <w:r>
        <w:t xml:space="preserve"> </w:t>
      </w:r>
      <w:hyperlink r:id="rId323">
        <w:r>
          <w:rPr>
            <w:rStyle w:val="Hyperlink"/>
          </w:rPr>
          <w:t xml:space="preserve">https://mountainscholar.org/bitstream/handle/10217/181399/Cook{\_}colostate{\_}0053A14127.pdf?sequence=1</w:t>
        </w:r>
      </w:hyperlink>
      <w:r>
        <w:t xml:space="preserve">.</w:t>
      </w:r>
    </w:p>
    <w:bookmarkEnd w:id="324"/>
    <w:bookmarkStart w:id="325" w:name="ref-Cox2005"/>
    <w:p>
      <w:pPr>
        <w:pStyle w:val="Bibliography"/>
      </w:pPr>
      <w:r>
        <w:t xml:space="preserve">Cox, Gary W., and Mathew Daniel McCubbins. 2005.</w:t>
      </w:r>
      <w:r>
        <w:t xml:space="preserve"> </w:t>
      </w:r>
      <w:r>
        <w:rPr>
          <w:iCs/>
          <w:i/>
        </w:rPr>
        <w:t xml:space="preserve">Setting the Agenda: Responsible Party Government in the U.S. House of Representatives</w:t>
      </w:r>
      <w:r>
        <w:t xml:space="preserve">. Cambridge [England] ; New York, N.Y.: Cambridge University Press.</w:t>
      </w:r>
    </w:p>
    <w:bookmarkEnd w:id="325"/>
    <w:bookmarkStart w:id="327" w:name="ref-Croley2003"/>
    <w:p>
      <w:pPr>
        <w:pStyle w:val="Bibliography"/>
      </w:pPr>
      <w:r>
        <w:t xml:space="preserve">Croley, Steven. 2003.</w:t>
      </w:r>
      <w:r>
        <w:t xml:space="preserve"> </w:t>
      </w:r>
      <w:r>
        <w:t xml:space="preserve">“</w:t>
      </w:r>
      <w:r>
        <w:t xml:space="preserve">White House Review of Agency Rulemaking: An Empirical Investigation</w:t>
      </w:r>
      <w:r>
        <w:t xml:space="preserve">.”</w:t>
      </w:r>
      <w:r>
        <w:t xml:space="preserve"> </w:t>
      </w:r>
      <w:r>
        <w:rPr>
          <w:iCs/>
          <w:i/>
        </w:rPr>
        <w:t xml:space="preserve">Harvard Law Review</w:t>
      </w:r>
      <w:r>
        <w:t xml:space="preserve"> </w:t>
      </w:r>
      <w:r>
        <w:t xml:space="preserve">70 (3): 821–35.</w:t>
      </w:r>
      <w:r>
        <w:t xml:space="preserve"> </w:t>
      </w:r>
      <w:hyperlink r:id="rId326">
        <w:r>
          <w:rPr>
            <w:rStyle w:val="Hyperlink"/>
          </w:rPr>
          <w:t xml:space="preserve">http://chicagounbound.uchicago.edu/cgi/viewcontent.cgi?article=5219{\&amp;}context=uclrev</w:t>
        </w:r>
      </w:hyperlink>
      <w:r>
        <w:t xml:space="preserve">.</w:t>
      </w:r>
    </w:p>
    <w:bookmarkEnd w:id="327"/>
    <w:bookmarkStart w:id="329" w:name="ref-Crow2015"/>
    <w:p>
      <w:pPr>
        <w:pStyle w:val="Bibliography"/>
      </w:pPr>
      <w:r>
        <w:t xml:space="preserve">Crow, Deserai A., Elizabeth A. Albright, and Elizabeth Koebele. 2015.</w:t>
      </w:r>
      <w:r>
        <w:t xml:space="preserve"> </w:t>
      </w:r>
      <w:r>
        <w:t xml:space="preserve">“</w:t>
      </w:r>
      <w:r>
        <w:t xml:space="preserve">Evaluating Informational Inputs in Rulemaking Processes: A Cross-Case Analysis</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49 (9): 1318–45.</w:t>
      </w:r>
      <w:r>
        <w:t xml:space="preserve"> </w:t>
      </w:r>
      <w:hyperlink r:id="rId328">
        <w:r>
          <w:rPr>
            <w:rStyle w:val="Hyperlink"/>
          </w:rPr>
          <w:t xml:space="preserve">https://doi.org/10.1177/0095399715581040</w:t>
        </w:r>
      </w:hyperlink>
      <w:r>
        <w:t xml:space="preserve">.</w:t>
      </w:r>
    </w:p>
    <w:bookmarkEnd w:id="329"/>
    <w:bookmarkStart w:id="331" w:name="ref-Cuellar2005"/>
    <w:p>
      <w:pPr>
        <w:pStyle w:val="Bibliography"/>
      </w:pPr>
      <w:r>
        <w:t xml:space="preserve">Cuéllar, Mariano-Florentino. 2005.</w:t>
      </w:r>
      <w:r>
        <w:t xml:space="preserve"> </w:t>
      </w:r>
      <w:r>
        <w:t xml:space="preserve">“</w:t>
      </w:r>
      <w:r>
        <w:t xml:space="preserve">Rethinking Regulatory Democracy</w:t>
      </w:r>
      <w:r>
        <w:t xml:space="preserve">.”</w:t>
      </w:r>
      <w:r>
        <w:t xml:space="preserve"> </w:t>
      </w:r>
      <w:r>
        <w:rPr>
          <w:iCs/>
          <w:i/>
        </w:rPr>
        <w:t xml:space="preserve">Administrative Law Review</w:t>
      </w:r>
      <w:r>
        <w:t xml:space="preserve"> </w:t>
      </w:r>
      <w:r>
        <w:t xml:space="preserve">57 (2).</w:t>
      </w:r>
      <w:r>
        <w:t xml:space="preserve"> </w:t>
      </w:r>
      <w:hyperlink r:id="rId330">
        <w:r>
          <w:rPr>
            <w:rStyle w:val="Hyperlink"/>
          </w:rPr>
          <w:t xml:space="preserve">https://about.jstor.org/terms https://papers.ssrn.com/sol3/papers.cfm?abstract{\_}id=595181{\&amp;}download=yes</w:t>
        </w:r>
      </w:hyperlink>
      <w:r>
        <w:t xml:space="preserve">.</w:t>
      </w:r>
    </w:p>
    <w:bookmarkEnd w:id="331"/>
    <w:bookmarkStart w:id="333" w:name="ref-Cuellar2014"/>
    <w:p>
      <w:pPr>
        <w:pStyle w:val="Bibliography"/>
      </w:pPr>
      <w:r>
        <w:t xml:space="preserve">———. 2014.</w:t>
      </w:r>
      <w:r>
        <w:t xml:space="preserve"> </w:t>
      </w:r>
      <w:r>
        <w:t xml:space="preserve">“</w:t>
      </w:r>
      <w:r>
        <w:t xml:space="preserve">Administrative War</w:t>
      </w:r>
      <w:r>
        <w:t xml:space="preserve">.”</w:t>
      </w:r>
      <w:r>
        <w:t xml:space="preserve"> </w:t>
      </w:r>
      <w:r>
        <w:rPr>
          <w:iCs/>
          <w:i/>
        </w:rPr>
        <w:t xml:space="preserve">George Washington Law Review</w:t>
      </w:r>
      <w:r>
        <w:t xml:space="preserve"> </w:t>
      </w:r>
      <w:r>
        <w:t xml:space="preserve">82 (1343).</w:t>
      </w:r>
      <w:r>
        <w:t xml:space="preserve"> </w:t>
      </w:r>
      <w:hyperlink r:id="rId332">
        <w:r>
          <w:rPr>
            <w:rStyle w:val="Hyperlink"/>
          </w:rPr>
          <w:t xml:space="preserve">http://law.wisc.edu/ils/2017speakerfiles/supplemental{\_}reading--administrative{\_}war.pdf</w:t>
        </w:r>
      </w:hyperlink>
      <w:r>
        <w:t xml:space="preserve">.</w:t>
      </w:r>
    </w:p>
    <w:bookmarkEnd w:id="333"/>
    <w:bookmarkStart w:id="335" w:name="ref-Dahl1989"/>
    <w:p>
      <w:pPr>
        <w:pStyle w:val="Bibliography"/>
      </w:pPr>
      <w:r>
        <w:t xml:space="preserve">Dahl, Robert A. 1989.</w:t>
      </w:r>
      <w:r>
        <w:t xml:space="preserve"> </w:t>
      </w:r>
      <w:r>
        <w:rPr>
          <w:iCs/>
          <w:i/>
        </w:rPr>
        <w:t xml:space="preserve">Democracy and its critics</w:t>
      </w:r>
      <w:r>
        <w:t xml:space="preserve">. Yale University Press.</w:t>
      </w:r>
      <w:r>
        <w:t xml:space="preserve"> </w:t>
      </w:r>
      <w:hyperlink r:id="rId334">
        <w:r>
          <w:rPr>
            <w:rStyle w:val="Hyperlink"/>
          </w:rPr>
          <w:t xml:space="preserve">https://books.google.com/books/about/Democracy{\_}and{\_}Its{\_}Critics.html?id=l1RQngEACAAJ</w:t>
        </w:r>
      </w:hyperlink>
      <w:r>
        <w:t xml:space="preserve">.</w:t>
      </w:r>
    </w:p>
    <w:bookmarkEnd w:id="335"/>
    <w:bookmarkStart w:id="337" w:name="ref-DiSalvo2012"/>
    <w:p>
      <w:pPr>
        <w:pStyle w:val="Bibliography"/>
      </w:pPr>
      <w:r>
        <w:t xml:space="preserve">DiSalvo, Daniel. 2012.</w:t>
      </w:r>
      <w:r>
        <w:t xml:space="preserve"> </w:t>
      </w:r>
      <w:r>
        <w:rPr>
          <w:iCs/>
          <w:i/>
        </w:rPr>
        <w:t xml:space="preserve">Engines of Change: Party Factions in American Politics, 1868-2010</w:t>
      </w:r>
      <w:r>
        <w:t xml:space="preserve">.</w:t>
      </w:r>
      <w:r>
        <w:t xml:space="preserve"> </w:t>
      </w:r>
      <w:hyperlink r:id="rId336">
        <w:r>
          <w:rPr>
            <w:rStyle w:val="Hyperlink"/>
          </w:rPr>
          <w:t xml:space="preserve">https://doi.org/10.1093/acprof:oso/9780199891702.001.0001</w:t>
        </w:r>
      </w:hyperlink>
      <w:r>
        <w:t xml:space="preserve">.</w:t>
      </w:r>
    </w:p>
    <w:bookmarkEnd w:id="337"/>
    <w:bookmarkStart w:id="339" w:name="ref-Dur2013"/>
    <w:p>
      <w:pPr>
        <w:pStyle w:val="Bibliography"/>
      </w:pPr>
      <w:r>
        <w:t xml:space="preserve">Dür, Andreas, and Gemma Mateo. 2013.</w:t>
      </w:r>
      <w:r>
        <w:t xml:space="preserve"> </w:t>
      </w:r>
      <w:r>
        <w:t xml:space="preserve">“</w:t>
      </w:r>
      <w:r>
        <w:t xml:space="preserve">Gaining access or going public? Interest group strategies in five European countries</w:t>
      </w:r>
      <w:r>
        <w:t xml:space="preserve">.”</w:t>
      </w:r>
      <w:r>
        <w:t xml:space="preserve"> </w:t>
      </w:r>
      <w:r>
        <w:rPr>
          <w:iCs/>
          <w:i/>
        </w:rPr>
        <w:t xml:space="preserve">European Journal of Political Research</w:t>
      </w:r>
      <w:r>
        <w:t xml:space="preserve"> </w:t>
      </w:r>
      <w:r>
        <w:t xml:space="preserve">52 (5): 660–86.</w:t>
      </w:r>
      <w:r>
        <w:t xml:space="preserve"> </w:t>
      </w:r>
      <w:hyperlink r:id="rId338">
        <w:r>
          <w:rPr>
            <w:rStyle w:val="Hyperlink"/>
          </w:rPr>
          <w:t xml:space="preserve">https://doi.org/10.1111/1475-6765.12012</w:t>
        </w:r>
      </w:hyperlink>
      <w:r>
        <w:t xml:space="preserve">.</w:t>
      </w:r>
    </w:p>
    <w:bookmarkEnd w:id="339"/>
    <w:bookmarkStart w:id="340" w:name="ref-Dwidar2019"/>
    <w:p>
      <w:pPr>
        <w:pStyle w:val="Bibliography"/>
      </w:pPr>
      <w:r>
        <w:t xml:space="preserve">Dwidar, Maraam. 2019.</w:t>
      </w:r>
      <w:r>
        <w:t xml:space="preserve"> </w:t>
      </w:r>
      <w:r>
        <w:t xml:space="preserve">“</w:t>
      </w:r>
      <w:r>
        <w:t xml:space="preserve">‘(Not So) Strange Bedfellows? Lobbying Success and Diversity in Interest Group Coalitions’</w:t>
      </w:r>
      <w:r>
        <w:t xml:space="preserve">.”</w:t>
      </w:r>
      <w:r>
        <w:t xml:space="preserve"> </w:t>
      </w:r>
      <w:r>
        <w:t xml:space="preserve">In. Southern Political Science Association Annual Conference.</w:t>
      </w:r>
    </w:p>
    <w:bookmarkEnd w:id="340"/>
    <w:bookmarkStart w:id="342" w:name="ref-Earthjustice2017"/>
    <w:p>
      <w:pPr>
        <w:pStyle w:val="Bibliography"/>
      </w:pPr>
      <w:r>
        <w:t xml:space="preserve">Earthjustice. 2017.</w:t>
      </w:r>
      <w:r>
        <w:t xml:space="preserve"> </w:t>
      </w:r>
      <w:r>
        <w:t xml:space="preserve">“</w:t>
      </w:r>
      <w:r>
        <w:t xml:space="preserve">Our Work</w:t>
      </w:r>
      <w:r>
        <w:t xml:space="preserve">.”</w:t>
      </w:r>
      <w:r>
        <w:t xml:space="preserve"> </w:t>
      </w:r>
      <w:hyperlink r:id="rId341">
        <w:r>
          <w:rPr>
            <w:rStyle w:val="Hyperlink"/>
          </w:rPr>
          <w:t xml:space="preserve">https://earthjustice.org/our{\_}work</w:t>
        </w:r>
      </w:hyperlink>
      <w:r>
        <w:t xml:space="preserve">.</w:t>
      </w:r>
    </w:p>
    <w:bookmarkEnd w:id="342"/>
    <w:bookmarkStart w:id="344" w:name="ref-Epstein1994"/>
    <w:p>
      <w:pPr>
        <w:pStyle w:val="Bibliography"/>
      </w:pPr>
      <w:r>
        <w:t xml:space="preserve">Epstein, David, and Sharyn O’Halloran. 1994.</w:t>
      </w:r>
      <w:r>
        <w:t xml:space="preserve"> </w:t>
      </w:r>
      <w:r>
        <w:t xml:space="preserve">“</w:t>
      </w:r>
      <w:r>
        <w:t xml:space="preserve">Administrative Procedures, Information, and Agency Discretion</w:t>
      </w:r>
      <w:r>
        <w:t xml:space="preserve">.”</w:t>
      </w:r>
      <w:r>
        <w:t xml:space="preserve"> </w:t>
      </w:r>
      <w:r>
        <w:rPr>
          <w:iCs/>
          <w:i/>
        </w:rPr>
        <w:t xml:space="preserve">American Journal of Political Science</w:t>
      </w:r>
      <w:r>
        <w:t xml:space="preserve"> </w:t>
      </w:r>
      <w:r>
        <w:t xml:space="preserve">38 (3): 697.</w:t>
      </w:r>
      <w:r>
        <w:t xml:space="preserve"> </w:t>
      </w:r>
      <w:hyperlink r:id="rId343">
        <w:r>
          <w:rPr>
            <w:rStyle w:val="Hyperlink"/>
          </w:rPr>
          <w:t xml:space="preserve">https://doi.org/10.2307/2111603</w:t>
        </w:r>
      </w:hyperlink>
      <w:r>
        <w:t xml:space="preserve">.</w:t>
      </w:r>
    </w:p>
    <w:bookmarkEnd w:id="344"/>
    <w:bookmarkStart w:id="346" w:name="ref-Epstein2014"/>
    <w:p>
      <w:pPr>
        <w:pStyle w:val="Bibliography"/>
      </w:pPr>
      <w:r>
        <w:t xml:space="preserve">Epstein, Dmitry, Josiah Heidt, and Cynthia R Farina. 2014.</w:t>
      </w:r>
      <w:r>
        <w:t xml:space="preserve"> </w:t>
      </w:r>
      <w:r>
        <w:t xml:space="preserve">“</w:t>
      </w:r>
      <w:r>
        <w:t xml:space="preserve">The Value of Words: Narrative as Evidence in Policymaking</w:t>
      </w:r>
      <w:r>
        <w:t xml:space="preserve">.”</w:t>
      </w:r>
      <w:r>
        <w:t xml:space="preserve"> </w:t>
      </w:r>
      <w:r>
        <w:rPr>
          <w:iCs/>
          <w:i/>
        </w:rPr>
        <w:t xml:space="preserve">Evidence</w:t>
      </w:r>
      <w:r>
        <w:rPr>
          <w:iCs/>
          <w:i/>
        </w:rPr>
        <w:t xml:space="preserve"> </w:t>
      </w:r>
      <w:r>
        <w:rPr>
          <w:iCs/>
          <w:i/>
        </w:rPr>
        <w:t xml:space="preserve">&amp;</w:t>
      </w:r>
      <w:r>
        <w:rPr>
          <w:iCs/>
          <w:i/>
        </w:rPr>
        <w:t xml:space="preserve"> </w:t>
      </w:r>
      <w:r>
        <w:rPr>
          <w:iCs/>
          <w:i/>
        </w:rPr>
        <w:t xml:space="preserve">Policy</w:t>
      </w:r>
      <w:r>
        <w:t xml:space="preserve"> </w:t>
      </w:r>
      <w:r>
        <w:t xml:space="preserve">10 (2): 243–58.</w:t>
      </w:r>
      <w:r>
        <w:t xml:space="preserve"> </w:t>
      </w:r>
      <w:hyperlink r:id="rId345">
        <w:r>
          <w:rPr>
            <w:rStyle w:val="Hyperlink"/>
          </w:rPr>
          <w:t xml:space="preserve">https://doi.org/10.1332/174426514X13990325021128</w:t>
        </w:r>
      </w:hyperlink>
      <w:r>
        <w:t xml:space="preserve">.</w:t>
      </w:r>
    </w:p>
    <w:bookmarkEnd w:id="346"/>
    <w:bookmarkStart w:id="348" w:name="ref-Farhang2016"/>
    <w:p>
      <w:pPr>
        <w:pStyle w:val="Bibliography"/>
      </w:pPr>
      <w:r>
        <w:t xml:space="preserve">Farhang, Sean, and Miranda Yaver. 2016.</w:t>
      </w:r>
      <w:r>
        <w:t xml:space="preserve"> </w:t>
      </w:r>
      <w:r>
        <w:t xml:space="preserve">“</w:t>
      </w:r>
      <w:r>
        <w:t xml:space="preserve">Divided Government and the Fragmentation of American Law</w:t>
      </w:r>
      <w:r>
        <w:t xml:space="preserve">.”</w:t>
      </w:r>
      <w:r>
        <w:t xml:space="preserve"> </w:t>
      </w:r>
      <w:r>
        <w:rPr>
          <w:iCs/>
          <w:i/>
        </w:rPr>
        <w:t xml:space="preserve">American Journal of Political Science</w:t>
      </w:r>
      <w:r>
        <w:t xml:space="preserve"> </w:t>
      </w:r>
      <w:r>
        <w:t xml:space="preserve">60 (2): 401–17.</w:t>
      </w:r>
      <w:r>
        <w:t xml:space="preserve"> </w:t>
      </w:r>
      <w:hyperlink r:id="rId347">
        <w:r>
          <w:rPr>
            <w:rStyle w:val="Hyperlink"/>
          </w:rPr>
          <w:t xml:space="preserve">https://doi.org/10.1111/ajps.12188</w:t>
        </w:r>
      </w:hyperlink>
      <w:r>
        <w:t xml:space="preserve">.</w:t>
      </w:r>
    </w:p>
    <w:bookmarkEnd w:id="348"/>
    <w:bookmarkStart w:id="350" w:name="ref-Farina2018"/>
    <w:p>
      <w:pPr>
        <w:pStyle w:val="Bibliography"/>
      </w:pPr>
      <w:r>
        <w:t xml:space="preserve">Farina, Cynthia R.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349">
        <w:r>
          <w:rPr>
            <w:rStyle w:val="Hyperlink"/>
          </w:rPr>
          <w:t xml:space="preserve">https://www.acus.gov/sites/default/files/documents/Public Engagement Draft Recommendation 9-10-18 Cynthia Farina Comments.pdf</w:t>
        </w:r>
      </w:hyperlink>
      <w:r>
        <w:t xml:space="preserve">.</w:t>
      </w:r>
    </w:p>
    <w:bookmarkEnd w:id="350"/>
    <w:bookmarkStart w:id="352" w:name="ref-Farina2012"/>
    <w:p>
      <w:pPr>
        <w:pStyle w:val="Bibliography"/>
      </w:pPr>
      <w:r>
        <w:t xml:space="preserve">Farina, Cynthia R., Dmitry Epstein, Josiah Heidt, and Mary J. Newhart. 2012.</w:t>
      </w:r>
      <w:r>
        <w:t xml:space="preserve"> </w:t>
      </w:r>
      <w:r>
        <w:t xml:space="preserve">“</w:t>
      </w:r>
      <w:r>
        <w:t xml:space="preserve">Knowledge in the People: Rethinking "Value" in Public Rulemaking Participation</w:t>
      </w:r>
      <w:r>
        <w:t xml:space="preserve">.”</w:t>
      </w:r>
      <w:r>
        <w:t xml:space="preserve"> </w:t>
      </w:r>
      <w:r>
        <w:rPr>
          <w:iCs/>
          <w:i/>
        </w:rPr>
        <w:t xml:space="preserve">Cornell e-Rulemaking Initiative Publications</w:t>
      </w:r>
      <w:r>
        <w:t xml:space="preserve">.</w:t>
      </w:r>
      <w:r>
        <w:t xml:space="preserve"> </w:t>
      </w:r>
      <w:hyperlink r:id="rId351">
        <w:r>
          <w:rPr>
            <w:rStyle w:val="Hyperlink"/>
          </w:rPr>
          <w:t xml:space="preserve">http://scholarship.law.cornell.edu/cerihttp://scholarship.law.cornell.edu/ceri/1</w:t>
        </w:r>
      </w:hyperlink>
      <w:r>
        <w:t xml:space="preserve">.</w:t>
      </w:r>
    </w:p>
    <w:bookmarkEnd w:id="352"/>
    <w:bookmarkStart w:id="354" w:name="ref-Farina2011"/>
    <w:p>
      <w:pPr>
        <w:pStyle w:val="Bibliography"/>
      </w:pPr>
      <w:r>
        <w:t xml:space="preserve">Farina, Cynthia R., Mary Newhart, Claire Cardie, and Dan Cosley. 2011.</w:t>
      </w:r>
      <w:r>
        <w:t xml:space="preserve"> </w:t>
      </w:r>
      <w:r>
        <w:t xml:space="preserve">“</w:t>
      </w:r>
      <w:r>
        <w:t xml:space="preserve">Rulemaking 2.0</w:t>
      </w:r>
      <w:r>
        <w:t xml:space="preserve">.”</w:t>
      </w:r>
      <w:r>
        <w:t xml:space="preserve"> </w:t>
      </w:r>
      <w:r>
        <w:rPr>
          <w:iCs/>
          <w:i/>
        </w:rPr>
        <w:t xml:space="preserve">University of Miami Law Review</w:t>
      </w:r>
      <w:r>
        <w:t xml:space="preserve"> </w:t>
      </w:r>
      <w:r>
        <w:t xml:space="preserve">65 (2).</w:t>
      </w:r>
      <w:r>
        <w:t xml:space="preserve"> </w:t>
      </w:r>
      <w:hyperlink r:id="rId353">
        <w:r>
          <w:rPr>
            <w:rStyle w:val="Hyperlink"/>
          </w:rPr>
          <w:t xml:space="preserve">https://papers.ssrn.com/sol3/papers.cfm?abstract{\_}id=1702491</w:t>
        </w:r>
      </w:hyperlink>
      <w:r>
        <w:t xml:space="preserve">.</w:t>
      </w:r>
    </w:p>
    <w:bookmarkEnd w:id="354"/>
    <w:bookmarkStart w:id="356" w:name="ref-Farina2014"/>
    <w:p>
      <w:pPr>
        <w:pStyle w:val="Bibliography"/>
      </w:pPr>
      <w:r>
        <w:t xml:space="preserve">Farina, Cynthia R, Mary J Newhart, and Josiah Heidt. 2014.</w:t>
      </w:r>
      <w:r>
        <w:t xml:space="preserve"> </w:t>
      </w:r>
      <w:r>
        <w:t xml:space="preserve">“</w:t>
      </w:r>
      <w:r>
        <w:t xml:space="preserve">Rulemaking vs. Democracy: Judging and Nudging Public Participation That Counts</w:t>
      </w:r>
      <w:r>
        <w:t xml:space="preserve">.”</w:t>
      </w:r>
      <w:r>
        <w:t xml:space="preserve"> </w:t>
      </w:r>
      <w:hyperlink r:id="rId355">
        <w:r>
          <w:rPr>
            <w:rStyle w:val="Hyperlink"/>
          </w:rPr>
          <w:t xml:space="preserve">http://scholarship.law.cornell.edu/cerihttp://scholarship.law.cornell.edu/ceri/17</w:t>
        </w:r>
      </w:hyperlink>
      <w:r>
        <w:t xml:space="preserve">.</w:t>
      </w:r>
    </w:p>
    <w:bookmarkEnd w:id="356"/>
    <w:bookmarkStart w:id="358" w:name="ref-Feinstein2017"/>
    <w:p>
      <w:pPr>
        <w:pStyle w:val="Bibliography"/>
      </w:pPr>
      <w:r>
        <w:t xml:space="preserve">Feinstein, Brian D. 2017.</w:t>
      </w:r>
      <w:r>
        <w:t xml:space="preserve"> </w:t>
      </w:r>
      <w:r>
        <w:t xml:space="preserve">“</w:t>
      </w:r>
      <w:r>
        <w:t xml:space="preserve">Designing Executive Agencies for Congressional Control</w:t>
      </w:r>
      <w:r>
        <w:t xml:space="preserve">.”</w:t>
      </w:r>
      <w:r>
        <w:t xml:space="preserve"> </w:t>
      </w:r>
      <w:hyperlink r:id="rId357">
        <w:r>
          <w:rPr>
            <w:rStyle w:val="Hyperlink"/>
          </w:rPr>
          <w:t xml:space="preserve">https://papers.ssrn.com/sol3/papers.cfm?abstract{\_}id=2841374</w:t>
        </w:r>
      </w:hyperlink>
      <w:r>
        <w:t xml:space="preserve">.</w:t>
      </w:r>
    </w:p>
    <w:bookmarkEnd w:id="358"/>
    <w:bookmarkStart w:id="360" w:name="ref-Feinstein2021"/>
    <w:p>
      <w:pPr>
        <w:pStyle w:val="Bibliography"/>
      </w:pPr>
      <w:r>
        <w:t xml:space="preserve">———. 2021.</w:t>
      </w:r>
      <w:r>
        <w:t xml:space="preserve"> </w:t>
      </w:r>
      <w:r>
        <w:t xml:space="preserve">“</w:t>
      </w:r>
      <w:r>
        <w:t xml:space="preserve">Identity-conscious Administrative Law</w:t>
      </w:r>
      <w:r>
        <w:t xml:space="preserve">.”</w:t>
      </w:r>
      <w:r>
        <w:t xml:space="preserve"> </w:t>
      </w:r>
      <w:hyperlink r:id="rId359">
        <w:r>
          <w:rPr>
            <w:rStyle w:val="Hyperlink"/>
          </w:rPr>
          <w:t xml:space="preserve">https://ssrn.com/abstract=3787704</w:t>
        </w:r>
      </w:hyperlink>
      <w:r>
        <w:t xml:space="preserve">.</w:t>
      </w:r>
    </w:p>
    <w:bookmarkEnd w:id="360"/>
    <w:bookmarkStart w:id="362" w:name="ref-Ferejohn1990"/>
    <w:p>
      <w:pPr>
        <w:pStyle w:val="Bibliography"/>
      </w:pPr>
      <w:r>
        <w:t xml:space="preserve">Ferejohn, John A., and Charles Shipan. 1990.</w:t>
      </w:r>
      <w:r>
        <w:t xml:space="preserve"> </w:t>
      </w:r>
      <w:r>
        <w:t xml:space="preserve">“</w:t>
      </w:r>
      <w:r>
        <w:t xml:space="preserve">Congressional Influence on Bureaucracy</w:t>
      </w:r>
      <w:r>
        <w:t xml:space="preserve">.”</w:t>
      </w:r>
      <w:r>
        <w:t xml:space="preserve"> </w:t>
      </w:r>
      <w:r>
        <w:rPr>
          <w:iCs/>
          <w:i/>
        </w:rPr>
        <w:t xml:space="preserve">Journal of Law, Economics, and Organization</w:t>
      </w:r>
      <w:r>
        <w:t xml:space="preserve"> </w:t>
      </w:r>
      <w:r>
        <w:t xml:space="preserve">6 (April 1990): 1–20.</w:t>
      </w:r>
      <w:r>
        <w:t xml:space="preserve"> </w:t>
      </w:r>
      <w:hyperlink r:id="rId361">
        <w:r>
          <w:rPr>
            <w:rStyle w:val="Hyperlink"/>
          </w:rPr>
          <w:t xml:space="preserve">https://doi.org/10.1093/jleo/6.special_issue.1</w:t>
        </w:r>
      </w:hyperlink>
      <w:r>
        <w:t xml:space="preserve">.</w:t>
      </w:r>
    </w:p>
    <w:bookmarkEnd w:id="362"/>
    <w:bookmarkStart w:id="364" w:name="ref-Furlong1997"/>
    <w:p>
      <w:pPr>
        <w:pStyle w:val="Bibliography"/>
      </w:pPr>
      <w:r>
        <w:t xml:space="preserve">Furlong, Scott R. 1997.</w:t>
      </w:r>
      <w:r>
        <w:t xml:space="preserve"> </w:t>
      </w:r>
      <w:r>
        <w:t xml:space="preserve">“</w:t>
      </w:r>
      <w:r>
        <w:t xml:space="preserve">Interest Group Influence on Rule Making</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29 (3): 325–47.</w:t>
      </w:r>
      <w:r>
        <w:t xml:space="preserve"> </w:t>
      </w:r>
      <w:hyperlink r:id="rId363">
        <w:r>
          <w:rPr>
            <w:rStyle w:val="Hyperlink"/>
          </w:rPr>
          <w:t xml:space="preserve">https://doi.org/10.1177/009539979702900304</w:t>
        </w:r>
      </w:hyperlink>
      <w:r>
        <w:t xml:space="preserve">.</w:t>
      </w:r>
    </w:p>
    <w:bookmarkEnd w:id="364"/>
    <w:bookmarkStart w:id="366" w:name="ref-Furlong1998"/>
    <w:p>
      <w:pPr>
        <w:pStyle w:val="Bibliography"/>
      </w:pPr>
      <w:r>
        <w:t xml:space="preserve">———. 1998.</w:t>
      </w:r>
      <w:r>
        <w:t xml:space="preserve"> </w:t>
      </w:r>
      <w:r>
        <w:t xml:space="preserve">“</w:t>
      </w:r>
      <w:r>
        <w:t xml:space="preserve">Political Influence on the Bureaucracy: The Bureaucracy Speaks</w:t>
      </w:r>
      <w:r>
        <w:t xml:space="preserve">.”</w:t>
      </w:r>
      <w:r>
        <w:t xml:space="preserve"> </w:t>
      </w:r>
      <w:r>
        <w:rPr>
          <w:iCs/>
          <w:i/>
        </w:rPr>
        <w:t xml:space="preserve">Journal of Public Administration Research and Theory</w:t>
      </w:r>
      <w:r>
        <w:t xml:space="preserve"> </w:t>
      </w:r>
      <w:r>
        <w:t xml:space="preserve">8 (1): 39–65.</w:t>
      </w:r>
      <w:r>
        <w:t xml:space="preserve"> </w:t>
      </w:r>
      <w:hyperlink r:id="rId365">
        <w:r>
          <w:rPr>
            <w:rStyle w:val="Hyperlink"/>
          </w:rPr>
          <w:t xml:space="preserve">https://doi.org/10.1093/oxfordjournals.jpart.a024373</w:t>
        </w:r>
      </w:hyperlink>
      <w:r>
        <w:t xml:space="preserve">.</w:t>
      </w:r>
    </w:p>
    <w:bookmarkEnd w:id="366"/>
    <w:bookmarkStart w:id="368" w:name="ref-Furlong2005"/>
    <w:p>
      <w:pPr>
        <w:pStyle w:val="Bibliography"/>
      </w:pPr>
      <w:r>
        <w:t xml:space="preserve">Furlong, Scott. R., and Cornelius M. Kerwin. 2005.</w:t>
      </w:r>
      <w:r>
        <w:t xml:space="preserve"> </w:t>
      </w:r>
      <w:r>
        <w:t xml:space="preserve">“</w:t>
      </w:r>
      <w:r>
        <w:t xml:space="preserve">Interest Group Participation in Rule Making: A Decade of Change</w:t>
      </w:r>
      <w:r>
        <w:t xml:space="preserve">.”</w:t>
      </w:r>
      <w:r>
        <w:t xml:space="preserve"> </w:t>
      </w:r>
      <w:r>
        <w:rPr>
          <w:iCs/>
          <w:i/>
        </w:rPr>
        <w:t xml:space="preserve">Journal of Public Administration Research and Theory</w:t>
      </w:r>
      <w:r>
        <w:t xml:space="preserve"> </w:t>
      </w:r>
      <w:r>
        <w:t xml:space="preserve">15 (3): 353–70.</w:t>
      </w:r>
      <w:r>
        <w:t xml:space="preserve"> </w:t>
      </w:r>
      <w:hyperlink r:id="rId367">
        <w:r>
          <w:rPr>
            <w:rStyle w:val="Hyperlink"/>
          </w:rPr>
          <w:t xml:space="preserve">https://doi.org/10.1093/jopart/mui022</w:t>
        </w:r>
      </w:hyperlink>
      <w:r>
        <w:t xml:space="preserve">.</w:t>
      </w:r>
    </w:p>
    <w:bookmarkEnd w:id="368"/>
    <w:bookmarkStart w:id="370" w:name="ref-Gailmard2017"/>
    <w:p>
      <w:pPr>
        <w:pStyle w:val="Bibliography"/>
      </w:pPr>
      <w:r>
        <w:t xml:space="preserve">Gailmard, Sean, and John W Patty. 2017.</w:t>
      </w:r>
      <w:r>
        <w:t xml:space="preserve"> </w:t>
      </w:r>
      <w:r>
        <w:t xml:space="preserve">“</w:t>
      </w:r>
      <w:r>
        <w:t xml:space="preserve">Participation, process and policy: the informational value of politicised judicial review</w:t>
      </w:r>
      <w:r>
        <w:t xml:space="preserve">.”</w:t>
      </w:r>
      <w:r>
        <w:t xml:space="preserve"> </w:t>
      </w:r>
      <w:r>
        <w:rPr>
          <w:iCs/>
          <w:i/>
        </w:rPr>
        <w:t xml:space="preserve">Journal of Public Policy</w:t>
      </w:r>
      <w:r>
        <w:t xml:space="preserve"> </w:t>
      </w:r>
      <w:r>
        <w:t xml:space="preserve">37 (3): 233–60.</w:t>
      </w:r>
      <w:r>
        <w:t xml:space="preserve"> </w:t>
      </w:r>
      <w:hyperlink r:id="rId369">
        <w:r>
          <w:rPr>
            <w:rStyle w:val="Hyperlink"/>
          </w:rPr>
          <w:t xml:space="preserve">https://doi.org/10.1017/S0143814X16000106</w:t>
        </w:r>
      </w:hyperlink>
      <w:r>
        <w:t xml:space="preserve">.</w:t>
      </w:r>
    </w:p>
    <w:bookmarkEnd w:id="370"/>
    <w:bookmarkStart w:id="371" w:name="ref-Gellhorn1972"/>
    <w:p>
      <w:pPr>
        <w:pStyle w:val="Bibliography"/>
      </w:pPr>
      <w:r>
        <w:t xml:space="preserve">Gellhorn, Ernest. 1972.</w:t>
      </w:r>
      <w:r>
        <w:t xml:space="preserve"> </w:t>
      </w:r>
      <w:r>
        <w:t xml:space="preserve">“Public Participation in Administrative Proceedings.”</w:t>
      </w:r>
      <w:r>
        <w:t xml:space="preserve"> </w:t>
      </w:r>
      <w:r>
        <w:rPr>
          <w:iCs/>
          <w:i/>
        </w:rPr>
        <w:t xml:space="preserve">Yale Law Journal</w:t>
      </w:r>
      <w:r>
        <w:t xml:space="preserve"> </w:t>
      </w:r>
      <w:r>
        <w:t xml:space="preserve">81: 359.</w:t>
      </w:r>
    </w:p>
    <w:bookmarkEnd w:id="371"/>
    <w:bookmarkStart w:id="373" w:name="ref-Gerring1998"/>
    <w:p>
      <w:pPr>
        <w:pStyle w:val="Bibliography"/>
      </w:pPr>
      <w:r>
        <w:t xml:space="preserve">Gerring, John. 1998.</w:t>
      </w:r>
      <w:r>
        <w:t xml:space="preserve"> </w:t>
      </w:r>
      <w:r>
        <w:rPr>
          <w:iCs/>
          <w:i/>
        </w:rPr>
        <w:t xml:space="preserve">Party ideologies in America, 1828-1996</w:t>
      </w:r>
      <w:r>
        <w:t xml:space="preserve">. Cambridge University Press.</w:t>
      </w:r>
      <w:r>
        <w:t xml:space="preserve"> </w:t>
      </w:r>
      <w:hyperlink r:id="rId372">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73"/>
    <w:bookmarkStart w:id="375" w:name="ref-Gilens2014"/>
    <w:p>
      <w:pPr>
        <w:pStyle w:val="Bibliography"/>
      </w:pPr>
      <w:r>
        <w:t xml:space="preserve">Gilens, Martin, and Benjamin I. Page. 2014.</w:t>
      </w:r>
      <w:r>
        <w:t xml:space="preserve"> </w:t>
      </w:r>
      <w:r>
        <w:t xml:space="preserve">“</w:t>
      </w:r>
      <w:r>
        <w:t xml:space="preserve">Testing Theories of American Politics: Elites, Interest Groups, and Average Citizens</w:t>
      </w:r>
      <w:r>
        <w:t xml:space="preserve">.”</w:t>
      </w:r>
      <w:r>
        <w:t xml:space="preserve"> </w:t>
      </w:r>
      <w:r>
        <w:rPr>
          <w:iCs/>
          <w:i/>
        </w:rPr>
        <w:t xml:space="preserve">Perspectives on Politics</w:t>
      </w:r>
      <w:r>
        <w:t xml:space="preserve"> </w:t>
      </w:r>
      <w:r>
        <w:t xml:space="preserve">12 (03): 564–81.</w:t>
      </w:r>
      <w:r>
        <w:t xml:space="preserve"> </w:t>
      </w:r>
      <w:hyperlink r:id="rId374">
        <w:r>
          <w:rPr>
            <w:rStyle w:val="Hyperlink"/>
          </w:rPr>
          <w:t xml:space="preserve">https://doi.org/10.1017/S1537592714001595</w:t>
        </w:r>
      </w:hyperlink>
      <w:r>
        <w:t xml:space="preserve">.</w:t>
      </w:r>
    </w:p>
    <w:bookmarkEnd w:id="375"/>
    <w:bookmarkStart w:id="377" w:name="ref-Gillion2013"/>
    <w:p>
      <w:pPr>
        <w:pStyle w:val="Bibliography"/>
      </w:pPr>
      <w:r>
        <w:t xml:space="preserve">Gillion, Daniel Q. 2013.</w:t>
      </w:r>
      <w:r>
        <w:t xml:space="preserve"> </w:t>
      </w:r>
      <w:r>
        <w:rPr>
          <w:iCs/>
          <w:i/>
        </w:rPr>
        <w:t xml:space="preserve">The political power of protest: minority activism and shifts in public policy</w:t>
      </w:r>
      <w:r>
        <w:t xml:space="preserve">. Cambridge, MA: Cambridge University Press.</w:t>
      </w:r>
      <w:r>
        <w:t xml:space="preserve"> </w:t>
      </w:r>
      <w:hyperlink r:id="rId376">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77"/>
    <w:bookmarkStart w:id="378" w:name="ref-Golden1998"/>
    <w:p>
      <w:pPr>
        <w:pStyle w:val="Bibliography"/>
      </w:pPr>
      <w:r>
        <w:t xml:space="preserve">Golden, Marissa Martino. 1998.</w:t>
      </w:r>
      <w:r>
        <w:t xml:space="preserve"> </w:t>
      </w:r>
      <w:r>
        <w:t xml:space="preserve">“</w:t>
      </w:r>
      <w:r>
        <w:t xml:space="preserve">Interest Groups in the Rule-Making Process: Who Participates? Whose Voices Get Heard?</w:t>
      </w:r>
      <w:r>
        <w:t xml:space="preserve">”</w:t>
      </w:r>
      <w:r>
        <w:t xml:space="preserve"> </w:t>
      </w:r>
      <w:r>
        <w:rPr>
          <w:iCs/>
          <w:i/>
        </w:rPr>
        <w:t xml:space="preserve">Journal of Public Administration Research and Theory</w:t>
      </w:r>
      <w:r>
        <w:t xml:space="preserve"> </w:t>
      </w:r>
      <w:r>
        <w:t xml:space="preserve">8 (2): 245–70.</w:t>
      </w:r>
    </w:p>
    <w:bookmarkEnd w:id="378"/>
    <w:bookmarkStart w:id="380" w:name="ref-Gordon2018"/>
    <w:p>
      <w:pPr>
        <w:pStyle w:val="Bibliography"/>
      </w:pPr>
      <w:r>
        <w:t xml:space="preserve">Gordon, Sanford C. Gordon, and Steven Rashin. 2018.</w:t>
      </w:r>
      <w:r>
        <w:t xml:space="preserve"> </w:t>
      </w:r>
      <w:r>
        <w:t xml:space="preserve">“</w:t>
      </w:r>
      <w:r>
        <w:t xml:space="preserve">Citizen Participation in Policymaking:Evidence from Medicare Fee Schedule Revisions</w:t>
      </w:r>
      <w:r>
        <w:t xml:space="preserve">.”</w:t>
      </w:r>
      <w:r>
        <w:t xml:space="preserve"> </w:t>
      </w:r>
      <w:hyperlink r:id="rId379">
        <w:r>
          <w:rPr>
            <w:rStyle w:val="Hyperlink"/>
          </w:rPr>
          <w:t xml:space="preserve">https://www.dropbox.com/s/6ydopca7mx8ugqt/Gordon-Rashin-Private-Influence-10-24.pdf?dl=0</w:t>
        </w:r>
      </w:hyperlink>
      <w:r>
        <w:t xml:space="preserve">.</w:t>
      </w:r>
    </w:p>
    <w:bookmarkEnd w:id="380"/>
    <w:bookmarkStart w:id="382" w:name="ref-Gormley1986"/>
    <w:p>
      <w:pPr>
        <w:pStyle w:val="Bibliography"/>
      </w:pPr>
      <w:r>
        <w:t xml:space="preserve">Gormley, William T. 1986.</w:t>
      </w:r>
      <w:r>
        <w:t xml:space="preserve"> </w:t>
      </w:r>
      <w:r>
        <w:t xml:space="preserve">“Regulatory Issue Networks in a Federal System.”</w:t>
      </w:r>
      <w:r>
        <w:t xml:space="preserve"> </w:t>
      </w:r>
      <w:r>
        <w:rPr>
          <w:iCs/>
          <w:i/>
        </w:rPr>
        <w:t xml:space="preserve">Polity</w:t>
      </w:r>
      <w:r>
        <w:t xml:space="preserve"> </w:t>
      </w:r>
      <w:r>
        <w:t xml:space="preserve">18 (4): 595–620.</w:t>
      </w:r>
      <w:r>
        <w:t xml:space="preserve"> </w:t>
      </w:r>
      <w:hyperlink r:id="rId381">
        <w:r>
          <w:rPr>
            <w:rStyle w:val="Hyperlink"/>
          </w:rPr>
          <w:t xml:space="preserve">http://www.jstor.org/stable/3234884</w:t>
        </w:r>
      </w:hyperlink>
      <w:r>
        <w:t xml:space="preserve">.</w:t>
      </w:r>
    </w:p>
    <w:bookmarkEnd w:id="382"/>
    <w:bookmarkStart w:id="383" w:name="ref-Hacker2003"/>
    <w:p>
      <w:pPr>
        <w:pStyle w:val="Bibliography"/>
      </w:pPr>
      <w:r>
        <w:t xml:space="preserve">Hacker, Jacob. 2003.</w:t>
      </w:r>
      <w:r>
        <w:t xml:space="preserve"> </w:t>
      </w:r>
      <w:r>
        <w:t xml:space="preserve">“</w:t>
      </w:r>
      <w:r>
        <w:t xml:space="preserve">Privatizing Risk without Privatizing Benefits: Path Dependence, Policy Drift, and Welfare-State Reform in the United States</w:t>
      </w:r>
      <w:r>
        <w:t xml:space="preserve">.”</w:t>
      </w:r>
      <w:r>
        <w:t xml:space="preserve"> </w:t>
      </w:r>
      <w:r>
        <w:t xml:space="preserve">In</w:t>
      </w:r>
      <w:r>
        <w:t xml:space="preserve"> </w:t>
      </w:r>
      <w:r>
        <w:rPr>
          <w:iCs/>
          <w:i/>
        </w:rPr>
        <w:t xml:space="preserve">Continuity and Discontinuity in Institutional Analys</w:t>
      </w:r>
      <w:r>
        <w:t xml:space="preserve">, edited by Wolfgang Streek and Kathleen Thelen.</w:t>
      </w:r>
    </w:p>
    <w:bookmarkEnd w:id="383"/>
    <w:bookmarkStart w:id="385" w:name="ref-Haeder2015"/>
    <w:p>
      <w:pPr>
        <w:pStyle w:val="Bibliography"/>
      </w:pPr>
      <w:r>
        <w:t xml:space="preserve">Haeder, Simon F., and Susan Webb Yackee. 2015.</w:t>
      </w:r>
      <w:r>
        <w:t xml:space="preserve"> </w:t>
      </w:r>
      <w:r>
        <w:t xml:space="preserve">“</w:t>
      </w:r>
      <w:r>
        <w:t xml:space="preserve">Influence and the Administrative Process: Lobbying the U.S. President’s Office of Management and Budget</w:t>
      </w:r>
      <w:r>
        <w:t xml:space="preserve">.”</w:t>
      </w:r>
      <w:r>
        <w:t xml:space="preserve"> </w:t>
      </w:r>
      <w:r>
        <w:rPr>
          <w:iCs/>
          <w:i/>
        </w:rPr>
        <w:t xml:space="preserve">American Political Science Review</w:t>
      </w:r>
      <w:r>
        <w:t xml:space="preserve"> </w:t>
      </w:r>
      <w:r>
        <w:t xml:space="preserve">109 (03): 507–22.</w:t>
      </w:r>
      <w:r>
        <w:t xml:space="preserve"> </w:t>
      </w:r>
      <w:hyperlink r:id="rId384">
        <w:r>
          <w:rPr>
            <w:rStyle w:val="Hyperlink"/>
          </w:rPr>
          <w:t xml:space="preserve">https://doi.org/10.1017/S0003055415000246</w:t>
        </w:r>
      </w:hyperlink>
      <w:r>
        <w:t xml:space="preserve">.</w:t>
      </w:r>
    </w:p>
    <w:bookmarkEnd w:id="385"/>
    <w:bookmarkStart w:id="386" w:name="ref-Hertel-Fernandez2019"/>
    <w:p>
      <w:pPr>
        <w:pStyle w:val="Bibliography"/>
      </w:pPr>
      <w:r>
        <w:t xml:space="preserve">Hertel-Fernandez, Alexander. 2019.</w:t>
      </w:r>
      <w:r>
        <w:t xml:space="preserve"> </w:t>
      </w:r>
      <w:r>
        <w:rPr>
          <w:iCs/>
          <w:i/>
        </w:rPr>
        <w:t xml:space="preserve">State Capture: How Conservative Activists, Big Businesses, and Wealthy Donors Reshaped the American States—and the Nation</w:t>
      </w:r>
      <w:r>
        <w:t xml:space="preserve">. Oxford University Press.</w:t>
      </w:r>
    </w:p>
    <w:bookmarkEnd w:id="386"/>
    <w:bookmarkStart w:id="388" w:name="ref-Herz2016"/>
    <w:p>
      <w:pPr>
        <w:pStyle w:val="Bibliography"/>
      </w:pPr>
      <w:r>
        <w:t xml:space="preserve">Herz, Michael. 2016.</w:t>
      </w:r>
      <w:r>
        <w:t xml:space="preserve"> </w:t>
      </w:r>
      <w:r>
        <w:t xml:space="preserve">“</w:t>
      </w:r>
      <w:r>
        <w:t xml:space="preserve">E-Rulemaking’s Democratic Transformation: Anticipated, Actual, and Potential</w:t>
      </w:r>
      <w:r>
        <w:t xml:space="preserve">.”</w:t>
      </w:r>
      <w:r>
        <w:t xml:space="preserve"> </w:t>
      </w:r>
      <w:r>
        <w:rPr>
          <w:iCs/>
          <w:i/>
        </w:rPr>
        <w:t xml:space="preserve">Revue Internationale Des Gouvernements Ouverts</w:t>
      </w:r>
      <w:r>
        <w:t xml:space="preserve"> </w:t>
      </w:r>
      <w:r>
        <w:t xml:space="preserve">3 (December): 195–208.</w:t>
      </w:r>
      <w:r>
        <w:t xml:space="preserve"> </w:t>
      </w:r>
      <w:hyperlink r:id="rId387">
        <w:r>
          <w:rPr>
            <w:rStyle w:val="Hyperlink"/>
          </w:rPr>
          <w:t xml:space="preserve">http://ojs.imodev.org/index.php/RIGO/article/view/62/154{\#}{\_}ftn6</w:t>
        </w:r>
      </w:hyperlink>
      <w:r>
        <w:t xml:space="preserve">.</w:t>
      </w:r>
    </w:p>
    <w:bookmarkEnd w:id="388"/>
    <w:bookmarkStart w:id="390" w:name="ref-Hobson2004"/>
    <w:p>
      <w:pPr>
        <w:pStyle w:val="Bibliography"/>
      </w:pPr>
      <w:r>
        <w:t xml:space="preserve">Hobson, Chris M. 2004.</w:t>
      </w:r>
      <w:r>
        <w:t xml:space="preserve"> </w:t>
      </w:r>
      <w:r>
        <w:t xml:space="preserve">“</w:t>
      </w:r>
      <w:r>
        <w:t xml:space="preserve">Comment submitted by Chris M. Hobson, Southern Company</w:t>
      </w:r>
      <w:r>
        <w:t xml:space="preserve">.”</w:t>
      </w:r>
      <w:r>
        <w:t xml:space="preserve"> </w:t>
      </w:r>
      <w:hyperlink r:id="rId389">
        <w:r>
          <w:rPr>
            <w:rStyle w:val="Hyperlink"/>
          </w:rPr>
          <w:t xml:space="preserve">https://www.regulations.gov/document?D=EPA-HQ-OAR-2004-0018-0211</w:t>
        </w:r>
      </w:hyperlink>
      <w:r>
        <w:t xml:space="preserve">.</w:t>
      </w:r>
    </w:p>
    <w:bookmarkEnd w:id="390"/>
    <w:bookmarkStart w:id="392" w:name="ref-Hojnacki2012"/>
    <w:p>
      <w:pPr>
        <w:pStyle w:val="Bibliography"/>
      </w:pPr>
      <w:r>
        <w:t xml:space="preserve">Hojnacki, Marie, David C. Kimball, Frank R. Baumgartner, Jeffrey M. Berry, and Beth L. Leech. 2012.</w:t>
      </w:r>
      <w:r>
        <w:t xml:space="preserve"> </w:t>
      </w:r>
      <w:r>
        <w:t xml:space="preserve">“</w:t>
      </w:r>
      <w:r>
        <w:t xml:space="preserve">Studying Organizational Advocacy and Influence: Reexamining Interest Group Research</w:t>
      </w:r>
      <w:r>
        <w:t xml:space="preserve">.”</w:t>
      </w:r>
      <w:r>
        <w:t xml:space="preserve"> </w:t>
      </w:r>
      <w:r>
        <w:rPr>
          <w:iCs/>
          <w:i/>
        </w:rPr>
        <w:t xml:space="preserve">Annual Review of Political Science</w:t>
      </w:r>
      <w:r>
        <w:t xml:space="preserve"> </w:t>
      </w:r>
      <w:r>
        <w:t xml:space="preserve">15 (1): 379–99.</w:t>
      </w:r>
      <w:r>
        <w:t xml:space="preserve"> </w:t>
      </w:r>
      <w:hyperlink r:id="rId391">
        <w:r>
          <w:rPr>
            <w:rStyle w:val="Hyperlink"/>
          </w:rPr>
          <w:t xml:space="preserve">https://doi.org/10.1146/annurev-polisci-070910-104051</w:t>
        </w:r>
      </w:hyperlink>
      <w:r>
        <w:t xml:space="preserve">.</w:t>
      </w:r>
    </w:p>
    <w:bookmarkEnd w:id="392"/>
    <w:bookmarkStart w:id="394" w:name="ref-Huber2002"/>
    <w:p>
      <w:pPr>
        <w:pStyle w:val="Bibliography"/>
      </w:pPr>
      <w:r>
        <w:t xml:space="preserve">Huber, John D., and Charles R. Shipan. 2002.</w:t>
      </w:r>
      <w:r>
        <w:t xml:space="preserve"> </w:t>
      </w:r>
      <w:r>
        <w:rPr>
          <w:iCs/>
          <w:i/>
        </w:rPr>
        <w:t xml:space="preserve">Deliberate discretion : the institutional foundations of bureaucratic autonomy</w:t>
      </w:r>
      <w:r>
        <w:t xml:space="preserve">. Cambridge University Press.</w:t>
      </w:r>
      <w:r>
        <w:t xml:space="preserve"> </w:t>
      </w:r>
      <w:hyperlink r:id="rId393">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94"/>
    <w:bookmarkStart w:id="396" w:name="ref-Hutchings2003"/>
    <w:p>
      <w:pPr>
        <w:pStyle w:val="Bibliography"/>
      </w:pPr>
      <w:r>
        <w:t xml:space="preserve">Hutchings, Vincent L. 2003.</w:t>
      </w:r>
      <w:r>
        <w:t xml:space="preserve"> </w:t>
      </w:r>
      <w:r>
        <w:rPr>
          <w:iCs/>
          <w:i/>
        </w:rPr>
        <w:t xml:space="preserve">Public opinion and democratic accountability: how citizens learn about politics</w:t>
      </w:r>
      <w:r>
        <w:t xml:space="preserve">. Princeton University Press.</w:t>
      </w:r>
      <w:r>
        <w:t xml:space="preserve"> </w:t>
      </w:r>
      <w:hyperlink r:id="rId395">
        <w:r>
          <w:rPr>
            <w:rStyle w:val="Hyperlink"/>
          </w:rPr>
          <w:t xml:space="preserve">https://press.princeton.edu/titles/7656.html</w:t>
        </w:r>
      </w:hyperlink>
      <w:r>
        <w:t xml:space="preserve">.</w:t>
      </w:r>
    </w:p>
    <w:bookmarkEnd w:id="396"/>
    <w:bookmarkStart w:id="398" w:name="ref-Jacobs2005"/>
    <w:p>
      <w:pPr>
        <w:pStyle w:val="Bibliography"/>
      </w:pPr>
      <w:r>
        <w:t xml:space="preserve">Jacobs, L. R., and T. Skocpol. 2005.</w:t>
      </w:r>
      <w:r>
        <w:t xml:space="preserve"> </w:t>
      </w:r>
      <w:r>
        <w:rPr>
          <w:iCs/>
          <w:i/>
        </w:rPr>
        <w:t xml:space="preserve">Inequality and American Democracy: What We Know and What We Need to Learn</w:t>
      </w:r>
      <w:r>
        <w:t xml:space="preserve">. Book Collections on Project MUSE. Russell Sage Foundation.</w:t>
      </w:r>
      <w:r>
        <w:t xml:space="preserve"> </w:t>
      </w:r>
      <w:hyperlink r:id="rId397">
        <w:r>
          <w:rPr>
            <w:rStyle w:val="Hyperlink"/>
          </w:rPr>
          <w:t xml:space="preserve">https://books.google.com/books?id=8PIWAwAAQBAJ</w:t>
        </w:r>
      </w:hyperlink>
      <w:r>
        <w:t xml:space="preserve">.</w:t>
      </w:r>
    </w:p>
    <w:bookmarkEnd w:id="398"/>
    <w:bookmarkStart w:id="400" w:name="ref-Johnson1998"/>
    <w:p>
      <w:pPr>
        <w:pStyle w:val="Bibliography"/>
      </w:pPr>
      <w:r>
        <w:t xml:space="preserve">Johnson, Stephen M. 1998.</w:t>
      </w:r>
      <w:r>
        <w:t xml:space="preserve"> </w:t>
      </w:r>
      <w:r>
        <w:t xml:space="preserve">“</w:t>
      </w:r>
      <w:r>
        <w:t xml:space="preserve">The Internet Changes Everything: Revolutionizing public participation and access to government information through the internet</w:t>
      </w:r>
      <w:r>
        <w:t xml:space="preserve">.”</w:t>
      </w:r>
      <w:r>
        <w:t xml:space="preserve"> </w:t>
      </w:r>
      <w:r>
        <w:rPr>
          <w:iCs/>
          <w:i/>
        </w:rPr>
        <w:t xml:space="preserve">Administrative Law Review</w:t>
      </w:r>
      <w:r>
        <w:t xml:space="preserve"> </w:t>
      </w:r>
      <w:r>
        <w:t xml:space="preserve">50 (2): 277–337.</w:t>
      </w:r>
      <w:r>
        <w:t xml:space="preserve"> </w:t>
      </w:r>
      <w:hyperlink r:id="rId399">
        <w:r>
          <w:rPr>
            <w:rStyle w:val="Hyperlink"/>
          </w:rPr>
          <w:t xml:space="preserve">https://about.jstor.org/terms</w:t>
        </w:r>
      </w:hyperlink>
      <w:r>
        <w:t xml:space="preserve">.</w:t>
      </w:r>
    </w:p>
    <w:bookmarkEnd w:id="400"/>
    <w:bookmarkStart w:id="402" w:name="ref-Johnson2013"/>
    <w:p>
      <w:pPr>
        <w:pStyle w:val="Bibliography"/>
      </w:pPr>
      <w:r>
        <w:t xml:space="preserve">———. 2013.</w:t>
      </w:r>
      <w:r>
        <w:t xml:space="preserve"> </w:t>
      </w:r>
      <w:r>
        <w:t xml:space="preserve">“</w:t>
      </w:r>
      <w:r>
        <w:t xml:space="preserve">Beyond the Usual Suspects: ACUS, Rulemaking 2.0, and a Vision for Broader, More Informed, and More Transparent Rulemaking</w:t>
      </w:r>
      <w:r>
        <w:t xml:space="preserve">.”</w:t>
      </w:r>
      <w:r>
        <w:t xml:space="preserve"> </w:t>
      </w:r>
      <w:r>
        <w:rPr>
          <w:iCs/>
          <w:i/>
        </w:rPr>
        <w:t xml:space="preserve">Administrative Law Review</w:t>
      </w:r>
      <w:r>
        <w:t xml:space="preserve">.</w:t>
      </w:r>
      <w:r>
        <w:t xml:space="preserve"> </w:t>
      </w:r>
      <w:hyperlink r:id="rId401">
        <w:r>
          <w:rPr>
            <w:rStyle w:val="Hyperlink"/>
          </w:rPr>
          <w:t xml:space="preserve">http://www.administrativelawreview.org/wp-content/uploads/2014/04/Beyond-the-Usual-Suspects-ACUS-Rulemaking-2-and-a-Vision-for-Broader-More-Informed-and-More-Transparent-Rulemaking.pdf</w:t>
        </w:r>
      </w:hyperlink>
      <w:r>
        <w:t xml:space="preserve">.</w:t>
      </w:r>
    </w:p>
    <w:bookmarkEnd w:id="402"/>
    <w:bookmarkStart w:id="403" w:name="ref-judgelord2016MPSA"/>
    <w:p>
      <w:pPr>
        <w:pStyle w:val="Bibliography"/>
      </w:pPr>
      <w:r>
        <w:t xml:space="preserve">Judge-Lord, Devin. 2016.</w:t>
      </w:r>
      <w:r>
        <w:t xml:space="preserve"> </w:t>
      </w:r>
      <w:r>
        <w:t xml:space="preserve">“Why Courts Defer to Administrative Agency Judgement.”</w:t>
      </w:r>
      <w:r>
        <w:t xml:space="preserve"> </w:t>
      </w:r>
      <w:r>
        <w:t xml:space="preserve">In. Midwest Political Science Association Annual Conference.</w:t>
      </w:r>
    </w:p>
    <w:bookmarkEnd w:id="403"/>
    <w:bookmarkStart w:id="404" w:name="ref-Judge-Lord2017"/>
    <w:p>
      <w:pPr>
        <w:pStyle w:val="Bibliography"/>
      </w:pPr>
      <w:r>
        <w:t xml:space="preserve">———.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404"/>
    <w:bookmarkStart w:id="405" w:name="ref-Judge-Lord2019"/>
    <w:p>
      <w:pPr>
        <w:pStyle w:val="Bibliography"/>
      </w:pPr>
      <w:r>
        <w:t xml:space="preserve">———. 2019a.</w:t>
      </w:r>
      <w:r>
        <w:t xml:space="preserve"> </w:t>
      </w:r>
      <w:r>
        <w:t xml:space="preserve">“Why Do Agencies (Sometimes) Get so Much Mail?”</w:t>
      </w:r>
      <w:r>
        <w:t xml:space="preserve"> </w:t>
      </w:r>
      <w:r>
        <w:t xml:space="preserve">In. Southern Political Science Association Annual Conference.</w:t>
      </w:r>
    </w:p>
    <w:bookmarkEnd w:id="405"/>
    <w:bookmarkStart w:id="406" w:name="ref-judgelord2019SPSA"/>
    <w:p>
      <w:pPr>
        <w:pStyle w:val="Bibliography"/>
      </w:pPr>
      <w:r>
        <w:t xml:space="preserve">———. 2019b.</w:t>
      </w:r>
      <w:r>
        <w:t xml:space="preserve"> </w:t>
      </w:r>
      <w:r>
        <w:t xml:space="preserve">“Why Do Agencies (Sometimes) Get so Much Mail? Lobbying Coalitions, Mass Comments, and Political Information in Bureaucratic Policymaking.”</w:t>
      </w:r>
      <w:r>
        <w:t xml:space="preserve"> </w:t>
      </w:r>
      <w:r>
        <w:t xml:space="preserve">In. Southern Political Science Association Annual Conference.</w:t>
      </w:r>
    </w:p>
    <w:bookmarkEnd w:id="406"/>
    <w:bookmarkStart w:id="408" w:name="ref-Kernell2007"/>
    <w:p>
      <w:pPr>
        <w:pStyle w:val="Bibliography"/>
      </w:pPr>
      <w:r>
        <w:t xml:space="preserve">Kernell, Samuel. 2007.</w:t>
      </w:r>
      <w:r>
        <w:t xml:space="preserve"> </w:t>
      </w:r>
      <w:r>
        <w:rPr>
          <w:iCs/>
          <w:i/>
        </w:rPr>
        <w:t xml:space="preserve">Going public: new strategies of presidential leadership</w:t>
      </w:r>
      <w:r>
        <w:t xml:space="preserve">. Fourth edi. CQ Press.</w:t>
      </w:r>
      <w:r>
        <w:t xml:space="preserve"> </w:t>
      </w:r>
      <w:hyperlink r:id="rId407">
        <w:r>
          <w:rPr>
            <w:rStyle w:val="Hyperlink"/>
          </w:rPr>
          <w:t xml:space="preserve">http://www.worldcat.org/title/going-public-new-strategies-of-presidential-leadership/oclc/1035368647</w:t>
        </w:r>
      </w:hyperlink>
      <w:r>
        <w:t xml:space="preserve">.</w:t>
      </w:r>
    </w:p>
    <w:bookmarkEnd w:id="408"/>
    <w:bookmarkStart w:id="410" w:name="ref-Kerwin2011"/>
    <w:p>
      <w:pPr>
        <w:pStyle w:val="Bibliography"/>
      </w:pPr>
      <w:r>
        <w:t xml:space="preserve">Kerwin, Cornelius M., and Scott R. Furlong. 2011.</w:t>
      </w:r>
      <w:r>
        <w:t xml:space="preserve"> </w:t>
      </w:r>
      <w:r>
        <w:rPr>
          <w:iCs/>
          <w:i/>
        </w:rPr>
        <w:t xml:space="preserve">Rulemaking: How Government Agencies Write Law and Make Policy</w:t>
      </w:r>
      <w:r>
        <w:t xml:space="preserve">. 4th ed. CQ Press.</w:t>
      </w:r>
      <w:r>
        <w:t xml:space="preserve"> </w:t>
      </w:r>
      <w:hyperlink r:id="rId409">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410"/>
    <w:bookmarkStart w:id="412" w:name="ref-Key1961"/>
    <w:p>
      <w:pPr>
        <w:pStyle w:val="Bibliography"/>
      </w:pPr>
      <w:r>
        <w:t xml:space="preserve">Key, V. O. 1961.</w:t>
      </w:r>
      <w:r>
        <w:t xml:space="preserve"> </w:t>
      </w:r>
      <w:r>
        <w:rPr>
          <w:iCs/>
          <w:i/>
        </w:rPr>
        <w:t xml:space="preserve">Public Opinion and American Democracy</w:t>
      </w:r>
      <w:r>
        <w:t xml:space="preserve">. New York: Alfred A. Knopf.</w:t>
      </w:r>
      <w:r>
        <w:t xml:space="preserve"> </w:t>
      </w:r>
      <w:hyperlink r:id="rId411">
        <w:r>
          <w:rPr>
            <w:rStyle w:val="Hyperlink"/>
          </w:rPr>
          <w:t xml:space="preserve">http://www.worldcat.org/title/public-opinion-and-american-democracy/oclc/480228689?referer=di{\&amp;}ht=edition</w:t>
        </w:r>
      </w:hyperlink>
      <w:r>
        <w:t xml:space="preserve">.</w:t>
      </w:r>
    </w:p>
    <w:bookmarkEnd w:id="412"/>
    <w:bookmarkStart w:id="414" w:name="ref-Kollman1998"/>
    <w:p>
      <w:pPr>
        <w:pStyle w:val="Bibliography"/>
      </w:pPr>
      <w:r>
        <w:t xml:space="preserve">Kollman, Ken. 1998.</w:t>
      </w:r>
      <w:r>
        <w:t xml:space="preserve"> </w:t>
      </w:r>
      <w:r>
        <w:rPr>
          <w:iCs/>
          <w:i/>
        </w:rPr>
        <w:t xml:space="preserve">Outside lobbying : public opinion and interest group strategies</w:t>
      </w:r>
      <w:r>
        <w:t xml:space="preserve">. Princeton University Press.</w:t>
      </w:r>
      <w:r>
        <w:t xml:space="preserve"> </w:t>
      </w:r>
      <w:hyperlink r:id="rId413">
        <w:r>
          <w:rPr>
            <w:rStyle w:val="Hyperlink"/>
          </w:rPr>
          <w:t xml:space="preserve">https://press.princeton.edu/titles/6254.html</w:t>
        </w:r>
      </w:hyperlink>
      <w:r>
        <w:t xml:space="preserve">.</w:t>
      </w:r>
    </w:p>
    <w:bookmarkEnd w:id="414"/>
    <w:bookmarkStart w:id="415" w:name="ref-Leech2010"/>
    <w:p>
      <w:pPr>
        <w:pStyle w:val="Bibliography"/>
      </w:pPr>
      <w:r>
        <w:t xml:space="preserve">Leech, Beth. 2010.</w:t>
      </w:r>
      <w:r>
        <w:t xml:space="preserve"> </w:t>
      </w:r>
      <w:r>
        <w:t xml:space="preserve">“Lobbying and Influence.”</w:t>
      </w:r>
      <w:r>
        <w:t xml:space="preserve"> </w:t>
      </w:r>
      <w:r>
        <w:t xml:space="preserve">In</w:t>
      </w:r>
      <w:r>
        <w:t xml:space="preserve"> </w:t>
      </w:r>
      <w:r>
        <w:rPr>
          <w:iCs/>
          <w:i/>
        </w:rPr>
        <w:t xml:space="preserve">The Oxford Handbook of American Political Parties and Interest Groups</w:t>
      </w:r>
      <w:r>
        <w:t xml:space="preserve">, edited by Sandy L. Maisel, Jeffrey M. Berry, and George C. Edwards, 696–719. Oxford University Press.</w:t>
      </w:r>
    </w:p>
    <w:bookmarkEnd w:id="415"/>
    <w:bookmarkStart w:id="417" w:name="ref-Libgober2018"/>
    <w:p>
      <w:pPr>
        <w:pStyle w:val="Bibliography"/>
      </w:pPr>
      <w:r>
        <w:t xml:space="preserve">Libgober, Brian. 2018.</w:t>
      </w:r>
      <w:r>
        <w:t xml:space="preserve"> </w:t>
      </w:r>
      <w:r>
        <w:t xml:space="preserve">“</w:t>
      </w:r>
      <w:r>
        <w:t xml:space="preserve">What biased rulemaking looks like</w:t>
      </w:r>
      <w:r>
        <w:t xml:space="preserve">.”</w:t>
      </w:r>
      <w:r>
        <w:t xml:space="preserve"> </w:t>
      </w:r>
      <w:hyperlink r:id="rId416">
        <w:r>
          <w:rPr>
            <w:rStyle w:val="Hyperlink"/>
          </w:rPr>
          <w:t xml:space="preserve">https://libgober.files.wordpress.com/2018/09/what-biased-rulemaking-looks-like.pdf</w:t>
        </w:r>
      </w:hyperlink>
      <w:r>
        <w:t xml:space="preserve">.</w:t>
      </w:r>
    </w:p>
    <w:bookmarkEnd w:id="417"/>
    <w:bookmarkStart w:id="419" w:name="ref-LibgoberCarpenter2018"/>
    <w:p>
      <w:pPr>
        <w:pStyle w:val="Bibliography"/>
      </w:pPr>
      <w:r>
        <w:t xml:space="preserve">Libgober, Brian, and Daniel Carpenter. 2018.</w:t>
      </w:r>
      <w:r>
        <w:t xml:space="preserve"> </w:t>
      </w:r>
      <w:r>
        <w:t xml:space="preserve">“</w:t>
      </w:r>
      <w:r>
        <w:t xml:space="preserve">Lobbying with Lawyers: Financial Market Evidence for Banks’ Influence on Rulemaking</w:t>
      </w:r>
      <w:r>
        <w:t xml:space="preserve">.”</w:t>
      </w:r>
      <w:r>
        <w:t xml:space="preserve"> </w:t>
      </w:r>
      <w:hyperlink r:id="rId418">
        <w:r>
          <w:rPr>
            <w:rStyle w:val="Hyperlink"/>
          </w:rPr>
          <w:t xml:space="preserve">http://equitablegrowth.org/working</w:t>
        </w:r>
      </w:hyperlink>
      <w:r>
        <w:t xml:space="preserve">.</w:t>
      </w:r>
    </w:p>
    <w:bookmarkEnd w:id="419"/>
    <w:bookmarkStart w:id="420" w:name="ref-Balla2020"/>
    <w:p>
      <w:pPr>
        <w:pStyle w:val="Bibliography"/>
      </w:pPr>
      <w:r>
        <w:t xml:space="preserve">“Lost in the Flood?: Agency Responsiveness to Mass Comment Campaigns in Administrative Rulemaking.”</w:t>
      </w:r>
      <w:r>
        <w:t xml:space="preserve"> </w:t>
      </w:r>
      <w:r>
        <w:t xml:space="preserve">2020.</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420"/>
    <w:bookmarkStart w:id="422" w:name="ref-Lowande2017"/>
    <w:p>
      <w:pPr>
        <w:pStyle w:val="Bibliography"/>
      </w:pPr>
      <w:r>
        <w:t xml:space="preserve">Lowande, Kenneth. 2017.</w:t>
      </w:r>
      <w:r>
        <w:t xml:space="preserve"> </w:t>
      </w:r>
      <w:r>
        <w:t xml:space="preserve">“</w:t>
      </w:r>
      <w:r>
        <w:t xml:space="preserve">Who Polices the Administrative State? Evidence from 20,000 Private Communications</w:t>
      </w:r>
      <w:r>
        <w:t xml:space="preserve">.”</w:t>
      </w:r>
      <w:r>
        <w:t xml:space="preserve"> </w:t>
      </w:r>
      <w:hyperlink r:id="rId421">
        <w:r>
          <w:rPr>
            <w:rStyle w:val="Hyperlink"/>
          </w:rPr>
          <w:t xml:space="preserve">https://goo.gl/L6aKk4</w:t>
        </w:r>
      </w:hyperlink>
      <w:r>
        <w:t xml:space="preserve">.</w:t>
      </w:r>
    </w:p>
    <w:bookmarkEnd w:id="422"/>
    <w:bookmarkStart w:id="424" w:name="ref-Lowande2018JOP"/>
    <w:p>
      <w:pPr>
        <w:pStyle w:val="Bibliography"/>
      </w:pPr>
      <w:r>
        <w:t xml:space="preserve">———. 2018.</w:t>
      </w:r>
      <w:r>
        <w:t xml:space="preserve"> </w:t>
      </w:r>
      <w:r>
        <w:t xml:space="preserve">“</w:t>
      </w:r>
      <w:r>
        <w:t xml:space="preserve">Politicization and Responsiveness in Executive Agencies</w:t>
      </w:r>
      <w:r>
        <w:t xml:space="preserve">.”</w:t>
      </w:r>
      <w:r>
        <w:t xml:space="preserve"> </w:t>
      </w:r>
      <w:r>
        <w:rPr>
          <w:iCs/>
          <w:i/>
        </w:rPr>
        <w:t xml:space="preserve">Journal of Politics</w:t>
      </w:r>
      <w:r>
        <w:t xml:space="preserve">.</w:t>
      </w:r>
      <w:r>
        <w:t xml:space="preserve"> </w:t>
      </w:r>
      <w:hyperlink r:id="rId423">
        <w:r>
          <w:rPr>
            <w:rStyle w:val="Hyperlink"/>
          </w:rPr>
          <w:t xml:space="preserve">http://www.lowande.com/uploads/2/8/0/2/28027461/lowande-responsiveness-july-2017.pdf</w:t>
        </w:r>
      </w:hyperlink>
      <w:r>
        <w:t xml:space="preserve">.</w:t>
      </w:r>
    </w:p>
    <w:bookmarkEnd w:id="424"/>
    <w:bookmarkStart w:id="425" w:name="ref-Lowery2013"/>
    <w:p>
      <w:pPr>
        <w:pStyle w:val="Bibliography"/>
      </w:pPr>
      <w:r>
        <w:t xml:space="preserve">Lowery, David. 2013.</w:t>
      </w:r>
      <w:r>
        <w:t xml:space="preserve"> </w:t>
      </w:r>
      <w:r>
        <w:t xml:space="preserve">“Lobbying Influence: Meaning, Measurement, and Missing.”</w:t>
      </w:r>
      <w:r>
        <w:t xml:space="preserve"> </w:t>
      </w:r>
      <w:r>
        <w:rPr>
          <w:iCs/>
          <w:i/>
        </w:rPr>
        <w:t xml:space="preserve">Interest Groups &amp; Advocacy</w:t>
      </w:r>
      <w:r>
        <w:t xml:space="preserve"> </w:t>
      </w:r>
      <w:r>
        <w:t xml:space="preserve">2 (1): 1–26.</w:t>
      </w:r>
    </w:p>
    <w:bookmarkEnd w:id="425"/>
    <w:bookmarkStart w:id="426" w:name="ref-Lowi2015"/>
    <w:p>
      <w:pPr>
        <w:pStyle w:val="Bibliography"/>
      </w:pPr>
      <w:r>
        <w:t xml:space="preserve">Lowi, T. J., and N. K. Nicholson. 2015.</w:t>
      </w:r>
      <w:r>
        <w:t xml:space="preserve"> </w:t>
      </w:r>
      <w:r>
        <w:rPr>
          <w:iCs/>
          <w:i/>
        </w:rPr>
        <w:t xml:space="preserve">Arenas of Power: Reflections on Politics and Policy</w:t>
      </w:r>
      <w:r>
        <w:t xml:space="preserve">. Taylor &amp; Francis.</w:t>
      </w:r>
    </w:p>
    <w:bookmarkEnd w:id="426"/>
    <w:bookmarkStart w:id="427" w:name="ref-Lowi1969"/>
    <w:p>
      <w:pPr>
        <w:pStyle w:val="Bibliography"/>
      </w:pPr>
      <w:r>
        <w:t xml:space="preserve">Lowi, Theodore. 1969.</w:t>
      </w:r>
      <w:r>
        <w:t xml:space="preserve"> </w:t>
      </w:r>
      <w:r>
        <w:rPr>
          <w:iCs/>
          <w:i/>
        </w:rPr>
        <w:t xml:space="preserve">The End of Liberalism</w:t>
      </w:r>
      <w:r>
        <w:t xml:space="preserve">. New York: W.W. Norton.</w:t>
      </w:r>
    </w:p>
    <w:bookmarkEnd w:id="427"/>
    <w:bookmarkStart w:id="429" w:name="ref-Lowi1964"/>
    <w:p>
      <w:pPr>
        <w:pStyle w:val="Bibliography"/>
      </w:pPr>
      <w:r>
        <w:t xml:space="preserve">Lowi, Theodore J. 1964.</w:t>
      </w:r>
      <w:r>
        <w:t xml:space="preserve"> </w:t>
      </w:r>
      <w:r>
        <w:t xml:space="preserve">“American Business, Public Policy, Case-Studies, and Political Theory.”</w:t>
      </w:r>
      <w:r>
        <w:t xml:space="preserve"> </w:t>
      </w:r>
      <w:r>
        <w:rPr>
          <w:iCs/>
          <w:i/>
        </w:rPr>
        <w:t xml:space="preserve">World Politics</w:t>
      </w:r>
      <w:r>
        <w:t xml:space="preserve"> </w:t>
      </w:r>
      <w:r>
        <w:t xml:space="preserve">16 (4): 677–715.</w:t>
      </w:r>
      <w:r>
        <w:t xml:space="preserve"> </w:t>
      </w:r>
      <w:hyperlink r:id="rId428">
        <w:r>
          <w:rPr>
            <w:rStyle w:val="Hyperlink"/>
          </w:rPr>
          <w:t xml:space="preserve">https://doi.org/10.2307/2009452</w:t>
        </w:r>
      </w:hyperlink>
      <w:r>
        <w:t xml:space="preserve">.</w:t>
      </w:r>
    </w:p>
    <w:bookmarkEnd w:id="429"/>
    <w:bookmarkStart w:id="430" w:name="ref-Lowi1972"/>
    <w:p>
      <w:pPr>
        <w:pStyle w:val="Bibliography"/>
      </w:pPr>
      <w:r>
        <w:t xml:space="preserve">Lowi, Theodore J. 1972.</w:t>
      </w:r>
      <w:r>
        <w:t xml:space="preserve"> </w:t>
      </w:r>
      <w:r>
        <w:t xml:space="preserve">“</w:t>
      </w:r>
      <w:r>
        <w:t xml:space="preserve">Four Systems of Policy, Politics, and Choice</w:t>
      </w:r>
      <w:r>
        <w:t xml:space="preserve">.”</w:t>
      </w:r>
      <w:r>
        <w:t xml:space="preserve"> </w:t>
      </w:r>
      <w:r>
        <w:rPr>
          <w:iCs/>
          <w:i/>
        </w:rPr>
        <w:t xml:space="preserve">Public Administration Review</w:t>
      </w:r>
      <w:r>
        <w:t xml:space="preserve"> </w:t>
      </w:r>
      <w:r>
        <w:t xml:space="preserve">32 (4): 298–310.</w:t>
      </w:r>
    </w:p>
    <w:bookmarkEnd w:id="430"/>
    <w:bookmarkStart w:id="431" w:name="ref-Lyon2005"/>
    <w:p>
      <w:pPr>
        <w:pStyle w:val="Bibliography"/>
      </w:pPr>
      <w:r>
        <w:t xml:space="preserve">Lyon, Thomas P., and John W. Maxwell. 2004.</w:t>
      </w:r>
      <w:r>
        <w:t xml:space="preserve"> </w:t>
      </w:r>
      <w:r>
        <w:rPr>
          <w:iCs/>
          <w:i/>
        </w:rPr>
        <w:t xml:space="preserve">Journal of Economics</w:t>
      </w:r>
      <w:r>
        <w:rPr>
          <w:iCs/>
          <w:i/>
        </w:rPr>
        <w:t xml:space="preserve"> </w:t>
      </w:r>
      <w:r>
        <w:rPr>
          <w:iCs/>
          <w:i/>
        </w:rPr>
        <w:t xml:space="preserve">&amp;</w:t>
      </w:r>
      <w:r>
        <w:rPr>
          <w:iCs/>
          <w:i/>
        </w:rPr>
        <w:t xml:space="preserve"> </w:t>
      </w:r>
      <w:r>
        <w:rPr>
          <w:iCs/>
          <w:i/>
        </w:rPr>
        <w:t xml:space="preserve">Management Strategy</w:t>
      </w:r>
      <w:r>
        <w:t xml:space="preserve"> </w:t>
      </w:r>
      <w:r>
        <w:t xml:space="preserve">13: 561–97.</w:t>
      </w:r>
    </w:p>
    <w:bookmarkEnd w:id="431"/>
    <w:bookmarkStart w:id="433" w:name="ref-Macdonald"/>
    <w:p>
      <w:pPr>
        <w:pStyle w:val="Bibliography"/>
      </w:pPr>
      <w:r>
        <w:t xml:space="preserve">Macdonald, Jason A, and Robert J Mcgrath. n.d.</w:t>
      </w:r>
      <w:r>
        <w:t xml:space="preserve"> </w:t>
      </w:r>
      <w:r>
        <w:t xml:space="preserve">“</w:t>
      </w:r>
      <w:r>
        <w:t xml:space="preserve">Retrospective Congressional Oversight and the Dynamics of Legislative Influence over the Bureaucracy</w:t>
      </w:r>
      <w:r>
        <w:t xml:space="preserve">.”</w:t>
      </w:r>
      <w:r>
        <w:t xml:space="preserve"> </w:t>
      </w:r>
      <w:hyperlink r:id="rId432">
        <w:r>
          <w:rPr>
            <w:rStyle w:val="Hyperlink"/>
          </w:rPr>
          <w:t xml:space="preserve">https://doi.org/10.1111/lsq.12138</w:t>
        </w:r>
      </w:hyperlink>
      <w:r>
        <w:t xml:space="preserve">.</w:t>
      </w:r>
    </w:p>
    <w:bookmarkEnd w:id="433"/>
    <w:bookmarkStart w:id="435" w:name="ref-Mahoney2007JPP"/>
    <w:p>
      <w:pPr>
        <w:pStyle w:val="Bibliography"/>
      </w:pPr>
      <w:r>
        <w:t xml:space="preserve">Mahoney, Christine. 2007a.</w:t>
      </w:r>
      <w:r>
        <w:t xml:space="preserve"> </w:t>
      </w:r>
      <w:r>
        <w:t xml:space="preserve">“</w:t>
      </w:r>
      <w:r>
        <w:t xml:space="preserve">Lobbying Success in the United States and the European Union Author</w:t>
      </w:r>
      <w:r>
        <w:t xml:space="preserve">.”</w:t>
      </w:r>
      <w:r>
        <w:t xml:space="preserve"> </w:t>
      </w:r>
      <w:r>
        <w:t xml:space="preserve">1. Vol. 27. https://doi.org/</w:t>
      </w:r>
      <w:hyperlink r:id="rId434">
        <w:r>
          <w:rPr>
            <w:rStyle w:val="Hyperlink"/>
          </w:rPr>
          <w:t xml:space="preserve">https://doi.org/10.1017/S0143814X07000608</w:t>
        </w:r>
      </w:hyperlink>
      <w:r>
        <w:t xml:space="preserve">.</w:t>
      </w:r>
    </w:p>
    <w:bookmarkEnd w:id="435"/>
    <w:bookmarkStart w:id="436" w:name="ref-Mahoney2007"/>
    <w:p>
      <w:pPr>
        <w:pStyle w:val="Bibliography"/>
      </w:pPr>
      <w:r>
        <w:t xml:space="preserve">———. 2007b.</w:t>
      </w:r>
      <w:r>
        <w:t xml:space="preserve"> </w:t>
      </w:r>
      <w:r>
        <w:t xml:space="preserve">“</w:t>
      </w:r>
      <w:r>
        <w:t xml:space="preserve">The Role of Interest Groups in Fostering Citizen Engagement: The Determinants of Outside Lobbying</w:t>
      </w:r>
      <w:r>
        <w:t xml:space="preserve">.”</w:t>
      </w:r>
      <w:r>
        <w:t xml:space="preserve"> </w:t>
      </w:r>
      <w:r>
        <w:t xml:space="preserve">In</w:t>
      </w:r>
      <w:r>
        <w:t xml:space="preserve"> </w:t>
      </w:r>
      <w:r>
        <w:rPr>
          <w:iCs/>
          <w:i/>
        </w:rPr>
        <w:t xml:space="preserve">Politics Beyond the State: Actors and Policies in Complex Institutional Settings</w:t>
      </w:r>
      <w:r>
        <w:t xml:space="preserve">, edited by Kris Deschouwer and M. Theo Jans. ASP.</w:t>
      </w:r>
    </w:p>
    <w:bookmarkEnd w:id="436"/>
    <w:bookmarkStart w:id="438" w:name="ref-Malecha2012"/>
    <w:p>
      <w:pPr>
        <w:pStyle w:val="Bibliography"/>
      </w:pPr>
      <w:r>
        <w:t xml:space="preserve">Malecha, Gary Lee, and Daniel J. Reagan. 2012.</w:t>
      </w:r>
      <w:r>
        <w:t xml:space="preserve"> </w:t>
      </w:r>
      <w:r>
        <w:rPr>
          <w:iCs/>
          <w:i/>
        </w:rPr>
        <w:t xml:space="preserve">The public Congress: Congressional deliberation in a new media age</w:t>
      </w:r>
      <w:r>
        <w:t xml:space="preserve">. Routledge.</w:t>
      </w:r>
      <w:r>
        <w:t xml:space="preserve"> </w:t>
      </w:r>
      <w:hyperlink r:id="rId437">
        <w:r>
          <w:rPr>
            <w:rStyle w:val="Hyperlink"/>
          </w:rPr>
          <w:t xml:space="preserve">https://books.google.com/books/about/The{\_}Public{\_}Congress.html?id=yD9OYgEACAAJ</w:t>
        </w:r>
      </w:hyperlink>
      <w:r>
        <w:t xml:space="preserve">.</w:t>
      </w:r>
    </w:p>
    <w:bookmarkEnd w:id="438"/>
    <w:bookmarkStart w:id="440" w:name="ref-Mansbridge2003"/>
    <w:p>
      <w:pPr>
        <w:pStyle w:val="Bibliography"/>
      </w:pPr>
      <w:r>
        <w:t xml:space="preserve">Mansbridge, Jane. 2003.</w:t>
      </w:r>
      <w:r>
        <w:t xml:space="preserve"> </w:t>
      </w:r>
      <w:r>
        <w:t xml:space="preserve">“</w:t>
      </w:r>
      <w:r>
        <w:t xml:space="preserve">Rethinking Representation</w:t>
      </w:r>
      <w:r>
        <w:t xml:space="preserve">.”</w:t>
      </w:r>
      <w:r>
        <w:t xml:space="preserve"> </w:t>
      </w:r>
      <w:r>
        <w:rPr>
          <w:iCs/>
          <w:i/>
        </w:rPr>
        <w:t xml:space="preserve">American Political Science Review</w:t>
      </w:r>
      <w:r>
        <w:t xml:space="preserve"> </w:t>
      </w:r>
      <w:r>
        <w:t xml:space="preserve">97 (4).</w:t>
      </w:r>
      <w:r>
        <w:t xml:space="preserve"> </w:t>
      </w:r>
      <w:hyperlink r:id="rId439">
        <w:r>
          <w:rPr>
            <w:rStyle w:val="Hyperlink"/>
          </w:rPr>
          <w:t xml:space="preserve">http://eurogender.eige.europa.eu/sites/default/files/3593021.pdf</w:t>
        </w:r>
      </w:hyperlink>
      <w:r>
        <w:t xml:space="preserve">.</w:t>
      </w:r>
    </w:p>
    <w:bookmarkEnd w:id="440"/>
    <w:bookmarkStart w:id="442" w:name="ref-Mansbridge1992"/>
    <w:p>
      <w:pPr>
        <w:pStyle w:val="Bibliography"/>
      </w:pPr>
      <w:r>
        <w:t xml:space="preserve">Mansbridge, Jane J. 1992.</w:t>
      </w:r>
      <w:r>
        <w:t xml:space="preserve"> </w:t>
      </w:r>
      <w:r>
        <w:t xml:space="preserve">“</w:t>
      </w:r>
      <w:r>
        <w:t xml:space="preserve">A Deliberative Theory of Interest Representation</w:t>
      </w:r>
      <w:r>
        <w:t xml:space="preserve">.”</w:t>
      </w:r>
      <w:r>
        <w:t xml:space="preserve"> </w:t>
      </w:r>
      <w:r>
        <w:t xml:space="preserve">In</w:t>
      </w:r>
      <w:r>
        <w:t xml:space="preserve"> </w:t>
      </w:r>
      <w:r>
        <w:rPr>
          <w:iCs/>
          <w:i/>
        </w:rPr>
        <w:t xml:space="preserve">The Politics of Interests: Interest Groups Transformed.</w:t>
      </w:r>
      <w:r>
        <w:t xml:space="preserve">, edited by Mark P. Petracca, 448. Routledge.</w:t>
      </w:r>
      <w:r>
        <w:t xml:space="preserve"> </w:t>
      </w:r>
      <w:hyperlink r:id="rId441">
        <w:r>
          <w:rPr>
            <w:rStyle w:val="Hyperlink"/>
          </w:rPr>
          <w:t xml:space="preserve">https://books.google.com/books/about/The{\_}Politics{\_}Of{\_}Interests.html?id=BtJMDwAAQBAJ</w:t>
        </w:r>
      </w:hyperlink>
      <w:r>
        <w:t xml:space="preserve">.</w:t>
      </w:r>
    </w:p>
    <w:bookmarkEnd w:id="442"/>
    <w:bookmarkStart w:id="444" w:name="ref-Mayhew2000"/>
    <w:p>
      <w:pPr>
        <w:pStyle w:val="Bibliography"/>
      </w:pPr>
      <w:r>
        <w:t xml:space="preserve">Mayhew, David R. 2000.</w:t>
      </w:r>
      <w:r>
        <w:t xml:space="preserve"> </w:t>
      </w:r>
      <w:r>
        <w:t xml:space="preserve">“</w:t>
      </w:r>
      <w:r>
        <w:t xml:space="preserve">Electoral Realignments</w:t>
      </w:r>
      <w:r>
        <w:t xml:space="preserve">.”</w:t>
      </w:r>
      <w:r>
        <w:t xml:space="preserve"> </w:t>
      </w:r>
      <w:r>
        <w:rPr>
          <w:iCs/>
          <w:i/>
        </w:rPr>
        <w:t xml:space="preserve">Annual Review of Political Science</w:t>
      </w:r>
      <w:r>
        <w:t xml:space="preserve"> </w:t>
      </w:r>
      <w:r>
        <w:t xml:space="preserve">3 (1): 449–74.</w:t>
      </w:r>
      <w:r>
        <w:t xml:space="preserve"> </w:t>
      </w:r>
      <w:hyperlink r:id="rId443">
        <w:r>
          <w:rPr>
            <w:rStyle w:val="Hyperlink"/>
          </w:rPr>
          <w:t xml:space="preserve">https://doi.org/10.1146/annurev.polisci.3.1.449</w:t>
        </w:r>
      </w:hyperlink>
      <w:r>
        <w:t xml:space="preserve">.</w:t>
      </w:r>
    </w:p>
    <w:bookmarkEnd w:id="444"/>
    <w:bookmarkStart w:id="446" w:name="ref-Mcadam2017"/>
    <w:p>
      <w:pPr>
        <w:pStyle w:val="Bibliography"/>
      </w:pPr>
      <w:r>
        <w:t xml:space="preserve">Mcadam, Doug. 2017.</w:t>
      </w:r>
      <w:r>
        <w:t xml:space="preserve"> </w:t>
      </w:r>
      <w:r>
        <w:t xml:space="preserve">“</w:t>
      </w:r>
      <w:r>
        <w:t xml:space="preserve">Social Movement Theory and the Prospects for Climate Change Activism in the United States</w:t>
      </w:r>
      <w:r>
        <w:t xml:space="preserve">.”</w:t>
      </w:r>
      <w:r>
        <w:t xml:space="preserve"> </w:t>
      </w:r>
      <w:r>
        <w:rPr>
          <w:iCs/>
          <w:i/>
        </w:rPr>
        <w:t xml:space="preserve">Annual Review of Political Science</w:t>
      </w:r>
      <w:r>
        <w:t xml:space="preserve"> </w:t>
      </w:r>
      <w:r>
        <w:t xml:space="preserve">20: 189–2008.</w:t>
      </w:r>
      <w:r>
        <w:t xml:space="preserve"> </w:t>
      </w:r>
      <w:hyperlink r:id="rId445">
        <w:r>
          <w:rPr>
            <w:rStyle w:val="Hyperlink"/>
          </w:rPr>
          <w:t xml:space="preserve">https://doi.org/10.1146/annurev-polisci-052615</w:t>
        </w:r>
      </w:hyperlink>
      <w:r>
        <w:t xml:space="preserve">.</w:t>
      </w:r>
    </w:p>
    <w:bookmarkEnd w:id="446"/>
    <w:bookmarkStart w:id="448" w:name="ref-McCubbins1987"/>
    <w:p>
      <w:pPr>
        <w:pStyle w:val="Bibliography"/>
      </w:pPr>
      <w:r>
        <w:t xml:space="preserve">McCubbins, Mathew D., Roger G. Noll, and Barry R. Weingast. 1987.</w:t>
      </w:r>
      <w:r>
        <w:t xml:space="preserve"> </w:t>
      </w:r>
      <w:r>
        <w:t xml:space="preserve">“</w:t>
      </w:r>
      <w:r>
        <w:t xml:space="preserve">Administrative Procedures as Instruments of Political Control</w:t>
      </w:r>
      <w:r>
        <w:t xml:space="preserve">.”</w:t>
      </w:r>
      <w:r>
        <w:t xml:space="preserve"> </w:t>
      </w:r>
      <w:r>
        <w:rPr>
          <w:iCs/>
          <w:i/>
        </w:rPr>
        <w:t xml:space="preserve">Journal of Law, Economics,</w:t>
      </w:r>
      <w:r>
        <w:rPr>
          <w:iCs/>
          <w:i/>
        </w:rPr>
        <w:t xml:space="preserve"> </w:t>
      </w:r>
      <w:r>
        <w:rPr>
          <w:iCs/>
          <w:i/>
        </w:rPr>
        <w:t xml:space="preserve">&amp;</w:t>
      </w:r>
      <w:r>
        <w:rPr>
          <w:iCs/>
          <w:i/>
        </w:rPr>
        <w:t xml:space="preserve"> </w:t>
      </w:r>
      <w:r>
        <w:rPr>
          <w:iCs/>
          <w:i/>
        </w:rPr>
        <w:t xml:space="preserve">Organization</w:t>
      </w:r>
      <w:r>
        <w:t xml:space="preserve"> </w:t>
      </w:r>
      <w:r>
        <w:t xml:space="preserve">3 (2): 243–77.</w:t>
      </w:r>
      <w:r>
        <w:t xml:space="preserve"> </w:t>
      </w:r>
      <w:hyperlink r:id="rId447">
        <w:r>
          <w:rPr>
            <w:rStyle w:val="Hyperlink"/>
          </w:rPr>
          <w:t xml:space="preserve">https://doi.org/10.1093</w:t>
        </w:r>
      </w:hyperlink>
      <w:r>
        <w:t xml:space="preserve">.</w:t>
      </w:r>
    </w:p>
    <w:bookmarkEnd w:id="448"/>
    <w:bookmarkStart w:id="449" w:name="ref-McCubbins1984"/>
    <w:p>
      <w:pPr>
        <w:pStyle w:val="Bibliography"/>
      </w:pPr>
      <w:r>
        <w:t xml:space="preserve">McCubbins, Mathew D, and Thomas Schwartz. 1984.</w:t>
      </w:r>
      <w:r>
        <w:t xml:space="preserve"> </w:t>
      </w:r>
      <w:r>
        <w:t xml:space="preserve">“</w:t>
      </w:r>
      <w:r>
        <w:t xml:space="preserve">Congressional Oversight Overlooked: Police Patrols versus Fire Alarms</w:t>
      </w:r>
      <w:r>
        <w:t xml:space="preserve">.”</w:t>
      </w:r>
      <w:r>
        <w:t xml:space="preserve"> </w:t>
      </w:r>
      <w:r>
        <w:rPr>
          <w:iCs/>
          <w:i/>
        </w:rPr>
        <w:t xml:space="preserve">American Journal of Political Science</w:t>
      </w:r>
      <w:r>
        <w:t xml:space="preserve"> </w:t>
      </w:r>
      <w:r>
        <w:t xml:space="preserve">28 (1): 165–79.</w:t>
      </w:r>
    </w:p>
    <w:bookmarkEnd w:id="449"/>
    <w:bookmarkStart w:id="451" w:name="ref-McNutt2007"/>
    <w:p>
      <w:pPr>
        <w:pStyle w:val="Bibliography"/>
      </w:pPr>
      <w:r>
        <w:t xml:space="preserve">McNutt, John, and Katherine Boland. 2007.</w:t>
      </w:r>
      <w:r>
        <w:t xml:space="preserve"> </w:t>
      </w:r>
      <w:r>
        <w:t xml:space="preserve">“Astroturf, Technology and the Future of Community Mobilization: Implications for Nonprofit Theory.”</w:t>
      </w:r>
      <w:r>
        <w:t xml:space="preserve"> </w:t>
      </w:r>
      <w:r>
        <w:rPr>
          <w:iCs/>
          <w:i/>
        </w:rPr>
        <w:t xml:space="preserve">The Journal of Sociology</w:t>
      </w:r>
      <w:r>
        <w:rPr>
          <w:iCs/>
          <w:i/>
        </w:rPr>
        <w:t xml:space="preserve"> </w:t>
      </w:r>
      <w:r>
        <w:rPr>
          <w:iCs/>
          <w:i/>
        </w:rPr>
        <w:t xml:space="preserve">&amp;</w:t>
      </w:r>
      <w:r>
        <w:rPr>
          <w:iCs/>
          <w:i/>
        </w:rPr>
        <w:t xml:space="preserve"> </w:t>
      </w:r>
      <w:r>
        <w:rPr>
          <w:iCs/>
          <w:i/>
        </w:rPr>
        <w:t xml:space="preserve">Social Welfare</w:t>
      </w:r>
      <w:r>
        <w:t xml:space="preserve"> </w:t>
      </w:r>
      <w:r>
        <w:t xml:space="preserve">34.</w:t>
      </w:r>
      <w:r>
        <w:t xml:space="preserve"> </w:t>
      </w:r>
      <w:hyperlink r:id="rId450">
        <w:r>
          <w:rPr>
            <w:rStyle w:val="Hyperlink"/>
          </w:rPr>
          <w:t xml:space="preserve">https://scholarworks.wmich.edu/jssw/vol34/iss3/9</w:t>
        </w:r>
      </w:hyperlink>
      <w:r>
        <w:t xml:space="preserve">.</w:t>
      </w:r>
    </w:p>
    <w:bookmarkEnd w:id="451"/>
    <w:bookmarkStart w:id="453" w:name="ref-Mendelson2011"/>
    <w:p>
      <w:pPr>
        <w:pStyle w:val="Bibliography"/>
      </w:pPr>
      <w:r>
        <w:t xml:space="preserve">Mendelson, Nina A. 2011.</w:t>
      </w:r>
      <w:r>
        <w:t xml:space="preserve"> </w:t>
      </w:r>
      <w:r>
        <w:t xml:space="preserve">“</w:t>
      </w:r>
      <w:r>
        <w:t xml:space="preserve">Foreword: Rulemaking, Democracy, and Torrents of E-Mail</w:t>
      </w:r>
      <w:r>
        <w:t xml:space="preserve">.”</w:t>
      </w:r>
      <w:r>
        <w:t xml:space="preserve"> </w:t>
      </w:r>
      <w:r>
        <w:rPr>
          <w:iCs/>
          <w:i/>
        </w:rPr>
        <w:t xml:space="preserve">George Washington Law Review</w:t>
      </w:r>
      <w:r>
        <w:t xml:space="preserve"> </w:t>
      </w:r>
      <w:r>
        <w:t xml:space="preserve">79: 101.</w:t>
      </w:r>
      <w:r>
        <w:t xml:space="preserve"> </w:t>
      </w:r>
      <w:hyperlink r:id="rId452">
        <w:r>
          <w:rPr>
            <w:rStyle w:val="Hyperlink"/>
          </w:rPr>
          <w:t xml:space="preserve">https://papers.ssrn.com/sol3/papers.cfm?abstract{\_}id=1860193</w:t>
        </w:r>
      </w:hyperlink>
      <w:r>
        <w:t xml:space="preserve">.</w:t>
      </w:r>
    </w:p>
    <w:bookmarkEnd w:id="453"/>
    <w:bookmarkStart w:id="455" w:name="ref-Metzger2010"/>
    <w:p>
      <w:pPr>
        <w:pStyle w:val="Bibliography"/>
      </w:pPr>
      <w:r>
        <w:t xml:space="preserve">Metzger, Gillian E. 2010.</w:t>
      </w:r>
      <w:r>
        <w:t xml:space="preserve"> </w:t>
      </w:r>
      <w:r>
        <w:t xml:space="preserve">“</w:t>
      </w:r>
      <w:r>
        <w:t xml:space="preserve">Ordinary Administrative Law as Constitutional Common Law</w:t>
      </w:r>
      <w:r>
        <w:t xml:space="preserve">.”</w:t>
      </w:r>
      <w:r>
        <w:t xml:space="preserve"> </w:t>
      </w:r>
      <w:r>
        <w:rPr>
          <w:iCs/>
          <w:i/>
        </w:rPr>
        <w:t xml:space="preserve">Columbia Law Review</w:t>
      </w:r>
      <w:r>
        <w:t xml:space="preserve"> </w:t>
      </w:r>
      <w:r>
        <w:t xml:space="preserve">110: 479.</w:t>
      </w:r>
      <w:r>
        <w:t xml:space="preserve"> </w:t>
      </w:r>
      <w:hyperlink r:id="rId454">
        <w:r>
          <w:rPr>
            <w:rStyle w:val="Hyperlink"/>
          </w:rPr>
          <w:t xml:space="preserve">https://doi.org/10.2139/ssrn.1486272</w:t>
        </w:r>
      </w:hyperlink>
      <w:r>
        <w:t xml:space="preserve">.</w:t>
      </w:r>
    </w:p>
    <w:bookmarkEnd w:id="455"/>
    <w:bookmarkStart w:id="457" w:name="ref-Meyer2004"/>
    <w:p>
      <w:pPr>
        <w:pStyle w:val="Bibliography"/>
      </w:pPr>
      <w:r>
        <w:t xml:space="preserve">Meyer, David S. 2004.</w:t>
      </w:r>
      <w:r>
        <w:t xml:space="preserve"> </w:t>
      </w:r>
      <w:r>
        <w:t xml:space="preserve">“</w:t>
      </w:r>
      <w:r>
        <w:t xml:space="preserve">Protest and Political Opportunities</w:t>
      </w:r>
      <w:r>
        <w:t xml:space="preserve">.”</w:t>
      </w:r>
      <w:r>
        <w:t xml:space="preserve"> </w:t>
      </w:r>
      <w:r>
        <w:rPr>
          <w:iCs/>
          <w:i/>
        </w:rPr>
        <w:t xml:space="preserve">Annual Review of Sociology</w:t>
      </w:r>
      <w:r>
        <w:t xml:space="preserve"> </w:t>
      </w:r>
      <w:r>
        <w:t xml:space="preserve">30 (1): 125–45.</w:t>
      </w:r>
      <w:r>
        <w:t xml:space="preserve"> </w:t>
      </w:r>
      <w:hyperlink r:id="rId456">
        <w:r>
          <w:rPr>
            <w:rStyle w:val="Hyperlink"/>
          </w:rPr>
          <w:t xml:space="preserve">https://doi.org/10.1146/annurev.soc.30.012703.110545</w:t>
        </w:r>
      </w:hyperlink>
      <w:r>
        <w:t xml:space="preserve">.</w:t>
      </w:r>
    </w:p>
    <w:bookmarkEnd w:id="457"/>
    <w:bookmarkStart w:id="459" w:name="ref-Michaels2015"/>
    <w:p>
      <w:pPr>
        <w:pStyle w:val="Bibliography"/>
      </w:pPr>
      <w:r>
        <w:t xml:space="preserve">Michaels, Jon D. 2015.</w:t>
      </w:r>
      <w:r>
        <w:t xml:space="preserve"> </w:t>
      </w:r>
      <w:r>
        <w:t xml:space="preserve">“</w:t>
      </w:r>
      <w:r>
        <w:t xml:space="preserve">An Enduring, Evolving Separation of Powers</w:t>
      </w:r>
      <w:r>
        <w:t xml:space="preserve">.”</w:t>
      </w:r>
      <w:r>
        <w:t xml:space="preserve"> </w:t>
      </w:r>
      <w:r>
        <w:rPr>
          <w:iCs/>
          <w:i/>
        </w:rPr>
        <w:t xml:space="preserve">Columbia Law Review</w:t>
      </w:r>
      <w:r>
        <w:t xml:space="preserve"> </w:t>
      </w:r>
      <w:r>
        <w:t xml:space="preserve">115 (April): 515.</w:t>
      </w:r>
      <w:r>
        <w:t xml:space="preserve"> </w:t>
      </w:r>
      <w:hyperlink r:id="rId458">
        <w:r>
          <w:rPr>
            <w:rStyle w:val="Hyperlink"/>
          </w:rPr>
          <w:t xml:space="preserve">https://papers.ssrn.com/sol3/papers.cfm?abstract{\_}id=2444396</w:t>
        </w:r>
      </w:hyperlink>
      <w:r>
        <w:t xml:space="preserve">.</w:t>
      </w:r>
    </w:p>
    <w:bookmarkEnd w:id="459"/>
    <w:bookmarkStart w:id="460" w:name="ref-Mildenberger2020"/>
    <w:p>
      <w:pPr>
        <w:pStyle w:val="Bibliography"/>
      </w:pPr>
      <w:r>
        <w:t xml:space="preserve">Mildenberger, Matto. 2020.</w:t>
      </w:r>
      <w:r>
        <w:t xml:space="preserve"> </w:t>
      </w:r>
      <w:r>
        <w:rPr>
          <w:iCs/>
          <w:i/>
        </w:rPr>
        <w:t xml:space="preserve">Carbon Captured: How Business and Labor Control Climate Politics</w:t>
      </w:r>
      <w:r>
        <w:t xml:space="preserve">. Cambridge, MA: MIT Press.</w:t>
      </w:r>
    </w:p>
    <w:bookmarkEnd w:id="460"/>
    <w:bookmarkStart w:id="462" w:name="ref-Moore2017"/>
    <w:p>
      <w:pPr>
        <w:pStyle w:val="Bibliography"/>
      </w:pPr>
      <w:r>
        <w:t xml:space="preserve">Moore, Emily H. 2017.</w:t>
      </w:r>
      <w:r>
        <w:t xml:space="preserve"> </w:t>
      </w:r>
      <w:r>
        <w:t xml:space="preserve">“</w:t>
      </w:r>
      <w:r>
        <w:t xml:space="preserve">Public Participation in Rulemaking</w:t>
      </w:r>
      <w:r>
        <w:t xml:space="preserve">.”</w:t>
      </w:r>
      <w:r>
        <w:t xml:space="preserve"> </w:t>
      </w:r>
      <w:hyperlink r:id="rId461">
        <w:r>
          <w:rPr>
            <w:rStyle w:val="Hyperlink"/>
          </w:rPr>
          <w:t xml:space="preserve">{https://graduate.artsci.wustl.edu/emilymoore/}</w:t>
        </w:r>
      </w:hyperlink>
      <w:r>
        <w:t xml:space="preserve">.</w:t>
      </w:r>
    </w:p>
    <w:bookmarkEnd w:id="462"/>
    <w:bookmarkStart w:id="464" w:name="ref-Moore2018"/>
    <w:p>
      <w:pPr>
        <w:pStyle w:val="Bibliography"/>
      </w:pPr>
      <w:r>
        <w:t xml:space="preserve">Moore, Emily H. 2018.</w:t>
      </w:r>
      <w:r>
        <w:t xml:space="preserve"> </w:t>
      </w:r>
      <w:r>
        <w:t xml:space="preserve">“</w:t>
      </w:r>
      <w:r>
        <w:t xml:space="preserve">Polarization, Excepted Appointments, and the Administrative Presidency</w:t>
      </w:r>
      <w:r>
        <w:t xml:space="preserve">.”</w:t>
      </w:r>
      <w:r>
        <w:t xml:space="preserve"> </w:t>
      </w:r>
      <w:r>
        <w:rPr>
          <w:iCs/>
          <w:i/>
        </w:rPr>
        <w:t xml:space="preserve">Presidential Studies Quarterly</w:t>
      </w:r>
      <w:r>
        <w:t xml:space="preserve"> </w:t>
      </w:r>
      <w:r>
        <w:t xml:space="preserve">48 (1): 72–92.</w:t>
      </w:r>
      <w:r>
        <w:t xml:space="preserve"> </w:t>
      </w:r>
      <w:hyperlink r:id="rId463">
        <w:r>
          <w:rPr>
            <w:rStyle w:val="Hyperlink"/>
          </w:rPr>
          <w:t xml:space="preserve">https://doi.org/10.1111/psq.12417</w:t>
        </w:r>
      </w:hyperlink>
      <w:r>
        <w:t xml:space="preserve">.</w:t>
      </w:r>
    </w:p>
    <w:bookmarkEnd w:id="464"/>
    <w:bookmarkStart w:id="466" w:name="ref-Nelson2012"/>
    <w:p>
      <w:pPr>
        <w:pStyle w:val="Bibliography"/>
      </w:pPr>
      <w:r>
        <w:t xml:space="preserve">Nelson, David, and Susan Webb Yackee. 2012.</w:t>
      </w:r>
      <w:r>
        <w:t xml:space="preserve"> </w:t>
      </w:r>
      <w:r>
        <w:t xml:space="preserve">“</w:t>
      </w:r>
      <w:r>
        <w:t xml:space="preserve">Lobbying Coalitions and Government Policy Change: An Analysis of Federal Agency</w:t>
      </w:r>
      <w:r>
        <w:t xml:space="preserve">.”</w:t>
      </w:r>
      <w:r>
        <w:t xml:space="preserve"> </w:t>
      </w:r>
      <w:r>
        <w:rPr>
          <w:iCs/>
          <w:i/>
        </w:rPr>
        <w:t xml:space="preserve">The Journal of Politics</w:t>
      </w:r>
      <w:r>
        <w:t xml:space="preserve"> </w:t>
      </w:r>
      <w:r>
        <w:t xml:space="preserve">74 (2): 339–53.</w:t>
      </w:r>
      <w:r>
        <w:t xml:space="preserve"> </w:t>
      </w:r>
      <w:hyperlink r:id="rId465">
        <w:r>
          <w:rPr>
            <w:rStyle w:val="Hyperlink"/>
          </w:rPr>
          <w:t xml:space="preserve">https://doi.org/10.1017/s0022381611001599</w:t>
        </w:r>
      </w:hyperlink>
      <w:r>
        <w:t xml:space="preserve">.</w:t>
      </w:r>
    </w:p>
    <w:bookmarkEnd w:id="466"/>
    <w:bookmarkStart w:id="467" w:name="ref-Noveck2004"/>
    <w:p>
      <w:pPr>
        <w:pStyle w:val="Bibliography"/>
      </w:pPr>
      <w:r>
        <w:t xml:space="preserve">Noveck, Beth Simone. 2004.</w:t>
      </w:r>
      <w:r>
        <w:t xml:space="preserve"> </w:t>
      </w:r>
      <w:r>
        <w:t xml:space="preserve">“</w:t>
      </w:r>
      <w:r>
        <w:t xml:space="preserve">Public Participation in Electronic Rulemaking: Electronic Democracy or Notice-and-Spam?</w:t>
      </w:r>
      <w:r>
        <w:t xml:space="preserve">”</w:t>
      </w:r>
    </w:p>
    <w:bookmarkEnd w:id="467"/>
    <w:bookmarkStart w:id="469" w:name="ref-Noveck2005"/>
    <w:p>
      <w:pPr>
        <w:pStyle w:val="Bibliography"/>
      </w:pPr>
      <w:r>
        <w:t xml:space="preserve">———. 2005.</w:t>
      </w:r>
      <w:r>
        <w:t xml:space="preserve"> </w:t>
      </w:r>
      <w:r>
        <w:t xml:space="preserve">“</w:t>
      </w:r>
      <w:r>
        <w:t xml:space="preserve">The Future of Citizen Participation in the Electronic State</w:t>
      </w:r>
      <w:r>
        <w:t xml:space="preserve">.”</w:t>
      </w:r>
      <w:r>
        <w:t xml:space="preserve"> </w:t>
      </w:r>
      <w:r>
        <w:rPr>
          <w:iCs/>
          <w:i/>
        </w:rPr>
        <w:t xml:space="preserve">I/S: A Journal of Law and Policy</w:t>
      </w:r>
      <w:r>
        <w:t xml:space="preserve"> </w:t>
      </w:r>
      <w:r>
        <w:t xml:space="preserve">1 (1).</w:t>
      </w:r>
      <w:r>
        <w:t xml:space="preserve"> </w:t>
      </w:r>
      <w:hyperlink r:id="rId468">
        <w:r>
          <w:rPr>
            <w:rStyle w:val="Hyperlink"/>
          </w:rPr>
          <w:t xml:space="preserve">http://www.cei.org</w:t>
        </w:r>
      </w:hyperlink>
      <w:r>
        <w:t xml:space="preserve">.</w:t>
      </w:r>
    </w:p>
    <w:bookmarkEnd w:id="469"/>
    <w:bookmarkStart w:id="471" w:name="ref-Noveck2009"/>
    <w:p>
      <w:pPr>
        <w:pStyle w:val="Bibliography"/>
      </w:pPr>
      <w:r>
        <w:t xml:space="preserve">———. 2009.</w:t>
      </w:r>
      <w:r>
        <w:t xml:space="preserve"> </w:t>
      </w:r>
      <w:r>
        <w:rPr>
          <w:iCs/>
          <w:i/>
        </w:rPr>
        <w:t xml:space="preserve">Wiki Government: How technology can make government better, democracy stronger, and citizens more powerful</w:t>
      </w:r>
      <w:r>
        <w:t xml:space="preserve">. Brookings Institution Press.</w:t>
      </w:r>
      <w:r>
        <w:t xml:space="preserve"> </w:t>
      </w:r>
      <w:hyperlink r:id="rId470">
        <w:r>
          <w:rPr>
            <w:rStyle w:val="Hyperlink"/>
          </w:rPr>
          <w:t xml:space="preserve">https://books.google.com/books?id=bmSmcDo3kPoC{\&amp;}dq=info:3Iw8O7WHdEEJ:scholar.google.com{\&amp;}lr={\&amp;}source=gbs{\_}navlinks{\_}s</w:t>
        </w:r>
      </w:hyperlink>
      <w:r>
        <w:t xml:space="preserve">.</w:t>
      </w:r>
    </w:p>
    <w:bookmarkEnd w:id="471"/>
    <w:bookmarkStart w:id="473" w:name="ref-Potter2017"/>
    <w:p>
      <w:pPr>
        <w:pStyle w:val="Bibliography"/>
      </w:pPr>
      <w:r>
        <w:t xml:space="preserve">Potter, Rachel Augustine. 2017a.</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472">
        <w:r>
          <w:rPr>
            <w:rStyle w:val="Hyperlink"/>
          </w:rPr>
          <w:t xml:space="preserve">https://www.brookings.edu/research/more-than-spam-lobbying-the-epa-through-public-comment-campaigns/</w:t>
        </w:r>
      </w:hyperlink>
      <w:r>
        <w:t xml:space="preserve">.</w:t>
      </w:r>
    </w:p>
    <w:bookmarkEnd w:id="473"/>
    <w:bookmarkStart w:id="475" w:name="ref-Potter2016"/>
    <w:p>
      <w:pPr>
        <w:pStyle w:val="Bibliography"/>
      </w:pPr>
      <w:r>
        <w:t xml:space="preserve">———. 2017b.</w:t>
      </w:r>
      <w:r>
        <w:t xml:space="preserve"> </w:t>
      </w:r>
      <w:r>
        <w:t xml:space="preserve">“</w:t>
      </w:r>
      <w:r>
        <w:t xml:space="preserve">Slow-Rolling, Fast-Tracking, and the Pace of Bureaucratic Decisions in Rulemaking</w:t>
      </w:r>
      <w:r>
        <w:t xml:space="preserve">.”</w:t>
      </w:r>
      <w:r>
        <w:t xml:space="preserve"> </w:t>
      </w:r>
      <w:r>
        <w:rPr>
          <w:iCs/>
          <w:i/>
        </w:rPr>
        <w:t xml:space="preserve">Journal of Politics</w:t>
      </w:r>
      <w:r>
        <w:t xml:space="preserve"> </w:t>
      </w:r>
      <w:r>
        <w:t xml:space="preserve">79 (3): 841–55.</w:t>
      </w:r>
      <w:r>
        <w:t xml:space="preserve"> </w:t>
      </w:r>
      <w:hyperlink r:id="rId474">
        <w:r>
          <w:rPr>
            <w:rStyle w:val="Hyperlink"/>
          </w:rPr>
          <w:t xml:space="preserve">https://doi.org/10.2139/ssrn.2759117</w:t>
        </w:r>
      </w:hyperlink>
      <w:r>
        <w:t xml:space="preserve">.</w:t>
      </w:r>
    </w:p>
    <w:bookmarkEnd w:id="475"/>
    <w:bookmarkStart w:id="477" w:name="ref-Potter2019"/>
    <w:p>
      <w:pPr>
        <w:pStyle w:val="Bibliography"/>
      </w:pPr>
      <w:r>
        <w:t xml:space="preserve">Potter, Rachel Augustine, Andrew Rudalevige, Sharece Thrower, and Adam L. Warber. 2019.</w:t>
      </w:r>
      <w:r>
        <w:t xml:space="preserve"> </w:t>
      </w:r>
      <w:r>
        <w:t xml:space="preserve">“</w:t>
      </w:r>
      <w:r>
        <w:t xml:space="preserve">Continuity Trumps Change: The First Year of Trump’s Administrative Presidency</w:t>
      </w:r>
      <w:r>
        <w:t xml:space="preserve">.”</w:t>
      </w:r>
      <w:r>
        <w:t xml:space="preserve"> </w:t>
      </w:r>
      <w:r>
        <w:rPr>
          <w:iCs/>
          <w:i/>
        </w:rPr>
        <w:t xml:space="preserve">PS: Political Science</w:t>
      </w:r>
      <w:r>
        <w:rPr>
          <w:iCs/>
          <w:i/>
        </w:rPr>
        <w:t xml:space="preserve"> </w:t>
      </w:r>
      <w:r>
        <w:rPr>
          <w:iCs/>
          <w:i/>
        </w:rPr>
        <w:t xml:space="preserve">&amp;</w:t>
      </w:r>
      <w:r>
        <w:rPr>
          <w:iCs/>
          <w:i/>
        </w:rPr>
        <w:t xml:space="preserve"> </w:t>
      </w:r>
      <w:r>
        <w:rPr>
          <w:iCs/>
          <w:i/>
        </w:rPr>
        <w:t xml:space="preserve">Politics</w:t>
      </w:r>
      <w:r>
        <w:t xml:space="preserve">, May, 1–7.</w:t>
      </w:r>
      <w:r>
        <w:t xml:space="preserve"> </w:t>
      </w:r>
      <w:hyperlink r:id="rId476">
        <w:r>
          <w:rPr>
            <w:rStyle w:val="Hyperlink"/>
          </w:rPr>
          <w:t xml:space="preserve">https://doi.org/10.1017/S1049096519000520</w:t>
        </w:r>
      </w:hyperlink>
      <w:r>
        <w:t xml:space="preserve">.</w:t>
      </w:r>
    </w:p>
    <w:bookmarkEnd w:id="477"/>
    <w:bookmarkStart w:id="479" w:name="ref-PotterShipan2019"/>
    <w:p>
      <w:pPr>
        <w:pStyle w:val="Bibliography"/>
      </w:pPr>
      <w:r>
        <w:t xml:space="preserve">Potter, Rachel Augustine, and Charles R. Shipan. 2019.</w:t>
      </w:r>
      <w:r>
        <w:t xml:space="preserve"> </w:t>
      </w:r>
      <w:r>
        <w:t xml:space="preserve">“Agency Rulemaking in a Separation of Powers System.”</w:t>
      </w:r>
      <w:r>
        <w:t xml:space="preserve"> </w:t>
      </w:r>
      <w:r>
        <w:rPr>
          <w:iCs/>
          <w:i/>
        </w:rPr>
        <w:t xml:space="preserve">Journal of Public Policy</w:t>
      </w:r>
      <w:r>
        <w:t xml:space="preserve"> </w:t>
      </w:r>
      <w:r>
        <w:t xml:space="preserve">39 (1): 89–113.</w:t>
      </w:r>
      <w:r>
        <w:t xml:space="preserve"> </w:t>
      </w:r>
      <w:hyperlink r:id="rId478">
        <w:r>
          <w:rPr>
            <w:rStyle w:val="Hyperlink"/>
          </w:rPr>
          <w:t xml:space="preserve">https://doi.org/10.1017/S0143814X17000216</w:t>
        </w:r>
      </w:hyperlink>
      <w:r>
        <w:t xml:space="preserve">.</w:t>
      </w:r>
    </w:p>
    <w:bookmarkEnd w:id="479"/>
    <w:bookmarkStart w:id="481" w:name="ref-Rauch2016"/>
    <w:p>
      <w:pPr>
        <w:pStyle w:val="Bibliography"/>
      </w:pPr>
      <w:r>
        <w:t xml:space="preserve">Rauch, Daniel E. 2016.</w:t>
      </w:r>
      <w:r>
        <w:t xml:space="preserve"> </w:t>
      </w:r>
      <w:r>
        <w:t xml:space="preserve">“</w:t>
      </w:r>
      <w:r>
        <w:t xml:space="preserve">Two-Track E-Commenting</w:t>
      </w:r>
      <w:r>
        <w:t xml:space="preserve">.”</w:t>
      </w:r>
      <w:r>
        <w:t xml:space="preserve"> </w:t>
      </w:r>
      <w:r>
        <w:rPr>
          <w:iCs/>
          <w:i/>
        </w:rPr>
        <w:t xml:space="preserve">Yale Journal on Regulation</w:t>
      </w:r>
      <w:r>
        <w:t xml:space="preserve"> </w:t>
      </w:r>
      <w:r>
        <w:t xml:space="preserve">33 (1).</w:t>
      </w:r>
      <w:r>
        <w:t xml:space="preserve"> </w:t>
      </w:r>
      <w:hyperlink r:id="rId480">
        <w:r>
          <w:rPr>
            <w:rStyle w:val="Hyperlink"/>
          </w:rPr>
          <w:t xml:space="preserve">http://digitalcommons.law.yale.edu/yjreg</w:t>
        </w:r>
      </w:hyperlink>
      <w:r>
        <w:t xml:space="preserve">.</w:t>
      </w:r>
    </w:p>
    <w:bookmarkEnd w:id="481"/>
    <w:bookmarkStart w:id="483" w:name="ref-Reich1966"/>
    <w:p>
      <w:pPr>
        <w:pStyle w:val="Bibliography"/>
      </w:pPr>
      <w:r>
        <w:t xml:space="preserve">Reich, Charles A. 1966.</w:t>
      </w:r>
      <w:r>
        <w:t xml:space="preserve"> </w:t>
      </w:r>
      <w:r>
        <w:t xml:space="preserve">“</w:t>
      </w:r>
      <w:r>
        <w:t xml:space="preserve">The Law of the Planned Society</w:t>
      </w:r>
      <w:r>
        <w:t xml:space="preserve">.”</w:t>
      </w:r>
      <w:r>
        <w:t xml:space="preserve"> </w:t>
      </w:r>
      <w:r>
        <w:t xml:space="preserve">Vol. 75.</w:t>
      </w:r>
      <w:r>
        <w:t xml:space="preserve"> </w:t>
      </w:r>
      <w:hyperlink r:id="rId482">
        <w:r>
          <w:rPr>
            <w:rStyle w:val="Hyperlink"/>
          </w:rPr>
          <w:t xml:space="preserve">http://digitalcommons.law.yale.edu/fss{\_}papers</w:t>
        </w:r>
      </w:hyperlink>
      <w:r>
        <w:t xml:space="preserve">.</w:t>
      </w:r>
    </w:p>
    <w:bookmarkEnd w:id="483"/>
    <w:bookmarkStart w:id="484" w:name="ref-Rochon1993"/>
    <w:p>
      <w:pPr>
        <w:pStyle w:val="Bibliography"/>
      </w:pPr>
      <w:r>
        <w:t xml:space="preserve">Rochon, Thomas R, and Daniel A Mazmanian. 1993.</w:t>
      </w:r>
      <w:r>
        <w:t xml:space="preserve"> </w:t>
      </w:r>
      <w:r>
        <w:t xml:space="preserve">“</w:t>
      </w:r>
      <w:r>
        <w:t xml:space="preserve">Social Movements and the Policy Process</w:t>
      </w:r>
      <w:r>
        <w:t xml:space="preserve">.”</w:t>
      </w:r>
      <w:r>
        <w:t xml:space="preserve"> </w:t>
      </w:r>
      <w:r>
        <w:rPr>
          <w:iCs/>
          <w:i/>
        </w:rPr>
        <w:t xml:space="preserve">The Annals of the American Academy of Political and Social Science</w:t>
      </w:r>
      <w:r>
        <w:t xml:space="preserve"> </w:t>
      </w:r>
      <w:r>
        <w:t xml:space="preserve">528 (July): 75–87.</w:t>
      </w:r>
    </w:p>
    <w:bookmarkEnd w:id="484"/>
    <w:bookmarkStart w:id="485" w:name="ref-Rosenbloom2003"/>
    <w:p>
      <w:pPr>
        <w:pStyle w:val="Bibliography"/>
      </w:pPr>
      <w:r>
        <w:t xml:space="preserve">Rosenbloom, David H. 2003.</w:t>
      </w:r>
      <w:r>
        <w:t xml:space="preserve"> </w:t>
      </w:r>
      <w:r>
        <w:rPr>
          <w:iCs/>
          <w:i/>
        </w:rPr>
        <w:t xml:space="preserve">Administrative law for public managers</w:t>
      </w:r>
      <w:r>
        <w:t xml:space="preserve">. Westview Press.</w:t>
      </w:r>
    </w:p>
    <w:bookmarkEnd w:id="485"/>
    <w:bookmarkStart w:id="487" w:name="ref-Rossi1997"/>
    <w:p>
      <w:pPr>
        <w:pStyle w:val="Bibliography"/>
      </w:pPr>
      <w:r>
        <w:t xml:space="preserve">Rossi, Jim. 1997.</w:t>
      </w:r>
      <w:r>
        <w:t xml:space="preserve"> </w:t>
      </w:r>
      <w:r>
        <w:t xml:space="preserve">“</w:t>
      </w:r>
      <w:r>
        <w:t xml:space="preserve">Participation Run Amok: The Costs of Mass Participation for Deliberative Agency Decisionmaking</w:t>
      </w:r>
      <w:r>
        <w:t xml:space="preserve">.”</w:t>
      </w:r>
      <w:r>
        <w:t xml:space="preserve"> </w:t>
      </w:r>
      <w:r>
        <w:rPr>
          <w:iCs/>
          <w:i/>
        </w:rPr>
        <w:t xml:space="preserve">Northwestern Law Review</w:t>
      </w:r>
      <w:r>
        <w:t xml:space="preserve"> </w:t>
      </w:r>
      <w:r>
        <w:t xml:space="preserve">92 (1).</w:t>
      </w:r>
      <w:r>
        <w:t xml:space="preserve"> </w:t>
      </w:r>
      <w:hyperlink r:id="rId486">
        <w:r>
          <w:rPr>
            <w:rStyle w:val="Hyperlink"/>
          </w:rPr>
          <w:t xml:space="preserve">https://papers.ssrn.com/sol3/papers.cfm?abstract{\_}id=571127</w:t>
        </w:r>
      </w:hyperlink>
      <w:r>
        <w:t xml:space="preserve">.</w:t>
      </w:r>
    </w:p>
    <w:bookmarkEnd w:id="487"/>
    <w:bookmarkStart w:id="489" w:name="ref-SantAmbrogio2018"/>
    <w:p>
      <w:pPr>
        <w:pStyle w:val="Bibliography"/>
      </w:pPr>
      <w:r>
        <w:t xml:space="preserve">Sant’Ambrogio, Michael, and Glen Staszewski. 2018.</w:t>
      </w:r>
      <w:r>
        <w:t xml:space="preserve"> </w:t>
      </w:r>
      <w:r>
        <w:t xml:space="preserve">“</w:t>
      </w:r>
      <w:r>
        <w:t xml:space="preserve">Public Engagement in Agency Rulemaking</w:t>
      </w:r>
      <w:r>
        <w:t xml:space="preserve">.”</w:t>
      </w:r>
      <w:r>
        <w:t xml:space="preserve"> </w:t>
      </w:r>
      <w:r>
        <w:t xml:space="preserve">Administrative Conference of the United States.</w:t>
      </w:r>
      <w:r>
        <w:t xml:space="preserve"> </w:t>
      </w:r>
      <w:hyperlink r:id="rId488">
        <w:r>
          <w:rPr>
            <w:rStyle w:val="Hyperlink"/>
          </w:rPr>
          <w:t xml:space="preserve">https://www.acus.gov/report/public-engagement-rulemaking-draft-report</w:t>
        </w:r>
      </w:hyperlink>
      <w:r>
        <w:t xml:space="preserve">.</w:t>
      </w:r>
    </w:p>
    <w:bookmarkEnd w:id="489"/>
    <w:bookmarkStart w:id="491" w:name="ref-Schattschneider1942"/>
    <w:p>
      <w:pPr>
        <w:pStyle w:val="Bibliography"/>
      </w:pPr>
      <w:r>
        <w:t xml:space="preserve">Schattschneider, Elmer. 1942.</w:t>
      </w:r>
      <w:r>
        <w:t xml:space="preserve"> </w:t>
      </w:r>
      <w:r>
        <w:rPr>
          <w:iCs/>
          <w:i/>
        </w:rPr>
        <w:t xml:space="preserve">Party Government</w:t>
      </w:r>
      <w:r>
        <w:t xml:space="preserve">.</w:t>
      </w:r>
      <w:r>
        <w:t xml:space="preserve"> </w:t>
      </w:r>
      <w:hyperlink r:id="rId490">
        <w:r>
          <w:rPr>
            <w:rStyle w:val="Hyperlink"/>
          </w:rPr>
          <w:t xml:space="preserve">https://doi.org/10.2307/1949637</w:t>
        </w:r>
      </w:hyperlink>
      <w:r>
        <w:t xml:space="preserve">.</w:t>
      </w:r>
    </w:p>
    <w:bookmarkEnd w:id="491"/>
    <w:bookmarkStart w:id="493" w:name="ref-Schattschneider1975"/>
    <w:p>
      <w:pPr>
        <w:pStyle w:val="Bibliography"/>
      </w:pPr>
      <w:r>
        <w:t xml:space="preserve">Schattschneider, Elmer E. 1975.</w:t>
      </w:r>
      <w:r>
        <w:t xml:space="preserve"> </w:t>
      </w:r>
      <w:r>
        <w:rPr>
          <w:iCs/>
          <w:i/>
        </w:rPr>
        <w:t xml:space="preserve">The Semisovereign People: A Realist’s Wiew of Democracy in America</w:t>
      </w:r>
      <w:r>
        <w:t xml:space="preserve">. Revised. Dryden Press.</w:t>
      </w:r>
      <w:r>
        <w:t xml:space="preserve"> </w:t>
      </w:r>
      <w:hyperlink r:id="rId492">
        <w:r>
          <w:rPr>
            <w:rStyle w:val="Hyperlink"/>
          </w:rPr>
          <w:t xml:space="preserve">http://wikisum.com/w/Schattschneider:{\_}The{\_}semisovereign{\_}people https://books.google.com/books/about/The{\_}semisovereign{\_}people.html?id=GXdHAAAAMAAJ</w:t>
        </w:r>
      </w:hyperlink>
      <w:r>
        <w:t xml:space="preserve">.</w:t>
      </w:r>
    </w:p>
    <w:bookmarkEnd w:id="493"/>
    <w:bookmarkStart w:id="494" w:name="ref-Schlozman2015"/>
    <w:p>
      <w:pPr>
        <w:pStyle w:val="Bibliography"/>
      </w:pPr>
      <w:r>
        <w:t xml:space="preserve">Schlozman, Daniel. 2015.</w:t>
      </w:r>
      <w:r>
        <w:t xml:space="preserve"> </w:t>
      </w:r>
      <w:r>
        <w:rPr>
          <w:iCs/>
          <w:i/>
        </w:rPr>
        <w:t xml:space="preserve">When movements anchor parties: electoral alignments in American history</w:t>
      </w:r>
      <w:r>
        <w:t xml:space="preserve">. Princeton University Press.</w:t>
      </w:r>
    </w:p>
    <w:bookmarkEnd w:id="494"/>
    <w:bookmarkStart w:id="495" w:name="ref-Schlozman2012"/>
    <w:p>
      <w:pPr>
        <w:pStyle w:val="Bibliography"/>
      </w:pPr>
      <w:r>
        <w:t xml:space="preserve">Schlozman, Kay Lehman, Sidney. Verba, and Henry E. Brady. 2012.</w:t>
      </w:r>
      <w:r>
        <w:t xml:space="preserve"> </w:t>
      </w:r>
      <w:r>
        <w:rPr>
          <w:iCs/>
          <w:i/>
        </w:rPr>
        <w:t xml:space="preserve">The Unheavenly Chorus: Unequal Political Voice and the Broken Promise of American Democracy</w:t>
      </w:r>
      <w:r>
        <w:t xml:space="preserve">. Princeton University Press.</w:t>
      </w:r>
    </w:p>
    <w:bookmarkEnd w:id="495"/>
    <w:bookmarkStart w:id="497" w:name="ref-Seifter2016UCLA"/>
    <w:p>
      <w:pPr>
        <w:pStyle w:val="Bibliography"/>
      </w:pPr>
      <w:r>
        <w:t xml:space="preserve">Seifter, Miriam. 2016.</w:t>
      </w:r>
      <w:r>
        <w:t xml:space="preserve"> </w:t>
      </w:r>
      <w:r>
        <w:t xml:space="preserve">“</w:t>
      </w:r>
      <w:r>
        <w:t xml:space="preserve">Second-Order Participation in Administrative Law</w:t>
      </w:r>
      <w:r>
        <w:t xml:space="preserve">.”</w:t>
      </w:r>
      <w:r>
        <w:t xml:space="preserve"> </w:t>
      </w:r>
      <w:r>
        <w:rPr>
          <w:iCs/>
          <w:i/>
        </w:rPr>
        <w:t xml:space="preserve">UCLA Law Review</w:t>
      </w:r>
      <w:r>
        <w:t xml:space="preserve"> </w:t>
      </w:r>
      <w:r>
        <w:t xml:space="preserve">63 (1300).</w:t>
      </w:r>
      <w:r>
        <w:t xml:space="preserve"> </w:t>
      </w:r>
      <w:hyperlink r:id="rId496">
        <w:r>
          <w:rPr>
            <w:rStyle w:val="Hyperlink"/>
          </w:rPr>
          <w:t xml:space="preserve">https://papers.ssrn.com/sol3/papers.cfm?abstract{\_}id=2662504</w:t>
        </w:r>
      </w:hyperlink>
      <w:r>
        <w:t xml:space="preserve">.</w:t>
      </w:r>
    </w:p>
    <w:bookmarkEnd w:id="497"/>
    <w:bookmarkStart w:id="499" w:name="ref-Shapiro2008b"/>
    <w:p>
      <w:pPr>
        <w:pStyle w:val="Bibliography"/>
      </w:pPr>
      <w:r>
        <w:t xml:space="preserve">Shapiro, Stuart. 2008.</w:t>
      </w:r>
      <w:r>
        <w:t xml:space="preserve"> </w:t>
      </w:r>
      <w:r>
        <w:t xml:space="preserve">“</w:t>
      </w:r>
      <w:r>
        <w:t xml:space="preserve">Does the amount of participation matter? Public comments, agency responses and the time to finalize a regulation</w:t>
      </w:r>
      <w:r>
        <w:t xml:space="preserve">.”</w:t>
      </w:r>
      <w:r>
        <w:t xml:space="preserve"> </w:t>
      </w:r>
      <w:r>
        <w:rPr>
          <w:iCs/>
          <w:i/>
        </w:rPr>
        <w:t xml:space="preserve">Policy Sciences</w:t>
      </w:r>
      <w:r>
        <w:t xml:space="preserve"> </w:t>
      </w:r>
      <w:r>
        <w:t xml:space="preserve">41 (1): 33–49.</w:t>
      </w:r>
      <w:r>
        <w:t xml:space="preserve"> </w:t>
      </w:r>
      <w:hyperlink r:id="rId498">
        <w:r>
          <w:rPr>
            <w:rStyle w:val="Hyperlink"/>
          </w:rPr>
          <w:t xml:space="preserve">https://doi.org/10.1007/s11077-007-9051-x</w:t>
        </w:r>
      </w:hyperlink>
      <w:r>
        <w:t xml:space="preserve">.</w:t>
      </w:r>
    </w:p>
    <w:bookmarkEnd w:id="499"/>
    <w:bookmarkStart w:id="500" w:name="ref-Skocpol2003"/>
    <w:p>
      <w:pPr>
        <w:pStyle w:val="Bibliography"/>
      </w:pPr>
      <w:r>
        <w:t xml:space="preserve">Skocpol, Theda. 2003.</w:t>
      </w:r>
      <w:r>
        <w:t xml:space="preserve"> </w:t>
      </w:r>
      <w:r>
        <w:rPr>
          <w:iCs/>
          <w:i/>
        </w:rPr>
        <w:t xml:space="preserve">Diminished Democracy: From membership to management in American civic life</w:t>
      </w:r>
      <w:r>
        <w:t xml:space="preserve">. University of Oklahoma Press.</w:t>
      </w:r>
    </w:p>
    <w:bookmarkEnd w:id="500"/>
    <w:bookmarkStart w:id="501" w:name="ref-Skocpol2013"/>
    <w:p>
      <w:pPr>
        <w:pStyle w:val="Bibliography"/>
      </w:pPr>
      <w:r>
        <w:t xml:space="preserve">———. 2013.</w:t>
      </w:r>
      <w:r>
        <w:t xml:space="preserve"> </w:t>
      </w:r>
      <w:r>
        <w:t xml:space="preserve">“Naming the Problem: What It Will Take to Counter Extremism and Engage Americans in the Fight Against Global Warming.”</w:t>
      </w:r>
    </w:p>
    <w:bookmarkEnd w:id="501"/>
    <w:bookmarkStart w:id="502" w:name="ref-Skocpol2016"/>
    <w:p>
      <w:pPr>
        <w:pStyle w:val="Bibliography"/>
      </w:pPr>
      <w:r>
        <w:t xml:space="preserve">Skocpol, Theda, and Vanessa Williamson. 2016.</w:t>
      </w:r>
      <w:r>
        <w:t xml:space="preserve"> </w:t>
      </w:r>
      <w:r>
        <w:rPr>
          <w:iCs/>
          <w:i/>
        </w:rPr>
        <w:t xml:space="preserve">The Tea Party and the Remaking of Republican Conservatism</w:t>
      </w:r>
      <w:r>
        <w:t xml:space="preserve">. Oxford University Press.</w:t>
      </w:r>
    </w:p>
    <w:bookmarkEnd w:id="502"/>
    <w:bookmarkStart w:id="504" w:name="ref-Soss2007"/>
    <w:p>
      <w:pPr>
        <w:pStyle w:val="Bibliography"/>
      </w:pPr>
      <w:r>
        <w:t xml:space="preserve">Soss, Joe, Jacob S Hacker, and Suzanne Mettler. 2007.</w:t>
      </w:r>
      <w:r>
        <w:t xml:space="preserve"> </w:t>
      </w:r>
      <w:r>
        <w:rPr>
          <w:iCs/>
          <w:i/>
        </w:rPr>
        <w:t xml:space="preserve">Remaking America : democracy and public policy in an age of inequality</w:t>
      </w:r>
      <w:r>
        <w:t xml:space="preserve">. New York: Russell Sage Foundation.</w:t>
      </w:r>
      <w:r>
        <w:t xml:space="preserve"> </w:t>
      </w:r>
      <w:hyperlink r:id="rId503">
        <w:r>
          <w:rPr>
            <w:rStyle w:val="Hyperlink"/>
          </w:rPr>
          <w:t xml:space="preserve">http://www.loc.gov/catdir/toc/ecip0716/2007015183.html</w:t>
        </w:r>
      </w:hyperlink>
      <w:r>
        <w:t xml:space="preserve">.</w:t>
      </w:r>
    </w:p>
    <w:bookmarkEnd w:id="504"/>
    <w:bookmarkStart w:id="506" w:name="ref-Sunstein2001"/>
    <w:p>
      <w:pPr>
        <w:pStyle w:val="Bibliography"/>
      </w:pPr>
      <w:r>
        <w:t xml:space="preserve">Sunstein, Cass R. 2001.</w:t>
      </w:r>
      <w:r>
        <w:t xml:space="preserve"> </w:t>
      </w:r>
      <w:r>
        <w:rPr>
          <w:iCs/>
          <w:i/>
        </w:rPr>
        <w:t xml:space="preserve">Republic.com</w:t>
      </w:r>
      <w:r>
        <w:t xml:space="preserve">. Princeton University Press.</w:t>
      </w:r>
      <w:r>
        <w:t xml:space="preserve"> </w:t>
      </w:r>
      <w:hyperlink r:id="rId505">
        <w:r>
          <w:rPr>
            <w:rStyle w:val="Hyperlink"/>
          </w:rPr>
          <w:t xml:space="preserve">https://books.google.com/books/about/Republic{\_}com.html?id=O7AG9TxDJdgC</w:t>
        </w:r>
      </w:hyperlink>
      <w:r>
        <w:t xml:space="preserve">.</w:t>
      </w:r>
    </w:p>
    <w:bookmarkEnd w:id="506"/>
    <w:bookmarkStart w:id="508" w:name="ref-Raso2020"/>
    <w:p>
      <w:pPr>
        <w:pStyle w:val="Bibliography"/>
      </w:pPr>
      <w:r>
        <w:t xml:space="preserve">“Upvoting the Administrative State.”</w:t>
      </w:r>
      <w:r>
        <w:t xml:space="preserve"> </w:t>
      </w:r>
      <w:r>
        <w:t xml:space="preserve">n.d.</w:t>
      </w:r>
      <w:r>
        <w:t xml:space="preserve"> </w:t>
      </w:r>
      <w:hyperlink r:id="rId507">
        <w:r>
          <w:rPr>
            <w:rStyle w:val="Hyperlink"/>
          </w:rPr>
          <w:t xml:space="preserve">https://www.brookings.edu/research/upvoting-the-administrative-state/</w:t>
        </w:r>
      </w:hyperlink>
      <w:r>
        <w:t xml:space="preserve">.</w:t>
      </w:r>
    </w:p>
    <w:bookmarkEnd w:id="508"/>
    <w:bookmarkStart w:id="510"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509">
        <w:r>
          <w:rPr>
            <w:rStyle w:val="Hyperlink"/>
          </w:rPr>
          <w:t xml:space="preserve">https://books.google.com/books?id=9K5fdvfmGREC{\&amp;}dq=verba+and+nie+participation+in+america{\&amp;}lr={\&amp;}source=gbs{\_}navlinks{\_}s</w:t>
        </w:r>
      </w:hyperlink>
      <w:r>
        <w:t xml:space="preserve">.</w:t>
      </w:r>
    </w:p>
    <w:bookmarkEnd w:id="510"/>
    <w:bookmarkStart w:id="512" w:name="ref-Wagner2010"/>
    <w:p>
      <w:pPr>
        <w:pStyle w:val="Bibliography"/>
      </w:pPr>
      <w:r>
        <w:t xml:space="preserve">Wagner, Wendy E. 2010.</w:t>
      </w:r>
      <w:r>
        <w:t xml:space="preserve"> </w:t>
      </w:r>
      <w:r>
        <w:t xml:space="preserve">“</w:t>
      </w:r>
      <w:r>
        <w:t xml:space="preserve">Administrative Law, Filter Failure, and Information Capture</w:t>
      </w:r>
      <w:r>
        <w:t xml:space="preserve">”</w:t>
      </w:r>
      <w:r>
        <w:t xml:space="preserve"> </w:t>
      </w:r>
      <w:r>
        <w:t xml:space="preserve">59: 1321.</w:t>
      </w:r>
      <w:r>
        <w:t xml:space="preserve"> </w:t>
      </w:r>
      <w:hyperlink r:id="rId511">
        <w:r>
          <w:rPr>
            <w:rStyle w:val="Hyperlink"/>
          </w:rPr>
          <w:t xml:space="preserve">https://scholarship.law.duke.edu/cgi/viewcontent.cgi?referer=https://www.google.com/{\&amp;}httpsredir=1{\&amp;}article=1463{\&amp;}context=dlj</w:t>
        </w:r>
      </w:hyperlink>
      <w:r>
        <w:t xml:space="preserve">.</w:t>
      </w:r>
    </w:p>
    <w:bookmarkEnd w:id="512"/>
    <w:bookmarkStart w:id="514" w:name="ref-Wagner2011"/>
    <w:p>
      <w:pPr>
        <w:pStyle w:val="Bibliography"/>
      </w:pPr>
      <w:r>
        <w:t xml:space="preserve">Wagner, Wendy E., Katherine Y. Barnes, and Lisa Peters. 2011.</w:t>
      </w:r>
      <w:r>
        <w:t xml:space="preserve"> </w:t>
      </w:r>
      <w:r>
        <w:t xml:space="preserve">“</w:t>
      </w:r>
      <w:r>
        <w:t xml:space="preserve">Rulemaking in the Shade: An Empirical Study of EPA’s Air Toxic Regulations</w:t>
      </w:r>
      <w:r>
        <w:t xml:space="preserve">.”</w:t>
      </w:r>
      <w:r>
        <w:t xml:space="preserve"> </w:t>
      </w:r>
      <w:r>
        <w:rPr>
          <w:iCs/>
          <w:i/>
        </w:rPr>
        <w:t xml:space="preserve">Administrative Law Review</w:t>
      </w:r>
      <w:r>
        <w:t xml:space="preserve"> </w:t>
      </w:r>
      <w:r>
        <w:t xml:space="preserve">63 (1): 99–158.</w:t>
      </w:r>
      <w:r>
        <w:t xml:space="preserve"> </w:t>
      </w:r>
      <w:hyperlink r:id="rId513">
        <w:r>
          <w:rPr>
            <w:rStyle w:val="Hyperlink"/>
          </w:rPr>
          <w:t xml:space="preserve">https://papers.ssrn.com/sol3/papers.cfm?abstract{\_}id=1531243</w:t>
        </w:r>
      </w:hyperlink>
      <w:r>
        <w:t xml:space="preserve">.</w:t>
      </w:r>
    </w:p>
    <w:bookmarkEnd w:id="514"/>
    <w:bookmarkStart w:id="515" w:name="ref-Wagner2017"/>
    <w:p>
      <w:pPr>
        <w:pStyle w:val="Bibliography"/>
      </w:pPr>
      <w:r>
        <w:t xml:space="preserve">Wagner, Wendy, William West, Thomas Mcgarity, and Lisa Peters. 2017.</w:t>
      </w:r>
      <w:r>
        <w:t xml:space="preserve"> </w:t>
      </w:r>
      <w:r>
        <w:t xml:space="preserve">“</w:t>
      </w:r>
      <w:r>
        <w:t xml:space="preserve">Dynamic Rulemaking</w:t>
      </w:r>
      <w:r>
        <w:t xml:space="preserve">.”</w:t>
      </w:r>
      <w:r>
        <w:t xml:space="preserve"> </w:t>
      </w:r>
      <w:r>
        <w:rPr>
          <w:iCs/>
          <w:i/>
        </w:rPr>
        <w:t xml:space="preserve">N.Y.U. Law Review</w:t>
      </w:r>
      <w:r>
        <w:t xml:space="preserve"> </w:t>
      </w:r>
      <w:r>
        <w:t xml:space="preserve">21 (183): 92–2017.</w:t>
      </w:r>
    </w:p>
    <w:bookmarkEnd w:id="515"/>
    <w:bookmarkStart w:id="517" w:name="ref-Walker1991"/>
    <w:p>
      <w:pPr>
        <w:pStyle w:val="Bibliography"/>
      </w:pPr>
      <w:r>
        <w:t xml:space="preserve">Walker, Jack L. 1991.</w:t>
      </w:r>
      <w:r>
        <w:t xml:space="preserve"> </w:t>
      </w:r>
      <w:r>
        <w:rPr>
          <w:iCs/>
          <w:i/>
        </w:rPr>
        <w:t xml:space="preserve">Mobilizing interest groups in America: patrons, professions, and social movements</w:t>
      </w:r>
      <w:r>
        <w:t xml:space="preserve">. University of Michigan Press.</w:t>
      </w:r>
      <w:r>
        <w:t xml:space="preserve"> </w:t>
      </w:r>
      <w:hyperlink r:id="rId516">
        <w:r>
          <w:rPr>
            <w:rStyle w:val="Hyperlink"/>
          </w:rPr>
          <w:t xml:space="preserve">https://books.google.com/books?id=36bgO4FaOEoC{\&amp;}lr={\&amp;}source=gbs{\_}navlinks{\_}s</w:t>
        </w:r>
      </w:hyperlink>
      <w:r>
        <w:t xml:space="preserve">.</w:t>
      </w:r>
    </w:p>
    <w:bookmarkEnd w:id="517"/>
    <w:bookmarkStart w:id="519" w:name="ref-Walters2019"/>
    <w:p>
      <w:pPr>
        <w:pStyle w:val="Bibliography"/>
      </w:pPr>
      <w:r>
        <w:t xml:space="preserve">Walters, Daniel E. 2019.</w:t>
      </w:r>
      <w:r>
        <w:t xml:space="preserve"> </w:t>
      </w:r>
      <w:r>
        <w:t xml:space="preserve">“</w:t>
      </w:r>
      <w:r>
        <w:t xml:space="preserve">Capturing Regulatory Agendas?: An Empirical Study Of Industry Use Of Rulemaking Petitions</w:t>
      </w:r>
      <w:r>
        <w:t xml:space="preserve">.”</w:t>
      </w:r>
      <w:r>
        <w:t xml:space="preserve"> </w:t>
      </w:r>
      <w:r>
        <w:rPr>
          <w:iCs/>
          <w:i/>
        </w:rPr>
        <w:t xml:space="preserve">Harvard Environmental Law Review</w:t>
      </w:r>
      <w:r>
        <w:t xml:space="preserve"> </w:t>
      </w:r>
      <w:r>
        <w:t xml:space="preserve">49.</w:t>
      </w:r>
      <w:r>
        <w:t xml:space="preserve"> </w:t>
      </w:r>
      <w:hyperlink r:id="rId518">
        <w:r>
          <w:rPr>
            <w:rStyle w:val="Hyperlink"/>
          </w:rPr>
          <w:t xml:space="preserve">http://scholarship.law.upenn.edu/faculty{\_}scholarshiphttp://scholarship.law.upenn.edu/faculty{\_}scholarship/1969</w:t>
        </w:r>
      </w:hyperlink>
      <w:r>
        <w:t xml:space="preserve">.</w:t>
      </w:r>
    </w:p>
    <w:bookmarkEnd w:id="519"/>
    <w:bookmarkStart w:id="521" w:name="ref-WEACT2017"/>
    <w:p>
      <w:pPr>
        <w:pStyle w:val="Bibliography"/>
      </w:pPr>
      <w:r>
        <w:t xml:space="preserve">WEACT. 2017.</w:t>
      </w:r>
      <w:r>
        <w:t xml:space="preserve"> </w:t>
      </w:r>
      <w:r>
        <w:t xml:space="preserve">“</w:t>
      </w:r>
      <w:r>
        <w:t xml:space="preserve">WE ACT for Environmental Justice: Empowering Communities to Power Change</w:t>
      </w:r>
      <w:r>
        <w:t xml:space="preserve">.”</w:t>
      </w:r>
      <w:r>
        <w:t xml:space="preserve"> </w:t>
      </w:r>
      <w:hyperlink r:id="rId520">
        <w:r>
          <w:rPr>
            <w:rStyle w:val="Hyperlink"/>
          </w:rPr>
          <w:t xml:space="preserve">https://www.weact.org/</w:t>
        </w:r>
      </w:hyperlink>
      <w:r>
        <w:t xml:space="preserve">.</w:t>
      </w:r>
    </w:p>
    <w:bookmarkEnd w:id="521"/>
    <w:bookmarkStart w:id="523" w:name="ref-West2009"/>
    <w:p>
      <w:pPr>
        <w:pStyle w:val="Bibliography"/>
      </w:pPr>
      <w:r>
        <w:t xml:space="preserve">West, William F. 2009.</w:t>
      </w:r>
      <w:r>
        <w:t xml:space="preserve"> </w:t>
      </w:r>
      <w:r>
        <w:t xml:space="preserve">“</w:t>
      </w:r>
      <w:r>
        <w:t xml:space="preserve">Inside the Black Box</w:t>
      </w:r>
      <w:r>
        <w:t xml:space="preserve">.”</w:t>
      </w:r>
      <w:r>
        <w:t xml:space="preserve"> </w:t>
      </w:r>
      <w:r>
        <w:rPr>
          <w:iCs/>
          <w:i/>
        </w:rPr>
        <w:t xml:space="preserve">Administration</w:t>
      </w:r>
      <w:r>
        <w:rPr>
          <w:iCs/>
          <w:i/>
        </w:rPr>
        <w:t xml:space="preserve"> </w:t>
      </w:r>
      <w:r>
        <w:rPr>
          <w:iCs/>
          <w:i/>
        </w:rPr>
        <w:t xml:space="preserve">&amp;</w:t>
      </w:r>
      <w:r>
        <w:rPr>
          <w:iCs/>
          <w:i/>
        </w:rPr>
        <w:t xml:space="preserve"> </w:t>
      </w:r>
      <w:r>
        <w:rPr>
          <w:iCs/>
          <w:i/>
        </w:rPr>
        <w:t xml:space="preserve">Society</w:t>
      </w:r>
      <w:r>
        <w:t xml:space="preserve"> </w:t>
      </w:r>
      <w:r>
        <w:t xml:space="preserve">41 (5): 576–99.</w:t>
      </w:r>
      <w:r>
        <w:t xml:space="preserve"> </w:t>
      </w:r>
      <w:hyperlink r:id="rId522">
        <w:r>
          <w:rPr>
            <w:rStyle w:val="Hyperlink"/>
          </w:rPr>
          <w:t xml:space="preserve">https://doi.org/10.1177/0095399709339013</w:t>
        </w:r>
      </w:hyperlink>
      <w:r>
        <w:t xml:space="preserve">.</w:t>
      </w:r>
    </w:p>
    <w:bookmarkEnd w:id="523"/>
    <w:bookmarkStart w:id="525"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524">
        <w:r>
          <w:rPr>
            <w:rStyle w:val="Hyperlink"/>
          </w:rPr>
          <w:t xml:space="preserve">https://doi.org/10.1093/jopart/mus028</w:t>
        </w:r>
      </w:hyperlink>
      <w:r>
        <w:t xml:space="preserve">.</w:t>
      </w:r>
    </w:p>
    <w:bookmarkEnd w:id="525"/>
    <w:bookmarkStart w:id="527" w:name="ref-White2018"/>
    <w:p>
      <w:pPr>
        <w:pStyle w:val="Bibliography"/>
      </w:pPr>
      <w:r>
        <w:t xml:space="preserve">White, Adam J. 2018.</w:t>
      </w:r>
      <w:r>
        <w:t xml:space="preserve"> </w:t>
      </w:r>
      <w:r>
        <w:t xml:space="preserve">“</w:t>
      </w:r>
      <w:r>
        <w:t xml:space="preserve">Comments on ACUS Proposed Recommendations on Public Engagement in Rulemaking</w:t>
      </w:r>
      <w:r>
        <w:t xml:space="preserve">.”</w:t>
      </w:r>
      <w:r>
        <w:t xml:space="preserve"> </w:t>
      </w:r>
      <w:r>
        <w:t xml:space="preserve">Administrative Conference of the United States.</w:t>
      </w:r>
      <w:r>
        <w:t xml:space="preserve"> </w:t>
      </w:r>
      <w:hyperlink r:id="rId526">
        <w:r>
          <w:rPr>
            <w:rStyle w:val="Hyperlink"/>
          </w:rPr>
          <w:t xml:space="preserve">https://www.acus.gov/sites/default/files/documents/Public Engagement Draft Recommendation 9-10-18 Adam White Comments.pdf</w:t>
        </w:r>
      </w:hyperlink>
      <w:r>
        <w:t xml:space="preserve">.</w:t>
      </w:r>
    </w:p>
    <w:bookmarkEnd w:id="527"/>
    <w:bookmarkStart w:id="529" w:name="ref-Wilson1989"/>
    <w:p>
      <w:pPr>
        <w:pStyle w:val="Bibliography"/>
      </w:pPr>
      <w:r>
        <w:t xml:space="preserve">Wilson, James Q. 1989.</w:t>
      </w:r>
      <w:r>
        <w:t xml:space="preserve"> </w:t>
      </w:r>
      <w:r>
        <w:rPr>
          <w:iCs/>
          <w:i/>
        </w:rPr>
        <w:t xml:space="preserve">Bureaucracy: what government agencies do and why they do it</w:t>
      </w:r>
      <w:r>
        <w:t xml:space="preserve">. Basic Books.</w:t>
      </w:r>
      <w:r>
        <w:t xml:space="preserve"> </w:t>
      </w:r>
      <w:hyperlink r:id="rId528">
        <w:r>
          <w:rPr>
            <w:rStyle w:val="Hyperlink"/>
          </w:rPr>
          <w:t xml:space="preserve">https://books.google.com/books/about/Bureaucracy.html?id=jg-HAAAAMAAJ https://books.google.com/books/about/Bureaucracy.html?id=1aR54vBa2E4C</w:t>
        </w:r>
      </w:hyperlink>
      <w:r>
        <w:t xml:space="preserve">.</w:t>
      </w:r>
    </w:p>
    <w:bookmarkEnd w:id="529"/>
    <w:bookmarkStart w:id="531" w:name="ref-Yackee2006JOP"/>
    <w:p>
      <w:pPr>
        <w:pStyle w:val="Bibliography"/>
      </w:pPr>
      <w:r>
        <w:t xml:space="preserve">Yackee, Jason Webb, and Susan Webb Yackee. 2006.</w:t>
      </w:r>
      <w:r>
        <w:t xml:space="preserve"> </w:t>
      </w:r>
      <w:r>
        <w:t xml:space="preserve">“</w:t>
      </w:r>
      <w:r>
        <w:t xml:space="preserve">A Bias Towards Business? Assessing Interest Group Influence on the U.S. Bureaucracy</w:t>
      </w:r>
      <w:r>
        <w:t xml:space="preserve">.”</w:t>
      </w:r>
      <w:r>
        <w:t xml:space="preserve"> </w:t>
      </w:r>
      <w:r>
        <w:rPr>
          <w:iCs/>
          <w:i/>
        </w:rPr>
        <w:t xml:space="preserve">Journal of Politics</w:t>
      </w:r>
      <w:r>
        <w:t xml:space="preserve"> </w:t>
      </w:r>
      <w:r>
        <w:t xml:space="preserve">68 (1): 128–39.</w:t>
      </w:r>
      <w:r>
        <w:t xml:space="preserve"> </w:t>
      </w:r>
      <w:hyperlink r:id="rId530">
        <w:r>
          <w:rPr>
            <w:rStyle w:val="Hyperlink"/>
          </w:rPr>
          <w:t xml:space="preserve">https://doi.org/10.1111/j.1468-2508.2006.00375.x</w:t>
        </w:r>
      </w:hyperlink>
      <w:r>
        <w:t xml:space="preserve">.</w:t>
      </w:r>
    </w:p>
    <w:bookmarkEnd w:id="531"/>
    <w:bookmarkStart w:id="533" w:name="ref-Yackee2009RegGov"/>
    <w:p>
      <w:pPr>
        <w:pStyle w:val="Bibliography"/>
      </w:pPr>
      <w:r>
        <w:t xml:space="preserve">———. 2009a.</w:t>
      </w:r>
      <w:r>
        <w:t xml:space="preserve"> </w:t>
      </w:r>
      <w:r>
        <w:t xml:space="preserve">“</w:t>
      </w:r>
      <w:r>
        <w:t xml:space="preserve">Divided government and US federal rulemaking</w:t>
      </w:r>
      <w:r>
        <w:t xml:space="preserve">.”</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 </w:t>
      </w:r>
      <w:r>
        <w:t xml:space="preserve">3 (2): 128–44.</w:t>
      </w:r>
      <w:r>
        <w:t xml:space="preserve"> </w:t>
      </w:r>
      <w:hyperlink r:id="rId532">
        <w:r>
          <w:rPr>
            <w:rStyle w:val="Hyperlink"/>
          </w:rPr>
          <w:t xml:space="preserve">https://doi.org/10.1111/j.1748-5991.2009.01051.x</w:t>
        </w:r>
      </w:hyperlink>
      <w:r>
        <w:t xml:space="preserve">.</w:t>
      </w:r>
    </w:p>
    <w:bookmarkEnd w:id="533"/>
    <w:bookmarkStart w:id="534" w:name="ref-Yackee2009bush"/>
    <w:p>
      <w:pPr>
        <w:pStyle w:val="Bibliography"/>
      </w:pPr>
      <w:r>
        <w:t xml:space="preserve">———. 2009b.</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534"/>
    <w:bookmarkStart w:id="536" w:name="ref-Yackee2006JPART"/>
    <w:p>
      <w:pPr>
        <w:pStyle w:val="Bibliography"/>
      </w:pPr>
      <w:r>
        <w:t xml:space="preserve">Yackee, Susan Webb. 2006.</w:t>
      </w:r>
      <w:r>
        <w:t xml:space="preserve"> </w:t>
      </w:r>
      <w:r>
        <w:t xml:space="preserve">“</w:t>
      </w:r>
      <w:r>
        <w:t xml:space="preserve">Sweet-talking the fourth branch: The influence of interest group comments on federal agency rulemaking</w:t>
      </w:r>
      <w:r>
        <w:t xml:space="preserve">.”</w:t>
      </w:r>
      <w:r>
        <w:t xml:space="preserve"> </w:t>
      </w:r>
      <w:r>
        <w:rPr>
          <w:iCs/>
          <w:i/>
        </w:rPr>
        <w:t xml:space="preserve">Journal of Public Administration Research and Theory</w:t>
      </w:r>
      <w:r>
        <w:t xml:space="preserve"> </w:t>
      </w:r>
      <w:r>
        <w:t xml:space="preserve">16 (1): 103–24.</w:t>
      </w:r>
      <w:r>
        <w:t xml:space="preserve"> </w:t>
      </w:r>
      <w:hyperlink r:id="rId535">
        <w:r>
          <w:rPr>
            <w:rStyle w:val="Hyperlink"/>
          </w:rPr>
          <w:t xml:space="preserve">https://doi.org/10.1093/jopart/mui042</w:t>
        </w:r>
      </w:hyperlink>
      <w:r>
        <w:t xml:space="preserve">.</w:t>
      </w:r>
    </w:p>
    <w:bookmarkEnd w:id="536"/>
    <w:bookmarkStart w:id="538" w:name="ref-Yackee2012"/>
    <w:p>
      <w:pPr>
        <w:pStyle w:val="Bibliography"/>
      </w:pPr>
      <w:r>
        <w:t xml:space="preserve">———. 2012.</w:t>
      </w:r>
      <w:r>
        <w:t xml:space="preserve"> </w:t>
      </w:r>
      <w:r>
        <w:t xml:space="preserve">“</w:t>
      </w:r>
      <w:r>
        <w:t xml:space="preserve">The Politics of Ex Parte Lobbying: Pre-Proposal Agenda Building and Blocking during Agency Rulemaking</w:t>
      </w:r>
      <w:r>
        <w:t xml:space="preserve">.”</w:t>
      </w:r>
      <w:r>
        <w:t xml:space="preserve"> </w:t>
      </w:r>
      <w:r>
        <w:rPr>
          <w:iCs/>
          <w:i/>
        </w:rPr>
        <w:t xml:space="preserve">Journal of Public Administration Research and Theory</w:t>
      </w:r>
      <w:r>
        <w:t xml:space="preserve"> </w:t>
      </w:r>
      <w:r>
        <w:t xml:space="preserve">22 (2): 373–93.</w:t>
      </w:r>
      <w:r>
        <w:t xml:space="preserve"> </w:t>
      </w:r>
      <w:hyperlink r:id="rId537">
        <w:r>
          <w:rPr>
            <w:rStyle w:val="Hyperlink"/>
          </w:rPr>
          <w:t xml:space="preserve">https://doi.org/10.1093/jopart/mur061</w:t>
        </w:r>
      </w:hyperlink>
      <w:r>
        <w:t xml:space="preserve">.</w:t>
      </w:r>
    </w:p>
    <w:bookmarkEnd w:id="538"/>
    <w:bookmarkStart w:id="540" w:name="ref-Yackee2015JPART"/>
    <w:p>
      <w:pPr>
        <w:pStyle w:val="Bibliography"/>
      </w:pPr>
      <w:r>
        <w:t xml:space="preserve">———. 2015.</w:t>
      </w:r>
      <w:r>
        <w:t xml:space="preserve"> </w:t>
      </w:r>
      <w:r>
        <w:t xml:space="preserve">“</w:t>
      </w:r>
      <w:r>
        <w:t xml:space="preserve">Participant Voice in the Bureaucratic Policymaking Process</w:t>
      </w:r>
      <w:r>
        <w:t xml:space="preserve">.”</w:t>
      </w:r>
      <w:r>
        <w:t xml:space="preserve"> </w:t>
      </w:r>
      <w:r>
        <w:rPr>
          <w:iCs/>
          <w:i/>
        </w:rPr>
        <w:t xml:space="preserve">Journal of Public Administration Research and Theory</w:t>
      </w:r>
      <w:r>
        <w:t xml:space="preserve"> </w:t>
      </w:r>
      <w:r>
        <w:t xml:space="preserve">25 (2): 427–49.</w:t>
      </w:r>
      <w:r>
        <w:t xml:space="preserve"> </w:t>
      </w:r>
      <w:hyperlink r:id="rId539">
        <w:r>
          <w:rPr>
            <w:rStyle w:val="Hyperlink"/>
          </w:rPr>
          <w:t xml:space="preserve">https://doi.org/10.1093/jopart/muu007</w:t>
        </w:r>
      </w:hyperlink>
      <w:r>
        <w:t xml:space="preserve">.</w:t>
      </w:r>
    </w:p>
    <w:bookmarkEnd w:id="540"/>
    <w:bookmarkStart w:id="542" w:name="ref-Yackee2019"/>
    <w:p>
      <w:pPr>
        <w:pStyle w:val="Bibliography"/>
      </w:pPr>
      <w:r>
        <w:t xml:space="preserve">———. 2019.</w:t>
      </w:r>
      <w:r>
        <w:t xml:space="preserve"> </w:t>
      </w:r>
      <w:r>
        <w:t xml:space="preserve">“</w:t>
      </w:r>
      <w:r>
        <w:t xml:space="preserve">The Politics of Rulemaking in the United States</w:t>
      </w:r>
      <w:r>
        <w:t xml:space="preserve">.”</w:t>
      </w:r>
      <w:r>
        <w:t xml:space="preserve"> </w:t>
      </w:r>
      <w:r>
        <w:rPr>
          <w:iCs/>
          <w:i/>
        </w:rPr>
        <w:t xml:space="preserve">Annual Review of Political Science</w:t>
      </w:r>
      <w:r>
        <w:t xml:space="preserve"> </w:t>
      </w:r>
      <w:r>
        <w:t xml:space="preserve">22 (1).</w:t>
      </w:r>
      <w:r>
        <w:t xml:space="preserve"> </w:t>
      </w:r>
      <w:hyperlink r:id="rId541">
        <w:r>
          <w:rPr>
            <w:rStyle w:val="Hyperlink"/>
          </w:rPr>
          <w:t xml:space="preserve">https://doi.org/10.1146/annurev-polisci-050817-092302</w:t>
        </w:r>
      </w:hyperlink>
      <w:r>
        <w:t xml:space="preserve">.</w:t>
      </w:r>
    </w:p>
    <w:bookmarkEnd w:id="542"/>
    <w:bookmarkEnd w:id="543"/>
    <w:bookmarkEnd w:id="544"/>
    <w:bookmarkEnd w:id="5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As imagined by</w:t>
      </w:r>
      <w:r>
        <w:t xml:space="preserve"> </w:t>
      </w:r>
      <w:hyperlink w:anchor="ref-Dahl1989">
        <w:r>
          <w:rPr>
            <w:rStyle w:val="Hyperlink"/>
          </w:rPr>
          <w:t xml:space="preserve">Dahl</w:t>
        </w:r>
      </w:hyperlink>
      <w:r>
        <w:t xml:space="preserve"> </w:t>
      </w:r>
      <w:r>
        <w:t xml:space="preserve">(</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5">
    <w:p>
      <w:pPr>
        <w:pStyle w:val="FootnoteText"/>
      </w:pPr>
      <w:r>
        <w:rPr>
          <w:rStyle w:val="FootnoteReference"/>
        </w:rPr>
        <w:footnoteRef/>
      </w:r>
      <w:r>
        <w:t xml:space="preserve"> </w:t>
      </w:r>
      <w:r>
        <w:t xml:space="preserve">But see insights from</w:t>
      </w:r>
      <w:r>
        <w:t xml:space="preserve"> </w:t>
      </w:r>
      <w:hyperlink w:anchor="ref-Golden1998">
        <w:r>
          <w:rPr>
            <w:rStyle w:val="Hyperlink"/>
          </w:rPr>
          <w:t xml:space="preserve">Golden</w:t>
        </w:r>
      </w:hyperlink>
      <w:r>
        <w:t xml:space="preserve"> </w:t>
      </w:r>
      <w:r>
        <w:t xml:space="preserve">(</w:t>
      </w:r>
      <w:hyperlink w:anchor="ref-Golden1998">
        <w:r>
          <w:rPr>
            <w:rStyle w:val="Hyperlink"/>
          </w:rPr>
          <w:t xml:space="preserve">1998</w:t>
        </w:r>
      </w:hyperlink>
      <w:r>
        <w:t xml:space="preserve">)</w:t>
      </w:r>
      <w:r>
        <w:t xml:space="preserve">,</w:t>
      </w:r>
      <w:r>
        <w:t xml:space="preserve"> </w:t>
      </w:r>
      <w:hyperlink w:anchor="ref-Nelson2012">
        <w:r>
          <w:rPr>
            <w:rStyle w:val="Hyperlink"/>
          </w:rPr>
          <w:t xml:space="preserve">Nelson and Yackee</w:t>
        </w:r>
      </w:hyperlink>
      <w:r>
        <w:t xml:space="preserve"> </w:t>
      </w:r>
      <w:r>
        <w:t xml:space="preserve">(</w:t>
      </w:r>
      <w:hyperlink w:anchor="ref-Nelson2012">
        <w:r>
          <w:rPr>
            <w:rStyle w:val="Hyperlink"/>
          </w:rPr>
          <w:t xml:space="preserve">2012</w:t>
        </w:r>
      </w:hyperlink>
      <w:r>
        <w:t xml:space="preserve">)</w:t>
      </w:r>
      <w:r>
        <w:t xml:space="preserve">,</w:t>
      </w:r>
      <w:r>
        <w:t xml:space="preserve"> </w:t>
      </w:r>
      <w:hyperlink w:anchor="ref-Rauch2016">
        <w:r>
          <w:rPr>
            <w:rStyle w:val="Hyperlink"/>
          </w:rPr>
          <w:t xml:space="preserve">Rauch</w:t>
        </w:r>
      </w:hyperlink>
      <w:r>
        <w:t xml:space="preserve"> </w:t>
      </w:r>
      <w:r>
        <w:t xml:space="preserve">(</w:t>
      </w:r>
      <w:hyperlink w:anchor="ref-Rauch2016">
        <w:r>
          <w:rPr>
            <w:rStyle w:val="Hyperlink"/>
          </w:rPr>
          <w:t xml:space="preserve">2016</w:t>
        </w:r>
      </w:hyperlink>
      <w:r>
        <w:t xml:space="preserve">)</w:t>
      </w:r>
      <w:r>
        <w:t xml:space="preserve">, and</w:t>
      </w:r>
      <w:r>
        <w:t xml:space="preserve"> </w:t>
      </w:r>
      <w:hyperlink w:anchor="ref-Potter2017">
        <w:r>
          <w:rPr>
            <w:rStyle w:val="Hyperlink"/>
          </w:rPr>
          <w:t xml:space="preserve">Potter</w:t>
        </w:r>
      </w:hyperlink>
      <w:r>
        <w:t xml:space="preserve"> </w:t>
      </w:r>
      <w:r>
        <w:t xml:space="preserve">(</w:t>
      </w:r>
      <w:hyperlink w:anchor="ref-Potter2017">
        <w:r>
          <w:rPr>
            <w:rStyle w:val="Hyperlink"/>
          </w:rPr>
          <w:t xml:space="preserve">2017a</w:t>
        </w:r>
      </w:hyperlink>
      <w:r>
        <w:t xml:space="preserve">)</w:t>
      </w:r>
      <w:r>
        <w:t xml:space="preserve"> </w:t>
      </w:r>
      <w:r>
        <w:t xml:space="preserve">on political information,</w:t>
      </w:r>
      <w:r>
        <w:t xml:space="preserve"> </w:t>
      </w:r>
      <w:hyperlink w:anchor="ref-Cuellar2014">
        <w:r>
          <w:rPr>
            <w:rStyle w:val="Hyperlink"/>
          </w:rPr>
          <w:t xml:space="preserve">Cuéllar</w:t>
        </w:r>
      </w:hyperlink>
      <w:r>
        <w:t xml:space="preserve"> </w:t>
      </w:r>
      <w:r>
        <w:t xml:space="preserve">(</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hyperlink w:anchor="ref-Reich1966">
        <w:r>
          <w:rPr>
            <w:rStyle w:val="Hyperlink"/>
          </w:rPr>
          <w:t xml:space="preserve">Reich</w:t>
        </w:r>
      </w:hyperlink>
      <w:r>
        <w:t xml:space="preserve"> </w:t>
      </w:r>
      <w:r>
        <w:t xml:space="preserve">(</w:t>
      </w:r>
      <w:hyperlink w:anchor="ref-Reich1966">
        <w:r>
          <w:rPr>
            <w:rStyle w:val="Hyperlink"/>
          </w:rPr>
          <w:t xml:space="preserve">1966</w:t>
        </w:r>
      </w:hyperlink>
      <w:r>
        <w:t xml:space="preserve">)</w:t>
      </w:r>
      <w:r>
        <w:t xml:space="preserve"> </w:t>
      </w:r>
      <w:r>
        <w:t xml:space="preserve">and</w:t>
      </w:r>
      <w:r>
        <w:t xml:space="preserve"> </w:t>
      </w:r>
      <w:hyperlink w:anchor="ref-Seifter2016UCLA">
        <w:r>
          <w:rPr>
            <w:rStyle w:val="Hyperlink"/>
          </w:rPr>
          <w:t xml:space="preserve">Seifter</w:t>
        </w:r>
      </w:hyperlink>
      <w:r>
        <w:t xml:space="preserve"> </w:t>
      </w:r>
      <w:r>
        <w:t xml:space="preserve">(</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1">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3">
    <w:p>
      <w:pPr>
        <w:pStyle w:val="FootnoteText"/>
      </w:pPr>
      <w:r>
        <w:rPr>
          <w:rStyle w:val="FootnoteReference"/>
        </w:rPr>
        <w:footnoteRef/>
      </w:r>
      <w:r>
        <w:t xml:space="preserve"> </w:t>
      </w:r>
      <w:r>
        <w:t xml:space="preserve">Future research could search for additional activity using keywords in rule abstracts.</w:t>
      </w:r>
    </w:p>
  </w:footnote>
  <w:footnote w:id="60">
    <w:p>
      <w:pPr>
        <w:pStyle w:val="FootnoteText"/>
      </w:pPr>
      <w:r>
        <w:rPr>
          <w:rStyle w:val="FootnoteReference"/>
        </w:rPr>
        <w:footnoteRef/>
      </w:r>
      <w:r>
        <w:t xml:space="preserve"> </w:t>
      </w:r>
      <w:r>
        <w:t xml:space="preserve">Some of the most contentious recent public controversies involve bureaucratic policymaking. For example, along with 50 thousand protesters in Washington D.C., the State Department Received 1.2 million comments on the Environmental Impact Statement for the Keystone Pipeline. Similarly, along with the thousands of protesters supporting the Standing Rock Sioux protest to the Dakota Access Pipeline, the Army Corps of Engineers received hundreds of thousands of comments. Alongside protest actions that included shutting down many websites, the Federal Communications Commission’s Open Internet Rule received 22 million comments. While some of these comments appear fake [CITE], the scale of public engagement is remarkable given how little attention political scientists have paid to it. Fake public comments also raise the question of why an organization would bother to generate fake public input if it did not matter, as its omission from theories of bureaucratic policymaking would seem to imply.</w:t>
      </w:r>
    </w:p>
  </w:footnote>
  <w:footnote w:id="63">
    <w:p>
      <w:pPr>
        <w:pStyle w:val="FootnoteText"/>
      </w:pPr>
      <w:r>
        <w:rPr>
          <w:rStyle w:val="FootnoteReference"/>
        </w:rPr>
        <w:footnoteRef/>
      </w:r>
      <w:r>
        <w:t xml:space="preserve"> </w:t>
      </w:r>
      <w:r>
        <w:t xml:space="preserve">I follow</w:t>
      </w:r>
      <w:r>
        <w:t xml:space="preserve"> </w:t>
      </w:r>
      <w:hyperlink w:anchor="ref-Verba1987">
        <w:r>
          <w:rPr>
            <w:rStyle w:val="Hyperlink"/>
          </w:rPr>
          <w:t xml:space="preserve">Verba and Nie</w:t>
        </w:r>
      </w:hyperlink>
      <w:r>
        <w:t xml:space="preserve"> </w:t>
      </w:r>
      <w:r>
        <w:t xml:space="preserve">(</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(pg. 2).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w:t>
      </w:r>
      <w:hyperlink w:anchor="ref-Shapiro2008b">
        <w:r>
          <w:rPr>
            <w:rStyle w:val="Hyperlink"/>
          </w:rPr>
          <w:t xml:space="preserve">Shapiro 2008</w:t>
        </w:r>
      </w:hyperlink>
      <w:r>
        <w:t xml:space="preserve">)</w:t>
      </w:r>
      <w:r>
        <w:t xml:space="preserve">.</w:t>
      </w:r>
    </w:p>
  </w:footnote>
  <w:footnote w:id="7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75">
    <w:p>
      <w:pPr>
        <w:pStyle w:val="FootnoteText"/>
      </w:pPr>
      <w:r>
        <w:rPr>
          <w:rStyle w:val="FootnoteReference"/>
        </w:rPr>
        <w:footnoteRef/>
      </w:r>
      <w:r>
        <w:t xml:space="preserve"> </w:t>
      </w:r>
      <w:hyperlink w:anchor="ref-Raso2020">
        <w:r>
          <w:rPr>
            <w:rStyle w:val="Hyperlink"/>
          </w:rPr>
          <w:t xml:space="preserve">“Upvoting the Administrative State”</w:t>
        </w:r>
      </w:hyperlink>
      <w:r>
        <w:t xml:space="preserve"> </w:t>
      </w:r>
      <w:r>
        <w:t xml:space="preserve">(</w:t>
      </w:r>
      <w:hyperlink w:anchor="ref-Raso2020">
        <w:r>
          <w:rPr>
            <w:rStyle w:val="Hyperlink"/>
          </w:rPr>
          <w:t xml:space="preserve">n.d.</w:t>
        </w:r>
      </w:hyperlink>
      <w:r>
        <w:t xml:space="preserve">)</w:t>
      </w:r>
      <w:r>
        <w:t xml:space="preserve"> </w:t>
      </w:r>
      <w:r>
        <w:t xml:space="preserve">lament the</w:t>
      </w:r>
      <w:r>
        <w:t xml:space="preserve"> </w:t>
      </w:r>
      <w:r>
        <w:t xml:space="preserve">“</w:t>
      </w:r>
      <w:r>
        <w:t xml:space="preserve">mail from the public dumped on the agency’s doorstep</w:t>
      </w:r>
      <w:r>
        <w:t xml:space="preserve">”</w:t>
      </w:r>
      <w:r>
        <w:t xml:space="preserve"> </w:t>
      </w:r>
      <w:r>
        <w:t xml:space="preserve">and claim that</w:t>
      </w:r>
      <w:r>
        <w:t xml:space="preserve"> </w:t>
      </w:r>
      <w:r>
        <w:t xml:space="preserve">“</w:t>
      </w:r>
      <w:r>
        <w:t xml:space="preserve">upvoting</w:t>
      </w:r>
      <w:r>
        <w:t xml:space="preserve">”</w:t>
      </w:r>
      <w:r>
        <w:t xml:space="preserve"> </w:t>
      </w:r>
      <w:r>
        <w:t xml:space="preserve">would</w:t>
      </w:r>
      <w:r>
        <w:t xml:space="preserve"> </w:t>
      </w:r>
      <w:r>
        <w:t xml:space="preserve">“</w:t>
      </w:r>
      <w:r>
        <w:t xml:space="preserve">make rulemaking more interactive. The happy result would bring us closer to the deliberative national town meeting.</w:t>
      </w:r>
      <w:r>
        <w:t xml:space="preserve">”</w:t>
      </w:r>
      <w:r>
        <w:t xml:space="preserve"> </w:t>
      </w:r>
      <w:r>
        <w:t xml:space="preserve">In contrast, I argue that, empirically, mass comment campaigns already act as a poll or upvote. An upvoting feature would thus codify existing dynamic, not fundamentally depart from it. Either way, the possibilities for</w:t>
      </w:r>
      <w:r>
        <w:t xml:space="preserve"> </w:t>
      </w:r>
      <w:r>
        <w:t xml:space="preserve">“</w:t>
      </w:r>
      <w:r>
        <w:t xml:space="preserve">deliberation</w:t>
      </w:r>
      <w:r>
        <w:t xml:space="preserve">”</w:t>
      </w:r>
      <w:r>
        <w:t xml:space="preserve"> </w:t>
      </w:r>
      <w:r>
        <w:t xml:space="preserve">with the mass public likely exists in the historical push and pull of pressure groups and government institutions over time, not among millions of people upvoting their policy position in a single rulemaking process.</w:t>
      </w:r>
    </w:p>
  </w:footnote>
  <w:footnote w:id="7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80">
    <w:p>
      <w:pPr>
        <w:pStyle w:val="FootnoteText"/>
      </w:pPr>
      <w:r>
        <w:rPr>
          <w:rStyle w:val="FootnoteReference"/>
        </w:rPr>
        <w:footnoteRef/>
      </w:r>
      <w:r>
        <w:t xml:space="preserve"> </w:t>
      </w:r>
      <w:r>
        <w:t xml:space="preserve">It is not clear if the power of coalition unity is a result of strategic calculation by policymakers, a perceived obligation due to the normative power of consensus (e.g., following a majoritarian logic</w:t>
      </w:r>
      <w:r>
        <w:t xml:space="preserve"> </w:t>
      </w:r>
      <w:r>
        <w:t xml:space="preserve">(</w:t>
      </w:r>
      <w:hyperlink w:anchor="ref-Dahl1989">
        <w:r>
          <w:rPr>
            <w:rStyle w:val="Hyperlink"/>
          </w:rPr>
          <w:t xml:space="preserve">Dahl 1989</w:t>
        </w:r>
      </w:hyperlink>
      <w:r>
        <w:t xml:space="preserve">;</w:t>
      </w:r>
      <w:r>
        <w:t xml:space="preserve"> </w:t>
      </w:r>
      <w:hyperlink w:anchor="ref-Mendelson2011">
        <w:r>
          <w:rPr>
            <w:rStyle w:val="Hyperlink"/>
          </w:rPr>
          <w:t xml:space="preserve">Mendelson 2011</w:t>
        </w:r>
      </w:hyperlink>
      <w:r>
        <w:t xml:space="preserve">)</w:t>
      </w:r>
      <w:r>
        <w:t xml:space="preserve">), or simply that unified demands are easier to process than opposing demands.</w:t>
      </w:r>
    </w:p>
  </w:footnote>
  <w:footnote w:id="97">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hyperlink w:anchor="ref-ACUS2018">
        <w:r>
          <w:rPr>
            <w:rStyle w:val="Hyperlink"/>
          </w:rPr>
          <w:t xml:space="preserve">ACUS</w:t>
        </w:r>
      </w:hyperlink>
      <w:r>
        <w:t xml:space="preserve"> </w:t>
      </w:r>
      <w:r>
        <w:t xml:space="preserve">(</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06">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108">
    <w:p>
      <w:pPr>
        <w:pStyle w:val="FootnoteText"/>
      </w:pPr>
      <w:r>
        <w:rPr>
          <w:rStyle w:val="FootnoteReference"/>
        </w:rPr>
        <w:footnoteRef/>
      </w:r>
      <w:r>
        <w:t xml:space="preserve"> </w:t>
      </w:r>
      <w:hyperlink r:id="rId109">
        <w:r>
          <w:rPr>
            <w:rStyle w:val="Hyperlink"/>
          </w:rPr>
          <w:t xml:space="preserve">https://www.flickr.com/photos/energycitizens/18274218500/in/photostream/</w:t>
        </w:r>
      </w:hyperlink>
    </w:p>
  </w:footnote>
  <w:footnote w:id="110">
    <w:p>
      <w:pPr>
        <w:pStyle w:val="FootnoteText"/>
      </w:pPr>
      <w:r>
        <w:rPr>
          <w:rStyle w:val="FootnoteReference"/>
        </w:rPr>
        <w:footnoteRef/>
      </w:r>
      <w:r>
        <w:t xml:space="preserve"> </w:t>
      </w:r>
      <w:hyperlink r:id="rId111">
        <w:r>
          <w:rPr>
            <w:rStyle w:val="Hyperlink"/>
          </w:rPr>
          <w:t xml:space="preserve">https://www.nytimes.com/2009/08/19/business/energy-environment/19climate.html</w:t>
        </w:r>
      </w:hyperlink>
    </w:p>
  </w:footnote>
  <w:footnote w:id="112">
    <w:p>
      <w:pPr>
        <w:pStyle w:val="FootnoteText"/>
      </w:pPr>
      <w:r>
        <w:rPr>
          <w:rStyle w:val="FootnoteReference"/>
        </w:rPr>
        <w:footnoteRef/>
      </w:r>
      <w:r>
        <w:t xml:space="preserve"> </w:t>
      </w:r>
      <w:hyperlink r:id="rId113">
        <w:r>
          <w:rPr>
            <w:rStyle w:val="Hyperlink"/>
          </w:rPr>
          <w:t xml:space="preserve">https://www.propublica.org/article/how-big-oil-dodges-facebooks-new-ad-transparency-rules</w:t>
        </w:r>
      </w:hyperlink>
    </w:p>
  </w:footnote>
  <w:footnote w:id="115">
    <w:p>
      <w:pPr>
        <w:pStyle w:val="FootnoteText"/>
      </w:pPr>
      <w:r>
        <w:rPr>
          <w:rStyle w:val="FootnoteReference"/>
        </w:rPr>
        <w:footnoteRef/>
      </w:r>
      <w:r>
        <w:t xml:space="preserve"> </w:t>
      </w:r>
      <w:r>
        <w:t xml:space="preserve">Some of Shell’s supporters neglected to fill in the blanks in the template letter.</w:t>
      </w:r>
    </w:p>
  </w:footnote>
  <w:footnote w:id="120">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hyperlink w:anchor="ref-Casas2017">
        <w:r>
          <w:rPr>
            <w:rStyle w:val="Hyperlink"/>
          </w:rPr>
          <w:t xml:space="preserve">Casas, Denny, and Wilkerson</w:t>
        </w:r>
      </w:hyperlink>
      <w:r>
        <w:t xml:space="preserve"> </w:t>
      </w:r>
      <w:r>
        <w:t xml:space="preserve">(</w:t>
      </w:r>
      <w:hyperlink w:anchor="ref-Casas2017">
        <w:r>
          <w:rPr>
            <w:rStyle w:val="Hyperlink"/>
          </w:rPr>
          <w:t xml:space="preserve">2017</w:t>
        </w:r>
      </w:hyperlink>
      <w:r>
        <w:t xml:space="preserve">)</w:t>
      </w:r>
      <w:r>
        <w:t xml:space="preserve"> </w:t>
      </w:r>
      <w:r>
        <w:t xml:space="preserve">and</w:t>
      </w:r>
      <w:r>
        <w:t xml:space="preserve"> </w:t>
      </w:r>
      <w:hyperlink w:anchor="ref-Judge-Lord2017">
        <w:r>
          <w:rPr>
            <w:rStyle w:val="Hyperlink"/>
          </w:rPr>
          <w:t xml:space="preserve">Judge-Lord</w:t>
        </w:r>
      </w:hyperlink>
      <w:r>
        <w:t xml:space="preserve"> </w:t>
      </w:r>
      <w:r>
        <w:t xml:space="preserve">(</w:t>
      </w:r>
      <w:hyperlink w:anchor="ref-Judge-Lord2017">
        <w:r>
          <w:rPr>
            <w:rStyle w:val="Hyperlink"/>
          </w:rPr>
          <w:t xml:space="preserve">2017</w:t>
        </w:r>
      </w:hyperlink>
      <w:r>
        <w:t xml:space="preserve">)</w:t>
      </w:r>
      <w:r>
        <w:t xml:space="preserve">.</w:t>
      </w:r>
    </w:p>
  </w:footnote>
  <w:footnote w:id="134">
    <w:p>
      <w:pPr>
        <w:pStyle w:val="FootnoteText"/>
      </w:pPr>
      <w:r>
        <w:rPr>
          <w:rStyle w:val="FootnoteReference"/>
        </w:rPr>
        <w:footnoteRef/>
      </w:r>
      <w:r>
        <w:t xml:space="preserve"> </w:t>
      </w:r>
      <w:r>
        <w:t xml:space="preserve">For example, Americans For Prosperity’s campaign on the XXXX rule. TODO</w:t>
      </w:r>
    </w:p>
  </w:footnote>
  <w:footnote w:id="137">
    <w:p>
      <w:pPr>
        <w:pStyle w:val="FootnoteText"/>
      </w:pPr>
      <w:r>
        <w:rPr>
          <w:rStyle w:val="FootnoteReference"/>
        </w:rPr>
        <w:footnoteRef/>
      </w:r>
      <w:r>
        <w:t xml:space="preserve"> </w:t>
      </w:r>
      <w:r>
        <w:t xml:space="preserve">At least for agencies participating in regulations.gov. See</w:t>
      </w:r>
      <w:r>
        <w:t xml:space="preserve"> </w:t>
      </w:r>
      <w:r>
        <w:t xml:space="preserve">section</w:t>
      </w:r>
      <w:r>
        <w:t xml:space="preserve"> </w:t>
      </w:r>
      <w:r>
        <w:t xml:space="preserve">2.3.3</w:t>
      </w:r>
      <w:r>
        <w:t xml:space="preserve"> </w:t>
      </w:r>
      <w:r>
        <w:t xml:space="preserve">and the online appendix for my definition and methods for identifying mass comments.</w:t>
      </w:r>
    </w:p>
  </w:footnote>
  <w:footnote w:id="155">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5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166">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shows that the Sierra Club requires zip</w:t>
      </w:r>
      <w:r>
        <w:t xml:space="preserve"> </w:t>
      </w:r>
      <w:r>
        <w:t xml:space="preserve">code information from commenters. Mass-mobilizers may often send</w:t>
      </w:r>
      <w:r>
        <w:t xml:space="preserve"> </w:t>
      </w:r>
      <w:r>
        <w:t xml:space="preserve">such information to elected officials.</w:t>
      </w:r>
    </w:p>
  </w:footnote>
  <w:footnote w:id="169">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70">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71">
    <w:p>
      <w:pPr>
        <w:pStyle w:val="FootnoteText"/>
      </w:pPr>
      <w:r>
        <w:rPr>
          <w:rStyle w:val="FootnoteReference"/>
        </w:rPr>
        <w:footnoteRef/>
      </w:r>
      <w:r>
        <w:t xml:space="preserve"> </w:t>
      </w:r>
      <w:r>
        <w:t xml:space="preserve">Through an itterative process, I developed a method to select comments submitted by organizations. For example, I include all comments submitted as file attachments rather than typed into the textbox.</w:t>
      </w:r>
    </w:p>
  </w:footnote>
  <w:footnote w:id="172">
    <w:p>
      <w:pPr>
        <w:pStyle w:val="FootnoteText"/>
      </w:pPr>
      <w:r>
        <w:rPr>
          <w:rStyle w:val="FootnoteReference"/>
        </w:rPr>
        <w:footnoteRef/>
      </w:r>
      <w:r>
        <w:t xml:space="preserve"> </w:t>
      </w:r>
      <w:r>
        <w:t xml:space="preserve">For more on policy area coding, see Chapter</w:t>
      </w:r>
      <w:r>
        <w:t xml:space="preserve"> </w:t>
      </w:r>
      <w:r>
        <w:t xml:space="preserve">1</w:t>
      </w:r>
      <w:r>
        <w:t xml:space="preserve">.</w:t>
      </w:r>
    </w:p>
  </w:footnote>
  <w:footnote w:id="173">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75">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76">
        <w:r>
          <w:rPr>
            <w:rStyle w:val="Hyperlink"/>
          </w:rPr>
          <w:t xml:space="preserve">here</w:t>
        </w:r>
      </w:hyperlink>
      <w:r>
        <w:t xml:space="preserve">. See examples of coded cases</w:t>
      </w:r>
      <w:r>
        <w:t xml:space="preserve"> </w:t>
      </w:r>
      <w:hyperlink r:id="rId177">
        <w:r>
          <w:rPr>
            <w:rStyle w:val="Hyperlink"/>
          </w:rPr>
          <w:t xml:space="preserve">here</w:t>
        </w:r>
      </w:hyperlink>
      <w:r>
        <w:t xml:space="preserve">.</w:t>
      </w:r>
    </w:p>
  </w:footnote>
  <w:footnote w:id="180">
    <w:p>
      <w:pPr>
        <w:pStyle w:val="FootnoteText"/>
      </w:pPr>
      <w:r>
        <w:rPr>
          <w:rStyle w:val="FootnoteReference"/>
        </w:rPr>
        <w:footnoteRef/>
      </w:r>
      <w:r>
        <w:t xml:space="preserve"> </w:t>
      </w:r>
      <w:r>
        <w:t xml:space="preserve">For more on how I identify types of organizations and coalitions, see</w:t>
      </w:r>
      <w:r>
        <w:t xml:space="preserve"> </w:t>
      </w:r>
      <w:hyperlink r:id="rId181">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83">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85">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87">
    <w:p>
      <w:pPr>
        <w:pStyle w:val="FootnoteText"/>
      </w:pPr>
      <w:r>
        <w:rPr>
          <w:rStyle w:val="FootnoteReference"/>
        </w:rPr>
        <w:footnoteRef/>
      </w:r>
      <w:r>
        <w:t xml:space="preserve"> </w:t>
      </w:r>
      <w:r>
        <w:t xml:space="preserve">See</w:t>
      </w:r>
      <w:r>
        <w:t xml:space="preserve"> </w:t>
      </w:r>
      <w:hyperlink r:id="rId188">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212">
    <w:p>
      <w:pPr>
        <w:pStyle w:val="FootnoteText"/>
      </w:pPr>
      <w:r>
        <w:rPr>
          <w:rStyle w:val="FootnoteReference"/>
        </w:rPr>
        <w:footnoteRef/>
      </w:r>
      <w:r>
        <w:t xml:space="preserve"> </w:t>
      </w:r>
      <w:r>
        <w:t xml:space="preserve"> </w:t>
      </w:r>
      <w:r>
        <w:t xml:space="preserve">As shown in</w:t>
      </w:r>
      <w:r>
        <w:t xml:space="preserve"> </w:t>
      </w:r>
      <w:hyperlink w:anchor="ref-judgelord2019SPSA">
        <w:r>
          <w:rPr>
            <w:rStyle w:val="Hyperlink"/>
          </w:rPr>
          <w:t xml:space="preserve">Judge-Lord</w:t>
        </w:r>
      </w:hyperlink>
      <w:r>
        <w:t xml:space="preserve"> </w:t>
      </w:r>
      <w:r>
        <w:t xml:space="preserve">(</w:t>
      </w:r>
      <w:hyperlink w:anchor="ref-judgelord2019SPSA">
        <w:r>
          <w:rPr>
            <w:rStyle w:val="Hyperlink"/>
          </w:rPr>
          <w:t xml:space="preserve">2019b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18">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24">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31">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39">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Cs/>
          <w:i/>
        </w:rPr>
        <w:t xml:space="preserve">any</w:t>
      </w:r>
      <w:r>
        <w:t xml:space="preserve"> </w:t>
      </w:r>
      <w:r>
        <w:t xml:space="preserve">proposed to</w:t>
      </w:r>
      <w:r>
        <w:t xml:space="preserve"> </w:t>
      </w:r>
      <w:r>
        <w:rPr>
          <w:iCs/>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Cs/>
          <w:i/>
        </w:rPr>
        <w:t xml:space="preserve">every</w:t>
      </w:r>
      <w:r>
        <w:t xml:space="preserve"> </w:t>
      </w:r>
      <w:r>
        <w:t xml:space="preserve">version of the rule.</w:t>
      </w:r>
    </w:p>
  </w:footnote>
  <w:footnote w:id="240">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w:t>
      </w:r>
      <w:hyperlink w:anchor="ref-Judge-Lord2017">
        <w:r>
          <w:rPr>
            <w:rStyle w:val="Hyperlink"/>
          </w:rPr>
          <w:t xml:space="preserve">Judge-Lord 2017</w:t>
        </w:r>
      </w:hyperlink>
      <w:r>
        <w:t xml:space="preserve">)</w:t>
      </w:r>
      <w:r>
        <w:t xml:space="preserve">, could be useful in future work.</w:t>
      </w:r>
    </w:p>
  </w:footnote>
  <w:footnote w:id="245">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77" Target="media/rId77.png" /><Relationship Type="http://schemas.openxmlformats.org/officeDocument/2006/relationships/image" Id="rId144" Target="media/rId144.png" /><Relationship Type="http://schemas.openxmlformats.org/officeDocument/2006/relationships/image" Id="rId138" Target="media/rId138.pdf" /><Relationship Type="http://schemas.openxmlformats.org/officeDocument/2006/relationships/image" Id="rId228" Target="media/rId228.png" /><Relationship Type="http://schemas.openxmlformats.org/officeDocument/2006/relationships/image" Id="rId227" Target="media/rId227.png" /><Relationship Type="http://schemas.openxmlformats.org/officeDocument/2006/relationships/image" Id="rId226" Target="media/rId226.png" /><Relationship Type="http://schemas.openxmlformats.org/officeDocument/2006/relationships/image" Id="rId225" Target="media/rId225.png" /><Relationship Type="http://schemas.openxmlformats.org/officeDocument/2006/relationships/image" Id="rId248" Target="media/rId248.png" /><Relationship Type="http://schemas.openxmlformats.org/officeDocument/2006/relationships/image" Id="rId247" Target="media/rId247.png" /><Relationship Type="http://schemas.openxmlformats.org/officeDocument/2006/relationships/image" Id="rId246" Target="media/rId246.png" /><Relationship Type="http://schemas.openxmlformats.org/officeDocument/2006/relationships/image" Id="rId252" Target="media/rId252.png" /><Relationship Type="http://schemas.openxmlformats.org/officeDocument/2006/relationships/image" Id="rId251" Target="media/rId251.png" /><Relationship Type="http://schemas.openxmlformats.org/officeDocument/2006/relationships/image" Id="rId98" Target="media/rId98.png" /><Relationship Type="http://schemas.openxmlformats.org/officeDocument/2006/relationships/image" Id="rId232" Target="media/rId232.png" /><Relationship Type="http://schemas.openxmlformats.org/officeDocument/2006/relationships/image" Id="rId61" Target="media/rId61.png" /><Relationship Type="http://schemas.openxmlformats.org/officeDocument/2006/relationships/image" Id="rId99" Target="media/rId99.png" /><Relationship Type="http://schemas.openxmlformats.org/officeDocument/2006/relationships/image" Id="rId81" Target="media/rId81.jpg" /><Relationship Type="http://schemas.openxmlformats.org/officeDocument/2006/relationships/image" Id="rId47" Target="media/rId47.png" /><Relationship Type="http://schemas.openxmlformats.org/officeDocument/2006/relationships/image" Id="rId142" Target="media/rId142.png" /><Relationship Type="http://schemas.openxmlformats.org/officeDocument/2006/relationships/image" Id="rId192" Target="media/rId192.png" /><Relationship Type="http://schemas.openxmlformats.org/officeDocument/2006/relationships/image" Id="rId164" Target="media/rId164.png" /><Relationship Type="http://schemas.openxmlformats.org/officeDocument/2006/relationships/image" Id="rId191" Target="media/rId191.png" /><Relationship Type="http://schemas.openxmlformats.org/officeDocument/2006/relationships/image" Id="rId123" Target="media/rId123.png" /><Relationship Type="http://schemas.openxmlformats.org/officeDocument/2006/relationships/image" Id="rId244" Target="media/rId244.png" /><Relationship Type="http://schemas.openxmlformats.org/officeDocument/2006/relationships/image" Id="rId203" Target="media/rId203.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02" Target="media/rId202.png" /><Relationship Type="http://schemas.openxmlformats.org/officeDocument/2006/relationships/image" Id="rId129" Target="media/rId129.png" /><Relationship Type="http://schemas.openxmlformats.org/officeDocument/2006/relationships/hyperlink" Id="rId326" Target="http://chicagounbound.uchicago.edu/cgi/viewcontent.cgi?article=5219{\&amp;}context=uclrev" TargetMode="External" /><Relationship Type="http://schemas.openxmlformats.org/officeDocument/2006/relationships/hyperlink" Id="rId482" Target="http://digitalcommons.law.yale.edu/fss{\_}papers" TargetMode="External" /><Relationship Type="http://schemas.openxmlformats.org/officeDocument/2006/relationships/hyperlink" Id="rId480" Target="http://digitalcommons.law.yale.edu/yjreg" TargetMode="External" /><Relationship Type="http://schemas.openxmlformats.org/officeDocument/2006/relationships/hyperlink" Id="rId418" Target="http://equitablegrowth.org/working" TargetMode="External" /><Relationship Type="http://schemas.openxmlformats.org/officeDocument/2006/relationships/hyperlink" Id="rId439" Target="http://eurogender.eige.europa.eu/sites/default/files/3593021.pdf" TargetMode="External" /><Relationship Type="http://schemas.openxmlformats.org/officeDocument/2006/relationships/hyperlink" Id="rId332" Target="http://law.wisc.edu/ils/2017speakerfiles/supplemental{\_}reading--administrative{\_}war.pdf" TargetMode="External" /><Relationship Type="http://schemas.openxmlformats.org/officeDocument/2006/relationships/hyperlink" Id="rId387" Target="http://ojs.imodev.org/index.php/RIGO/article/view/62/154{\#}{\_}ftn6" TargetMode="External" /><Relationship Type="http://schemas.openxmlformats.org/officeDocument/2006/relationships/hyperlink" Id="rId304" Target="http://press.princeton.edu/titles/4385.html http://web.stanford.edu/class/polisci177a/Notes.Week2.pdf" TargetMode="External" /><Relationship Type="http://schemas.openxmlformats.org/officeDocument/2006/relationships/hyperlink" Id="rId351" Target="http://scholarship.law.cornell.edu/cerihttp://scholarship.law.cornell.edu/ceri/1" TargetMode="External" /><Relationship Type="http://schemas.openxmlformats.org/officeDocument/2006/relationships/hyperlink" Id="rId355" Target="http://scholarship.law.cornell.edu/cerihttp://scholarship.law.cornell.edu/ceri/17" TargetMode="External" /><Relationship Type="http://schemas.openxmlformats.org/officeDocument/2006/relationships/hyperlink" Id="rId316" Target="http://scholarship.law.upenn.edu/faculty{\_}scholarship" TargetMode="External" /><Relationship Type="http://schemas.openxmlformats.org/officeDocument/2006/relationships/hyperlink" Id="rId518" Target="http://scholarship.law.upenn.edu/faculty{\_}scholarshiphttp://scholarship.law.upenn.edu/faculty{\_}scholarship/1969" TargetMode="External" /><Relationship Type="http://schemas.openxmlformats.org/officeDocument/2006/relationships/hyperlink" Id="rId492" Target="http://wikisum.com/w/Schattschneider:{\_}The{\_}semisovereign{\_}people https://books.google.com/books/about/The{\_}semisovereign{\_}people.html?id=GXdHAAAAMAAJ" TargetMode="External" /><Relationship Type="http://schemas.openxmlformats.org/officeDocument/2006/relationships/hyperlink" Id="rId401" Target="http://www.administrativelawreview.org/wp-content/uploads/2014/04/Beyond-the-Usual-Suspects-ACUS-Rulemaking-2-and-a-Vision-for-Broader-More-Informed-and-More-Transparent-Rulemaking.pdf" TargetMode="External" /><Relationship Type="http://schemas.openxmlformats.org/officeDocument/2006/relationships/hyperlink" Id="rId393"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72"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12" Target="http://www.cbecal.org/" TargetMode="External" /><Relationship Type="http://schemas.openxmlformats.org/officeDocument/2006/relationships/hyperlink" Id="rId468" Target="http://www.cei.org" TargetMode="External" /><Relationship Type="http://schemas.openxmlformats.org/officeDocument/2006/relationships/hyperlink" Id="rId381" Target="http://www.jstor.org/stable/3234884" TargetMode="External" /><Relationship Type="http://schemas.openxmlformats.org/officeDocument/2006/relationships/hyperlink" Id="rId306" Target="http://www.jstor.org/stable/j.ctv1j9mk15" TargetMode="External" /><Relationship Type="http://schemas.openxmlformats.org/officeDocument/2006/relationships/hyperlink" Id="rId503" Target="http://www.loc.gov/catdir/toc/ecip0716/2007015183.html" TargetMode="External" /><Relationship Type="http://schemas.openxmlformats.org/officeDocument/2006/relationships/hyperlink" Id="rId423" Target="http://www.lowande.com/uploads/2/8/0/2/28027461/lowande-responsiveness-july-2017.pdf" TargetMode="External" /><Relationship Type="http://schemas.openxmlformats.org/officeDocument/2006/relationships/hyperlink" Id="rId300" Target="http://www.worldcat.org/title/confronting-environmental-racism-voices-from-the-grassroots/oclc/26351432" TargetMode="External" /><Relationship Type="http://schemas.openxmlformats.org/officeDocument/2006/relationships/hyperlink" Id="rId407" Target="http://www.worldcat.org/title/going-public-new-strategies-of-presidential-leadership/oclc/1035368647" TargetMode="External" /><Relationship Type="http://schemas.openxmlformats.org/officeDocument/2006/relationships/hyperlink" Id="rId411" Target="http://www.worldcat.org/title/public-opinion-and-american-democracy/oclc/480228689?referer=di{\&amp;}ht=edition" TargetMode="External" /><Relationship Type="http://schemas.openxmlformats.org/officeDocument/2006/relationships/hyperlink" Id="rId399" Target="https://about.jstor.org/terms" TargetMode="External" /><Relationship Type="http://schemas.openxmlformats.org/officeDocument/2006/relationships/hyperlink" Id="rId330" Target="https://about.jstor.org/terms https://papers.ssrn.com/sol3/papers.cfm?abstract{\_}id=595181{\&amp;}download=yes" TargetMode="External" /><Relationship Type="http://schemas.openxmlformats.org/officeDocument/2006/relationships/hyperlink" Id="rId528" Target="https://books.google.com/books/about/Bureaucracy.html?id=jg-HAAAAMAAJ https://books.google.com/books/about/Bureaucracy.html?id=1aR54vBa2E4C" TargetMode="External" /><Relationship Type="http://schemas.openxmlformats.org/officeDocument/2006/relationships/hyperlink" Id="rId334" Target="https://books.google.com/books/about/Democracy{\_}and{\_}Its{\_}Critics.html?id=l1RQngEACAAJ" TargetMode="External" /><Relationship Type="http://schemas.openxmlformats.org/officeDocument/2006/relationships/hyperlink" Id="rId505" Target="https://books.google.com/books/about/Republic{\_}com.html?id=O7AG9TxDJdgC" TargetMode="External" /><Relationship Type="http://schemas.openxmlformats.org/officeDocument/2006/relationships/hyperlink" Id="rId441" Target="https://books.google.com/books/about/The{\_}Politics{\_}Of{\_}Interests.html?id=BtJMDwAAQBAJ" TargetMode="External" /><Relationship Type="http://schemas.openxmlformats.org/officeDocument/2006/relationships/hyperlink" Id="rId437" Target="https://books.google.com/books/about/The{\_}Public{\_}Congress.html?id=yD9OYgEACAAJ" TargetMode="External" /><Relationship Type="http://schemas.openxmlformats.org/officeDocument/2006/relationships/hyperlink" Id="rId376"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09"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16" Target="https://books.google.com/books?id=36bgO4FaOEoC{\&amp;}lr={\&amp;}source=gbs{\_}navlinks{\_}s" TargetMode="External" /><Relationship Type="http://schemas.openxmlformats.org/officeDocument/2006/relationships/hyperlink" Id="rId397" Target="https://books.google.com/books?id=8PIWAwAAQBAJ" TargetMode="External" /><Relationship Type="http://schemas.openxmlformats.org/officeDocument/2006/relationships/hyperlink" Id="rId509" Target="https://books.google.com/books?id=9K5fdvfmGREC{\&amp;}dq=verba+and+nie+participation+in+america{\&amp;}lr={\&amp;}source=gbs{\_}navlinks{\_}s" TargetMode="External" /><Relationship Type="http://schemas.openxmlformats.org/officeDocument/2006/relationships/hyperlink" Id="rId470" Target="https://books.google.com/books?id=bmSmcDo3kPoC{\&amp;}dq=info:3Iw8O7WHdEEJ:scholar.google.com{\&amp;}lr={\&amp;}source=gbs{\_}navlinks{\_}s" TargetMode="External" /><Relationship Type="http://schemas.openxmlformats.org/officeDocument/2006/relationships/hyperlink" Id="rId176" Target="https://docs.google.com/document/d/1o1hi0z9O-G9xsgkspOFG2VWzh0wQKjiezzoVpItaCxU/edit?usp=sharing" TargetMode="External" /><Relationship Type="http://schemas.openxmlformats.org/officeDocument/2006/relationships/hyperlink" Id="rId498" Target="https://doi.org/10.1007/s11077-007-9051-x" TargetMode="External" /><Relationship Type="http://schemas.openxmlformats.org/officeDocument/2006/relationships/hyperlink" Id="rId309" Target="https://doi.org/10.1017/S000305541400029X" TargetMode="External" /><Relationship Type="http://schemas.openxmlformats.org/officeDocument/2006/relationships/hyperlink" Id="rId384" Target="https://doi.org/10.1017/S0003055415000246" TargetMode="External" /><Relationship Type="http://schemas.openxmlformats.org/officeDocument/2006/relationships/hyperlink" Id="rId434" Target="https://doi.org/10.1017/S0143814X07000608" TargetMode="External" /><Relationship Type="http://schemas.openxmlformats.org/officeDocument/2006/relationships/hyperlink" Id="rId369" Target="https://doi.org/10.1017/S0143814X16000106" TargetMode="External" /><Relationship Type="http://schemas.openxmlformats.org/officeDocument/2006/relationships/hyperlink" Id="rId478" Target="https://doi.org/10.1017/S0143814X17000216" TargetMode="External" /><Relationship Type="http://schemas.openxmlformats.org/officeDocument/2006/relationships/hyperlink" Id="rId476" Target="https://doi.org/10.1017/S1049096519000520" TargetMode="External" /><Relationship Type="http://schemas.openxmlformats.org/officeDocument/2006/relationships/hyperlink" Id="rId374" Target="https://doi.org/10.1017/S1537592714001595" TargetMode="External" /><Relationship Type="http://schemas.openxmlformats.org/officeDocument/2006/relationships/hyperlink" Id="rId465" Target="https://doi.org/10.1017/s0022381611001599" TargetMode="External" /><Relationship Type="http://schemas.openxmlformats.org/officeDocument/2006/relationships/hyperlink" Id="rId321" Target="https://doi.org/10.1080/08913810608443650" TargetMode="External" /><Relationship Type="http://schemas.openxmlformats.org/officeDocument/2006/relationships/hyperlink" Id="rId447" Target="https://doi.org/10.1093" TargetMode="External" /><Relationship Type="http://schemas.openxmlformats.org/officeDocument/2006/relationships/hyperlink" Id="rId336" Target="https://doi.org/10.1093/acprof:oso/9780199891702.001.0001" TargetMode="External" /><Relationship Type="http://schemas.openxmlformats.org/officeDocument/2006/relationships/hyperlink" Id="rId361" Target="https://doi.org/10.1093/jleo/6.special_issue.1" TargetMode="External" /><Relationship Type="http://schemas.openxmlformats.org/officeDocument/2006/relationships/hyperlink" Id="rId367" Target="https://doi.org/10.1093/jopart/mui022" TargetMode="External" /><Relationship Type="http://schemas.openxmlformats.org/officeDocument/2006/relationships/hyperlink" Id="rId535" Target="https://doi.org/10.1093/jopart/mui042" TargetMode="External" /><Relationship Type="http://schemas.openxmlformats.org/officeDocument/2006/relationships/hyperlink" Id="rId537" Target="https://doi.org/10.1093/jopart/mur061" TargetMode="External" /><Relationship Type="http://schemas.openxmlformats.org/officeDocument/2006/relationships/hyperlink" Id="rId524" Target="https://doi.org/10.1093/jopart/mus028" TargetMode="External" /><Relationship Type="http://schemas.openxmlformats.org/officeDocument/2006/relationships/hyperlink" Id="rId539" Target="https://doi.org/10.1093/jopart/muu007" TargetMode="External" /><Relationship Type="http://schemas.openxmlformats.org/officeDocument/2006/relationships/hyperlink" Id="rId365" Target="https://doi.org/10.1093/oxfordjournals.jpart.a024373" TargetMode="External" /><Relationship Type="http://schemas.openxmlformats.org/officeDocument/2006/relationships/hyperlink" Id="rId338" Target="https://doi.org/10.1111/1475-6765.12012" TargetMode="External" /><Relationship Type="http://schemas.openxmlformats.org/officeDocument/2006/relationships/hyperlink" Id="rId314" Target="https://doi.org/10.1111/ajps.12066" TargetMode="External" /><Relationship Type="http://schemas.openxmlformats.org/officeDocument/2006/relationships/hyperlink" Id="rId347" Target="https://doi.org/10.1111/ajps.12188" TargetMode="External" /><Relationship Type="http://schemas.openxmlformats.org/officeDocument/2006/relationships/hyperlink" Id="rId530" Target="https://doi.org/10.1111/j.1468-2508.2006.00375.x" TargetMode="External" /><Relationship Type="http://schemas.openxmlformats.org/officeDocument/2006/relationships/hyperlink" Id="rId532" Target="https://doi.org/10.1111/j.1748-5991.2009.01051.x" TargetMode="External" /><Relationship Type="http://schemas.openxmlformats.org/officeDocument/2006/relationships/hyperlink" Id="rId432" Target="https://doi.org/10.1111/lsq.12138" TargetMode="External" /><Relationship Type="http://schemas.openxmlformats.org/officeDocument/2006/relationships/hyperlink" Id="rId463" Target="https://doi.org/10.1111/psq.12417" TargetMode="External" /><Relationship Type="http://schemas.openxmlformats.org/officeDocument/2006/relationships/hyperlink" Id="rId541" Target="https://doi.org/10.1146/annurev-polisci-050817-092302" TargetMode="External" /><Relationship Type="http://schemas.openxmlformats.org/officeDocument/2006/relationships/hyperlink" Id="rId445" Target="https://doi.org/10.1146/annurev-polisci-052615" TargetMode="External" /><Relationship Type="http://schemas.openxmlformats.org/officeDocument/2006/relationships/hyperlink" Id="rId391" Target="https://doi.org/10.1146/annurev-polisci-070910-104051" TargetMode="External" /><Relationship Type="http://schemas.openxmlformats.org/officeDocument/2006/relationships/hyperlink" Id="rId443" Target="https://doi.org/10.1146/annurev.polisci.3.1.449" TargetMode="External" /><Relationship Type="http://schemas.openxmlformats.org/officeDocument/2006/relationships/hyperlink" Id="rId286" Target="https://doi.org/10.1146/annurev.soc.30.012703.110542" TargetMode="External" /><Relationship Type="http://schemas.openxmlformats.org/officeDocument/2006/relationships/hyperlink" Id="rId456" Target="https://doi.org/10.1146/annurev.soc.30.012703.110545" TargetMode="External" /><Relationship Type="http://schemas.openxmlformats.org/officeDocument/2006/relationships/hyperlink" Id="rId298" Target="https://doi.org/10.1177/0093650218808186" TargetMode="External" /><Relationship Type="http://schemas.openxmlformats.org/officeDocument/2006/relationships/hyperlink" Id="rId522" Target="https://doi.org/10.1177/0095399709339013" TargetMode="External" /><Relationship Type="http://schemas.openxmlformats.org/officeDocument/2006/relationships/hyperlink" Id="rId328" Target="https://doi.org/10.1177/0095399715581040" TargetMode="External" /><Relationship Type="http://schemas.openxmlformats.org/officeDocument/2006/relationships/hyperlink" Id="rId363" Target="https://doi.org/10.1177/009539979702900304" TargetMode="External" /><Relationship Type="http://schemas.openxmlformats.org/officeDocument/2006/relationships/hyperlink" Id="rId345" Target="https://doi.org/10.1332/174426514X13990325021128" TargetMode="External" /><Relationship Type="http://schemas.openxmlformats.org/officeDocument/2006/relationships/hyperlink" Id="rId293" Target="https://doi.org/10.1515/9781400822485" TargetMode="External" /><Relationship Type="http://schemas.openxmlformats.org/officeDocument/2006/relationships/hyperlink" Id="rId454" Target="https://doi.org/10.2139/ssrn.1486272" TargetMode="External" /><Relationship Type="http://schemas.openxmlformats.org/officeDocument/2006/relationships/hyperlink" Id="rId474" Target="https://doi.org/10.2139/ssrn.2759117" TargetMode="External" /><Relationship Type="http://schemas.openxmlformats.org/officeDocument/2006/relationships/hyperlink" Id="rId490" Target="https://doi.org/10.2307/1949637" TargetMode="External" /><Relationship Type="http://schemas.openxmlformats.org/officeDocument/2006/relationships/hyperlink" Id="rId428" Target="https://doi.org/10.2307/2009452" TargetMode="External" /><Relationship Type="http://schemas.openxmlformats.org/officeDocument/2006/relationships/hyperlink" Id="rId343" Target="https://doi.org/10.2307/2111603" TargetMode="External" /><Relationship Type="http://schemas.openxmlformats.org/officeDocument/2006/relationships/hyperlink" Id="rId290" Target="https://doi.org/10.2307/2585488" TargetMode="External" /><Relationship Type="http://schemas.openxmlformats.org/officeDocument/2006/relationships/hyperlink" Id="rId302" Target="https://doi.org/10.33774/apsa-2020-k78wc" TargetMode="External" /><Relationship Type="http://schemas.openxmlformats.org/officeDocument/2006/relationships/hyperlink" Id="rId341" Target="https://earthjustice.org/our{\_}work" TargetMode="External" /><Relationship Type="http://schemas.openxmlformats.org/officeDocument/2006/relationships/hyperlink" Id="rId149" Target="https://github.com/judgelord/dissertation/blob/master/04-influence/preanalysis.pdf" TargetMode="External" /><Relationship Type="http://schemas.openxmlformats.org/officeDocument/2006/relationships/hyperlink" Id="rId421" Target="https://goo.gl/L6aKk4" TargetMode="External" /><Relationship Type="http://schemas.openxmlformats.org/officeDocument/2006/relationships/hyperlink" Id="rId177" Target="https://judgelord.github.io/dissertation/influence_coding_examples.pdf" TargetMode="External" /><Relationship Type="http://schemas.openxmlformats.org/officeDocument/2006/relationships/hyperlink" Id="rId188" Target="https://judgelord.github.io/dissertation/preanalysis.pdf" TargetMode="External" /><Relationship Type="http://schemas.openxmlformats.org/officeDocument/2006/relationships/hyperlink" Id="rId170" Target="https://judgelord.github.io/dissertation/whyMail.pdf" TargetMode="External" /><Relationship Type="http://schemas.openxmlformats.org/officeDocument/2006/relationships/hyperlink" Id="rId209" Target="https://judgelord.github.io/research/ej/" TargetMode="External" /><Relationship Type="http://schemas.openxmlformats.org/officeDocument/2006/relationships/hyperlink" Id="rId181" Target="https://judgelord.github.io/research/whymail/" TargetMode="External" /><Relationship Type="http://schemas.openxmlformats.org/officeDocument/2006/relationships/hyperlink" Id="rId416" Target="https://libgober.files.wordpress.com/2018/09/what-biased-rulemaking-looks-like.pdf" TargetMode="External" /><Relationship Type="http://schemas.openxmlformats.org/officeDocument/2006/relationships/hyperlink" Id="rId323" Target="https://mountainscholar.org/bitstream/handle/10217/181399/Cook{\_}colostate{\_}0053A14127.pdf?sequence=1" TargetMode="External" /><Relationship Type="http://schemas.openxmlformats.org/officeDocument/2006/relationships/hyperlink" Id="rId513" Target="https://papers.ssrn.com/sol3/papers.cfm?abstract{\_}id=1531243" TargetMode="External" /><Relationship Type="http://schemas.openxmlformats.org/officeDocument/2006/relationships/hyperlink" Id="rId353" Target="https://papers.ssrn.com/sol3/papers.cfm?abstract{\_}id=1702491" TargetMode="External" /><Relationship Type="http://schemas.openxmlformats.org/officeDocument/2006/relationships/hyperlink" Id="rId452" Target="https://papers.ssrn.com/sol3/papers.cfm?abstract{\_}id=1860193" TargetMode="External" /><Relationship Type="http://schemas.openxmlformats.org/officeDocument/2006/relationships/hyperlink" Id="rId458" Target="https://papers.ssrn.com/sol3/papers.cfm?abstract{\_}id=2444396" TargetMode="External" /><Relationship Type="http://schemas.openxmlformats.org/officeDocument/2006/relationships/hyperlink" Id="rId496" Target="https://papers.ssrn.com/sol3/papers.cfm?abstract{\_}id=2662504" TargetMode="External" /><Relationship Type="http://schemas.openxmlformats.org/officeDocument/2006/relationships/hyperlink" Id="rId357" Target="https://papers.ssrn.com/sol3/papers.cfm?abstract{\_}id=2841374" TargetMode="External" /><Relationship Type="http://schemas.openxmlformats.org/officeDocument/2006/relationships/hyperlink" Id="rId486" Target="https://papers.ssrn.com/sol3/papers.cfm?abstract{\_}id=571127" TargetMode="External" /><Relationship Type="http://schemas.openxmlformats.org/officeDocument/2006/relationships/hyperlink" Id="rId413" Target="https://press.princeton.edu/titles/6254.html" TargetMode="External" /><Relationship Type="http://schemas.openxmlformats.org/officeDocument/2006/relationships/hyperlink" Id="rId395" Target="https://press.princeton.edu/titles/7656.html" TargetMode="External" /><Relationship Type="http://schemas.openxmlformats.org/officeDocument/2006/relationships/hyperlink" Id="rId511" Target="https://scholarship.law.duke.edu/cgi/viewcontent.cgi?referer=https://www.google.com/{\&amp;}httpsredir=1{\&amp;}article=1463{\&amp;}context=dlj" TargetMode="External" /><Relationship Type="http://schemas.openxmlformats.org/officeDocument/2006/relationships/hyperlink" Id="rId450" Target="https://scholarworks.wmich.edu/jssw/vol34/iss3/9" TargetMode="External" /><Relationship Type="http://schemas.openxmlformats.org/officeDocument/2006/relationships/hyperlink" Id="rId359" Target="https://ssrn.com/abstract=3787704" TargetMode="External" /><Relationship Type="http://schemas.openxmlformats.org/officeDocument/2006/relationships/hyperlink" Id="rId488" Target="https://www.acus.gov/report/public-engagement-rulemaking-draft-report" TargetMode="External" /><Relationship Type="http://schemas.openxmlformats.org/officeDocument/2006/relationships/hyperlink" Id="rId284" Target="https://www.acus.gov/sites/default/files/documents/ACUS Recommendations Packet.pdf" TargetMode="External" /><Relationship Type="http://schemas.openxmlformats.org/officeDocument/2006/relationships/hyperlink" Id="rId526" Target="https://www.acus.gov/sites/default/files/documents/Public Engagement Draft Recommendation 9-10-18 Adam White Comments.pdf" TargetMode="External" /><Relationship Type="http://schemas.openxmlformats.org/officeDocument/2006/relationships/hyperlink" Id="rId349" Target="https://www.acus.gov/sites/default/files/documents/Public Engagement Draft Recommendation 9-10-18 Cynthia Farina Comments.pdf" TargetMode="External" /><Relationship Type="http://schemas.openxmlformats.org/officeDocument/2006/relationships/hyperlink" Id="rId295" Target="https://www.brookings.edu/book/the-new-liberalism/" TargetMode="External" /><Relationship Type="http://schemas.openxmlformats.org/officeDocument/2006/relationships/hyperlink" Id="rId472" Target="https://www.brookings.edu/research/more-than-spam-lobbying-the-epa-through-public-comment-campaigns/" TargetMode="External" /><Relationship Type="http://schemas.openxmlformats.org/officeDocument/2006/relationships/hyperlink" Id="rId507" Target="https://www.brookings.edu/research/upvoting-the-administrative-state/" TargetMode="External" /><Relationship Type="http://schemas.openxmlformats.org/officeDocument/2006/relationships/hyperlink" Id="rId379" Target="https://www.dropbox.com/s/6ydopca7mx8ugqt/Gordon-Rashin-Private-Influence-10-24.pdf?dl=0" TargetMode="External" /><Relationship Type="http://schemas.openxmlformats.org/officeDocument/2006/relationships/hyperlink" Id="rId259" Target="https://www.federalregister.gov/d/2015-13435/p-67" TargetMode="External" /><Relationship Type="http://schemas.openxmlformats.org/officeDocument/2006/relationships/hyperlink" Id="rId157" Target="https://www.federalregister.gov/d/2020-14935/p-134" TargetMode="External" /><Relationship Type="http://schemas.openxmlformats.org/officeDocument/2006/relationships/hyperlink" Id="rId258" Target="https://www.federalregister.gov/d/E8-26621/p-61" TargetMode="External" /><Relationship Type="http://schemas.openxmlformats.org/officeDocument/2006/relationships/hyperlink" Id="rId109" Target="https://www.flickr.com/photos/energycitizens/18274218500/in/photostream/" TargetMode="External" /><Relationship Type="http://schemas.openxmlformats.org/officeDocument/2006/relationships/hyperlink" Id="rId107" Target="https://www.govinfo.gov/content/pkg/CDIR-2011-12-01/pdf/CDIR-2011-12-01-OH-H-1.pdf" TargetMode="External" /><Relationship Type="http://schemas.openxmlformats.org/officeDocument/2006/relationships/hyperlink" Id="rId318"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11" Target="https://www.nytimes.com/2009/08/19/business/energy-environment/19climate.html" TargetMode="External" /><Relationship Type="http://schemas.openxmlformats.org/officeDocument/2006/relationships/hyperlink" Id="rId113" Target="https://www.propublica.org/article/how-big-oil-dodges-facebooks-new-ad-transparency-rules" TargetMode="External" /><Relationship Type="http://schemas.openxmlformats.org/officeDocument/2006/relationships/hyperlink" Id="rId261" Target="https://www.regulations.gov/comment/BLM-2013-0002-5688" TargetMode="External" /><Relationship Type="http://schemas.openxmlformats.org/officeDocument/2006/relationships/hyperlink" Id="rId260" Target="https://www.regulations.gov/comment/BLM-2013-0002-5720" TargetMode="External" /><Relationship Type="http://schemas.openxmlformats.org/officeDocument/2006/relationships/hyperlink" Id="rId262" Target="https://www.regulations.gov/comment/BLM-2013-0002-5721" TargetMode="External" /><Relationship Type="http://schemas.openxmlformats.org/officeDocument/2006/relationships/hyperlink" Id="rId264" Target="https://www.regulations.gov/comment/BOEM-2016-0003-2556" TargetMode="External" /><Relationship Type="http://schemas.openxmlformats.org/officeDocument/2006/relationships/hyperlink" Id="rId116" Target="https://www.regulations.gov/comment/BSEE-2013-0011-0033" TargetMode="External" /><Relationship Type="http://schemas.openxmlformats.org/officeDocument/2006/relationships/hyperlink" Id="rId117" Target="https://www.regulations.gov/comment/BSEE-2013-0011-0094" TargetMode="External" /><Relationship Type="http://schemas.openxmlformats.org/officeDocument/2006/relationships/hyperlink" Id="rId161" Target="https://www.regulations.gov/comment/EPA-HQ-OAR-2005-0161-2624" TargetMode="External" /><Relationship Type="http://schemas.openxmlformats.org/officeDocument/2006/relationships/hyperlink" Id="rId114"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104" Target="https://www.regulations.gov/comment/IRS-2016-0015-0127" TargetMode="External" /><Relationship Type="http://schemas.openxmlformats.org/officeDocument/2006/relationships/hyperlink" Id="rId103" Target="https://www.regulations.gov/comment/IRS-2016-0015-0131" TargetMode="External" /><Relationship Type="http://schemas.openxmlformats.org/officeDocument/2006/relationships/hyperlink" Id="rId102" Target="https://www.regulations.gov/comment/IRS-2016-0015-0133" TargetMode="External" /><Relationship Type="http://schemas.openxmlformats.org/officeDocument/2006/relationships/hyperlink" Id="rId263" Target="https://www.regulations.gov/comment/NOAA-NMFS-2012-0059-0023" TargetMode="External" /><Relationship Type="http://schemas.openxmlformats.org/officeDocument/2006/relationships/hyperlink" Id="rId127" Target="https://www.regulations.gov/comment/NOAA-NMFS-2012-0059-0185" TargetMode="External" /><Relationship Type="http://schemas.openxmlformats.org/officeDocument/2006/relationships/hyperlink" Id="rId121" Target="https://www.regulations.gov/document?D=CFPB-2016-0025-91130" TargetMode="External" /><Relationship Type="http://schemas.openxmlformats.org/officeDocument/2006/relationships/hyperlink" Id="rId122" Target="https://www.regulations.gov/document?D=CFPB-2016-0025-91154" TargetMode="External" /><Relationship Type="http://schemas.openxmlformats.org/officeDocument/2006/relationships/hyperlink" Id="rId389" Target="https://www.regulations.gov/document?D=EPA-HQ-OAR-2004-0018-0211" TargetMode="External" /><Relationship Type="http://schemas.openxmlformats.org/officeDocument/2006/relationships/hyperlink" Id="rId520" Target="https://www.weact.org/" TargetMode="External" /><Relationship Type="http://schemas.openxmlformats.org/officeDocument/2006/relationships/hyperlink" Id="rId272" Target="https://www.wsj.com/articles/many-comments-critical-of-fiduciary-rule-are-fake-1514370601" TargetMode="External" /><Relationship Type="http://schemas.openxmlformats.org/officeDocument/2006/relationships/hyperlink" Id="rId288" Target="https://yalebooks.yale.edu/book/9780300025927/congress-and-bureaucracy" TargetMode="External" /><Relationship Type="http://schemas.openxmlformats.org/officeDocument/2006/relationships/hyperlink" Id="rId461" Target="{https://graduate.artsci.wustl.edu/emilymoore/}" TargetMode="External" /></Relationships>
</file>

<file path=word/_rels/footnotes.xml.rels><?xml version="1.0" encoding="UTF-8"?>
<Relationships xmlns="http://schemas.openxmlformats.org/package/2006/relationships"><Relationship Type="http://schemas.openxmlformats.org/officeDocument/2006/relationships/hyperlink" Id="rId326" Target="http://chicagounbound.uchicago.edu/cgi/viewcontent.cgi?article=5219{\&amp;}context=uclrev" TargetMode="External" /><Relationship Type="http://schemas.openxmlformats.org/officeDocument/2006/relationships/hyperlink" Id="rId482" Target="http://digitalcommons.law.yale.edu/fss{\_}papers" TargetMode="External" /><Relationship Type="http://schemas.openxmlformats.org/officeDocument/2006/relationships/hyperlink" Id="rId480" Target="http://digitalcommons.law.yale.edu/yjreg" TargetMode="External" /><Relationship Type="http://schemas.openxmlformats.org/officeDocument/2006/relationships/hyperlink" Id="rId418" Target="http://equitablegrowth.org/working" TargetMode="External" /><Relationship Type="http://schemas.openxmlformats.org/officeDocument/2006/relationships/hyperlink" Id="rId439" Target="http://eurogender.eige.europa.eu/sites/default/files/3593021.pdf" TargetMode="External" /><Relationship Type="http://schemas.openxmlformats.org/officeDocument/2006/relationships/hyperlink" Id="rId332" Target="http://law.wisc.edu/ils/2017speakerfiles/supplemental{\_}reading--administrative{\_}war.pdf" TargetMode="External" /><Relationship Type="http://schemas.openxmlformats.org/officeDocument/2006/relationships/hyperlink" Id="rId387" Target="http://ojs.imodev.org/index.php/RIGO/article/view/62/154{\#}{\_}ftn6" TargetMode="External" /><Relationship Type="http://schemas.openxmlformats.org/officeDocument/2006/relationships/hyperlink" Id="rId304" Target="http://press.princeton.edu/titles/4385.html http://web.stanford.edu/class/polisci177a/Notes.Week2.pdf" TargetMode="External" /><Relationship Type="http://schemas.openxmlformats.org/officeDocument/2006/relationships/hyperlink" Id="rId351" Target="http://scholarship.law.cornell.edu/cerihttp://scholarship.law.cornell.edu/ceri/1" TargetMode="External" /><Relationship Type="http://schemas.openxmlformats.org/officeDocument/2006/relationships/hyperlink" Id="rId355" Target="http://scholarship.law.cornell.edu/cerihttp://scholarship.law.cornell.edu/ceri/17" TargetMode="External" /><Relationship Type="http://schemas.openxmlformats.org/officeDocument/2006/relationships/hyperlink" Id="rId316" Target="http://scholarship.law.upenn.edu/faculty{\_}scholarship" TargetMode="External" /><Relationship Type="http://schemas.openxmlformats.org/officeDocument/2006/relationships/hyperlink" Id="rId518" Target="http://scholarship.law.upenn.edu/faculty{\_}scholarshiphttp://scholarship.law.upenn.edu/faculty{\_}scholarship/1969" TargetMode="External" /><Relationship Type="http://schemas.openxmlformats.org/officeDocument/2006/relationships/hyperlink" Id="rId492" Target="http://wikisum.com/w/Schattschneider:{\_}The{\_}semisovereign{\_}people https://books.google.com/books/about/The{\_}semisovereign{\_}people.html?id=GXdHAAAAMAAJ" TargetMode="External" /><Relationship Type="http://schemas.openxmlformats.org/officeDocument/2006/relationships/hyperlink" Id="rId401" Target="http://www.administrativelawreview.org/wp-content/uploads/2014/04/Beyond-the-Usual-Suspects-ACUS-Rulemaking-2-and-a-Vision-for-Broader-More-Informed-and-More-Transparent-Rulemaking.pdf" TargetMode="External" /><Relationship Type="http://schemas.openxmlformats.org/officeDocument/2006/relationships/hyperlink" Id="rId393" Target="http://www.cambridge.org/ca/academic/subjects/politics-international-relations/comparative-politics/deliberate-discretion-institutional-foundations-bureaucratic-autonomy?format=PB{\&amp;}isbn=9780521520706{\#}oLj9BJk19UIhQhSW.97" TargetMode="External" /><Relationship Type="http://schemas.openxmlformats.org/officeDocument/2006/relationships/hyperlink" Id="rId372" Target="http://www.cambridge.org/us/academic/subjects/politics-international-relations/american-government-politics-and-policy/party-ideologies-america-18281996?format=PB{\&amp;}isbn=9780521785907{\#}iX0Fc764oJsgBBFS.97" TargetMode="External" /><Relationship Type="http://schemas.openxmlformats.org/officeDocument/2006/relationships/hyperlink" Id="rId312" Target="http://www.cbecal.org/" TargetMode="External" /><Relationship Type="http://schemas.openxmlformats.org/officeDocument/2006/relationships/hyperlink" Id="rId468" Target="http://www.cei.org" TargetMode="External" /><Relationship Type="http://schemas.openxmlformats.org/officeDocument/2006/relationships/hyperlink" Id="rId381" Target="http://www.jstor.org/stable/3234884" TargetMode="External" /><Relationship Type="http://schemas.openxmlformats.org/officeDocument/2006/relationships/hyperlink" Id="rId306" Target="http://www.jstor.org/stable/j.ctv1j9mk15" TargetMode="External" /><Relationship Type="http://schemas.openxmlformats.org/officeDocument/2006/relationships/hyperlink" Id="rId503" Target="http://www.loc.gov/catdir/toc/ecip0716/2007015183.html" TargetMode="External" /><Relationship Type="http://schemas.openxmlformats.org/officeDocument/2006/relationships/hyperlink" Id="rId423" Target="http://www.lowande.com/uploads/2/8/0/2/28027461/lowande-responsiveness-july-2017.pdf" TargetMode="External" /><Relationship Type="http://schemas.openxmlformats.org/officeDocument/2006/relationships/hyperlink" Id="rId300" Target="http://www.worldcat.org/title/confronting-environmental-racism-voices-from-the-grassroots/oclc/26351432" TargetMode="External" /><Relationship Type="http://schemas.openxmlformats.org/officeDocument/2006/relationships/hyperlink" Id="rId407" Target="http://www.worldcat.org/title/going-public-new-strategies-of-presidential-leadership/oclc/1035368647" TargetMode="External" /><Relationship Type="http://schemas.openxmlformats.org/officeDocument/2006/relationships/hyperlink" Id="rId411" Target="http://www.worldcat.org/title/public-opinion-and-american-democracy/oclc/480228689?referer=di{\&amp;}ht=edition" TargetMode="External" /><Relationship Type="http://schemas.openxmlformats.org/officeDocument/2006/relationships/hyperlink" Id="rId399" Target="https://about.jstor.org/terms" TargetMode="External" /><Relationship Type="http://schemas.openxmlformats.org/officeDocument/2006/relationships/hyperlink" Id="rId330" Target="https://about.jstor.org/terms https://papers.ssrn.com/sol3/papers.cfm?abstract{\_}id=595181{\&amp;}download=yes" TargetMode="External" /><Relationship Type="http://schemas.openxmlformats.org/officeDocument/2006/relationships/hyperlink" Id="rId528" Target="https://books.google.com/books/about/Bureaucracy.html?id=jg-HAAAAMAAJ https://books.google.com/books/about/Bureaucracy.html?id=1aR54vBa2E4C" TargetMode="External" /><Relationship Type="http://schemas.openxmlformats.org/officeDocument/2006/relationships/hyperlink" Id="rId334" Target="https://books.google.com/books/about/Democracy{\_}and{\_}Its{\_}Critics.html?id=l1RQngEACAAJ" TargetMode="External" /><Relationship Type="http://schemas.openxmlformats.org/officeDocument/2006/relationships/hyperlink" Id="rId505" Target="https://books.google.com/books/about/Republic{\_}com.html?id=O7AG9TxDJdgC" TargetMode="External" /><Relationship Type="http://schemas.openxmlformats.org/officeDocument/2006/relationships/hyperlink" Id="rId441" Target="https://books.google.com/books/about/The{\_}Politics{\_}Of{\_}Interests.html?id=BtJMDwAAQBAJ" TargetMode="External" /><Relationship Type="http://schemas.openxmlformats.org/officeDocument/2006/relationships/hyperlink" Id="rId437" Target="https://books.google.com/books/about/The{\_}Public{\_}Congress.html?id=yD9OYgEACAAJ" TargetMode="External" /><Relationship Type="http://schemas.openxmlformats.org/officeDocument/2006/relationships/hyperlink" Id="rId376" Target="https://books.google.com/books?hl=en{\&amp;}lr={\&amp;}id=HRrYWE5RfCIC{\&amp;}oi=fnd{\&amp;}pg=PR8{\&amp;}dq=gillion+protest+politics{\&amp;}ots=bhQuJMfALV{\&amp;}sig=cQALgPc2U4{\_}HktUy1Sbpx16w8tU{\#}v=onepage{\&amp;}q=gillion protest politics{\&amp;}f=false" TargetMode="External" /><Relationship Type="http://schemas.openxmlformats.org/officeDocument/2006/relationships/hyperlink" Id="rId409" Target="https://books.google.com/books?hl=en{\&amp;}lr={\&amp;}id=RyNhDwAAQBAJ{\&amp;}oi=fnd{\&amp;}pg=PT12{\&amp;}dq=&#8212;&#8212;&#8212;.+2011.+Rulemaking:+How+government+agencies+write+law+and+make+policy,+4th+ed.+Washington,+DC:+CQ+Press.{\&amp;}ots=s1XB-pTy6l{\&amp;}sig=CMZmR6d8PBzacWakiafL3snQfds{\#}v" TargetMode="External" /><Relationship Type="http://schemas.openxmlformats.org/officeDocument/2006/relationships/hyperlink" Id="rId516" Target="https://books.google.com/books?id=36bgO4FaOEoC{\&amp;}lr={\&amp;}source=gbs{\_}navlinks{\_}s" TargetMode="External" /><Relationship Type="http://schemas.openxmlformats.org/officeDocument/2006/relationships/hyperlink" Id="rId397" Target="https://books.google.com/books?id=8PIWAwAAQBAJ" TargetMode="External" /><Relationship Type="http://schemas.openxmlformats.org/officeDocument/2006/relationships/hyperlink" Id="rId509" Target="https://books.google.com/books?id=9K5fdvfmGREC{\&amp;}dq=verba+and+nie+participation+in+america{\&amp;}lr={\&amp;}source=gbs{\_}navlinks{\_}s" TargetMode="External" /><Relationship Type="http://schemas.openxmlformats.org/officeDocument/2006/relationships/hyperlink" Id="rId470" Target="https://books.google.com/books?id=bmSmcDo3kPoC{\&amp;}dq=info:3Iw8O7WHdEEJ:scholar.google.com{\&amp;}lr={\&amp;}source=gbs{\_}navlinks{\_}s" TargetMode="External" /><Relationship Type="http://schemas.openxmlformats.org/officeDocument/2006/relationships/hyperlink" Id="rId176" Target="https://docs.google.com/document/d/1o1hi0z9O-G9xsgkspOFG2VWzh0wQKjiezzoVpItaCxU/edit?usp=sharing" TargetMode="External" /><Relationship Type="http://schemas.openxmlformats.org/officeDocument/2006/relationships/hyperlink" Id="rId498" Target="https://doi.org/10.1007/s11077-007-9051-x" TargetMode="External" /><Relationship Type="http://schemas.openxmlformats.org/officeDocument/2006/relationships/hyperlink" Id="rId309" Target="https://doi.org/10.1017/S000305541400029X" TargetMode="External" /><Relationship Type="http://schemas.openxmlformats.org/officeDocument/2006/relationships/hyperlink" Id="rId384" Target="https://doi.org/10.1017/S0003055415000246" TargetMode="External" /><Relationship Type="http://schemas.openxmlformats.org/officeDocument/2006/relationships/hyperlink" Id="rId434" Target="https://doi.org/10.1017/S0143814X07000608" TargetMode="External" /><Relationship Type="http://schemas.openxmlformats.org/officeDocument/2006/relationships/hyperlink" Id="rId369" Target="https://doi.org/10.1017/S0143814X16000106" TargetMode="External" /><Relationship Type="http://schemas.openxmlformats.org/officeDocument/2006/relationships/hyperlink" Id="rId478" Target="https://doi.org/10.1017/S0143814X17000216" TargetMode="External" /><Relationship Type="http://schemas.openxmlformats.org/officeDocument/2006/relationships/hyperlink" Id="rId476" Target="https://doi.org/10.1017/S1049096519000520" TargetMode="External" /><Relationship Type="http://schemas.openxmlformats.org/officeDocument/2006/relationships/hyperlink" Id="rId374" Target="https://doi.org/10.1017/S1537592714001595" TargetMode="External" /><Relationship Type="http://schemas.openxmlformats.org/officeDocument/2006/relationships/hyperlink" Id="rId465" Target="https://doi.org/10.1017/s0022381611001599" TargetMode="External" /><Relationship Type="http://schemas.openxmlformats.org/officeDocument/2006/relationships/hyperlink" Id="rId321" Target="https://doi.org/10.1080/08913810608443650" TargetMode="External" /><Relationship Type="http://schemas.openxmlformats.org/officeDocument/2006/relationships/hyperlink" Id="rId447" Target="https://doi.org/10.1093" TargetMode="External" /><Relationship Type="http://schemas.openxmlformats.org/officeDocument/2006/relationships/hyperlink" Id="rId336" Target="https://doi.org/10.1093/acprof:oso/9780199891702.001.0001" TargetMode="External" /><Relationship Type="http://schemas.openxmlformats.org/officeDocument/2006/relationships/hyperlink" Id="rId361" Target="https://doi.org/10.1093/jleo/6.special_issue.1" TargetMode="External" /><Relationship Type="http://schemas.openxmlformats.org/officeDocument/2006/relationships/hyperlink" Id="rId367" Target="https://doi.org/10.1093/jopart/mui022" TargetMode="External" /><Relationship Type="http://schemas.openxmlformats.org/officeDocument/2006/relationships/hyperlink" Id="rId535" Target="https://doi.org/10.1093/jopart/mui042" TargetMode="External" /><Relationship Type="http://schemas.openxmlformats.org/officeDocument/2006/relationships/hyperlink" Id="rId537" Target="https://doi.org/10.1093/jopart/mur061" TargetMode="External" /><Relationship Type="http://schemas.openxmlformats.org/officeDocument/2006/relationships/hyperlink" Id="rId524" Target="https://doi.org/10.1093/jopart/mus028" TargetMode="External" /><Relationship Type="http://schemas.openxmlformats.org/officeDocument/2006/relationships/hyperlink" Id="rId539" Target="https://doi.org/10.1093/jopart/muu007" TargetMode="External" /><Relationship Type="http://schemas.openxmlformats.org/officeDocument/2006/relationships/hyperlink" Id="rId365" Target="https://doi.org/10.1093/oxfordjournals.jpart.a024373" TargetMode="External" /><Relationship Type="http://schemas.openxmlformats.org/officeDocument/2006/relationships/hyperlink" Id="rId338" Target="https://doi.org/10.1111/1475-6765.12012" TargetMode="External" /><Relationship Type="http://schemas.openxmlformats.org/officeDocument/2006/relationships/hyperlink" Id="rId314" Target="https://doi.org/10.1111/ajps.12066" TargetMode="External" /><Relationship Type="http://schemas.openxmlformats.org/officeDocument/2006/relationships/hyperlink" Id="rId347" Target="https://doi.org/10.1111/ajps.12188" TargetMode="External" /><Relationship Type="http://schemas.openxmlformats.org/officeDocument/2006/relationships/hyperlink" Id="rId530" Target="https://doi.org/10.1111/j.1468-2508.2006.00375.x" TargetMode="External" /><Relationship Type="http://schemas.openxmlformats.org/officeDocument/2006/relationships/hyperlink" Id="rId532" Target="https://doi.org/10.1111/j.1748-5991.2009.01051.x" TargetMode="External" /><Relationship Type="http://schemas.openxmlformats.org/officeDocument/2006/relationships/hyperlink" Id="rId432" Target="https://doi.org/10.1111/lsq.12138" TargetMode="External" /><Relationship Type="http://schemas.openxmlformats.org/officeDocument/2006/relationships/hyperlink" Id="rId463" Target="https://doi.org/10.1111/psq.12417" TargetMode="External" /><Relationship Type="http://schemas.openxmlformats.org/officeDocument/2006/relationships/hyperlink" Id="rId541" Target="https://doi.org/10.1146/annurev-polisci-050817-092302" TargetMode="External" /><Relationship Type="http://schemas.openxmlformats.org/officeDocument/2006/relationships/hyperlink" Id="rId445" Target="https://doi.org/10.1146/annurev-polisci-052615" TargetMode="External" /><Relationship Type="http://schemas.openxmlformats.org/officeDocument/2006/relationships/hyperlink" Id="rId391" Target="https://doi.org/10.1146/annurev-polisci-070910-104051" TargetMode="External" /><Relationship Type="http://schemas.openxmlformats.org/officeDocument/2006/relationships/hyperlink" Id="rId443" Target="https://doi.org/10.1146/annurev.polisci.3.1.449" TargetMode="External" /><Relationship Type="http://schemas.openxmlformats.org/officeDocument/2006/relationships/hyperlink" Id="rId286" Target="https://doi.org/10.1146/annurev.soc.30.012703.110542" TargetMode="External" /><Relationship Type="http://schemas.openxmlformats.org/officeDocument/2006/relationships/hyperlink" Id="rId456" Target="https://doi.org/10.1146/annurev.soc.30.012703.110545" TargetMode="External" /><Relationship Type="http://schemas.openxmlformats.org/officeDocument/2006/relationships/hyperlink" Id="rId298" Target="https://doi.org/10.1177/0093650218808186" TargetMode="External" /><Relationship Type="http://schemas.openxmlformats.org/officeDocument/2006/relationships/hyperlink" Id="rId522" Target="https://doi.org/10.1177/0095399709339013" TargetMode="External" /><Relationship Type="http://schemas.openxmlformats.org/officeDocument/2006/relationships/hyperlink" Id="rId328" Target="https://doi.org/10.1177/0095399715581040" TargetMode="External" /><Relationship Type="http://schemas.openxmlformats.org/officeDocument/2006/relationships/hyperlink" Id="rId363" Target="https://doi.org/10.1177/009539979702900304" TargetMode="External" /><Relationship Type="http://schemas.openxmlformats.org/officeDocument/2006/relationships/hyperlink" Id="rId345" Target="https://doi.org/10.1332/174426514X13990325021128" TargetMode="External" /><Relationship Type="http://schemas.openxmlformats.org/officeDocument/2006/relationships/hyperlink" Id="rId293" Target="https://doi.org/10.1515/9781400822485" TargetMode="External" /><Relationship Type="http://schemas.openxmlformats.org/officeDocument/2006/relationships/hyperlink" Id="rId454" Target="https://doi.org/10.2139/ssrn.1486272" TargetMode="External" /><Relationship Type="http://schemas.openxmlformats.org/officeDocument/2006/relationships/hyperlink" Id="rId474" Target="https://doi.org/10.2139/ssrn.2759117" TargetMode="External" /><Relationship Type="http://schemas.openxmlformats.org/officeDocument/2006/relationships/hyperlink" Id="rId490" Target="https://doi.org/10.2307/1949637" TargetMode="External" /><Relationship Type="http://schemas.openxmlformats.org/officeDocument/2006/relationships/hyperlink" Id="rId428" Target="https://doi.org/10.2307/2009452" TargetMode="External" /><Relationship Type="http://schemas.openxmlformats.org/officeDocument/2006/relationships/hyperlink" Id="rId343" Target="https://doi.org/10.2307/2111603" TargetMode="External" /><Relationship Type="http://schemas.openxmlformats.org/officeDocument/2006/relationships/hyperlink" Id="rId290" Target="https://doi.org/10.2307/2585488" TargetMode="External" /><Relationship Type="http://schemas.openxmlformats.org/officeDocument/2006/relationships/hyperlink" Id="rId302" Target="https://doi.org/10.33774/apsa-2020-k78wc" TargetMode="External" /><Relationship Type="http://schemas.openxmlformats.org/officeDocument/2006/relationships/hyperlink" Id="rId341" Target="https://earthjustice.org/our{\_}work" TargetMode="External" /><Relationship Type="http://schemas.openxmlformats.org/officeDocument/2006/relationships/hyperlink" Id="rId149" Target="https://github.com/judgelord/dissertation/blob/master/04-influence/preanalysis.pdf" TargetMode="External" /><Relationship Type="http://schemas.openxmlformats.org/officeDocument/2006/relationships/hyperlink" Id="rId421" Target="https://goo.gl/L6aKk4" TargetMode="External" /><Relationship Type="http://schemas.openxmlformats.org/officeDocument/2006/relationships/hyperlink" Id="rId177" Target="https://judgelord.github.io/dissertation/influence_coding_examples.pdf" TargetMode="External" /><Relationship Type="http://schemas.openxmlformats.org/officeDocument/2006/relationships/hyperlink" Id="rId188" Target="https://judgelord.github.io/dissertation/preanalysis.pdf" TargetMode="External" /><Relationship Type="http://schemas.openxmlformats.org/officeDocument/2006/relationships/hyperlink" Id="rId170" Target="https://judgelord.github.io/dissertation/whyMail.pdf" TargetMode="External" /><Relationship Type="http://schemas.openxmlformats.org/officeDocument/2006/relationships/hyperlink" Id="rId209" Target="https://judgelord.github.io/research/ej/" TargetMode="External" /><Relationship Type="http://schemas.openxmlformats.org/officeDocument/2006/relationships/hyperlink" Id="rId181" Target="https://judgelord.github.io/research/whymail/" TargetMode="External" /><Relationship Type="http://schemas.openxmlformats.org/officeDocument/2006/relationships/hyperlink" Id="rId416" Target="https://libgober.files.wordpress.com/2018/09/what-biased-rulemaking-looks-like.pdf" TargetMode="External" /><Relationship Type="http://schemas.openxmlformats.org/officeDocument/2006/relationships/hyperlink" Id="rId323" Target="https://mountainscholar.org/bitstream/handle/10217/181399/Cook{\_}colostate{\_}0053A14127.pdf?sequence=1" TargetMode="External" /><Relationship Type="http://schemas.openxmlformats.org/officeDocument/2006/relationships/hyperlink" Id="rId513" Target="https://papers.ssrn.com/sol3/papers.cfm?abstract{\_}id=1531243" TargetMode="External" /><Relationship Type="http://schemas.openxmlformats.org/officeDocument/2006/relationships/hyperlink" Id="rId353" Target="https://papers.ssrn.com/sol3/papers.cfm?abstract{\_}id=1702491" TargetMode="External" /><Relationship Type="http://schemas.openxmlformats.org/officeDocument/2006/relationships/hyperlink" Id="rId452" Target="https://papers.ssrn.com/sol3/papers.cfm?abstract{\_}id=1860193" TargetMode="External" /><Relationship Type="http://schemas.openxmlformats.org/officeDocument/2006/relationships/hyperlink" Id="rId458" Target="https://papers.ssrn.com/sol3/papers.cfm?abstract{\_}id=2444396" TargetMode="External" /><Relationship Type="http://schemas.openxmlformats.org/officeDocument/2006/relationships/hyperlink" Id="rId496" Target="https://papers.ssrn.com/sol3/papers.cfm?abstract{\_}id=2662504" TargetMode="External" /><Relationship Type="http://schemas.openxmlformats.org/officeDocument/2006/relationships/hyperlink" Id="rId357" Target="https://papers.ssrn.com/sol3/papers.cfm?abstract{\_}id=2841374" TargetMode="External" /><Relationship Type="http://schemas.openxmlformats.org/officeDocument/2006/relationships/hyperlink" Id="rId486" Target="https://papers.ssrn.com/sol3/papers.cfm?abstract{\_}id=571127" TargetMode="External" /><Relationship Type="http://schemas.openxmlformats.org/officeDocument/2006/relationships/hyperlink" Id="rId413" Target="https://press.princeton.edu/titles/6254.html" TargetMode="External" /><Relationship Type="http://schemas.openxmlformats.org/officeDocument/2006/relationships/hyperlink" Id="rId395" Target="https://press.princeton.edu/titles/7656.html" TargetMode="External" /><Relationship Type="http://schemas.openxmlformats.org/officeDocument/2006/relationships/hyperlink" Id="rId511" Target="https://scholarship.law.duke.edu/cgi/viewcontent.cgi?referer=https://www.google.com/{\&amp;}httpsredir=1{\&amp;}article=1463{\&amp;}context=dlj" TargetMode="External" /><Relationship Type="http://schemas.openxmlformats.org/officeDocument/2006/relationships/hyperlink" Id="rId450" Target="https://scholarworks.wmich.edu/jssw/vol34/iss3/9" TargetMode="External" /><Relationship Type="http://schemas.openxmlformats.org/officeDocument/2006/relationships/hyperlink" Id="rId359" Target="https://ssrn.com/abstract=3787704" TargetMode="External" /><Relationship Type="http://schemas.openxmlformats.org/officeDocument/2006/relationships/hyperlink" Id="rId488" Target="https://www.acus.gov/report/public-engagement-rulemaking-draft-report" TargetMode="External" /><Relationship Type="http://schemas.openxmlformats.org/officeDocument/2006/relationships/hyperlink" Id="rId284" Target="https://www.acus.gov/sites/default/files/documents/ACUS Recommendations Packet.pdf" TargetMode="External" /><Relationship Type="http://schemas.openxmlformats.org/officeDocument/2006/relationships/hyperlink" Id="rId526" Target="https://www.acus.gov/sites/default/files/documents/Public Engagement Draft Recommendation 9-10-18 Adam White Comments.pdf" TargetMode="External" /><Relationship Type="http://schemas.openxmlformats.org/officeDocument/2006/relationships/hyperlink" Id="rId349" Target="https://www.acus.gov/sites/default/files/documents/Public Engagement Draft Recommendation 9-10-18 Cynthia Farina Comments.pdf" TargetMode="External" /><Relationship Type="http://schemas.openxmlformats.org/officeDocument/2006/relationships/hyperlink" Id="rId295" Target="https://www.brookings.edu/book/the-new-liberalism/" TargetMode="External" /><Relationship Type="http://schemas.openxmlformats.org/officeDocument/2006/relationships/hyperlink" Id="rId472" Target="https://www.brookings.edu/research/more-than-spam-lobbying-the-epa-through-public-comment-campaigns/" TargetMode="External" /><Relationship Type="http://schemas.openxmlformats.org/officeDocument/2006/relationships/hyperlink" Id="rId507" Target="https://www.brookings.edu/research/upvoting-the-administrative-state/" TargetMode="External" /><Relationship Type="http://schemas.openxmlformats.org/officeDocument/2006/relationships/hyperlink" Id="rId379" Target="https://www.dropbox.com/s/6ydopca7mx8ugqt/Gordon-Rashin-Private-Influence-10-24.pdf?dl=0" TargetMode="External" /><Relationship Type="http://schemas.openxmlformats.org/officeDocument/2006/relationships/hyperlink" Id="rId259" Target="https://www.federalregister.gov/d/2015-13435/p-67" TargetMode="External" /><Relationship Type="http://schemas.openxmlformats.org/officeDocument/2006/relationships/hyperlink" Id="rId157" Target="https://www.federalregister.gov/d/2020-14935/p-134" TargetMode="External" /><Relationship Type="http://schemas.openxmlformats.org/officeDocument/2006/relationships/hyperlink" Id="rId258" Target="https://www.federalregister.gov/d/E8-26621/p-61" TargetMode="External" /><Relationship Type="http://schemas.openxmlformats.org/officeDocument/2006/relationships/hyperlink" Id="rId109" Target="https://www.flickr.com/photos/energycitizens/18274218500/in/photostream/" TargetMode="External" /><Relationship Type="http://schemas.openxmlformats.org/officeDocument/2006/relationships/hyperlink" Id="rId107" Target="https://www.govinfo.gov/content/pkg/CDIR-2011-12-01/pdf/CDIR-2011-12-01-OH-H-1.pdf" TargetMode="External" /><Relationship Type="http://schemas.openxmlformats.org/officeDocument/2006/relationships/hyperlink" Id="rId318" Target="https://www.jstor.org/stable/pdf/40040532.pdf?refreqid=excelsior%3A3eeeeaa9f2da6db1832f107aa771d14f" TargetMode="External" /><Relationship Type="http://schemas.openxmlformats.org/officeDocument/2006/relationships/hyperlink" Id="rId68" Target="https://www.nrdc.org/about" TargetMode="External" /><Relationship Type="http://schemas.openxmlformats.org/officeDocument/2006/relationships/hyperlink" Id="rId111" Target="https://www.nytimes.com/2009/08/19/business/energy-environment/19climate.html" TargetMode="External" /><Relationship Type="http://schemas.openxmlformats.org/officeDocument/2006/relationships/hyperlink" Id="rId113" Target="https://www.propublica.org/article/how-big-oil-dodges-facebooks-new-ad-transparency-rules" TargetMode="External" /><Relationship Type="http://schemas.openxmlformats.org/officeDocument/2006/relationships/hyperlink" Id="rId261" Target="https://www.regulations.gov/comment/BLM-2013-0002-5688" TargetMode="External" /><Relationship Type="http://schemas.openxmlformats.org/officeDocument/2006/relationships/hyperlink" Id="rId260" Target="https://www.regulations.gov/comment/BLM-2013-0002-5720" TargetMode="External" /><Relationship Type="http://schemas.openxmlformats.org/officeDocument/2006/relationships/hyperlink" Id="rId262" Target="https://www.regulations.gov/comment/BLM-2013-0002-5721" TargetMode="External" /><Relationship Type="http://schemas.openxmlformats.org/officeDocument/2006/relationships/hyperlink" Id="rId264" Target="https://www.regulations.gov/comment/BOEM-2016-0003-2556" TargetMode="External" /><Relationship Type="http://schemas.openxmlformats.org/officeDocument/2006/relationships/hyperlink" Id="rId116" Target="https://www.regulations.gov/comment/BSEE-2013-0011-0033" TargetMode="External" /><Relationship Type="http://schemas.openxmlformats.org/officeDocument/2006/relationships/hyperlink" Id="rId117" Target="https://www.regulations.gov/comment/BSEE-2013-0011-0094" TargetMode="External" /><Relationship Type="http://schemas.openxmlformats.org/officeDocument/2006/relationships/hyperlink" Id="rId161" Target="https://www.regulations.gov/comment/EPA-HQ-OAR-2005-0161-2624" TargetMode="External" /><Relationship Type="http://schemas.openxmlformats.org/officeDocument/2006/relationships/hyperlink" Id="rId114" Target="https://www.regulations.gov/comment/EPA-HQ-OPP-2009-0361-0891" TargetMode="External" /><Relationship Type="http://schemas.openxmlformats.org/officeDocument/2006/relationships/hyperlink" Id="rId67" Target="https://www.regulations.gov/comment/FWS-HQ-ES-2018-0007-47165" TargetMode="External" /><Relationship Type="http://schemas.openxmlformats.org/officeDocument/2006/relationships/hyperlink" Id="rId104" Target="https://www.regulations.gov/comment/IRS-2016-0015-0127" TargetMode="External" /><Relationship Type="http://schemas.openxmlformats.org/officeDocument/2006/relationships/hyperlink" Id="rId103" Target="https://www.regulations.gov/comment/IRS-2016-0015-0131" TargetMode="External" /><Relationship Type="http://schemas.openxmlformats.org/officeDocument/2006/relationships/hyperlink" Id="rId102" Target="https://www.regulations.gov/comment/IRS-2016-0015-0133" TargetMode="External" /><Relationship Type="http://schemas.openxmlformats.org/officeDocument/2006/relationships/hyperlink" Id="rId263" Target="https://www.regulations.gov/comment/NOAA-NMFS-2012-0059-0023" TargetMode="External" /><Relationship Type="http://schemas.openxmlformats.org/officeDocument/2006/relationships/hyperlink" Id="rId127" Target="https://www.regulations.gov/comment/NOAA-NMFS-2012-0059-0185" TargetMode="External" /><Relationship Type="http://schemas.openxmlformats.org/officeDocument/2006/relationships/hyperlink" Id="rId121" Target="https://www.regulations.gov/document?D=CFPB-2016-0025-91130" TargetMode="External" /><Relationship Type="http://schemas.openxmlformats.org/officeDocument/2006/relationships/hyperlink" Id="rId122" Target="https://www.regulations.gov/document?D=CFPB-2016-0025-91154" TargetMode="External" /><Relationship Type="http://schemas.openxmlformats.org/officeDocument/2006/relationships/hyperlink" Id="rId389" Target="https://www.regulations.gov/document?D=EPA-HQ-OAR-2004-0018-0211" TargetMode="External" /><Relationship Type="http://schemas.openxmlformats.org/officeDocument/2006/relationships/hyperlink" Id="rId520" Target="https://www.weact.org/" TargetMode="External" /><Relationship Type="http://schemas.openxmlformats.org/officeDocument/2006/relationships/hyperlink" Id="rId272" Target="https://www.wsj.com/articles/many-comments-critical-of-fiduciary-rule-are-fake-1514370601" TargetMode="External" /><Relationship Type="http://schemas.openxmlformats.org/officeDocument/2006/relationships/hyperlink" Id="rId288" Target="https://yalebooks.yale.edu/book/9780300025927/congress-and-bureaucracy" TargetMode="External" /><Relationship Type="http://schemas.openxmlformats.org/officeDocument/2006/relationships/hyperlink" Id="rId461" Target="{https://graduate.artsci.wustl.edu/emilymoo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2021-06-05T12:43:48Z</dcterms:created>
  <dcterms:modified xsi:type="dcterms:W3CDTF">2021-06-05T12:43:48Z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2021-06-05</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