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68.png" ContentType="image/png"/>
  <Override PartName="/word/media/rId92.png" ContentType="image/png"/>
  <Override PartName="/word/media/rId93.png" ContentType="image/png"/>
  <Override PartName="/word/media/rId57.pdf" ContentType="application/pdf"/>
  <Override PartName="/word/media/rId181.png" ContentType="image/png"/>
  <Override PartName="/word/media/rId179.png" ContentType="image/png"/>
  <Override PartName="/word/media/rId178.png" ContentType="image/png"/>
  <Override PartName="/word/media/rId177.png" ContentType="image/png"/>
  <Override PartName="/word/media/rId200.png" ContentType="image/png"/>
  <Override PartName="/word/media/rId199.png" ContentType="image/png"/>
  <Override PartName="/word/media/rId198.png" ContentType="image/png"/>
  <Override PartName="/word/media/rId204.png" ContentType="image/png"/>
  <Override PartName="/word/media/rId203.png" ContentType="image/png"/>
  <Override PartName="/word/media/rId88.png" ContentType="image/png"/>
  <Override PartName="/word/media/rId186.png" ContentType="image/png"/>
  <Override PartName="/word/media/rId55.png" ContentType="image/png"/>
  <Override PartName="/word/media/rId56.png" ContentType="image/png"/>
  <Override PartName="/word/media/rId75.jpg" ContentType="image/jpeg"/>
  <Override PartName="/word/media/rId37.png" ContentType="image/png"/>
  <Override PartName="/word/media/rId95.png" ContentType="image/png"/>
  <Override PartName="/word/media/rId84.png" ContentType="image/png"/>
  <Override PartName="/word/media/rId137.png" ContentType="image/png"/>
  <Override PartName="/word/media/rId106.png" ContentType="image/png"/>
  <Override PartName="/word/media/rId136.png" ContentType="image/png"/>
  <Override PartName="/word/media/rId150.png" ContentType="image/png"/>
  <Override PartName="/word/media/rId151.png" ContentType="image/png"/>
  <Override PartName="/word/media/rId152.png" ContentType="image/png"/>
  <Override PartName="/word/media/rId141.png" ContentType="image/png"/>
  <Override PartName="/word/media/rId142.png" ContentType="image/png"/>
  <Override PartName="/word/media/rId143.png" ContentType="image/png"/>
  <Override PartName="/word/media/rId153.png" ContentType="image/png"/>
  <Override PartName="/word/media/rId144.png" ContentType="image/png"/>
  <Override PartName="/word/media/rId145.png" ContentType="image/png"/>
  <Override PartName="/word/media/rId155.png" ContentType="image/png"/>
  <Override PartName="/word/media/rId1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2021-04-15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p>
      <w:pPr>
        <w:pStyle w:val="FirstParagraph"/>
      </w:pPr>
      <w:r>
        <w:rPr>
          <w:b/>
        </w:rPr>
        <w:t xml:space="preserve">Timeline:</w:t>
      </w:r>
    </w:p>
    <w:p>
      <w:pPr>
        <w:numPr>
          <w:ilvl w:val="0"/>
          <w:numId w:val="1001"/>
        </w:numPr>
        <w:pStyle w:val="Compact"/>
      </w:pPr>
      <w:r>
        <w:t xml:space="preserve">April 15 - All dissertation writing in one document, with placeholder sections describing</w:t>
      </w:r>
      <w:r>
        <w:t xml:space="preserve"> </w:t>
      </w:r>
      <w:r>
        <w:t xml:space="preserve">“</w:t>
      </w:r>
      <w:r>
        <w:t xml:space="preserve">to-do</w:t>
      </w:r>
      <w:r>
        <w:t xml:space="preserve">”</w:t>
      </w:r>
      <w:r>
        <w:t xml:space="preserve"> </w:t>
      </w:r>
      <w:r>
        <w:t xml:space="preserve">tasks</w:t>
      </w:r>
      <w:r>
        <w:br/>
      </w:r>
    </w:p>
    <w:p>
      <w:pPr>
        <w:numPr>
          <w:ilvl w:val="0"/>
          <w:numId w:val="1001"/>
        </w:numPr>
        <w:pStyle w:val="Compact"/>
      </w:pPr>
      <w:r>
        <w:t xml:space="preserve">April 30 - Draft analyses sent to Alex and Dave using samples of real data</w:t>
      </w:r>
      <w:r>
        <w:br/>
      </w:r>
    </w:p>
    <w:p>
      <w:pPr>
        <w:numPr>
          <w:ilvl w:val="0"/>
          <w:numId w:val="1001"/>
        </w:numPr>
        <w:pStyle w:val="Compact"/>
      </w:pPr>
      <w:r>
        <w:t xml:space="preserve">May 15 - 100% versions of 1st and 3rd empirical chapters</w:t>
      </w:r>
      <w:r>
        <w:br/>
      </w:r>
    </w:p>
    <w:p>
      <w:pPr>
        <w:numPr>
          <w:ilvl w:val="0"/>
          <w:numId w:val="1001"/>
        </w:numPr>
        <w:pStyle w:val="Compact"/>
      </w:pPr>
      <w:r>
        <w:t xml:space="preserve">May 30 - 100% versions of intro and conclusion</w:t>
      </w:r>
      <w:r>
        <w:br/>
      </w:r>
    </w:p>
    <w:p>
      <w:pPr>
        <w:numPr>
          <w:ilvl w:val="0"/>
          <w:numId w:val="1001"/>
        </w:numPr>
        <w:pStyle w:val="Compact"/>
      </w:pPr>
      <w:r>
        <w:t xml:space="preserve">June 13 - Mostly complete draft, including 2nd empirical chapter</w:t>
      </w:r>
      <w:r>
        <w:br/>
      </w:r>
    </w:p>
    <w:p>
      <w:pPr>
        <w:numPr>
          <w:ilvl w:val="0"/>
          <w:numId w:val="1001"/>
        </w:numPr>
        <w:pStyle w:val="Compact"/>
      </w:pPr>
      <w:r>
        <w:t xml:space="preserve">June 30 - Revised complete draft</w:t>
      </w:r>
      <w:r>
        <w:br/>
      </w:r>
    </w:p>
    <w:p>
      <w:pPr>
        <w:numPr>
          <w:ilvl w:val="0"/>
          <w:numId w:val="1001"/>
        </w:numPr>
        <w:pStyle w:val="Compact"/>
      </w:pPr>
      <w:r>
        <w:t xml:space="preserve">July 16 - Final manuscript</w:t>
      </w:r>
    </w:p>
    <w:p>
      <w:pPr>
        <w:pStyle w:val="FirstParagraph"/>
      </w:pPr>
      <w:r>
        <w:rPr>
          <w:b/>
        </w:rPr>
        <w:t xml:space="preserve">TODO List</w:t>
      </w:r>
    </w:p>
    <w:p>
      <w:pPr>
        <w:numPr>
          <w:ilvl w:val="0"/>
          <w:numId w:val="1002"/>
        </w:numPr>
      </w:pPr>
      <w:r>
        <w:t xml:space="preserve">☐ Redo figures for chapter 1 with new data</w:t>
      </w:r>
    </w:p>
    <w:p>
      <w:pPr>
        <w:numPr>
          <w:ilvl w:val="0"/>
          <w:numId w:val="1002"/>
        </w:numPr>
      </w:pPr>
      <w:r>
        <w:t xml:space="preserve">☐ Rewrite chapter 1 to better introduce data and theories</w:t>
      </w:r>
    </w:p>
    <w:p>
      <w:pPr>
        <w:pStyle w:val="FirstParagraph"/>
      </w:pPr>
      <w:r>
        <w:t xml:space="preserve">Chapter 2:</w:t>
      </w:r>
    </w:p>
    <w:p>
      <w:pPr>
        <w:numPr>
          <w:ilvl w:val="0"/>
          <w:numId w:val="1003"/>
        </w:numPr>
      </w:pPr>
      <w:r>
        <w:t xml:space="preserve">☐ Final pass of intro and theory sections to align with the</w:t>
      </w:r>
      <w:r>
        <w:t xml:space="preserve"> </w:t>
      </w:r>
      <w:r>
        <w:t xml:space="preserve">“</w:t>
      </w:r>
      <w:r>
        <w:t xml:space="preserve">public interest or astroturf?</w:t>
      </w:r>
      <w:r>
        <w:t xml:space="preserve">”</w:t>
      </w:r>
      <w:r>
        <w:t xml:space="preserve"> </w:t>
      </w:r>
      <w:r>
        <w:t xml:space="preserve">frame</w:t>
      </w:r>
    </w:p>
    <w:p>
      <w:pPr>
        <w:numPr>
          <w:ilvl w:val="0"/>
          <w:numId w:val="1003"/>
        </w:numPr>
      </w:pPr>
      <w:r>
        <w:t xml:space="preserve">☐ Rewrite data, methods, and conclusion of chapter 2 to align with that frame</w:t>
      </w:r>
    </w:p>
    <w:p>
      <w:pPr>
        <w:pStyle w:val="FirstParagraph"/>
      </w:pPr>
      <w:r>
        <w:t xml:space="preserve">Chapter 3:</w:t>
      </w:r>
    </w:p>
    <w:p>
      <w:pPr>
        <w:numPr>
          <w:ilvl w:val="0"/>
          <w:numId w:val="1004"/>
        </w:numPr>
      </w:pPr>
      <w:r>
        <w:t xml:space="preserve">☐ Finish integrating the middle two empirical chapters into one chapter that will address both the participation of members of congress in rulemaking and the relationship between mass commenting and lobbying success.</w:t>
      </w:r>
    </w:p>
    <w:p>
      <w:pPr>
        <w:numPr>
          <w:ilvl w:val="0"/>
          <w:numId w:val="1004"/>
        </w:numPr>
      </w:pPr>
      <w:r>
        <w:t xml:space="preserve">☐ Update hand-coded analysis with non-mass comment sample of rules</w:t>
      </w:r>
    </w:p>
    <w:p>
      <w:pPr>
        <w:numPr>
          <w:ilvl w:val="0"/>
          <w:numId w:val="1004"/>
        </w:numPr>
      </w:pPr>
      <w:r>
        <w:t xml:space="preserve">☐ Add section on validation of automated methods</w:t>
      </w:r>
    </w:p>
    <w:p>
      <w:pPr>
        <w:pStyle w:val="FirstParagraph"/>
      </w:pPr>
      <w:r>
        <w:t xml:space="preserve">Chapter 4: minor to-do list here:</w:t>
      </w:r>
      <w:r>
        <w:t xml:space="preserve"> </w:t>
      </w:r>
      <w:hyperlink r:id="rId20">
        <w:r>
          <w:rPr>
            <w:rStyle w:val="Hyperlink"/>
          </w:rPr>
          <w:t xml:space="preserve">https://judgelord.github.io/dissertation/ej-appendix#TODO</w:t>
        </w:r>
      </w:hyperlink>
    </w:p>
    <w:p>
      <w:pPr>
        <w:pStyle w:val="BodyText"/>
      </w:pPr>
      <w:r>
        <w:t xml:space="preserve">Chapter 5:</w:t>
      </w:r>
    </w:p>
    <w:p>
      <w:pPr>
        <w:numPr>
          <w:ilvl w:val="0"/>
          <w:numId w:val="1005"/>
        </w:numPr>
        <w:pStyle w:val="Compact"/>
      </w:pPr>
      <w:r>
        <w:t xml:space="preserve">☐ Major re-write in light of findings</w:t>
      </w:r>
    </w:p>
    <w:p>
      <w:r>
        <w:br w:type="page"/>
      </w:r>
    </w:p>
    <w:p>
      <w:pPr>
        <w:pStyle w:val="Heading1"/>
      </w:pPr>
      <w:bookmarkStart w:id="21" w:name="introduction"/>
      <w:r>
        <w:t xml:space="preserve">Introduction</w:t>
      </w:r>
      <w:bookmarkEnd w:id="21"/>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campaings. Thus, understnding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(Wagner et al.</w:t>
      </w:r>
      <w:r>
        <w:t xml:space="preserve"> </w:t>
      </w:r>
      <w:hyperlink w:anchor="ref-Wagner2017">
        <w:r>
          <w:rPr>
            <w:rStyle w:val="Hyperlink"/>
          </w:rPr>
          <w:t xml:space="preserve">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w:t>
      </w:r>
      <w:r>
        <w:t xml:space="preserve"> </w:t>
      </w:r>
      <w:r>
        <w:t xml:space="preserve">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w:t>
      </w:r>
      <w:r>
        <w:t xml:space="preserve"> </w:t>
      </w:r>
      <w:r>
        <w:t xml:space="preserve">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r>
        <w:rPr>
          <w:rStyle w:val="FootnoteReference"/>
        </w:rPr>
        <w:footnoteReference w:id="23"/>
      </w:r>
      <w:r>
        <w:t xml:space="preserve"> </w:t>
      </w: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rPr>
          <w:rStyle w:val="FootnoteReference"/>
        </w:rPr>
        <w:footnoteReference w:id="24"/>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(Yackee</w:t>
      </w:r>
      <w:r>
        <w:t xml:space="preserve"> </w:t>
      </w:r>
      <w:hyperlink w:anchor="ref-Yackee2015JPART">
        <w:r>
          <w:rPr>
            <w:rStyle w:val="Hyperlink"/>
          </w:rPr>
          <w:t xml:space="preserve">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Libgober</w:t>
      </w:r>
      <w:r>
        <w:t xml:space="preserve"> </w:t>
      </w:r>
      <w:hyperlink w:anchor="ref-Libgober2018">
        <w:r>
          <w:rPr>
            <w:rStyle w:val="Hyperlink"/>
          </w:rPr>
          <w:t xml:space="preserve">2018</w:t>
        </w:r>
      </w:hyperlink>
      <w:r>
        <w:t xml:space="preserve">; Moore</w:t>
      </w:r>
      <w:r>
        <w:t xml:space="preserve"> </w:t>
      </w:r>
      <w:hyperlink w:anchor="ref-Moore2017">
        <w:r>
          <w:rPr>
            <w:rStyle w:val="Hyperlink"/>
          </w:rPr>
          <w:t xml:space="preserve">2017</w:t>
        </w:r>
      </w:hyperlink>
      <w:r>
        <w:t xml:space="preserve">)</w:t>
      </w:r>
      <w:r>
        <w:t xml:space="preserve">, but the relationship</w:t>
      </w:r>
      <w:r>
        <w:t xml:space="preserve"> </w:t>
      </w:r>
      <w:r>
        <w:t xml:space="preserve">between the scale of public engagement and policy change remains</w:t>
      </w:r>
      <w:r>
        <w:t xml:space="preserve"> </w:t>
      </w:r>
      <w:r>
        <w:t xml:space="preserve">untested.</w:t>
      </w:r>
    </w:p>
    <w:p>
      <w:pPr>
        <w:pStyle w:val="Heading2"/>
      </w:pPr>
      <w:bookmarkStart w:id="25" w:name="motivation"/>
      <w:r>
        <w:t xml:space="preserve">Motivation</w:t>
      </w:r>
      <w:bookmarkEnd w:id="25"/>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do not explain 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(Farina et al.</w:t>
      </w:r>
      <w:r>
        <w:t xml:space="preserve"> </w:t>
      </w:r>
      <w:hyperlink w:anchor="ref-Farina2011">
        <w:r>
          <w:rPr>
            <w:rStyle w:val="Hyperlink"/>
          </w:rPr>
          <w:t xml:space="preserve">2011</w:t>
        </w:r>
      </w:hyperlink>
      <w:r>
        <w:t xml:space="preserve">; Farina, Newhart, and Heidt</w:t>
      </w:r>
      <w:r>
        <w:t xml:space="preserve"> </w:t>
      </w:r>
      <w:hyperlink w:anchor="ref-Farina2014">
        <w:r>
          <w:rPr>
            <w:rStyle w:val="Hyperlink"/>
          </w:rPr>
          <w:t xml:space="preserve">2014</w:t>
        </w:r>
      </w:hyperlink>
      <w:r>
        <w:t xml:space="preserve">; Rauch</w:t>
      </w:r>
      <w:r>
        <w:t xml:space="preserve"> </w:t>
      </w:r>
      <w:hyperlink w:anchor="ref-Rauch2016">
        <w:r>
          <w:rPr>
            <w:rStyle w:val="Hyperlink"/>
          </w:rPr>
          <w:t xml:space="preserve">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(Farina</w:t>
      </w:r>
      <w:r>
        <w:t xml:space="preserve"> </w:t>
      </w:r>
      <w:hyperlink w:anchor="ref-Farina2018">
        <w:r>
          <w:rPr>
            <w:rStyle w:val="Hyperlink"/>
          </w:rPr>
          <w:t xml:space="preserve">2018</w:t>
        </w:r>
      </w:hyperlink>
      <w:r>
        <w:t xml:space="preserve">)</w:t>
      </w:r>
      <w:r>
        <w:t xml:space="preserve">, and whether broad engagement is</w:t>
      </w:r>
      <w:r>
        <w:t xml:space="preserve"> </w:t>
      </w:r>
      <w:r>
        <w:t xml:space="preserve">even desirable on all rules</w:t>
      </w:r>
      <w:r>
        <w:t xml:space="preserve"> </w:t>
      </w:r>
      <w:r>
        <w:t xml:space="preserve">(White</w:t>
      </w:r>
      <w:r>
        <w:t xml:space="preserve"> </w:t>
      </w:r>
      <w:hyperlink w:anchor="ref-White2018">
        <w:r>
          <w:rPr>
            <w:rStyle w:val="Hyperlink"/>
          </w:rPr>
          <w:t xml:space="preserve">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r>
        <w:t xml:space="preserve">Mendelson (</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(Coglianese</w:t>
      </w:r>
      <w:r>
        <w:t xml:space="preserve"> </w:t>
      </w:r>
      <w:hyperlink w:anchor="ref-Coglianese2006">
        <w:r>
          <w:rPr>
            <w:rStyle w:val="Hyperlink"/>
          </w:rPr>
          <w:t xml:space="preserve">2006</w:t>
        </w:r>
      </w:hyperlink>
      <w:r>
        <w:t xml:space="preserve">)</w:t>
      </w:r>
      <w:r>
        <w:t xml:space="preserve">.</w:t>
      </w:r>
      <w:r>
        <w:t xml:space="preserve"> </w:t>
      </w:r>
      <w:r>
        <w:t xml:space="preserve">Farina et al. (</w:t>
      </w:r>
      <w:hyperlink w:anchor="ref-Farina2012">
        <w:r>
          <w:rPr>
            <w:rStyle w:val="Hyperlink"/>
          </w:rPr>
          <w:t xml:space="preserve">2012</w:t>
        </w:r>
      </w:hyperlink>
      <w:r>
        <w:t xml:space="preserve">, 112)</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(Balla et al.</w:t>
      </w:r>
      <w:r>
        <w:t xml:space="preserve"> </w:t>
      </w:r>
      <w:hyperlink w:anchor="ref-Balla2018">
        <w:r>
          <w:rPr>
            <w:rStyle w:val="Hyperlink"/>
          </w:rPr>
          <w:t xml:space="preserve">2018</w:t>
        </w:r>
      </w:hyperlink>
      <w:r>
        <w:t xml:space="preserve">; Noveck</w:t>
      </w:r>
      <w:r>
        <w:t xml:space="preserve"> </w:t>
      </w:r>
      <w:hyperlink w:anchor="ref-Noveck2004">
        <w:r>
          <w:rPr>
            <w:rStyle w:val="Hyperlink"/>
          </w:rPr>
          <w:t xml:space="preserve">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r>
        <w:t xml:space="preserve">Herz (</w:t>
      </w:r>
      <w:hyperlink w:anchor="ref-Herz2016">
        <w:r>
          <w:rPr>
            <w:rStyle w:val="Hyperlink"/>
          </w:rPr>
          <w:t xml:space="preserve">2016</w:t>
        </w:r>
      </w:hyperlink>
      <w:r>
        <w:t xml:space="preserve">, 208)</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r>
        <w:t xml:space="preserve">Epstein, Heidt, and Farina (</w:t>
      </w:r>
      <w:hyperlink w:anchor="ref-Epstein2014">
        <w:r>
          <w:rPr>
            <w:rStyle w:val="Hyperlink"/>
          </w:rPr>
          <w:t xml:space="preserve">2014</w:t>
        </w:r>
      </w:hyperlink>
      <w:r>
        <w:t xml:space="preserve">, 4)</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(ACUS</w:t>
      </w:r>
      <w:r>
        <w:t xml:space="preserve"> </w:t>
      </w:r>
      <w:hyperlink w:anchor="ref-ACUS2018">
        <w:r>
          <w:rPr>
            <w:rStyle w:val="Hyperlink"/>
          </w:rPr>
          <w:t xml:space="preserve">2018</w:t>
        </w:r>
      </w:hyperlink>
      <w:r>
        <w:t xml:space="preserve">, 33)</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(Johnson</w:t>
      </w:r>
      <w:r>
        <w:t xml:space="preserve"> </w:t>
      </w:r>
      <w:hyperlink w:anchor="ref-Johnson1998">
        <w:r>
          <w:rPr>
            <w:rStyle w:val="Hyperlink"/>
          </w:rPr>
          <w:t xml:space="preserve">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r>
        <w:t xml:space="preserve">Coglianese (</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(Sunstein</w:t>
      </w:r>
      <w:r>
        <w:t xml:space="preserve"> </w:t>
      </w:r>
      <w:hyperlink w:anchor="ref-Sunstein2001">
        <w:r>
          <w:rPr>
            <w:rStyle w:val="Hyperlink"/>
          </w:rPr>
          <w:t xml:space="preserve">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(Cuéllar</w:t>
      </w:r>
      <w:r>
        <w:t xml:space="preserve"> </w:t>
      </w:r>
      <w:hyperlink w:anchor="ref-Cuellar2014">
        <w:r>
          <w:rPr>
            <w:rStyle w:val="Hyperlink"/>
          </w:rPr>
          <w:t xml:space="preserve">2014</w:t>
        </w:r>
      </w:hyperlink>
      <w:r>
        <w:t xml:space="preserve">; Johnson</w:t>
      </w:r>
      <w:r>
        <w:t xml:space="preserve"> </w:t>
      </w:r>
      <w:hyperlink w:anchor="ref-Johnson2013">
        <w:r>
          <w:rPr>
            <w:rStyle w:val="Hyperlink"/>
          </w:rPr>
          <w:t xml:space="preserve">2013</w:t>
        </w:r>
      </w:hyperlink>
      <w:r>
        <w:t xml:space="preserve">)</w:t>
      </w:r>
      <w:r>
        <w:t xml:space="preserve">. For example, Beth Simone Noveck</w:t>
      </w:r>
      <w:r>
        <w:t xml:space="preserve"> </w:t>
      </w:r>
      <w:r>
        <w:t xml:space="preserve">(Noveck</w:t>
      </w:r>
      <w:r>
        <w:t xml:space="preserve"> </w:t>
      </w:r>
      <w:hyperlink w:anchor="ref-Noveck2004">
        <w:r>
          <w:rPr>
            <w:rStyle w:val="Hyperlink"/>
          </w:rPr>
          <w:t xml:space="preserve">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r>
        <w:t xml:space="preserve">Noveck (</w:t>
      </w:r>
      <w:hyperlink w:anchor="ref-Noveck2005">
        <w:r>
          <w:rPr>
            <w:rStyle w:val="Hyperlink"/>
          </w:rPr>
          <w:t xml:space="preserve">2005</w:t>
        </w:r>
      </w:hyperlink>
      <w:r>
        <w:t xml:space="preserve">, 3)</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6"/>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(Noveck</w:t>
      </w:r>
      <w:r>
        <w:t xml:space="preserve"> </w:t>
      </w:r>
      <w:hyperlink w:anchor="ref-Noveck2009">
        <w:r>
          <w:rPr>
            <w:rStyle w:val="Hyperlink"/>
          </w:rPr>
          <w:t xml:space="preserve">2009</w:t>
        </w:r>
      </w:hyperlink>
      <w:r>
        <w:t xml:space="preserve">)</w:t>
      </w:r>
      <w:r>
        <w:t xml:space="preserve">, I ask whether it may also connect the power of the many</w:t>
      </w:r>
      <w:r>
        <w:t xml:space="preserve"> </w:t>
      </w:r>
      <w:r>
        <w:t xml:space="preserve">to the decisions of the few.</w:t>
      </w:r>
    </w:p>
    <w:p>
      <w:pPr>
        <w:pStyle w:val="Heading2"/>
      </w:pPr>
      <w:bookmarkStart w:id="27" w:name="outline-of-the-book"/>
      <w:r>
        <w:t xml:space="preserve">Outline of the book</w:t>
      </w:r>
      <w:bookmarkEnd w:id="27"/>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
        </w:rPr>
        <w:t xml:space="preserve">Chapter 1</w:t>
      </w:r>
      <w:r>
        <w:rPr>
          <w:b/>
        </w:rPr>
        <w:t xml:space="preserve"> </w:t>
      </w:r>
      <w:r>
        <w:rPr>
          <w:b/>
        </w:rPr>
        <w:t xml:space="preserve">“</w:t>
      </w:r>
      <w:r>
        <w:rPr>
          <w:b/>
        </w:rPr>
        <w:t xml:space="preserve">Agency Rulemaking in American Politics</w:t>
      </w:r>
      <w:r>
        <w:rPr>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
        </w:rPr>
        <w:t xml:space="preserve">Chapter 2</w:t>
      </w:r>
      <w:r>
        <w:rPr>
          <w:b/>
        </w:rPr>
        <w:t xml:space="preserve"> </w:t>
      </w:r>
      <w:r>
        <w:rPr>
          <w:b/>
        </w:rPr>
        <w:t xml:space="preserve">“</w:t>
      </w:r>
      <w:r>
        <w:rPr>
          <w:b/>
        </w:rPr>
        <w:t xml:space="preserve">Why Do Agencies (Sometimes) Get So Much Mail?</w:t>
      </w:r>
      <w:r>
        <w:rPr>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BodyText"/>
      </w:pPr>
      <w:r>
        <w:rPr>
          <w:b/>
        </w:rPr>
        <w:t xml:space="preserve">Chapter 3</w:t>
      </w:r>
      <w:r>
        <w:rPr>
          <w:b/>
        </w:rPr>
        <w:t xml:space="preserve"> </w:t>
      </w:r>
      <w:r>
        <w:rPr>
          <w:b/>
        </w:rPr>
        <w:t xml:space="preserve">“</w:t>
      </w:r>
      <w:r>
        <w:rPr>
          <w:b/>
        </w:rPr>
        <w:t xml:space="preserve">Do Public Pressure Campaigns Influence Congressional Oversight?</w:t>
      </w:r>
      <w:r>
        <w:rPr>
          <w:b/>
        </w:rPr>
        <w:t xml:space="preserve">”</w:t>
      </w:r>
      <w:r>
        <w:t xml:space="preserve"> </w:t>
      </w:r>
      <w:r>
        <w:t xml:space="preserve">examines the effect of public pressure campaigns on whether legislators are more likely to engage in rulemaking. This involves collecting and coding thousands of comments from Members of Congress on proposed rules with and without public pressure campaigns. These data also allow me to assess congressional oversight as a mediator in policy influence, i.e., the extent to which public pressure campaigns affect policy indirectly through their effects on legislators’ oversight behaviors.</w:t>
      </w:r>
    </w:p>
    <w:p>
      <w:pPr>
        <w:pStyle w:val="BodyText"/>
      </w:pPr>
      <w:r>
        <w:rPr>
          <w:b/>
        </w:rPr>
        <w:t xml:space="preserve">Chapter 4</w:t>
      </w:r>
      <w:r>
        <w:rPr>
          <w:b/>
        </w:rPr>
        <w:t xml:space="preserve"> </w:t>
      </w:r>
      <w:r>
        <w:rPr>
          <w:b/>
        </w:rPr>
        <w:t xml:space="preserve">“</w:t>
      </w:r>
      <w:r>
        <w:rPr>
          <w:b/>
        </w:rPr>
        <w:t xml:space="preserve">Do Public Pressure Campaigns Influence Policy?</w:t>
      </w:r>
      <w:r>
        <w:rPr>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100 rules with a mass-comment campaign and 100 rules without a mass-comment campaign, hand-coded for whether each coalition got the policy outcome they sought. Finally, I assess potential mechanisms by which mass public engagement may affect policy.</w:t>
      </w:r>
    </w:p>
    <w:p>
      <w:pPr>
        <w:pStyle w:val="BodyText"/>
      </w:pPr>
      <w:r>
        <w:rPr>
          <w:b/>
        </w:rPr>
        <w:t xml:space="preserve">Chapter 5</w:t>
      </w:r>
      <w:r>
        <w:rPr>
          <w:b/>
        </w:rPr>
        <w:t xml:space="preserve"> </w:t>
      </w:r>
      <w:r>
        <w:rPr>
          <w:b/>
        </w:rPr>
        <w:t xml:space="preserve">“</w:t>
      </w:r>
      <w:r>
        <w:rPr>
          <w:b/>
        </w:rPr>
        <w:t xml:space="preserve">The Environmental Justice Movement and Technocratic Policymaking</w:t>
      </w:r>
      <w:r>
        <w:rPr>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Heading1"/>
      </w:pPr>
      <w:bookmarkStart w:id="28" w:name="macro"/>
      <w:r>
        <w:t xml:space="preserve">1	Agency Rulemaking in American Politics</w:t>
      </w:r>
      <w:bookmarkEnd w:id="28"/>
    </w:p>
    <w:p>
      <w:pPr>
        <w:pStyle w:val="Heading2"/>
      </w:pPr>
      <w:bookmarkStart w:id="29" w:name="macro-intro"/>
      <w:r>
        <w:t xml:space="preserve">1.1	Introduction</w:t>
      </w:r>
      <w:bookmarkEnd w:id="29"/>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Ninety percent of U.S. law is now written by agencies rather than Congress</w:t>
      </w:r>
      <w:r>
        <w:t xml:space="preserve"> </w:t>
      </w:r>
      <w:r>
        <w:t xml:space="preserve">(West and Raso</w:t>
      </w:r>
      <w:r>
        <w:t xml:space="preserve"> </w:t>
      </w:r>
      <w:hyperlink w:anchor="ref-West2013">
        <w:r>
          <w:rPr>
            <w:rStyle w:val="Hyperlink"/>
          </w:rPr>
          <w:t xml:space="preserve">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the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p>
      <w:pPr>
        <w:pStyle w:val="Heading3"/>
      </w:pPr>
      <w:bookmarkStart w:id="30" w:name="patterns-in-policy-issues"/>
      <w:r>
        <w:t xml:space="preserve">1.1.1	Patterns in Policy Issues</w:t>
      </w:r>
      <w:bookmarkEnd w:id="30"/>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but do not perfectly align with how the government is organized, thus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p>
      <w:pPr>
        <w:pStyle w:val="Heading3"/>
      </w:pPr>
      <w:bookmarkStart w:id="31" w:name="party-control-and-policy-issues"/>
      <w:r>
        <w:t xml:space="preserve">1.1.2	Party Control and Policy Issues</w:t>
      </w:r>
      <w:bookmarkEnd w:id="31"/>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Still, partisan control of Congress also matters</w:t>
      </w:r>
      <w:r>
        <w:t xml:space="preserve"> </w:t>
      </w:r>
      <w:r>
        <w:t xml:space="preserve">(J. W. Yackee and Yackee</w:t>
      </w:r>
      <w:r>
        <w:t xml:space="preserv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 especially when Congress is making policy</w:t>
      </w:r>
      <w:r>
        <w:t xml:space="preserve"> </w:t>
      </w:r>
      <w:r>
        <w:t xml:space="preserve">(West and Raso</w:t>
      </w:r>
      <w:r>
        <w:t xml:space="preserve"> </w:t>
      </w:r>
      <w:hyperlink w:anchor="ref-West2013">
        <w:r>
          <w:rPr>
            <w:rStyle w:val="Hyperlink"/>
          </w:rPr>
          <w:t xml:space="preserve">2013</w:t>
        </w:r>
      </w:hyperlink>
      <w:r>
        <w:t xml:space="preserve">)</w:t>
      </w:r>
      <w:r>
        <w:t xml:space="preserve"> </w:t>
      </w:r>
      <w:r>
        <w:t xml:space="preserve">or when agencies fear that a hostile Congress will override their policies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We may think of agency policymaking as consistently affected by presidential agendas, with Congress providing shocks and constraints.</w:t>
      </w:r>
    </w:p>
    <w:p>
      <w:pPr>
        <w:pStyle w:val="BodyText"/>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r>
        <w:t xml:space="preserve">Gerring (</w:t>
      </w:r>
      <w:hyperlink w:anchor="ref-Gerring1998">
        <w:r>
          <w:rPr>
            <w:rStyle w:val="Hyperlink"/>
          </w:rPr>
          <w:t xml:space="preserve">1998</w:t>
        </w:r>
      </w:hyperlink>
      <w:r>
        <w:t xml:space="preserve">)</w:t>
      </w:r>
      <w:r>
        <w:t xml:space="preserve">) and theories of party coalitions</w:t>
      </w:r>
      <w:r>
        <w:t xml:space="preserve"> </w:t>
      </w:r>
      <w:r>
        <w:t xml:space="preserve">(Schlozman</w:t>
      </w:r>
      <w:r>
        <w:t xml:space="preserve"> </w:t>
      </w:r>
      <w:hyperlink w:anchor="ref-Schlozman2015">
        <w:r>
          <w:rPr>
            <w:rStyle w:val="Hyperlink"/>
          </w:rPr>
          <w:t xml:space="preserve">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(Carmines and Stimson</w:t>
      </w:r>
      <w:r>
        <w:t xml:space="preserve"> </w:t>
      </w:r>
      <w:hyperlink w:anchor="ref-Carmines1989">
        <w:r>
          <w:rPr>
            <w:rStyle w:val="Hyperlink"/>
          </w:rPr>
          <w:t xml:space="preserve">1989</w:t>
        </w:r>
      </w:hyperlink>
      <w:r>
        <w:t xml:space="preserve">)</w:t>
      </w:r>
      <w:r>
        <w:t xml:space="preserve"> </w:t>
      </w:r>
      <w:r>
        <w:t xml:space="preserve">with critical elections perspectives</w:t>
      </w:r>
      <w:r>
        <w:t xml:space="preserve"> </w:t>
      </w:r>
      <w:r>
        <w:t xml:space="preserve">(Key</w:t>
      </w:r>
      <w:r>
        <w:t xml:space="preserve"> </w:t>
      </w:r>
      <w:hyperlink w:anchor="ref-Key1961">
        <w:r>
          <w:rPr>
            <w:rStyle w:val="Hyperlink"/>
          </w:rPr>
          <w:t xml:space="preserve">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(Carpenter</w:t>
      </w:r>
      <w:r>
        <w:t xml:space="preserve"> </w:t>
      </w:r>
      <w:hyperlink w:anchor="ref-Carpenter2001">
        <w:r>
          <w:rPr>
            <w:rStyle w:val="Hyperlink"/>
          </w:rPr>
          <w:t xml:space="preserve">2001</w:t>
        </w:r>
      </w:hyperlink>
      <w:r>
        <w:t xml:space="preserve">)</w:t>
      </w:r>
      <w:r>
        <w:t xml:space="preserve">, but the broad policy area should be the same.</w:t>
      </w:r>
    </w:p>
    <w:p>
      <w:pPr>
        <w:pStyle w:val="BodyText"/>
      </w:pPr>
      <w:r>
        <w:t xml:space="preserve">In contrast, for theories of party ideologies and party coalitions, party control should determine which issues are attended to. Thus, partisan control should have a much larger effect on which agencies are making more policy. This may occur through positive agenda control that the President has to direct agency policymaking or negative agenda control the President has through the Office of Information and Regulatory Affairs review</w:t>
      </w:r>
      <w:r>
        <w:t xml:space="preserve"> </w:t>
      </w:r>
      <w:r>
        <w:t xml:space="preserve">(Haeder and Yackee</w:t>
      </w:r>
      <w:r>
        <w:t xml:space="preserve"> </w:t>
      </w:r>
      <w:hyperlink w:anchor="ref-Haeder2015">
        <w:r>
          <w:rPr>
            <w:rStyle w:val="Hyperlink"/>
          </w:rPr>
          <w:t xml:space="preserve">2015</w:t>
        </w:r>
      </w:hyperlink>
      <w:r>
        <w:t xml:space="preserve">; 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Negative agenda control is likely to dominate in Congress</w:t>
      </w:r>
      <w:r>
        <w:t xml:space="preserve"> </w:t>
      </w:r>
      <w:r>
        <w:t xml:space="preserve">(Cox and McCubbins</w:t>
      </w:r>
      <w:r>
        <w:t xml:space="preserve"> </w:t>
      </w:r>
      <w:hyperlink w:anchor="ref-Cox2005">
        <w:r>
          <w:rPr>
            <w:rStyle w:val="Hyperlink"/>
          </w:rPr>
          <w:t xml:space="preserve">2005</w:t>
        </w:r>
      </w:hyperlink>
      <w:r>
        <w:t xml:space="preserve">)</w:t>
      </w:r>
      <w:r>
        <w:t xml:space="preserve">, but the threat of Congressional action may be sufficient to influence agency policymaking</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w:t>
      </w:r>
    </w:p>
    <w:p>
      <w:pPr>
        <w:pStyle w:val="Heading4"/>
      </w:pPr>
      <w:bookmarkStart w:id="32" w:name="the-implications-of-partisan-alignment"/>
      <w:r>
        <w:t xml:space="preserve">1.1.2.1	The implications of partisan alignment</w:t>
      </w:r>
      <w:bookmarkEnd w:id="32"/>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Almost all prominent alignment theories, however,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p>
      <w:pPr>
        <w:pStyle w:val="Heading4"/>
      </w:pPr>
      <w:bookmarkStart w:id="33" w:name="X5cf4661fc7c5300fc7912a6d4d83c9ba3081329"/>
      <w:r>
        <w:t xml:space="preserve">1.1.2.2	The implications of issue ownership and party coalitions</w:t>
      </w:r>
      <w:bookmarkEnd w:id="33"/>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(Gerring</w:t>
      </w:r>
      <w:r>
        <w:t xml:space="preserve"> </w:t>
      </w:r>
      <w:hyperlink w:anchor="ref-Gerring1998">
        <w:r>
          <w:rPr>
            <w:rStyle w:val="Hyperlink"/>
          </w:rPr>
          <w:t xml:space="preserve">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core of the platform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r>
        <w:t xml:space="preserve">Gerring (</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(Cohen et al.</w:t>
      </w:r>
      <w:r>
        <w:t xml:space="preserve"> </w:t>
      </w:r>
      <w:hyperlink w:anchor="ref-Cohen2008">
        <w:r>
          <w:rPr>
            <w:rStyle w:val="Hyperlink"/>
          </w:rPr>
          <w:t xml:space="preserve">2008</w:t>
        </w:r>
      </w:hyperlink>
      <w:r>
        <w:t xml:space="preserve">; DiSalvo</w:t>
      </w:r>
      <w:r>
        <w:t xml:space="preserve"> </w:t>
      </w:r>
      <w:hyperlink w:anchor="ref-DiSalvo2012">
        <w:r>
          <w:rPr>
            <w:rStyle w:val="Hyperlink"/>
          </w:rPr>
          <w:t xml:space="preserve">2012</w:t>
        </w:r>
      </w:hyperlink>
      <w:r>
        <w:t xml:space="preserve">)</w:t>
      </w:r>
      <w:r>
        <w:t xml:space="preserve">, the issues to which they attend will reflect these different coalitions. Disalvo shares Gerring’s conclusion regarding the anti-statism of the Republican party. Most clearly,</w:t>
      </w:r>
      <w:r>
        <w:t xml:space="preserve"> </w:t>
      </w:r>
      <w:r>
        <w:t xml:space="preserve">Schlozman (</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p>
      <w:pPr>
        <w:pStyle w:val="Heading3"/>
      </w:pPr>
      <w:bookmarkStart w:id="34" w:name="X1ce17baf1a0c0d807c128a93dbf1f99fdf0a0bb"/>
      <w:r>
        <w:t xml:space="preserve">1.1.3	Policymaking and Policy Outcomes On Different Issues</w:t>
      </w:r>
      <w:bookmarkEnd w:id="34"/>
    </w:p>
    <w:p>
      <w:pPr>
        <w:pStyle w:val="FirstParagraph"/>
      </w:pPr>
      <w:r>
        <w:rPr>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in the years between 1980 and 1992 and a pattern of punctuated equilibrium after 1992. Such patterns of policymaking should be visible in patterns of rulemaking. Importantly,</w:t>
      </w:r>
      <w:r>
        <w:t xml:space="preserve"> </w:t>
      </w:r>
      <w:r>
        <w:rPr>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One aim of this chapter is to assess the extent to which patterns of agency policymaking fit these patterns.</w:t>
      </w:r>
      <w:r>
        <w:rPr>
          <w:rStyle w:val="FootnoteReference"/>
        </w:rPr>
        <w:footnoteReference w:id="35"/>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the focus on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p>
      <w:pPr>
        <w:pStyle w:val="Heading2"/>
      </w:pPr>
      <w:bookmarkStart w:id="36" w:name="methods-and-data"/>
      <w:r>
        <w:t xml:space="preserve">1.2	Methods and Data</w:t>
      </w:r>
      <w:bookmarkEnd w:id="36"/>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agenda of the President.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really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p>
      <w:pPr>
        <w:pStyle w:val="BodyText"/>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4064000" cy="40640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1.1: Number of Final Rules Published per Year</w:t>
      </w:r>
    </w:p>
    <w:p>
      <w:pPr>
        <w:pStyle w:val="Heading3"/>
      </w:pPr>
      <w:bookmarkStart w:id="38" w:name="scatterplots-of-rulemaking"/>
      <w:r>
        <w:t xml:space="preserve">1.2.1	Scatterplots of Rulemaking</w:t>
      </w:r>
      <w:bookmarkEnd w:id="38"/>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4064000" cy="40640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p>
      <w:pPr>
        <w:pStyle w:val="Heading3"/>
      </w:pPr>
      <w:bookmarkStart w:id="39" w:name="the-likelihood-of-rulemaking-over-time"/>
      <w:r>
        <w:t xml:space="preserve">1.2.2	The Likelihood of Rulemaking over Time</w:t>
      </w:r>
      <w:bookmarkEnd w:id="39"/>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w:t>
      </w:r>
      <w:r>
        <w:t xml:space="preserve">).</w:t>
      </w:r>
    </w:p>
    <w:p>
      <w:pPr>
        <w:pStyle w:val="CaptionedFigure"/>
      </w:pPr>
      <w:r>
        <w:drawing>
          <wp:inline>
            <wp:extent cx="4064000" cy="40640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p>
      <w:pPr>
        <w:pStyle w:val="Heading2"/>
      </w:pPr>
      <w:bookmarkStart w:id="40" w:name="policy-substance-in-regulations"/>
      <w:r>
        <w:t xml:space="preserve">1.3	Policy Substance in Regulations</w:t>
      </w:r>
      <w:bookmarkEnd w:id="40"/>
    </w:p>
    <w:p>
      <w:pPr>
        <w:pStyle w:val="FirstParagraph"/>
      </w:pPr>
      <w:r>
        <w:t xml:space="preserve">This section presents selected figures and brief commentary on the extent to which patterns observed in rulemaking fit or conflict with those observed elsewhere in the American political system.</w:t>
      </w:r>
    </w:p>
    <w:p>
      <w:pPr>
        <w:pStyle w:val="Heading3"/>
      </w:pPr>
      <w:bookmarkStart w:id="41" w:name="Xc5b98228f2563943866ac62df093f053e2dc718"/>
      <w:r>
        <w:t xml:space="preserve">1.3.1	Social Policy, Economic Policy, and Foreign Policy</w:t>
      </w:r>
      <w:bookmarkEnd w:id="41"/>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4064000" cy="40640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r>
        <w:t xml:space="preserve">Farhang and Yaver (</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4064000" cy="40640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p>
      <w:pPr>
        <w:pStyle w:val="Heading3"/>
      </w:pPr>
      <w:bookmarkStart w:id="42" w:name="labor-and-welfare"/>
      <w:r>
        <w:t xml:space="preserve">1.3.2	Labor and Welfare</w:t>
      </w:r>
      <w:bookmarkEnd w:id="42"/>
    </w:p>
    <w:p>
      <w:pPr>
        <w:pStyle w:val="FirstParagraph"/>
      </w:pPr>
      <w:r>
        <w:t xml:space="preserve">A connection between labor and the Democratic party</w:t>
      </w:r>
      <w:r>
        <w:t xml:space="preserve"> </w:t>
      </w:r>
      <w:r>
        <w:t xml:space="preserve">(Schlozman</w:t>
      </w:r>
      <w:r>
        <w:t xml:space="preserve"> </w:t>
      </w:r>
      <w:hyperlink w:anchor="ref-Schlozman2015">
        <w:r>
          <w:rPr>
            <w:rStyle w:val="Hyperlink"/>
          </w:rPr>
          <w:t xml:space="preserve">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4064000" cy="40640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4064000" cy="40640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p>
      <w:pPr>
        <w:pStyle w:val="Heading3"/>
      </w:pPr>
      <w:bookmarkStart w:id="43" w:name="civil-rights"/>
      <w:r>
        <w:t xml:space="preserve">1.3.3	Civil Rights</w:t>
      </w:r>
      <w:bookmarkEnd w:id="43"/>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44"/>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4064000" cy="40640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1.8: Civil Rights Policy Final Rules, 1980-2020</w:t>
      </w:r>
    </w:p>
    <w:p>
      <w:pPr>
        <w:pStyle w:val="Heading3"/>
      </w:pPr>
      <w:bookmarkStart w:id="45" w:name="environment"/>
      <w:r>
        <w:t xml:space="preserve">1.3.4	Environment</w:t>
      </w:r>
      <w:bookmarkEnd w:id="45"/>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4064000" cy="40640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p>
      <w:pPr>
        <w:pStyle w:val="Heading2"/>
      </w:pPr>
      <w:bookmarkStart w:id="46" w:name="conclusion"/>
      <w:r>
        <w:t xml:space="preserve">1.4	Conclusion</w:t>
      </w:r>
      <w:bookmarkEnd w:id="46"/>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(Judge-Lord</w:t>
      </w:r>
      <w:r>
        <w:t xml:space="preserve"> </w:t>
      </w:r>
      <w:hyperlink w:anchor="ref-Judge-Lord2017">
        <w:r>
          <w:rPr>
            <w:rStyle w:val="Hyperlink"/>
          </w:rPr>
          <w:t xml:space="preserve">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Looking at budgets alone, as many scholars have done, risks attributing to present</w:t>
      </w:r>
      <w:r>
        <w:t xml:space="preserve"> </w:t>
      </w:r>
      <w:r>
        <w:t xml:space="preserve">politics decisions made in the past.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 back to reshape the terrain of American politics.</w:t>
      </w:r>
    </w:p>
    <w:p>
      <w:pPr>
        <w:pStyle w:val="BodyText"/>
      </w:pPr>
      <w:r>
        <w:t xml:space="preserve">The following chapters in this dissertaion focus on one narrow peice of this broad project to incorporate burecratic policymaking into theories of American politics. They use similar data, but approach the problem from the other side. I start with theories of bureaucratic policymaking and begin to incorporate theories of civic engagment, pressure politics, legislative behavior, and social movement power in order to explain and account for the occasional bursts of public attention and engagment in agency rulemaking. In these policy fights the politics of agency rulemaking begins to look more like the American politics described above—dominated by durable yet shifting coalitions of social movements, organized interests, politicians, and the attentive public.</w:t>
      </w:r>
    </w:p>
    <w:p>
      <w:pPr>
        <w:pStyle w:val="Heading1"/>
      </w:pPr>
      <w:bookmarkStart w:id="47" w:name="whymail"/>
      <w:r>
        <w:t xml:space="preserve">2	Public Pressure: Why Do Agencies (sometimes) Get So Much Mail?</w:t>
      </w:r>
      <w:bookmarkEnd w:id="47"/>
    </w:p>
    <w:p>
      <w:pPr>
        <w:pStyle w:val="FirstParagraph"/>
      </w:pPr>
      <w:r>
        <w:t xml:space="preserve">See the working paper version of this chapter</w:t>
      </w:r>
      <w:r>
        <w:t xml:space="preserve"> </w:t>
      </w:r>
      <w:hyperlink r:id="rId48">
        <w:r>
          <w:rPr>
            <w:rStyle w:val="Hyperlink"/>
            <w:i/>
          </w:rPr>
          <w:t xml:space="preserve">here</w:t>
        </w:r>
      </w:hyperlink>
      <w:r>
        <w:t xml:space="preserve">.</w:t>
      </w:r>
    </w:p>
    <w:p>
      <w:pPr>
        <w:pStyle w:val="Heading4"/>
      </w:pPr>
      <w:bookmarkStart w:id="49" w:name="abstract"/>
      <w:r>
        <w:t xml:space="preserve">Abstract</w:t>
      </w:r>
      <w:bookmarkEnd w:id="49"/>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or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w:t>
      </w:r>
      <w:r>
        <w:t xml:space="preserve"> </w:t>
      </w:r>
      <w:r>
        <w:t xml:space="preserve">“</w:t>
      </w:r>
      <w:r>
        <w:t xml:space="preserve">astroturf</w:t>
      </w:r>
      <w:r>
        <w:t xml:space="preserve">”</w:t>
      </w:r>
      <w:r>
        <w:t xml:space="preserve"> </w:t>
      </w:r>
      <w:r>
        <w:t xml:space="preserve">campaigns. Over 80% of the 48 million comments on proposed rules posted to regulations.gov were mobilized by just 100 organizations, 87 of which lobby in coalitions with each other. Contrary to other forms of political participation,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Heading2"/>
      </w:pPr>
      <w:bookmarkStart w:id="50" w:name="why-intro"/>
      <w:r>
        <w:t xml:space="preserve">2.1	Introduction</w:t>
      </w:r>
      <w:bookmarkEnd w:id="50"/>
    </w:p>
    <w:p>
      <w:pPr>
        <w:pStyle w:val="FirstParagraph"/>
      </w:pPr>
      <w:r>
        <w:t xml:space="preserve">Participatory processes like public comment periods, where government</w:t>
      </w:r>
      <w:r>
        <w:t xml:space="preserve"> </w:t>
      </w:r>
      <w:r>
        <w:t xml:space="preserve">agencies must solicit public input on draft policies, are said to 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 agency policymaking has shed light on sophisticated lobbying by businesses, we know surprisingly little about the vast majority of public comments, which are submitted by ordinary people as part of public pressure campaigns.</w:t>
      </w:r>
    </w:p>
    <w:p>
      <w:pPr>
        <w:pStyle w:val="BodyText"/>
      </w:pP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As I show below,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 50 million (80%) of these public comments mobilized by just 100 advocacy organizations.</w:t>
      </w:r>
    </w:p>
    <w:p>
      <w:pPr>
        <w:pStyle w:val="BodyText"/>
      </w:pPr>
      <w:r>
        <w:t xml:space="preserve">Yet civic engagement and organized public pressure remains poorly understood in the context of bureaucratic policymaking.</w:t>
      </w:r>
      <w:r>
        <w:t xml:space="preserve"> </w:t>
      </w:r>
      <w:r>
        <w:t xml:space="preserve">While practitioners and administrative law scholars have long pondered</w:t>
      </w:r>
      <w:r>
        <w:t xml:space="preserve"> </w:t>
      </w:r>
      <w:r>
        <w:t xml:space="preserve">what to make of mass commenting, political scientists have had</w:t>
      </w:r>
      <w:r>
        <w:t xml:space="preserve"> </w:t>
      </w:r>
      <w:r>
        <w:t xml:space="preserve">surprisingly little to say about this kind of civic participation and the role of public pressure in agency rulemaking.</w:t>
      </w:r>
    </w:p>
    <w:p>
      <w:pPr>
        <w:pStyle w:val="BodyText"/>
      </w:pPr>
      <w:r>
        <w:t xml:space="preserve">The contentious politics that inspire the majority of public comments have no place in leading models of bureaucratic policymaking and have largely been ignored by political scientists.</w:t>
      </w:r>
      <w:r>
        <w:t xml:space="preserve"> </w:t>
      </w:r>
      <w:r>
        <w:t xml:space="preserve">Foundational scholarship on rulemaking</w:t>
      </w:r>
      <w:r>
        <w:t xml:space="preserve"> </w:t>
      </w:r>
      <w:r>
        <w:t xml:space="preserve">(Furlong and Kerwin</w:t>
      </w:r>
      <w:r>
        <w:t xml:space="preserve"> </w:t>
      </w:r>
      <w:hyperlink w:anchor="ref-Furlong2005">
        <w:r>
          <w:rPr>
            <w:rStyle w:val="Hyperlink"/>
          </w:rPr>
          <w:t xml:space="preserve">2005</w:t>
        </w:r>
      </w:hyperlink>
      <w:r>
        <w:t xml:space="preserve">, @Furlong1997, @Furlong1998, @Kerwin2011)</w:t>
      </w:r>
      <w:r>
        <w:t xml:space="preserve"> </w:t>
      </w:r>
      <w:r>
        <w:t xml:space="preserve">focuses on interest group lobbying. Theoretical models focus on how agencies learn about policy problems, negotiate or avoid accountability to various principals, or balance interest-group demands.</w:t>
      </w:r>
      <w:r>
        <w:rPr>
          <w:rStyle w:val="FootnoteReference"/>
        </w:rPr>
        <w:footnoteReference w:id="51"/>
      </w:r>
    </w:p>
    <w:p>
      <w:pPr>
        <w:pStyle w:val="BodyText"/>
      </w:pPr>
      <w:r>
        <w:t xml:space="preserve">To the extent that scholars address the input of ordinary people at all, both</w:t>
      </w:r>
      <w:r>
        <w:t xml:space="preserve"> </w:t>
      </w:r>
      <w:r>
        <w:t xml:space="preserve">existing theory and empirical scholarship suggest skepticism that it</w:t>
      </w:r>
      <w:r>
        <w:t xml:space="preserve"> </w:t>
      </w:r>
      <w:r>
        <w:t xml:space="preserve">matters. (By</w:t>
      </w:r>
      <w:r>
        <w:t xml:space="preserve"> </w:t>
      </w:r>
      <w:r>
        <w:t xml:space="preserve">“</w:t>
      </w:r>
      <w:r>
        <w:t xml:space="preserve">ordinary</w:t>
      </w:r>
      <w:r>
        <w:t xml:space="preserve">”</w:t>
      </w:r>
      <w:r>
        <w:t xml:space="preserve"> </w:t>
      </w:r>
      <w:r>
        <w:t xml:space="preserve">people, I simply mean people who are not</w:t>
      </w:r>
      <w:r>
        <w:t xml:space="preserve"> </w:t>
      </w:r>
      <w:r>
        <w:t xml:space="preserve">professional policy-influencers.)</w:t>
      </w:r>
      <w:r>
        <w:t xml:space="preserve"> </w:t>
      </w:r>
      <w:r>
        <w:t xml:space="preserve">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@Soss2007, Hertel–Fernandez2019, @Hacker2003, @Gilens2014)</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LibgoberCarpenter2018)</w:t>
      </w:r>
      <w:r>
        <w:t xml:space="preserve">.</w:t>
      </w:r>
      <w:r>
        <w:t xml:space="preserve"> </w:t>
      </w:r>
    </w:p>
    <w:p>
      <w:pPr>
        <w:pStyle w:val="BodyText"/>
      </w:pPr>
      <w:r>
        <w:t xml:space="preserve">Becasue scholars are skeptical about rulemaking as a venue for collective action, most dismiss public pressure campaigns as epiphenomenal to bargaining with political principals</w:t>
      </w:r>
      <w:r>
        <w:t xml:space="preserve"> </w:t>
      </w:r>
      <w:r>
        <w:t xml:space="preserve">or interest groups. Indeed, almost all empirical studies of rulemaking</w:t>
      </w:r>
      <w:r>
        <w:t xml:space="preserve"> </w:t>
      </w:r>
      <w:r>
        <w:t xml:space="preserve">discard unsophisticated comments from ordinary people, as evident from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r>
        <w:t xml:space="preserve">Yackee (</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r>
        <w:t xml:space="preserve">Kerwin and Furlong (</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r>
        <w:t xml:space="preserve">Epstein, Heidt, and Farina (</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 As Hacker and Pierson (Forthcoming) observe,</w:t>
      </w:r>
    </w:p>
    <w:p>
      <w:pPr>
        <w:pStyle w:val="BlockText"/>
      </w:pPr>
      <w:r>
        <w:t xml:space="preserve">“</w:t>
      </w:r>
      <w:r>
        <w:t xml:space="preserve">[The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r>
        <w:t xml:space="preserve">”</w:t>
      </w:r>
    </w:p>
    <w:p>
      <w:pPr>
        <w:pStyle w:val="FirstParagraph"/>
      </w:pPr>
      <w:r>
        <w:t xml:space="preserve">But groups occasionally mobilize a large number of people, usually behind a more sophisticated lobbying effort. Without a systematic understanding of the scale and impact of public participation–</w:t>
      </w:r>
      <w:r>
        <w:rPr>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p>
    <w:p>
      <w:pPr>
        <w:pStyle w:val="BodyText"/>
      </w:pPr>
      <w:r>
        <w:t xml:space="preserve">Scholars’ neglect of public pressure campaigns is surprising given that most people are only</w:t>
      </w:r>
      <w:r>
        <w:t xml:space="preserve"> </w:t>
      </w:r>
      <w:r>
        <w:t xml:space="preserve">aware of agency rulemaking when it is the target of a high-profile mass</w:t>
      </w:r>
      <w:r>
        <w:t xml:space="preserve"> </w:t>
      </w:r>
      <w:r>
        <w:t xml:space="preserve">mobilization campaign.</w:t>
      </w:r>
      <w:r>
        <w:rPr>
          <w:rStyle w:val="FootnoteReference"/>
        </w:rPr>
        <w:footnoteReference w:id="52"/>
      </w:r>
      <w:r>
        <w:t xml:space="preserve"> </w:t>
      </w:r>
      <w:r>
        <w:t xml:space="preserve">While most rules receive little attention,</w:t>
      </w:r>
      <w:r>
        <w:t xml:space="preserve"> </w:t>
      </w:r>
      <w:r>
        <w:t xml:space="preserve">the ease of online mobilizing and commenting has, like other forms of</w:t>
      </w:r>
      <w:r>
        <w:t xml:space="preserve"> </w:t>
      </w:r>
      <w:r>
        <w:t xml:space="preserve">participation</w:t>
      </w:r>
      <w:r>
        <w:t xml:space="preserve"> </w:t>
      </w:r>
      <w:r>
        <w:t xml:space="preserve">(Boulianne</w:t>
      </w:r>
      <w:r>
        <w:t xml:space="preserve"> </w:t>
      </w:r>
      <w:hyperlink w:anchor="ref-Boulianne2018">
        <w:r>
          <w:rPr>
            <w:rStyle w:val="Hyperlink"/>
          </w:rPr>
          <w:t xml:space="preserve">2018</w:t>
        </w:r>
      </w:hyperlink>
      <w:r>
        <w:t xml:space="preserve">)</w:t>
      </w:r>
      <w:r>
        <w:t xml:space="preserve">, created exponential increases in the</w:t>
      </w:r>
      <w:r>
        <w:t xml:space="preserve"> </w:t>
      </w:r>
      <w:r>
        <w:t xml:space="preserve">number of rules in which thousands and even millions of people engage</w:t>
      </w:r>
      <w:r>
        <w:t xml:space="preserve"> </w:t>
      </w:r>
      <w:r>
        <w:t xml:space="preserve">(see Figure</w:t>
      </w:r>
      <w:r>
        <w:t xml:space="preserve"> </w:t>
      </w:r>
      <w:r>
        <w:t xml:space="preserve">2.2</w:t>
      </w:r>
      <w:r>
        <w:t xml:space="preserve">; note that comments per rule are on a</w:t>
      </w:r>
      <w:r>
        <w:t xml:space="preserve"> </w:t>
      </w:r>
      <w:r>
        <w:t xml:space="preserve">logarithmic scale).</w:t>
      </w:r>
      <w:r>
        <w:rPr>
          <w:rStyle w:val="FootnoteReference"/>
        </w:rPr>
        <w:footnoteReference w:id="53"/>
      </w:r>
      <w:r>
        <w:t xml:space="preserve"> </w:t>
      </w:r>
      <w:r>
        <w:t xml:space="preserve">Occasionally, a large number of people are</w:t>
      </w:r>
      <w:r>
        <w:t xml:space="preserve"> </w:t>
      </w:r>
      <w:r>
        <w:t xml:space="preserve">paying attention.</w:t>
      </w:r>
      <w:r>
        <w:t xml:space="preserve"> </w:t>
      </w:r>
    </w:p>
    <w:p>
      <w:pPr>
        <w:pStyle w:val="BodyText"/>
      </w:pPr>
      <w:r>
        <w:t xml:space="preserve">The general failure to explain or account for public pressure campaigns in models of bureaucratic policymaking is also striking in light of how agencies advertise public</w:t>
      </w:r>
      <w:r>
        <w:t xml:space="preserve"> </w:t>
      </w:r>
      <w:r>
        <w:t xml:space="preserve">comment periods as an opportunity for a voice in government</w:t>
      </w:r>
      <w:r>
        <w:t xml:space="preserve"> </w:t>
      </w:r>
      <w:r>
        <w:t xml:space="preserve">decisions.</w:t>
      </w:r>
      <w:r>
        <w:rPr>
          <w:rStyle w:val="FootnoteReference"/>
        </w:rPr>
        <w:footnoteReference w:id="54"/>
      </w:r>
      <w:r>
        <w:t xml:space="preserve"> </w:t>
      </w:r>
      <w:r>
        <w:t xml:space="preserve">Big red letters across the top of the Regulations.gov</w:t>
      </w:r>
      <w:r>
        <w:t xml:space="preserve"> </w:t>
      </w:r>
      <w:r>
        <w:t xml:space="preserve">homepage solicit visitors to</w:t>
      </w:r>
      <w:r>
        <w:t xml:space="preserve"> </w:t>
      </w:r>
      <w:r>
        <w:t xml:space="preserve">“</w:t>
      </w:r>
      <w:r>
        <w:t xml:space="preserve">Make a difference. Submit your comments</w:t>
      </w:r>
      <w:r>
        <w:t xml:space="preserve"> </w:t>
      </w:r>
      <w:r>
        <w:t xml:space="preserve">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w:t>
      </w:r>
      <w:r>
        <w:t xml:space="preserve"> </w:t>
      </w:r>
      <w:r>
        <w:t xml:space="preserve">policy and pending agency action.</w:t>
      </w:r>
      <w:r>
        <w:t xml:space="preserve"> </w:t>
      </w:r>
      <w:r>
        <w:t xml:space="preserve">Public comment periods on proposed agency</w:t>
      </w:r>
      <w:r>
        <w:t xml:space="preserve"> </w:t>
      </w:r>
      <w:r>
        <w:t xml:space="preserve">rules is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w:t>
      </w:r>
      <w:r>
        <w:t xml:space="preserve"> </w:t>
      </w:r>
      <w:r>
        <w:t xml:space="preserve">actual American governance</w:t>
      </w:r>
      <w:r>
        <w:t xml:space="preserve">”</w:t>
      </w:r>
      <w:r>
        <w:t xml:space="preserve"> </w:t>
      </w:r>
      <w:r>
        <w:t xml:space="preserve">(Herz</w:t>
      </w:r>
      <w:r>
        <w:t xml:space="preserve"> </w:t>
      </w:r>
      <w:hyperlink w:anchor="ref-Herz2016">
        <w:r>
          <w:rPr>
            <w:rStyle w:val="Hyperlink"/>
          </w:rPr>
          <w:t xml:space="preserve">2016</w:t>
        </w:r>
      </w:hyperlink>
      <w:r>
        <w:t xml:space="preserve">)</w:t>
      </w:r>
      <w:r>
        <w:t xml:space="preserve">.</w:t>
      </w:r>
      <w:r>
        <w:t xml:space="preserve"> </w:t>
      </w:r>
      <w:r>
        <w:t xml:space="preserve">Rossi (</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w:t>
      </w:r>
      <w:r>
        <w:t xml:space="preserve"> </w:t>
      </w:r>
      <w:r>
        <w:t xml:space="preserve">a sacrosanct status…greater participation is generally viewed as</w:t>
      </w:r>
      <w:r>
        <w:t xml:space="preserve"> </w:t>
      </w:r>
      <w:r>
        <w:t xml:space="preserve">contributing to democracy.</w:t>
      </w:r>
      <w:r>
        <w:t xml:space="preserve">”</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55"/>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drawing>
          <wp:inline>
            <wp:extent cx="3217156" cy="3217156"/>
            <wp:effectExtent b="0" l="0" r="0" t="0"/>
            <wp:docPr descr="Figure 2.2: Comments per Proposed Rule and Total Comments per Year"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56"/>
                    <a:stretch>
                      <a:fillRect/>
                    </a:stretch>
                  </pic:blipFill>
                  <pic:spPr bwMode="auto">
                    <a:xfrm>
                      <a:off x="0" y="0"/>
                      <a:ext cx="3217156" cy="3217156"/>
                    </a:xfrm>
                    <a:prstGeom prst="rect">
                      <a:avLst/>
                    </a:prstGeom>
                    <a:noFill/>
                    <a:ln w="9525">
                      <a:noFill/>
                      <a:headEnd/>
                      <a:tailEnd/>
                    </a:ln>
                  </pic:spPr>
                </pic:pic>
              </a:graphicData>
            </a:graphic>
          </wp:inline>
        </w:drawing>
      </w:r>
      <w:r>
        <w:drawing>
          <wp:inline>
            <wp:extent cx="4572000" cy="2832100"/>
            <wp:effectExtent b="0" l="0" r="0" t="0"/>
            <wp:docPr descr="(#fig:comments-per-year)Comments per Proposed Rule and Total Comments per Year"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57"/>
                    <a:stretch>
                      <a:fillRect/>
                    </a:stretch>
                  </pic:blipFill>
                  <pic:spPr bwMode="auto">
                    <a:xfrm>
                      <a:off x="0" y="0"/>
                      <a:ext cx="4572000" cy="2832100"/>
                    </a:xfrm>
                    <a:prstGeom prst="rect">
                      <a:avLst/>
                    </a:prstGeom>
                    <a:noFill/>
                    <a:ln w="9525">
                      <a:noFill/>
                      <a:headEnd/>
                      <a:tailEnd/>
                    </a:ln>
                  </pic:spPr>
                </pic:pic>
              </a:graphicData>
            </a:graphic>
          </wp:inline>
        </w:drawing>
      </w:r>
    </w:p>
    <w:p>
      <w:pPr>
        <w:pStyle w:val="BodyText"/>
      </w:pP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Indeed as Figure</w:t>
      </w:r>
      <w:r>
        <w:t xml:space="preserve"> </w:t>
      </w:r>
      <w:r>
        <w:t xml:space="preserve">2.2</w:t>
      </w:r>
      <w:r>
        <w:t xml:space="preserve"> </w:t>
      </w:r>
      <w:r>
        <w:t xml:space="preserve">shows, every year since 2008, most people who</w:t>
      </w:r>
      <w:r>
        <w:t xml:space="preserve"> </w:t>
      </w:r>
      <w:r>
        <w:t xml:space="preserve">comment on draft regulations have done so as a result of a public pressure campaign.</w:t>
      </w:r>
      <w:r>
        <w:rPr>
          <w:rStyle w:val="FootnoteReference"/>
        </w:rPr>
        <w:footnoteReference w:id="58"/>
      </w:r>
      <w:r>
        <w:t xml:space="preserve"> </w:t>
      </w:r>
      <w:r>
        <w:t xml:space="preserve">Public engagement in rulemaking is highly</w:t>
      </w:r>
      <w:r>
        <w:t xml:space="preserve"> </w:t>
      </w:r>
      <w:r>
        <w:t xml:space="preserve">clustered on a few rules made salient by these campaigns. It is</w:t>
      </w:r>
      <w:r>
        <w:t xml:space="preserve"> </w:t>
      </w:r>
      <w:r>
        <w:t xml:space="preserve">plausible that at least some of the time, such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and why.</w:t>
      </w:r>
    </w:p>
    <w:p>
      <w:pPr>
        <w:pStyle w:val="BodyText"/>
      </w:pPr>
      <w:r>
        <w:t xml:space="preserve">The kind of politics created by mass engagement has a few notable</w:t>
      </w:r>
      <w:r>
        <w:t xml:space="preserve"> </w:t>
      </w:r>
      <w:r>
        <w:t xml:space="preserve">features. It is contentious; most ordinary people are not engaging in</w:t>
      </w:r>
      <w:r>
        <w:t xml:space="preserve"> </w:t>
      </w:r>
      <w:r>
        <w:t xml:space="preserve">deliberation; they are simply making demands. Importantly, however,</w:t>
      </w:r>
      <w:r>
        <w:t xml:space="preserve"> </w:t>
      </w:r>
      <w:r>
        <w:t xml:space="preserve">processes like public comment periods channel contentious demands into</w:t>
      </w:r>
      <w:r>
        <w:t xml:space="preserve"> </w:t>
      </w:r>
      <w:r>
        <w:t xml:space="preserve">institutionalized policy processes rather than undermining them. In</w:t>
      </w:r>
      <w:r>
        <w:t xml:space="preserve"> </w:t>
      </w:r>
      <w:r>
        <w:t xml:space="preserve">short, the politics of rulemaking created by public pressure campaigns is much</w:t>
      </w:r>
      <w:r>
        <w:t xml:space="preserve"> </w:t>
      </w:r>
      <w:r>
        <w:t xml:space="preserve">more contentious than most rulemakings, but also much more</w:t>
      </w:r>
      <w:r>
        <w:t xml:space="preserve"> </w:t>
      </w:r>
      <w:r>
        <w:t xml:space="preserve">institutionalized than most contentious politics. Mass engagement in</w:t>
      </w:r>
      <w:r>
        <w:t xml:space="preserve"> </w:t>
      </w:r>
      <w:r>
        <w:t xml:space="preserve">rulemaking thus presents a novel context to examine the consequences of</w:t>
      </w:r>
      <w:r>
        <w:t xml:space="preserve"> </w:t>
      </w:r>
      <w:r>
        <w:t xml:space="preserve">broader public participation in typically insider-dominated policymaking and how</w:t>
      </w:r>
      <w:r>
        <w:t xml:space="preserve"> </w:t>
      </w:r>
      <w:r>
        <w:t xml:space="preserve">public pressure may condition how political decisions are made.</w:t>
      </w:r>
    </w:p>
    <w:p>
      <w:pPr>
        <w:pStyle w:val="BodyText"/>
      </w:pPr>
      <w:r>
        <w:t xml:space="preserve">Public pressure campaigns expand civic participation in policymaking.</w:t>
      </w:r>
      <w:r>
        <w:rPr>
          <w:rStyle w:val="FootnoteReference"/>
        </w:rPr>
        <w:footnoteReference w:id="59"/>
      </w:r>
      <w:r>
        <w:t xml:space="preserve"> </w:t>
      </w:r>
      <w:r>
        <w:t xml:space="preserve">Surely, those who engage are far from representative of the broader public</w:t>
      </w:r>
      <w:r>
        <w:t xml:space="preserve"> </w:t>
      </w:r>
      <w:r>
        <w:t xml:space="preserve">(Verba and Nie</w:t>
      </w:r>
      <w:r>
        <w:t xml:space="preserve"> </w:t>
      </w:r>
      <w:hyperlink w:anchor="ref-Verba1987">
        <w:r>
          <w:rPr>
            <w:rStyle w:val="Hyperlink"/>
          </w:rPr>
          <w:t xml:space="preserve">1987</w:t>
        </w:r>
      </w:hyperlink>
      <w:r>
        <w:t xml:space="preserve">)</w:t>
      </w:r>
      <w:r>
        <w:t xml:space="preserve">, but in many ways, they must be more representative than the handful of political insiders who participate in most policy processes.</w:t>
      </w:r>
    </w:p>
    <w:p>
      <w:pPr>
        <w:pStyle w:val="BodyText"/>
      </w:pPr>
      <w:r>
        <w:t xml:space="preserve">If the usual participants have</w:t>
      </w:r>
      <w:r>
        <w:t xml:space="preserve"> </w:t>
      </w:r>
      <w:r>
        <w:t xml:space="preserve">“</w:t>
      </w:r>
      <w:r>
        <w:t xml:space="preserve">an upper-class accent</w:t>
      </w:r>
      <w:r>
        <w:t xml:space="preserve">”</w:t>
      </w:r>
      <w:r>
        <w:t xml:space="preserve"> </w:t>
      </w:r>
      <w:r>
        <w:t xml:space="preserve">(Schattschneider</w:t>
      </w:r>
      <w:r>
        <w:t xml:space="preserve"> </w:t>
      </w:r>
      <w:hyperlink w:anchor="ref-Schattschneider1942">
        <w:r>
          <w:rPr>
            <w:rStyle w:val="Hyperlink"/>
          </w:rPr>
          <w:t xml:space="preserve">1942</w:t>
        </w:r>
      </w:hyperlink>
      <w:r>
        <w:t xml:space="preserve">)</w:t>
      </w:r>
      <w:r>
        <w:t xml:space="preserve">, does adding thousands of more voices dilute this bias? I argue that the answer depends on how people are mobilized. If public pressure is mobilized by the usual participants to create an impression of public support, it may merely legitimize the demands of powerful interest groups.</w:t>
      </w:r>
    </w:p>
    <w:p>
      <w:pPr>
        <w:pStyle w:val="Heading2"/>
      </w:pPr>
      <w:bookmarkStart w:id="60" w:name="why-mobilize"/>
      <w:r>
        <w:t xml:space="preserve">2.2	Theory: Why Mobilize?</w:t>
      </w:r>
      <w:bookmarkEnd w:id="60"/>
    </w:p>
    <w:p>
      <w:pPr>
        <w:pStyle w:val="FirstParagraph"/>
      </w:pPr>
      <w:r>
        <w:t xml:space="preserve">How, if at all, should scholars incorporate mass engagement into models of bureaucratic policymaking?</w:t>
      </w:r>
    </w:p>
    <w:p>
      <w:pPr>
        <w:pStyle w:val="BodyText"/>
      </w:pPr>
      <w:r>
        <w:t xml:space="preserve">I argue that mass engagement produces potentially valuable political information about the coalition that mobilized it. Political information may play two distinct roles depending on who mobilized it.</w:t>
      </w:r>
    </w:p>
    <w:p>
      <w:pPr>
        <w:pStyle w:val="BodyText"/>
      </w:pPr>
      <w:r>
        <w:t xml:space="preserve">To the extent that well-resourced groups use public pressure campaigns to create a misleading impression of public support (often called</w:t>
      </w:r>
      <w:r>
        <w:t xml:space="preserve"> </w:t>
      </w:r>
      <w:r>
        <w:t xml:space="preserve">“</w:t>
      </w:r>
      <w:r>
        <w:t xml:space="preserve">astroturf</w:t>
      </w:r>
      <w:r>
        <w:t xml:space="preserve">”</w:t>
      </w:r>
      <w:r>
        <w:t xml:space="preserve">), their role is to strengthen and legitimize demands of the same powerful interests that dominate bureaucratic policymaking</w:t>
      </w:r>
      <w:r>
        <w:t xml:space="preserve"> </w:t>
      </w:r>
      <w:r>
        <w:t xml:space="preserve">(J. W. Yackee and Yackee</w:t>
      </w:r>
      <w:r>
        <w:t xml:space="preserve"> </w:t>
      </w:r>
      <w:hyperlink w:anchor="ref-Yackee2006JOP">
        <w:r>
          <w:rPr>
            <w:rStyle w:val="Hyperlink"/>
          </w:rPr>
          <w:t xml:space="preserve">2006</w:t>
        </w:r>
      </w:hyperlink>
      <w:r>
        <w:t xml:space="preserve">)</w:t>
      </w:r>
      <w:r>
        <w:t xml:space="preserve">. Here, just groups with superior resources use them to flood policymakers with technical information</w:t>
      </w:r>
      <w:r>
        <w:t xml:space="preserve"> </w:t>
      </w:r>
      <w:r>
        <w:t xml:space="preserve">(Wagner</w:t>
      </w:r>
      <w:r>
        <w:t xml:space="preserve"> </w:t>
      </w:r>
      <w:hyperlink w:anchor="ref-Wagner2010">
        <w:r>
          <w:rPr>
            <w:rStyle w:val="Hyperlink"/>
          </w:rPr>
          <w:t xml:space="preserve">2010</w:t>
        </w:r>
      </w:hyperlink>
      <w:r>
        <w:t xml:space="preserve">)</w:t>
      </w:r>
      <w:r>
        <w:t xml:space="preserve">, astroturf campaigns convert economic resources into political information in the form of an impression of public support generated by signatures or form letters. Even groups with few members or a narrow or non-existent base of support among the public may create the appearance of public support by sponsoring pressure campaigns.</w:t>
      </w:r>
    </w:p>
    <w:p>
      <w:pPr>
        <w:pStyle w:val="BodyText"/>
      </w:pPr>
      <w:r>
        <w:t xml:space="preserve">Alternatively, to the extent that public interest groups use public pressure campaigns are used as a conflict expansion tactics by less-resourced groups,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behavior.</w:t>
      </w:r>
    </w:p>
    <w:p>
      <w:pPr>
        <w:pStyle w:val="BodyText"/>
      </w:pPr>
      <w:r>
        <w:t xml:space="preserve">The normative and empirical import of mass commenting campaigns thus turns on who is behind them. If it is the powerful business groups that dominate other forms of lobbying, public pressure campaigns (and perhaps public comment periods themselves) are normatively suspect, merely providing a democratic veneer to economic power. Empirically, we would thus expect public pressure campaigns to further advantage well-resourced interests. Alternatively, if mass commenting is mainly a vehicle for public interest groups to convert a latent base of public support into influential political information supporting their representational claims, public comment periods may yet serve some of informing, balancing, and democratic functions that practitioners and normative theorists hoped they would. Empirically, we would then expect public pressure campaigns to disadvantage well-resourced interests that dominate most policy processes.</w:t>
      </w:r>
    </w:p>
    <w:p>
      <w:pPr>
        <w:pStyle w:val="BodyText"/>
      </w:pPr>
      <w:r>
        <w:t xml:space="preserve">This section offers a theory and hypotheses to explain variation in mass</w:t>
      </w:r>
      <w:r>
        <w:t xml:space="preserve"> </w:t>
      </w:r>
      <w:r>
        <w:t xml:space="preserve">engagement. I argue that we should observe different patterns of</w:t>
      </w:r>
      <w:r>
        <w:t xml:space="preserve"> </w:t>
      </w:r>
      <w:r>
        <w:t xml:space="preserve">engagement depending on whether an organization launches a mobilization</w:t>
      </w:r>
      <w:r>
        <w:t xml:space="preserve"> </w:t>
      </w:r>
      <w:r>
        <w:t xml:space="preserve">campaign as an outside lobbying tactic, to counter such a campaign, or</w:t>
      </w:r>
      <w:r>
        <w:t xml:space="preserve"> </w:t>
      </w:r>
      <w:r>
        <w:t xml:space="preserve">for reasons other than influencing policy. In the next section, I</w:t>
      </w:r>
      <w:r>
        <w:t xml:space="preserve"> </w:t>
      </w:r>
      <w:r>
        <w:t xml:space="preserve">develop methods to measure these patterns. In short, these measures</w:t>
      </w:r>
      <w:r>
        <w:t xml:space="preserve"> </w:t>
      </w:r>
      <w:r>
        <w:t xml:space="preserve">capture similar statistics to questions posed by</w:t>
      </w:r>
      <w:r>
        <w:t xml:space="preserve"> </w:t>
      </w:r>
      <w:r>
        <w:t xml:space="preserve">Verba and Nie (</w:t>
      </w:r>
      <w:hyperlink w:anchor="ref-Verba1987">
        <w:r>
          <w:rPr>
            <w:rStyle w:val="Hyperlink"/>
          </w:rPr>
          <w:t xml:space="preserve">1987</w:t>
        </w:r>
      </w:hyperlink>
      <w:r>
        <w:t xml:space="preserve">, 9)</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p>
    <w:p>
      <w:pPr>
        <w:pStyle w:val="BodyText"/>
      </w:pPr>
      <w:r>
        <w:t xml:space="preserve">As noted above, scholars of bureaucratic policymaking have focused on</w:t>
      </w:r>
      <w:r>
        <w:t xml:space="preserve"> </w:t>
      </w:r>
      <w:r>
        <w:t xml:space="preserve">the sophisticated lobbying efforts of powerful interest groups such as</w:t>
      </w:r>
      <w:r>
        <w:t xml:space="preserve"> </w:t>
      </w:r>
      <w:r>
        <w:t xml:space="preserve">business coalitions. A key insight from this scholarship is that</w:t>
      </w:r>
      <w:r>
        <w:t xml:space="preserve"> </w:t>
      </w:r>
      <w:r>
        <w:t xml:space="preserve">technical information is the currency of insider lobbying. Figure</w:t>
      </w:r>
      <w:r>
        <w:t xml:space="preserve"> </w:t>
      </w:r>
      <w:r>
        <w:t xml:space="preserve">2.3</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61"/>
      </w:r>
      <w:r>
        <w:t xml:space="preserve"> </w:t>
      </w:r>
      <w:r>
        <w:t xml:space="preserve">However, mass engagement has no place in this model. I aim to fill this</w:t>
      </w:r>
      <w:r>
        <w:t xml:space="preserve"> </w:t>
      </w:r>
      <w:r>
        <w:t xml:space="preserve">gap.</w:t>
      </w:r>
    </w:p>
    <w:p>
      <w:pPr>
        <w:pStyle w:val="CaptionedFigure"/>
      </w:pPr>
      <w:r>
        <w:drawing>
          <wp:inline>
            <wp:extent cx="5334000" cy="908906"/>
            <wp:effectExtent b="0" l="0" r="0" t="0"/>
            <wp:docPr descr="Figure 2.3: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6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2.3: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First, I offer a framework for assessing the causes of mass engagement.</w:t>
      </w:r>
      <w:r>
        <w:t xml:space="preserve"> </w:t>
      </w:r>
      <w:r>
        <w:t xml:space="preserve">Next, I argue that organizations may mobilize large numbers of people</w:t>
      </w:r>
      <w:r>
        <w:t xml:space="preserve"> </w:t>
      </w:r>
      <w:r>
        <w:t xml:space="preserve">for three reasons with observable implications for observed patterns of</w:t>
      </w:r>
      <w:r>
        <w:t xml:space="preserve"> </w:t>
      </w:r>
      <w:r>
        <w:t xml:space="preserve">mass engagement and theoretical implications for predicted effects on</w:t>
      </w:r>
      <w:r>
        <w:t xml:space="preserve"> </w:t>
      </w:r>
      <w:r>
        <w:t xml:space="preserve">policy.</w:t>
      </w:r>
    </w:p>
    <w:p>
      <w:pPr>
        <w:pStyle w:val="Heading3"/>
      </w:pPr>
      <w:bookmarkStart w:id="63" w:name="X1b1e2c79a564032db1b3e38131ba008e6e289b6"/>
      <w:r>
        <w:t xml:space="preserve">2.2.1	Incorporating political information into models of lobbying in rulemaking</w:t>
      </w:r>
      <w:bookmarkEnd w:id="63"/>
    </w:p>
    <w:p>
      <w:pPr>
        <w:pStyle w:val="Heading4"/>
      </w:pPr>
      <w:bookmarkStart w:id="64" w:name="X3fd41f2a3008e794676555704654545d8c814e7"/>
      <w:r>
        <w:t xml:space="preserve">2.2.1.1	Public pressure campaigns claim to represent and evoke the public interest.</w:t>
      </w:r>
      <w:bookmarkEnd w:id="64"/>
    </w:p>
    <w:p>
      <w:pPr>
        <w:pStyle w:val="FirstParagraph"/>
      </w:pPr>
      <w:r>
        <w:t xml:space="preserve">The Oceana coalition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these efforts</w:t>
      </w:r>
      <w:r>
        <w:t xml:space="preserve"> </w:t>
      </w:r>
      <w:r>
        <w:t xml:space="preserve">as akin to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Appeals to the government are almost always couched in the language of</w:t>
      </w:r>
      <w:r>
        <w:t xml:space="preserve"> </w:t>
      </w:r>
      <w:r>
        <w:t xml:space="preserve">public interest, even when true motivations are private</w:t>
      </w:r>
      <w:r>
        <w:t xml:space="preserve"> </w:t>
      </w:r>
      <w:r>
        <w:t xml:space="preserve">(Schattschneider</w:t>
      </w:r>
      <w:r>
        <w:t xml:space="preserve"> </w:t>
      </w:r>
      <w:hyperlink w:anchor="ref-Schattschneider1975">
        <w:r>
          <w:rPr>
            <w:rStyle w:val="Hyperlink"/>
          </w:rPr>
          <w:t xml:space="preserve">1975</w:t>
        </w:r>
      </w:hyperlink>
      <w:r>
        <w:t xml:space="preserve">)</w:t>
      </w:r>
      <w:r>
        <w:t xml:space="preserve">. 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Furthermore, if</w:t>
      </w:r>
      <w:r>
        <w:t xml:space="preserve"> </w:t>
      </w:r>
      <w:r>
        <w:t xml:space="preserve">organizations claim to represent people beyond their official members,</w:t>
      </w:r>
      <w:r>
        <w:t xml:space="preserve"> </w:t>
      </w:r>
      <w:r>
        <w:t xml:space="preserve">reforms requiring groups to disclose information about their funding and</w:t>
      </w:r>
      <w:r>
        <w:t xml:space="preserve"> </w:t>
      </w:r>
      <w:r>
        <w:t xml:space="preserve">membership</w:t>
      </w:r>
      <w:r>
        <w:t xml:space="preserve"> </w:t>
      </w:r>
      <w:r>
        <w:t xml:space="preserve">(Seifter</w:t>
      </w:r>
      <w:r>
        <w:t xml:space="preserve"> </w:t>
      </w:r>
      <w:hyperlink w:anchor="ref-Seifter2016UCLA">
        <w:r>
          <w:rPr>
            <w:rStyle w:val="Hyperlink"/>
          </w:rPr>
          <w:t xml:space="preserve">2016</w:t>
        </w:r>
      </w:hyperlink>
      <w:r>
        <w:t xml:space="preserve">)</w:t>
      </w:r>
      <w:r>
        <w:t xml:space="preserve"> </w:t>
      </w:r>
      <w:r>
        <w:t xml:space="preserve">only go part way to assess groups’ claims</w:t>
      </w:r>
      <w:r>
        <w:t xml:space="preserve"> </w:t>
      </w:r>
      <w:r>
        <w:t xml:space="preserve">to represent these broader segments of the public. Indeed, if advocacy</w:t>
      </w:r>
      <w:r>
        <w:t xml:space="preserve"> </w:t>
      </w:r>
      <w:r>
        <w:t xml:space="preserve">group decisions are primarily made by D.C. professionals, these</w:t>
      </w:r>
      <w:r>
        <w:t xml:space="preserve"> </w:t>
      </w:r>
      <w:r>
        <w:t xml:space="preserve">advocates themselves may be unsure how broadly their claims resonate</w:t>
      </w:r>
      <w:r>
        <w:t xml:space="preserve"> </w:t>
      </w:r>
      <w:r>
        <w:t xml:space="preserve">until potentially-attentive publics are actually engaged.</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 to</w:t>
      </w:r>
      <w:r>
        <w:t xml:space="preserve"> </w:t>
      </w:r>
      <w:r>
        <w:t xml:space="preserve">distinguish themselves from truly narrower ones. It suggests that the</w:t>
      </w:r>
      <w:r>
        <w:t xml:space="preserve"> </w:t>
      </w:r>
      <w:r>
        <w:t xml:space="preserve">organization is not</w:t>
      </w:r>
      <w:r>
        <w:t xml:space="preserve"> </w:t>
      </w:r>
      <w:r>
        <w:t xml:space="preserve">“</w:t>
      </w:r>
      <w:r>
        <w:t xml:space="preserve">memberless</w:t>
      </w:r>
      <w:r>
        <w:t xml:space="preserve">”</w:t>
      </w:r>
      <w:r>
        <w:t xml:space="preserve"> </w:t>
      </w:r>
      <w:r>
        <w:t xml:space="preserve">(Skocpol</w:t>
      </w:r>
      <w:r>
        <w:t xml:space="preserve"> </w:t>
      </w:r>
      <w:hyperlink w:anchor="ref-Skocpol2003">
        <w:r>
          <w:rPr>
            <w:rStyle w:val="Hyperlink"/>
          </w:rPr>
          <w:t xml:space="preserve">2003</w:t>
        </w:r>
      </w:hyperlink>
      <w:r>
        <w:t xml:space="preserve">)</w:t>
      </w:r>
      <w:r>
        <w:t xml:space="preserve"> </w:t>
      </w:r>
      <w:r>
        <w:t xml:space="preserve">in the sense that they</w:t>
      </w:r>
      <w:r>
        <w:t xml:space="preserve"> </w:t>
      </w:r>
      <w:r>
        <w:t xml:space="preserve">can demonstrate some verifiable public support.</w:t>
      </w:r>
      <w:r>
        <w:rPr>
          <w:rStyle w:val="FootnoteReference"/>
        </w:rPr>
        <w:footnoteReference w:id="65"/>
      </w:r>
    </w:p>
    <w:p>
      <w:pPr>
        <w:pStyle w:val="Heading4"/>
      </w:pPr>
      <w:bookmarkStart w:id="66" w:name="public-pressure-is-a-political-resource."/>
      <w:r>
        <w:t xml:space="preserve">2.2.1.2	Public pressure is a political resource.</w:t>
      </w:r>
      <w:bookmarkEnd w:id="66"/>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 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I argue that, 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Finally,</w:t>
      </w:r>
      <w:r>
        <w:t xml:space="preserve"> </w:t>
      </w:r>
      <w:r>
        <w:t xml:space="preserve">Furlong (</w:t>
      </w:r>
      <w:hyperlink w:anchor="ref-Furlong1998">
        <w:r>
          <w:rPr>
            <w:rStyle w:val="Hyperlink"/>
          </w:rPr>
          <w:t xml:space="preserve">1998</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 I build from a similar intuition that mass comment</w:t>
      </w:r>
      <w:r>
        <w:t xml:space="preserve"> </w:t>
      </w:r>
      <w:r>
        <w:t xml:space="preserve">campaigns currently function like a poll or, more accurately, a</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67"/>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 I thus consider</w:t>
      </w:r>
      <w:r>
        <w:t xml:space="preserve"> </w:t>
      </w:r>
      <w:r>
        <w:t xml:space="preserve">public demands to be a latent factor in my model of policymaking (Figure</w:t>
      </w:r>
      <w:r>
        <w:t xml:space="preserve"> </w:t>
      </w:r>
      <w:r>
        <w:t xml:space="preserve">2.4</w:t>
      </w:r>
      <w:r>
        <w:t xml:space="preserve">. Public demands shape the decisions of</w:t>
      </w:r>
      <w:r>
        <w:t xml:space="preserve"> </w:t>
      </w:r>
      <w:r>
        <w:t xml:space="preserve">groups who lobby in rulemaking. If they believe the attentive public is</w:t>
      </w:r>
      <w:r>
        <w:t xml:space="preserve"> </w:t>
      </w:r>
      <w:r>
        <w:t xml:space="preserve">on their side, groups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2.4: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68"/>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2.4: Incorporating Political Information into Models of Bureaucratic Policymaking</w:t>
      </w:r>
    </w:p>
    <w:p>
      <w:pPr>
        <w:pStyle w:val="BodyText"/>
      </w:pPr>
      <w:r>
        <w:t xml:space="preserve">Figure</w:t>
      </w:r>
      <w:r>
        <w:t xml:space="preserve"> </w:t>
      </w:r>
      <w:r>
        <w:t xml:space="preserve">2.4</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2.3</w:t>
      </w:r>
      <w:r>
        <w:t xml:space="preserve">) to incorporate political information about the attentive public. In addition to providing technical information through sophisticated comments, an organization may mobilize supporters.</w:t>
      </w:r>
      <w:r>
        <w:t xml:space="preserve"> </w:t>
      </w:r>
      <w:r>
        <w:t xml:space="preserve">The more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69"/>
      </w:r>
    </w:p>
    <w:p>
      <w:pPr>
        <w:pStyle w:val="BodyText"/>
      </w:pPr>
      <w:r>
        <w:t xml:space="preserve">The causal process visualized in Figure</w:t>
      </w:r>
      <w:r>
        <w:t xml:space="preserve"> </w:t>
      </w:r>
      <w:r>
        <w:t xml:space="preserve">2.4</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agencies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r>
        <w:t xml:space="preserve">Carpenter and Moore (</w:t>
      </w:r>
      <w:hyperlink w:anchor="ref-Carpenter2014b">
        <w:r>
          <w:rPr>
            <w:rStyle w:val="Hyperlink"/>
          </w:rPr>
          <w:t xml:space="preserve">2014</w:t>
        </w:r>
      </w:hyperlink>
      <w:r>
        <w:t xml:space="preserve">)</w:t>
      </w:r>
      <w:r>
        <w:t xml:space="preserve">).</w:t>
      </w:r>
    </w:p>
    <w:p>
      <w:pPr>
        <w:pStyle w:val="Heading2"/>
      </w:pPr>
      <w:bookmarkStart w:id="70" w:name="X82e681ce8f86c704962111d90f542ae06d5ce18"/>
      <w:r>
        <w:t xml:space="preserve">2.3	Hypotheses About the Drivers of Mass Mobilization</w:t>
      </w:r>
      <w:bookmarkEnd w:id="70"/>
    </w:p>
    <w:p>
      <w:pPr>
        <w:pStyle w:val="Heading3"/>
      </w:pPr>
      <w:bookmarkStart w:id="71" w:name="types-of-campaigns"/>
      <w:r>
        <w:t xml:space="preserve">2.3.1	Types of campaigns</w:t>
      </w:r>
      <w:bookmarkEnd w:id="71"/>
    </w:p>
    <w:p>
      <w:pPr>
        <w:pStyle w:val="FirstParagraph"/>
      </w:pPr>
      <w:r>
        <w:t xml:space="preserve">The outcomes of mass mobilization depend, in part, on the aims of a</w:t>
      </w:r>
      <w:r>
        <w:t xml:space="preserve"> </w:t>
      </w:r>
      <w:r>
        <w:t xml:space="preserve">campaign. I distinguish group campaigns by which of three distinct aims</w:t>
      </w:r>
      <w:r>
        <w:t xml:space="preserve"> </w:t>
      </w:r>
      <w:r>
        <w:t xml:space="preserve">they pursue: (1) to win concessions by going public, (2) to disrupt a</w:t>
      </w:r>
      <w:r>
        <w:t xml:space="preserve"> </w:t>
      </w:r>
      <w:r>
        <w:t xml:space="preserve">perceived consensus, or (3) to go down fighting. Going public and</w:t>
      </w:r>
      <w:r>
        <w:t xml:space="preserve"> </w:t>
      </w:r>
      <w:r>
        <w:t xml:space="preserve">disrupting a perceived consensus are forms of proactive and reactive</w:t>
      </w:r>
      <w:r>
        <w:t xml:space="preserve"> </w:t>
      </w:r>
      <w:r>
        <w:t xml:space="preserve">outside lobbying, respectively. Here, going down fighting describes any</w:t>
      </w:r>
      <w:r>
        <w:t xml:space="preserve"> </w:t>
      </w:r>
      <w:r>
        <w:t xml:space="preserve">situation where the organization does not expect to influence policy but</w:t>
      </w:r>
      <w:r>
        <w:t xml:space="preserve"> </w:t>
      </w:r>
      <w:r>
        <w:t xml:space="preserve">mobilizes for other reasons.</w:t>
      </w:r>
    </w:p>
    <w:p>
      <w:pPr>
        <w:pStyle w:val="BodyText"/>
      </w:pPr>
      <w:r>
        <w:rPr>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w:t>
      </w:r>
      <w:r>
        <w:rPr>
          <w:rStyle w:val="FootnoteReference"/>
        </w:rPr>
        <w:footnoteReference w:id="72"/>
      </w:r>
      <w:r>
        <w:t xml:space="preserve"> </w:t>
      </w:r>
      <w:r>
        <w:t xml:space="preserve">As these</w:t>
      </w:r>
      <w:r>
        <w:t xml:space="preserve"> </w:t>
      </w:r>
      <w:r>
        <w:t xml:space="preserve">are the coalitions that believe they have more intense public</w:t>
      </w:r>
      <w:r>
        <w:t xml:space="preserve"> </w:t>
      </w:r>
      <w:r>
        <w:t xml:space="preserve">support, mass engagement is likely to skew heavily toward this side.</w:t>
      </w:r>
      <w:r>
        <w:rPr>
          <w:rStyle w:val="FootnoteReference"/>
        </w:rPr>
        <w:footnoteReference w:id="73"/>
      </w:r>
      <w:r>
        <w:t xml:space="preserve"> </w:t>
      </w:r>
      <w:r>
        <w:t xml:space="preserve">Indeed,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finds that advocacy group-driven campaigns mobilize</w:t>
      </w:r>
      <w:r>
        <w:t xml:space="preserve"> </w:t>
      </w:r>
      <w:r>
        <w:t xml:space="preserve">far more people on average than industry-driven campaigns. Additionally,</w:t>
      </w:r>
      <w:r>
        <w:t xml:space="preserve"> </w:t>
      </w:r>
      <w:r>
        <w:t xml:space="preserve">many people may be inspired indirectly (e.g., through news stories) or</w:t>
      </w:r>
      <w:r>
        <w:t xml:space="preserve"> </w:t>
      </w:r>
      <w:r>
        <w:t xml:space="preserve">to engage with more effort (e.g., writing longer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w:t>
      </w:r>
      <w:r>
        <w:rPr>
          <w:rStyle w:val="FootnoteReference"/>
        </w:rPr>
        <w:footnoteReference w:id="74"/>
      </w:r>
    </w:p>
    <w:p>
      <w:pPr>
        <w:pStyle w:val="BlockText"/>
      </w:pPr>
      <w:r>
        <w:rPr>
          <w:b/>
        </w:rPr>
        <w:t xml:space="preserve">Hypothesis 1a:</w:t>
      </w:r>
      <w:r>
        <w:t xml:space="preserve"> </w:t>
      </w:r>
      <w:r>
        <w:t xml:space="preserve">Lobbying coalitions</w:t>
      </w:r>
      <w:r>
        <w:t xml:space="preserve"> </w:t>
      </w:r>
      <w:r>
        <w:t xml:space="preserve">mobilize mass engagement when they perceive the attentive public is on</w:t>
      </w:r>
      <w:r>
        <w:t xml:space="preserve"> </w:t>
      </w:r>
      <w:r>
        <w:t xml:space="preserve">their side, have sufficient resources, and perceive an opportunity to</w:t>
      </w:r>
      <w:r>
        <w:t xml:space="preserve"> </w:t>
      </w:r>
      <w:r>
        <w:t xml:space="preserve">influence policy.</w:t>
      </w:r>
    </w:p>
    <w:p>
      <w:pPr>
        <w:pStyle w:val="FirstParagraph"/>
      </w:pPr>
      <w:r>
        <w:t xml:space="preserve">The key part of this hypothesis is that mobilizing is correlated with</w:t>
      </w:r>
      <w:r>
        <w:t xml:space="preserve"> </w:t>
      </w:r>
      <w:r>
        <w:t xml:space="preserve">existing public support, what might be called</w:t>
      </w:r>
      <w:r>
        <w:t xml:space="preserve"> </w:t>
      </w:r>
      <w:r>
        <w:t xml:space="preserve">“</w:t>
      </w:r>
      <w:r>
        <w:t xml:space="preserve">grass-roots</w:t>
      </w:r>
      <w:r>
        <w:t xml:space="preserve">”</w:t>
      </w:r>
      <w:r>
        <w:t xml:space="preserve"> </w:t>
      </w:r>
      <w:r>
        <w:t xml:space="preserve">support. The</w:t>
      </w:r>
      <w:r>
        <w:t xml:space="preserve"> </w:t>
      </w:r>
      <w:r>
        <w:t xml:space="preserve">converse, that organizations mobilize when they have less public</w:t>
      </w:r>
      <w:r>
        <w:t xml:space="preserve"> </w:t>
      </w:r>
      <w:r>
        <w:t xml:space="preserve">support, could also be true. For example, business groups who are</w:t>
      </w:r>
      <w:r>
        <w:t xml:space="preserve"> </w:t>
      </w:r>
      <w:r>
        <w:t xml:space="preserve">already advantaged in low salience rulemaking may decide to leverage</w:t>
      </w:r>
      <w:r>
        <w:t xml:space="preserve"> </w:t>
      </w:r>
      <w:r>
        <w:t xml:space="preserve">their superior resources further to mobilize support to alter a bad</w:t>
      </w:r>
      <w:r>
        <w:t xml:space="preserve"> </w:t>
      </w:r>
      <w:r>
        <w:t xml:space="preserve">reputation or bolster claims that they represent more than their private</w:t>
      </w:r>
      <w:r>
        <w:t xml:space="preserve"> </w:t>
      </w:r>
      <w:r>
        <w:t xml:space="preserve">interest. If mobilization most often takes this</w:t>
      </w:r>
      <w:r>
        <w:t xml:space="preserve"> </w:t>
      </w:r>
      <w:r>
        <w:t xml:space="preserve">“</w:t>
      </w:r>
      <w:r>
        <w:t xml:space="preserve">astroturf</w:t>
      </w:r>
      <w:r>
        <w:t xml:space="preserve">”</w:t>
      </w:r>
      <w:r>
        <w:t xml:space="preserve"> </w:t>
      </w:r>
      <w:r>
        <w:t xml:space="preserve">form, this</w:t>
      </w:r>
      <w:r>
        <w:t xml:space="preserve"> </w:t>
      </w:r>
      <w:r>
        <w:t xml:space="preserve">would be evidence against</w:t>
      </w:r>
      <w:r>
        <w:t xml:space="preserve"> </w:t>
      </w:r>
      <w:r>
        <w:t xml:space="preserve">Hypothesis 1a and Schattschneider’s argument that it is the</w:t>
      </w:r>
      <w:r>
        <w:t xml:space="preserve"> </w:t>
      </w:r>
      <w:r>
        <w:t xml:space="preserve">disadvantaged who seek to expand the scope of the conflict.</w:t>
      </w:r>
    </w:p>
    <w:p>
      <w:pPr>
        <w:pStyle w:val="BodyText"/>
      </w:pPr>
      <w:r>
        <w:t xml:space="preserve">The latter parts of Hypothesis 1a regarding sufficient resources and political</w:t>
      </w:r>
      <w:r>
        <w:t xml:space="preserve"> </w:t>
      </w:r>
      <w:r>
        <w:t xml:space="preserve">opportunity are scope conditions. Most organizations that are</w:t>
      </w:r>
      <w:r>
        <w:t xml:space="preserve"> </w:t>
      </w:r>
      <w:r>
        <w:t xml:space="preserve">disadvantaged in low-salience rulemaking also lack resources to launch</w:t>
      </w:r>
      <w:r>
        <w:t xml:space="preserve"> </w:t>
      </w:r>
      <w:r>
        <w:t xml:space="preserve">mass mobilization campaigns. If an organization does not perceive a</w:t>
      </w:r>
      <w:r>
        <w:t xml:space="preserve"> </w:t>
      </w:r>
      <w:r>
        <w:t xml:space="preserve">lobbying opportunity, it would be incorrect to call mobilization a</w:t>
      </w:r>
      <w:r>
        <w:t xml:space="preserve"> </w:t>
      </w:r>
      <w:r>
        <w:t xml:space="preserve">lobbying strategy. Many factors may contribute to perceived political</w:t>
      </w:r>
      <w:r>
        <w:t xml:space="preserve"> </w:t>
      </w:r>
      <w:r>
        <w:t xml:space="preserve">opportunities. For example,</w:t>
      </w:r>
      <w:r>
        <w:t xml:space="preserve"> </w:t>
      </w:r>
      <w:r>
        <w:t xml:space="preserve">Moore (</w:t>
      </w:r>
      <w:hyperlink w:anchor="ref-Moore2017">
        <w:r>
          <w:rPr>
            <w:rStyle w:val="Hyperlink"/>
          </w:rPr>
          <w:t xml:space="preserve">2017</w:t>
        </w:r>
      </w:hyperlink>
      <w:r>
        <w:t xml:space="preserve">)</w:t>
      </w:r>
      <w:r>
        <w:t xml:space="preserve"> </w:t>
      </w:r>
      <w:r>
        <w:t xml:space="preserve">finds that agencies that use high</w:t>
      </w:r>
      <w:r>
        <w:t xml:space="preserve"> </w:t>
      </w:r>
      <w:r>
        <w:t xml:space="preserve">levels of expertise (as defined by</w:t>
      </w:r>
      <w:r>
        <w:t xml:space="preserve"> </w:t>
      </w:r>
      <w:r>
        <w:t xml:space="preserve">Selin (</w:t>
      </w:r>
      <w:hyperlink w:anchor="ref-Selin2015">
        <w:r>
          <w:rPr>
            <w:rStyle w:val="Hyperlink"/>
          </w:rPr>
          <w:t xml:space="preserve">2015</w:t>
        </w:r>
      </w:hyperlink>
      <w:r>
        <w:t xml:space="preserve">)</w:t>
      </w:r>
      <w:r>
        <w:t xml:space="preserve">) receive fewer comments,</w:t>
      </w:r>
      <w:r>
        <w:t xml:space="preserve"> </w:t>
      </w:r>
      <w:r>
        <w:t xml:space="preserve">possibly because mobilizing organizations perceive these rules to be</w:t>
      </w:r>
      <w:r>
        <w:t xml:space="preserve"> </w:t>
      </w:r>
      <w:r>
        <w:t xml:space="preserve">less open to influence.</w:t>
      </w:r>
    </w:p>
    <w:p>
      <w:pPr>
        <w:pStyle w:val="BodyText"/>
      </w:pPr>
      <w:r>
        <w:rPr>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powerful, when a coalition goes</w:t>
      </w:r>
      <w:r>
        <w:t xml:space="preserve"> </w:t>
      </w:r>
      <w:r>
        <w:t xml:space="preserve">public, an opposing coalition may countermobilize. Because I theorize</w:t>
      </w:r>
      <w:r>
        <w:t xml:space="preserve"> </w:t>
      </w:r>
      <w:r>
        <w:t xml:space="preserve">that these are coalitions with less intense public support and its aim</w:t>
      </w:r>
      <w:r>
        <w:t xml:space="preserve"> </w:t>
      </w:r>
      <w:r>
        <w:t xml:space="preserve">is prevent a perceived consensus, I expect such campaigns to engage</w:t>
      </w:r>
      <w:r>
        <w:t xml:space="preserve"> </w:t>
      </w:r>
      <w:r>
        <w:t xml:space="preserve">fewer people, less effort per person, and yield a smaller portion of</w:t>
      </w:r>
      <w:r>
        <w:t xml:space="preserve"> </w:t>
      </w:r>
      <w:r>
        <w:t xml:space="preserve">indirect engagement.</w:t>
      </w:r>
    </w:p>
    <w:p>
      <w:pPr>
        <w:pStyle w:val="BlockText"/>
      </w:pPr>
      <w:r>
        <w:rPr>
          <w:b/>
        </w:rPr>
        <w:t xml:space="preserve">Hypothesis 1b:</w:t>
      </w:r>
      <w:r>
        <w:t xml:space="preserve"> </w:t>
      </w:r>
      <w:r>
        <w:t xml:space="preserve">When a lobbying</w:t>
      </w:r>
      <w:r>
        <w:t xml:space="preserve"> </w:t>
      </w:r>
      <w:r>
        <w:t xml:space="preserve">coalition with more intense public support mobilizes successfully in</w:t>
      </w:r>
      <w:r>
        <w:t xml:space="preserve"> </w:t>
      </w:r>
      <w:r>
        <w:t xml:space="preserve">response to an opportunity to influence policy, opposing coalitions with</w:t>
      </w:r>
      <w:r>
        <w:t xml:space="preserve"> </w:t>
      </w:r>
      <w:r>
        <w:t xml:space="preserve">less public support are more likely to countermobilize, but with</w:t>
      </w:r>
      <w:r>
        <w:t xml:space="preserve"> </w:t>
      </w:r>
      <w:r>
        <w:t xml:space="preserve">proportionally smaller results.</w:t>
      </w:r>
    </w:p>
    <w:p>
      <w:pPr>
        <w:pStyle w:val="FirstParagraph"/>
      </w:pPr>
      <w:r>
        <w:t xml:space="preserve">The first part of Hypothesis 1b would be undermined if lobbying organizations</w:t>
      </w:r>
      <w:r>
        <w:t xml:space="preserve"> </w:t>
      </w:r>
      <w:r>
        <w:t xml:space="preserve">with less public support are no more likely to engage in outside</w:t>
      </w:r>
      <w:r>
        <w:t xml:space="preserve"> </w:t>
      </w:r>
      <w:r>
        <w:t xml:space="preserve">lobbying when their opponents do so. While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industry</w:t>
      </w:r>
      <w:r>
        <w:t xml:space="preserve"> </w:t>
      </w:r>
      <w:r>
        <w:t xml:space="preserve">groups were no more likely to advocate for rules to be strengthened,</w:t>
      </w:r>
      <w:r>
        <w:t xml:space="preserve"> </w:t>
      </w:r>
      <w:r>
        <w:t xml:space="preserve">weakened or withdrawn, this does not mean that they are no more likely</w:t>
      </w:r>
      <w:r>
        <w:t xml:space="preserve"> </w:t>
      </w:r>
      <w:r>
        <w:t xml:space="preserve">to mobilize when their opponents do so.</w:t>
      </w:r>
    </w:p>
    <w:p>
      <w:pPr>
        <w:pStyle w:val="BodyText"/>
      </w:pPr>
      <w:r>
        <w:t xml:space="preserve">The second part of this hypothesis, that countermobilization is</w:t>
      </w:r>
      <w:r>
        <w:t xml:space="preserve"> </w:t>
      </w:r>
      <w:r>
        <w:t xml:space="preserve">proportionally smaller, rests on the intuition that the scale and</w:t>
      </w:r>
      <w:r>
        <w:t xml:space="preserve"> </w:t>
      </w:r>
      <w:r>
        <w:t xml:space="preserve">intensity of public engagement are moderated by preexisting support for</w:t>
      </w:r>
      <w:r>
        <w:t xml:space="preserve"> </w:t>
      </w:r>
      <w:r>
        <w:t xml:space="preserve">the proposition that people are being asked to support. It is possible</w:t>
      </w:r>
      <w:r>
        <w:t xml:space="preserve"> </w:t>
      </w:r>
      <w:r>
        <w:t xml:space="preserve">that the</w:t>
      </w:r>
      <w:r>
        <w:t xml:space="preserve"> </w:t>
      </w:r>
      <w:r>
        <w:t xml:space="preserve">“</w:t>
      </w:r>
      <w:r>
        <w:t xml:space="preserve">potentially mobilized</w:t>
      </w:r>
      <w:r>
        <w:t xml:space="preserve">”</w:t>
      </w:r>
      <w:r>
        <w:t xml:space="preserve"> </w:t>
      </w:r>
      <w:r>
        <w:t xml:space="preserve">segments of the public are unrelated to</w:t>
      </w:r>
      <w:r>
        <w:t xml:space="preserve"> </w:t>
      </w:r>
      <w:r>
        <w:t xml:space="preserve">public support before being contacted by the campaign, for example, if</w:t>
      </w:r>
      <w:r>
        <w:t xml:space="preserve"> </w:t>
      </w:r>
      <w:r>
        <w:t xml:space="preserve">mobilization is driven more by partisan identities than issue</w:t>
      </w:r>
      <w:r>
        <w:t xml:space="preserve"> </w:t>
      </w:r>
      <w:r>
        <w:t xml:space="preserve">preferences.</w:t>
      </w:r>
    </w:p>
    <w:p>
      <w:pPr>
        <w:pStyle w:val="BodyText"/>
      </w:pPr>
      <w:r>
        <w:rPr>
          <w:b/>
        </w:rPr>
        <w:t xml:space="preserve">Going down fighting.</w:t>
      </w:r>
      <w:r>
        <w:t xml:space="preserve"> </w:t>
      </w:r>
      <w:r>
        <w:t xml:space="preserve">Finally, campaigns may target supporters rather</w:t>
      </w:r>
      <w:r>
        <w:t xml:space="preserve"> </w:t>
      </w:r>
      <w:r>
        <w:t xml:space="preserve">than policymakers. Sometimes organizations</w:t>
      </w:r>
      <w:r>
        <w:t xml:space="preserve"> </w:t>
      </w:r>
      <w:r>
        <w:t xml:space="preserve">“</w:t>
      </w:r>
      <w:r>
        <w:t xml:space="preserve">go down fighting</w:t>
      </w:r>
      <w:r>
        <w:t xml:space="preserve">”</w:t>
      </w:r>
      <w:r>
        <w:t xml:space="preserve"> </w:t>
      </w:r>
      <w:r>
        <w:t xml:space="preserve">to fulfill</w:t>
      </w:r>
      <w:r>
        <w:t xml:space="preserve"> </w:t>
      </w:r>
      <w:r>
        <w:t xml:space="preserve">supporters’ expectations. For example,</w:t>
      </w:r>
      <w:r>
        <w:t xml:space="preserve"> </w:t>
      </w:r>
      <w:r>
        <w:t xml:space="preserve">Carpenter et al. (</w:t>
      </w:r>
      <w:hyperlink w:anchor="ref-Carpenter2020">
        <w:r>
          <w:rPr>
            <w:rStyle w:val="Hyperlink"/>
          </w:rPr>
          <w:t xml:space="preserve">2020</w:t>
        </w:r>
      </w:hyperlink>
      <w:r>
        <w:t xml:space="preserve">)</w:t>
      </w:r>
      <w:r>
        <w:t xml:space="preserve"> </w:t>
      </w:r>
      <w:r>
        <w:t xml:space="preserve">finds that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In the context of notice and comment rulemaking, after a draft policy is published, failing to secure one’s demands is always a loss, so I use</w:t>
      </w:r>
      <w:r>
        <w:t xml:space="preserve"> </w:t>
      </w:r>
      <w:r>
        <w:t xml:space="preserve">“</w:t>
      </w:r>
      <w:r>
        <w:t xml:space="preserve">going down fighting</w:t>
      </w:r>
      <w:r>
        <w:t xml:space="preserve">”</w:t>
      </w:r>
      <w:r>
        <w:t xml:space="preserve"> </w:t>
      </w:r>
      <w:r>
        <w:t xml:space="preserve">as shorthand for</w:t>
      </w:r>
      <w:r>
        <w:t xml:space="preserve"> </w:t>
      </w:r>
      <w:r>
        <w:t xml:space="preserve">campaigns aimed primarily at fulfilling member, donor, or supporter</w:t>
      </w:r>
      <w:r>
        <w:t xml:space="preserve"> </w:t>
      </w:r>
      <w:r>
        <w:t xml:space="preserve">expectations and related logics that are internal to the organization,</w:t>
      </w:r>
      <w:r>
        <w:t xml:space="preserve"> </w:t>
      </w:r>
      <w:r>
        <w:t xml:space="preserve">including member retention or recruitment (</w:t>
      </w:r>
      <w:r>
        <w:t xml:space="preserve">Carpenter and Moore (</w:t>
      </w:r>
      <w:hyperlink w:anchor="ref-Carpenter2014b">
        <w:r>
          <w:rPr>
            <w:rStyle w:val="Hyperlink"/>
          </w:rPr>
          <w:t xml:space="preserve">2014</w:t>
        </w:r>
      </w:hyperlink>
      <w:r>
        <w:t xml:space="preserve">)</w:t>
      </w:r>
      <w:r>
        <w:t xml:space="preserve">,</w:t>
      </w:r>
      <w:r>
        <w:t xml:space="preserve"> </w:t>
      </w:r>
      <w:r>
        <w:t xml:space="preserve">Carpenter et al. (</w:t>
      </w:r>
      <w:hyperlink w:anchor="ref-Carpenter2020">
        <w:r>
          <w:rPr>
            <w:rStyle w:val="Hyperlink"/>
          </w:rPr>
          <w:t xml:space="preserve">2020</w:t>
        </w:r>
      </w:hyperlink>
      <w:r>
        <w:t xml:space="preserve">)</w:t>
      </w:r>
      <w:r>
        <w:t xml:space="preserve">), fundraising, or satisfying a</w:t>
      </w:r>
      <w:r>
        <w:t xml:space="preserve"> </w:t>
      </w:r>
      <w:r>
        <w:t xml:space="preserve">board of directors. For example, as Figure</w:t>
      </w:r>
      <w:r>
        <w:t xml:space="preserve"> </w:t>
      </w:r>
      <w:r>
        <w:t xml:space="preserve">2.5</w:t>
      </w:r>
      <w:r>
        <w:t xml:space="preserve"> </w:t>
      </w:r>
      <w:r>
        <w:t xml:space="preserve">shows, the Sierra Club uses campaigns to collect</w:t>
      </w:r>
      <w:r>
        <w:t xml:space="preserve"> </w:t>
      </w:r>
      <w:r>
        <w:t xml:space="preserve">contact information of supporters and potential members. In this case,</w:t>
      </w:r>
      <w:r>
        <w:t xml:space="preserve"> </w:t>
      </w:r>
      <w:r>
        <w:t xml:space="preserve">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but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5: The Sierra Club Collects Contact Information Through Mass Mobilization Campaign"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75"/>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2.5: The Sierra Club Collects Contact Information Through Mass Mobilization Campaign</w:t>
      </w:r>
    </w:p>
    <w:p>
      <w:pPr>
        <w:pStyle w:val="BodyText"/>
      </w:pPr>
      <w:r>
        <w:t xml:space="preserve">While such campaigns may engage many people, they are unlikely to affect</w:t>
      </w:r>
      <w:r>
        <w:t xml:space="preserve"> </w:t>
      </w:r>
      <w:r>
        <w:t xml:space="preserve">policy or to inspire countermobilization. I expect such campaigns to</w:t>
      </w:r>
      <w:r>
        <w:t xml:space="preserve"> </w:t>
      </w:r>
      <w:r>
        <w:t xml:space="preserve">occur on rules that have high partisan salience (e.g., rules following</w:t>
      </w:r>
      <w:r>
        <w:t xml:space="preserve"> </w:t>
      </w:r>
      <w:r>
        <w:t xml:space="preserve">major legislation passed on a narrow vote), rules that propose large</w:t>
      </w:r>
      <w:r>
        <w:t xml:space="preserve"> </w:t>
      </w:r>
      <w:r>
        <w:t xml:space="preserve">shifts on policy issues dear to member-funded public interest groups, or</w:t>
      </w:r>
      <w:r>
        <w:t xml:space="preserve"> </w:t>
      </w:r>
      <w:r>
        <w:t xml:space="preserve">rulemaking started shortly after presidential transitions when</w:t>
      </w:r>
      <w:r>
        <w:t xml:space="preserve"> </w:t>
      </w:r>
      <w:r>
        <w:t xml:space="preserve">executive-branch agendas shift more quickly than public opinion.</w:t>
      </w:r>
    </w:p>
    <w:p>
      <w:pPr>
        <w:pStyle w:val="BodyText"/>
      </w:pPr>
      <w:r>
        <w:t xml:space="preserve">When a lobbying coalition with more intense public support successfully</w:t>
      </w:r>
      <w:r>
        <w:t xml:space="preserve"> </w:t>
      </w:r>
      <w:r>
        <w:t xml:space="preserve">mobilizes for reasons other than influencing policy, opposing coalitions</w:t>
      </w:r>
      <w:r>
        <w:t xml:space="preserve"> </w:t>
      </w:r>
      <w:r>
        <w:t xml:space="preserve">with less public support are not more likely to countermobilize.</w:t>
      </w:r>
    </w:p>
    <w:p>
      <w:pPr>
        <w:pStyle w:val="BodyText"/>
      </w:pPr>
      <w:r>
        <w:t xml:space="preserve">Going public and going down fighting may be difficult to distinguish in</w:t>
      </w:r>
      <w:r>
        <w:t xml:space="preserve"> </w:t>
      </w:r>
      <w:r>
        <w:t xml:space="preserve">the observed public response. Indeed, members of the public may poorly</w:t>
      </w:r>
      <w:r>
        <w:t xml:space="preserve"> </w:t>
      </w:r>
      <w:r>
        <w:t xml:space="preserve">understand the different chances of success in each case. However,</w:t>
      </w:r>
      <w:r>
        <w:t xml:space="preserve"> </w:t>
      </w:r>
      <w:r>
        <w:t xml:space="preserve">lobbying organization do likely know their chances of success and should</w:t>
      </w:r>
      <w:r>
        <w:t xml:space="preserve"> </w:t>
      </w:r>
      <w:r>
        <w:t xml:space="preserve">thus invest less in sophisticated insider lobbying under the going down</w:t>
      </w:r>
      <w:r>
        <w:t xml:space="preserve"> </w:t>
      </w:r>
      <w:r>
        <w:t xml:space="preserve">fighting strategy. By identify cases where coalitions engage in large</w:t>
      </w:r>
      <w:r>
        <w:t xml:space="preserve"> </w:t>
      </w:r>
      <w:r>
        <w:t xml:space="preserve">public campaigns without corresponding investment in sophisticated</w:t>
      </w:r>
      <w:r>
        <w:t xml:space="preserve"> </w:t>
      </w:r>
      <w:r>
        <w:t xml:space="preserve">lobbying, I can assess whether countermobilization and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three reasons behind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tblCaption w:val="Table 2.1: Observable Differences in Lobbying Strategies"/>
      </w:tblPr>
      <w:tblGrid>
        <w:gridCol w:w="1667"/>
        <w:gridCol w:w="2084"/>
        <w:gridCol w:w="2084"/>
        <w:gridCol w:w="2084"/>
      </w:tblGrid>
      <w:tr>
        <w:trPr>
          <w:cnfStyle w:firstRow="1"/>
        </w:trPr>
        <w:tc>
          <w:tcPr>
            <w:tcBorders>
              <w:bottom w:val="single"/>
            </w:tcBorders>
            <w:vAlign w:val="bottom"/>
          </w:tcPr>
          <w:p/>
        </w:tc>
        <w:tc>
          <w:tcPr>
            <w:tcBorders>
              <w:bottom w:val="single"/>
            </w:tcBorders>
            <w:vAlign w:val="bottom"/>
          </w:tcPr>
          <w:p>
            <w:pPr>
              <w:pStyle w:val="Compact"/>
              <w:jc w:val="center"/>
            </w:pPr>
            <w:r>
              <w:t xml:space="preserve">Inside lobbying (eg., technical information provided)</w:t>
            </w:r>
          </w:p>
        </w:tc>
        <w:tc>
          <w:tcPr>
            <w:tcBorders>
              <w:bottom w:val="single"/>
            </w:tcBorders>
            <w:vAlign w:val="bottom"/>
          </w:tcPr>
          <w:p>
            <w:pPr>
              <w:pStyle w:val="Compact"/>
              <w:jc w:val="center"/>
            </w:pPr>
            <w:r>
              <w:t xml:space="preserve">Outside lobbying (e.g., the number of comments from a public pressure campaign)</w:t>
            </w:r>
          </w:p>
        </w:tc>
        <w:tc>
          <w:tcPr>
            <w:tcBorders>
              <w:bottom w:val="single"/>
            </w:tcBorders>
            <w:vAlign w:val="bottom"/>
          </w:tcPr>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Going down fighting</w:t>
            </w:r>
            <w:r>
              <w:t xml:space="preserve">”</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
        </w:rPr>
        <w:t xml:space="preserve">relative</w:t>
      </w:r>
      <w:r>
        <w:t xml:space="preserve"> </w:t>
      </w:r>
      <w:r>
        <w:t xml:space="preserve">number of each type of comment</w:t>
      </w:r>
      <w:r>
        <w:t xml:space="preserve"> </w:t>
      </w:r>
      <w:r>
        <w:t xml:space="preserve">on each side on a given rulemaking docket. Even among rules targeted by</w:t>
      </w:r>
      <w:r>
        <w:t xml:space="preserve"> </w:t>
      </w:r>
      <w:r>
        <w:t xml:space="preserve">campaigns, salience varies significantly and thus</w:t>
      </w:r>
      <w:r>
        <w:t xml:space="preserve"> </w:t>
      </w:r>
      <w:r>
        <w:t xml:space="preserve">“</w:t>
      </w:r>
      <w:r>
        <w:t xml:space="preserve">high</w:t>
      </w:r>
      <w:r>
        <w:t xml:space="preserve">”</w:t>
      </w:r>
      <w:r>
        <w:t xml:space="preserve"> </w:t>
      </w:r>
      <w:r>
        <w:t xml:space="preserve">and</w:t>
      </w:r>
      <w:r>
        <w:t xml:space="preserve"> </w:t>
      </w:r>
      <w:r>
        <w:t xml:space="preserve">“</w:t>
      </w:r>
      <w:r>
        <w:t xml:space="preserve">low</w:t>
      </w:r>
      <w:r>
        <w:t xml:space="preserve">”</w:t>
      </w:r>
      <w:r>
        <w:t xml:space="preserve"> </w:t>
      </w:r>
      <w:r>
        <w:t xml:space="preserve">numbers of comments will differ across rules. 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Heading4"/>
      </w:pPr>
      <w:bookmarkStart w:id="76" w:name="public-and-private-goods."/>
      <w:r>
        <w:t xml:space="preserve">2.3.1.1	Public and private goods.</w:t>
      </w:r>
      <w:bookmarkEnd w:id="76"/>
    </w:p>
    <w:p>
      <w:pPr>
        <w:pStyle w:val="FirstParagraph"/>
      </w:pPr>
      <w:r>
        <w:t xml:space="preserve">While coalitions may form around various material and ideological</w:t>
      </w:r>
      <w:r>
        <w:t xml:space="preserve"> </w:t>
      </w:r>
      <w:r>
        <w:t xml:space="preserve">conflicts, those most likely to be advantaged by going public or going</w:t>
      </w:r>
      <w:r>
        <w:t xml:space="preserve"> </w:t>
      </w:r>
      <w:r>
        <w:t xml:space="preserve">down fighting are public interest groups—organizations primarily</w:t>
      </w:r>
      <w:r>
        <w:t xml:space="preserve"> </w:t>
      </w:r>
      <w:r>
        <w:t xml:space="preserve">serving an idea of the public good rather than the material interests of</w:t>
      </w:r>
      <w:r>
        <w:t xml:space="preserve"> </w:t>
      </w:r>
      <w:r>
        <w:t xml:space="preserve">their members.</w:t>
      </w:r>
      <w:r>
        <w:rPr>
          <w:rStyle w:val="FootnoteReference"/>
        </w:rPr>
        <w:footnoteReference w:id="77"/>
      </w:r>
      <w:r>
        <w:t xml:space="preserve"> </w:t>
      </w:r>
      <w:r>
        <w:t xml:space="preserve">Thus,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lockText"/>
      </w:pPr>
      <w:r>
        <w:rPr>
          <w:b/>
        </w:rPr>
        <w:t xml:space="preserve">Hypothesis 1c:</w:t>
      </w:r>
      <w:r>
        <w:t xml:space="preserve"> </w:t>
      </w:r>
      <w:r>
        <w:t xml:space="preserve">Public interest group coalitions mobilize more often than</w:t>
      </w:r>
      <w:r>
        <w:t xml:space="preserve"> </w:t>
      </w:r>
      <w:r>
        <w:t xml:space="preserve">business-driven coalitions.</w:t>
      </w:r>
    </w:p>
    <w:p>
      <w:pPr>
        <w:pStyle w:val="FirstParagraph"/>
      </w:pPr>
      <w:r>
        <w:t xml:space="preserve">Hypothesis 1c posits a conditional logic in the</w:t>
      </w:r>
      <w:r>
        <w:t xml:space="preserve"> </w:t>
      </w:r>
      <w:r>
        <w:t xml:space="preserve">decision to mobilize. If resources purely determined outside lobbying,</w:t>
      </w:r>
      <w:r>
        <w:t xml:space="preserve"> </w:t>
      </w:r>
      <w:r>
        <w:t xml:space="preserve">business-driven coalitions would often dominate, as they do elsewhere.</w:t>
      </w:r>
      <w:r>
        <w:t xml:space="preserve"> </w:t>
      </w:r>
      <w:r>
        <w:t xml:space="preserve">However, I argue, because outside lobbying can alter the decision</w:t>
      </w:r>
      <w:r>
        <w:t xml:space="preserve"> </w:t>
      </w:r>
      <w:r>
        <w:t xml:space="preserve">environment, those who have the advantage in the usual rulemaking</w:t>
      </w:r>
      <w:r>
        <w:t xml:space="preserve"> </w:t>
      </w:r>
      <w:r>
        <w:t xml:space="preserve">process (where a more limited set of actors participate) have little</w:t>
      </w:r>
      <w:r>
        <w:t xml:space="preserve"> </w:t>
      </w:r>
      <w:r>
        <w:t xml:space="preserve">incentive to expand the scope of the conflict.</w:t>
      </w:r>
    </w:p>
    <w:p>
      <w:pPr>
        <w:pStyle w:val="Heading2"/>
      </w:pPr>
      <w:bookmarkStart w:id="78" w:name="types-of-public-engagement"/>
      <w:r>
        <w:t xml:space="preserve">2.4	Types of Public Engagement</w:t>
      </w:r>
      <w:bookmarkEnd w:id="78"/>
    </w:p>
    <w:p>
      <w:pPr>
        <w:pStyle w:val="FirstParagraph"/>
      </w:pPr>
      <w:r>
        <w:t xml:space="preserve">I classify supporters into three types that help describe key pieces of</w:t>
      </w:r>
      <w:r>
        <w:t xml:space="preserve"> </w:t>
      </w:r>
      <w:r>
        <w:t xml:space="preserve">political information. I illustrate these types in the context of public</w:t>
      </w:r>
      <w:r>
        <w:t xml:space="preserve"> </w:t>
      </w:r>
      <w:r>
        <w:t xml:space="preserve">comments. Comments that are exact copies of a form letter are akin to</w:t>
      </w:r>
      <w:r>
        <w:t xml:space="preserve"> </w:t>
      </w:r>
      <w:r>
        <w:t xml:space="preserve">petition signatures from supporters who were engaged by a campaign to</w:t>
      </w:r>
      <w:r>
        <w:t xml:space="preserve"> </w:t>
      </w:r>
      <w:r>
        <w:t xml:space="preserve">comment with minimal effort. Commenters that also take time to add text</w:t>
      </w:r>
      <w:r>
        <w:t xml:space="preserve"> </w:t>
      </w:r>
      <w:r>
        <w:t xml:space="preserve">indicate more intense preferences. Finally, commenters who express</w:t>
      </w:r>
      <w:r>
        <w:t xml:space="preserve"> </w:t>
      </w:r>
      <w:r>
        <w:t xml:space="preserve">solidarity in similar but distinct phrases indicate they were engaged</w:t>
      </w:r>
      <w:r>
        <w:t xml:space="preserve"> </w:t>
      </w:r>
      <w:r>
        <w:t xml:space="preserve">indirectly, perhaps by a news story or a social media post about the</w:t>
      </w:r>
      <w:r>
        <w:t xml:space="preserve"> </w:t>
      </w:r>
      <w:r>
        <w:t xml:space="preserve">campaign, as campaign messages spread beyond those initially</w:t>
      </w:r>
      <w:r>
        <w:t xml:space="preserve"> </w:t>
      </w:r>
      <w:r>
        <w:t xml:space="preserve">targeted.</w:t>
      </w:r>
      <w:r>
        <w:rPr>
          <w:rStyle w:val="FootnoteReference"/>
        </w:rPr>
        <w:footnoteReference w:id="79"/>
      </w:r>
      <w:r>
        <w:t xml:space="preserve"> </w:t>
      </w:r>
      <w:r>
        <w:t xml:space="preserve">Because the success of a mobilization effort is moderated</w:t>
      </w:r>
      <w:r>
        <w:t xml:space="preserve"> </w:t>
      </w:r>
      <w:r>
        <w:t xml:space="preserve">by public support,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w:t>
      </w:r>
    </w:p>
    <w:p>
      <w:pPr>
        <w:pStyle w:val="BodyText"/>
      </w:pPr>
      <w:r>
        <w:t xml:space="preserve">Public interest group coalitions mobilize more successfully than</w:t>
      </w:r>
      <w:r>
        <w:t xml:space="preserve"> </w:t>
      </w:r>
      <w:r>
        <w:t xml:space="preserve">business-driven coalitions. Indicators of success include (1) the number</w:t>
      </w:r>
      <w:r>
        <w:t xml:space="preserve"> </w:t>
      </w:r>
      <w:r>
        <w:t xml:space="preserve">of comments supporting a coalition (2) the effort per comment (3) the</w:t>
      </w:r>
      <w:r>
        <w:t xml:space="preserve"> </w:t>
      </w:r>
      <w:r>
        <w:t xml:space="preserve">number of comments mobilized indirectly.</w:t>
      </w:r>
    </w:p>
    <w:p>
      <w:pPr>
        <w:pStyle w:val="BodyText"/>
      </w:pPr>
      <w:r>
        <w:t xml:space="preserve">The size of each group thus offers political information to</w:t>
      </w:r>
      <w:r>
        <w:t xml:space="preserve"> </w:t>
      </w:r>
      <w:r>
        <w:t xml:space="preserve">policymakers, including coalition resources, the intensity of sentiment,</w:t>
      </w:r>
      <w:r>
        <w:t xml:space="preserve"> </w:t>
      </w:r>
      <w:r>
        <w:t xml:space="preserve">and the potential for conflict to spread. The first two types signal two</w:t>
      </w:r>
      <w:r>
        <w:t xml:space="preserve"> </w:t>
      </w:r>
      <w:r>
        <w:t xml:space="preserve">kinds of intensity or resolve. First, they show the mobilizers’</w:t>
      </w:r>
      <w:r>
        <w:t xml:space="preserve"> </w:t>
      </w:r>
      <w:r>
        <w:t xml:space="preserve">willingness to commit resources to the issue. Second, costly actions</w:t>
      </w:r>
      <w:r>
        <w:t xml:space="preserve"> </w:t>
      </w:r>
      <w:r>
        <w:t xml:space="preserve">show the intensity of opinions among the mobilized segment of the public</w:t>
      </w:r>
      <w:r>
        <w:t xml:space="preserve"> </w:t>
      </w:r>
      <w:r>
        <w:t xml:space="preserve">(Dunleavy</w:t>
      </w:r>
      <w:r>
        <w:t xml:space="preserve"> </w:t>
      </w:r>
      <w:hyperlink w:anchor="ref-Dunleavy1991">
        <w:r>
          <w:rPr>
            <w:rStyle w:val="Hyperlink"/>
          </w:rPr>
          <w:t xml:space="preserve">1991</w:t>
        </w:r>
      </w:hyperlink>
      <w:r>
        <w:t xml:space="preserve">)</w:t>
      </w:r>
      <w:r>
        <w:t xml:space="preserve">. The number of people engaged by a campaign is not</w:t>
      </w:r>
      <w:r>
        <w:t xml:space="preserve"> </w:t>
      </w:r>
      <w:r>
        <w:t xml:space="preserve">strictly proportional to an organization’s investment. The less people</w:t>
      </w:r>
      <w:r>
        <w:t xml:space="preserve"> </w:t>
      </w:r>
      <w:r>
        <w:t xml:space="preserve">care, the more it costs to mobilize them. The third type indicates</w:t>
      </w:r>
      <w:r>
        <w:t xml:space="preserve"> </w:t>
      </w:r>
      <w:r>
        <w:t xml:space="preserve">potential contagion. Indications that messages spread beyond those</w:t>
      </w:r>
      <w:r>
        <w:t xml:space="preserve"> </w:t>
      </w:r>
      <w:r>
        <w:t xml:space="preserve">initially targeted may be especially powerful</w:t>
      </w:r>
      <w:r>
        <w:t xml:space="preserve"> </w:t>
      </w:r>
      <w:r>
        <w:t xml:space="preserve">(Kollman</w:t>
      </w:r>
      <w:r>
        <w:t xml:space="preserve"> </w:t>
      </w:r>
      <w:hyperlink w:anchor="ref-Kollman1998">
        <w:r>
          <w:rPr>
            <w:rStyle w:val="Hyperlink"/>
          </w:rPr>
          <w:t xml:space="preserve">1998</w:t>
        </w:r>
      </w:hyperlink>
      <w:r>
        <w:t xml:space="preserve">)</w:t>
      </w:r>
      <w:r>
        <w:t xml:space="preserve">.</w:t>
      </w:r>
    </w:p>
    <w:p>
      <w:pPr>
        <w:pStyle w:val="BodyText"/>
      </w:pPr>
      <w:r>
        <w:t xml:space="preserve">Information about organizational resolve, the intensity of public</w:t>
      </w:r>
      <w:r>
        <w:t xml:space="preserve"> </w:t>
      </w:r>
      <w:r>
        <w:t xml:space="preserve">demands, and contagiousness are thus produced, but such political</w:t>
      </w:r>
      <w:r>
        <w:t xml:space="preserve"> </w:t>
      </w:r>
      <w:r>
        <w:t xml:space="preserve">information will only influence decisions if these signals are processed</w:t>
      </w:r>
      <w:r>
        <w:t xml:space="preserve"> </w:t>
      </w:r>
      <w:r>
        <w:t xml:space="preserve">in a way that captures this information and relays it to decisionmakers.</w:t>
      </w:r>
      <w:r>
        <w:t xml:space="preserve"> </w:t>
      </w:r>
      <w:r>
        <w:t xml:space="preserve">These organizational processes may vary significantly across agencies.</w:t>
      </w:r>
    </w:p>
    <w:p>
      <w:pPr>
        <w:pStyle w:val="Heading2"/>
      </w:pPr>
      <w:bookmarkStart w:id="80" w:name="why-methods"/>
      <w:r>
        <w:t xml:space="preserve">2.5	Methods: Measuring Public Pressure and Political Information</w:t>
      </w:r>
      <w:bookmarkEnd w:id="80"/>
    </w:p>
    <w:p>
      <w:pPr>
        <w:pStyle w:val="FirstParagraph"/>
      </w:pPr>
      <w:r>
        <w:t xml:space="preserve">In this section, I develop methods to attribute mass comments to the</w:t>
      </w:r>
      <w:r>
        <w:t xml:space="preserve"> </w:t>
      </w:r>
      <w:r>
        <w:t xml:space="preserve">campaigns that mobilized them and measure the intensity of preferences</w:t>
      </w:r>
      <w:r>
        <w:t xml:space="preserve"> </w:t>
      </w:r>
      <w:r>
        <w:t xml:space="preserve">expressed. To link individual comments to the more sophisticated</w:t>
      </w:r>
      <w:r>
        <w:t xml:space="preserve"> </w:t>
      </w:r>
      <w:r>
        <w:t xml:space="preserve">lobbying efforts they support, I use textual similarity to identify</w:t>
      </w:r>
      <w:r>
        <w:t xml:space="preserve"> </w:t>
      </w:r>
      <w:r>
        <w:t xml:space="preserve">clusters of similar comments, reflecting formal and informal coalitions.</w:t>
      </w:r>
      <w:r>
        <w:t xml:space="preserve"> </w:t>
      </w:r>
      <w:r>
        <w:t xml:space="preserve">Comments with identical text (if any) indicate which groups and</w:t>
      </w:r>
      <w:r>
        <w:t xml:space="preserve"> </w:t>
      </w:r>
      <w:r>
        <w:t xml:space="preserve">coalitions ran a mass comment campaign. Within each campaign, I measure</w:t>
      </w:r>
      <w:r>
        <w:t xml:space="preserve"> </w:t>
      </w:r>
      <w:r>
        <w:t xml:space="preserve">the intensity and potential for the movement to grow. To measure</w:t>
      </w:r>
      <w:r>
        <w:t xml:space="preserve"> </w:t>
      </w:r>
      <w:r>
        <w:t xml:space="preserve">intensity, I examine the ratio of high-effort and low-effort comments.</w:t>
      </w:r>
      <w:r>
        <w:t xml:space="preserve"> </w:t>
      </w:r>
      <w:r>
        <w:t xml:space="preserve">To measure the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p>
      <w:pPr>
        <w:pStyle w:val="Heading3"/>
      </w:pPr>
      <w:bookmarkStart w:id="81" w:name="data."/>
      <w:r>
        <w:t xml:space="preserve">2.5.1	Data.</w:t>
      </w:r>
      <w:bookmarkEnd w:id="81"/>
    </w:p>
    <w:p>
      <w:pPr>
        <w:pStyle w:val="FirstParagraph"/>
      </w:pPr>
      <w:r>
        <w:t xml:space="preserve">I collected a corpus of approximately 70 million comments via the</w:t>
      </w:r>
      <w:r>
        <w:t xml:space="preserve"> </w:t>
      </w:r>
      <w:r>
        <w:t xml:space="preserve">regulations.gov API. About 50 million of these comments are on proposed</w:t>
      </w:r>
      <w:r>
        <w:t xml:space="preserve"> </w:t>
      </w:r>
      <w:r>
        <w:t xml:space="preserve">rules (over 16,000 proposed rules from 144 agencies from 2005 to 2018).</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Heading3"/>
      </w:pPr>
      <w:bookmarkStart w:id="82" w:name="who-lobbies"/>
      <w:r>
        <w:t xml:space="preserve">2.5.2	Who lobbies?</w:t>
      </w:r>
      <w:bookmarkEnd w:id="82"/>
    </w:p>
    <w:p>
      <w:pPr>
        <w:pStyle w:val="FirstParagraph"/>
      </w:pPr>
      <w:r>
        <w:t xml:space="preserve">Unfortunately, metadata on the authors of comments and their</w:t>
      </w:r>
      <w:r>
        <w:t xml:space="preserve"> </w:t>
      </w:r>
      <w:r>
        <w:t xml:space="preserve">organizational affiliations are inconsistent and incomplete. As this</w:t>
      </w:r>
      <w:r>
        <w:t xml:space="preserve"> </w:t>
      </w:r>
      <w:r>
        <w:t xml:space="preserve">information is key to identifying influential actors, improving these</w:t>
      </w:r>
      <w:r>
        <w:t xml:space="preserve"> </w:t>
      </w:r>
      <w:r>
        <w:t xml:space="preserve">data was a significant data-organization task.</w:t>
      </w:r>
    </w:p>
    <w:p>
      <w:pPr>
        <w:pStyle w:val="Heading4"/>
      </w:pPr>
      <w:bookmarkStart w:id="83" w:name="mobilizing-organizations."/>
      <w:r>
        <w:t xml:space="preserve">2.5.2.1	Mobilizing organizations.</w:t>
      </w:r>
      <w:bookmarkEnd w:id="83"/>
    </w:p>
    <w:p>
      <w:pPr>
        <w:pStyle w:val="FirstParagraph"/>
      </w:pPr>
      <w:r>
        <w:t xml:space="preserve">Through an iterative combination of automated search methods and hand-coding, I identify organizations for over 40 million comments, including all organizations responsible for mobilizing 100 or more</w:t>
      </w:r>
      <w:r>
        <w:t xml:space="preserve"> </w:t>
      </w:r>
      <w:r>
        <w:t xml:space="preserve">comments with repeated text–either identical text or partially unique</w:t>
      </w:r>
      <w:r>
        <w:t xml:space="preserve"> </w:t>
      </w:r>
      <w:r>
        <w:t xml:space="preserve">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 The top 100 mobilizing organizations</w:t>
      </w:r>
      <w:r>
        <w:t xml:space="preserve"> </w:t>
      </w:r>
      <w:r>
        <w:t xml:space="preserve">each mobilized between 55 thousand and 4.2 million comments. Figure</w:t>
      </w:r>
      <w:r>
        <w:t xml:space="preserve"> </w:t>
      </w:r>
      <w:r>
        <w:t xml:space="preserve">2.6</w:t>
      </w:r>
      <w:r>
        <w:t xml:space="preserve"> </w:t>
      </w:r>
      <w:r>
        <w:t xml:space="preserve">shows the top organizers of comments posted to</w:t>
      </w:r>
      <w:r>
        <w:t xml:space="preserve"> </w:t>
      </w:r>
      <w:r>
        <w:t xml:space="preserve">regulations.gov.</w:t>
      </w:r>
    </w:p>
    <w:p>
      <w:pPr>
        <w:pStyle w:val="CaptionedFigure"/>
      </w:pPr>
      <w:r>
        <w:drawing>
          <wp:inline>
            <wp:extent cx="5334000" cy="1333500"/>
            <wp:effectExtent b="0" l="0" r="0" t="0"/>
            <wp:docPr descr="Figure 2.6: Top mobilizers of comments posted to regulations.gov" title="" id="1" name="Picture"/>
            <a:graphic>
              <a:graphicData uri="http://schemas.openxmlformats.org/drawingml/2006/picture">
                <pic:pic>
                  <pic:nvPicPr>
                    <pic:cNvPr descr="/Users/devin/dissertation/Figs/toporgs.png" id="0" name="Picture"/>
                    <pic:cNvPicPr>
                      <a:picLocks noChangeArrowheads="1" noChangeAspect="1"/>
                    </pic:cNvPicPr>
                  </pic:nvPicPr>
                  <pic:blipFill>
                    <a:blip r:embed="rId84"/>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Figure 2.6: Top mobilizers of comments posted to regulations.gov</w:t>
      </w:r>
    </w:p>
    <w:p>
      <w:pPr>
        <w:pStyle w:val="Heading3"/>
      </w:pPr>
      <w:bookmarkStart w:id="85" w:name="who-lobbies-together"/>
      <w:r>
        <w:t xml:space="preserve">2.5.3	Who lobbies together?</w:t>
      </w:r>
      <w:bookmarkEnd w:id="85"/>
    </w:p>
    <w:p>
      <w:pPr>
        <w:pStyle w:val="FirstParagraph"/>
      </w:pPr>
      <w:r>
        <w:t xml:space="preserve">Having identified who is participating in rulemaking, the next step is</w:t>
      </w:r>
      <w:r>
        <w:t xml:space="preserve"> </w:t>
      </w:r>
      <w:r>
        <w:t xml:space="preserve">to determine who is lobbying together. Studies of rulemaking stress the importance of coalitions</w:t>
      </w:r>
      <w:r>
        <w:t xml:space="preserve"> </w:t>
      </w:r>
      <w:r>
        <w:t xml:space="preserve">(J. W. Yackee and Yackee</w:t>
      </w:r>
      <w:r>
        <w:t xml:space="preserve"> </w:t>
      </w:r>
      <w:hyperlink w:anchor="ref-Yackee2006JOP">
        <w:r>
          <w:rPr>
            <w:rStyle w:val="Hyperlink"/>
          </w:rPr>
          <w:t xml:space="preserve">2006</w:t>
        </w:r>
      </w:hyperlink>
      <w:r>
        <w:t xml:space="preserve">, Dwidar2019)</w:t>
      </w:r>
      <w:r>
        <w:t xml:space="preserve">. Scholars have measured coalitions of organized groups but have yet to attribute citizen comments to the coalition that mobilized them.</w:t>
      </w:r>
    </w:p>
    <w:p>
      <w:pPr>
        <w:pStyle w:val="Heading4"/>
      </w:pPr>
      <w:bookmarkStart w:id="86" w:name="X17bfea8877bd15328414664a2069501b2559d92"/>
      <w:r>
        <w:t xml:space="preserve">2.5.3.1	I identify coalitions using text re-use and clustering methods.</w:t>
      </w:r>
      <w:bookmarkEnd w:id="86"/>
    </w:p>
    <w:p>
      <w:pPr>
        <w:pStyle w:val="FirstParagraph"/>
      </w:pPr>
      <w:r>
        <w:t xml:space="preserve">I identify comments that are not identical but share a 10-word (or</w:t>
      </w:r>
      <w:r>
        <w:t xml:space="preserve"> </w:t>
      </w:r>
      <w:r>
        <w:t xml:space="preserve">“</w:t>
      </w:r>
      <w:r>
        <w:t xml:space="preserve">10-gram</w:t>
      </w:r>
      <w:r>
        <w:t xml:space="preserve">”</w:t>
      </w:r>
      <w:r>
        <w:t xml:space="preserve">) string using a moving window function looping over each</w:t>
      </w:r>
      <w:r>
        <w:t xml:space="preserve"> </w:t>
      </w:r>
      <w:r>
        <w:t xml:space="preserve">possible pair of texts to identify matches.</w:t>
      </w:r>
      <w:r>
        <w:rPr>
          <w:rStyle w:val="FootnoteReference"/>
        </w:rPr>
        <w:footnoteReference w:id="87"/>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Thus, in addition to mapping text re-use, for rules with a large number of comments,</w:t>
      </w:r>
      <w:r>
        <w:t xml:space="preserve"> </w:t>
      </w:r>
      <w:r>
        <w:t xml:space="preserve">I use statistical models of text to classify comments into coalitions. I cluster</w:t>
      </w:r>
      <w:r>
        <w:t xml:space="preserve"> </w:t>
      </w:r>
      <w:r>
        <w:t xml:space="preserve">documents by the frequency with which they use different words. Being</w:t>
      </w:r>
      <w:r>
        <w:t xml:space="preserve"> </w:t>
      </w:r>
      <w:r>
        <w:t xml:space="preserve">classified together does not mean that the documents all address exactly</w:t>
      </w:r>
      <w:r>
        <w:t xml:space="preserve"> </w:t>
      </w:r>
      <w:r>
        <w:t xml:space="preserve">the same distribution of substantive issues, just that they use similar</w:t>
      </w:r>
      <w:r>
        <w:t xml:space="preserve"> </w:t>
      </w:r>
      <w:r>
        <w:t xml:space="preserve">words relative to the full set of documents. I start by modeling all</w:t>
      </w:r>
      <w:r>
        <w:t xml:space="preserve"> </w:t>
      </w:r>
      <w:r>
        <w:t xml:space="preserve">comments on each rule (collapsing identical comments to one document)</w:t>
      </w:r>
      <w:r>
        <w:t xml:space="preserve"> </w:t>
      </w:r>
      <w:r>
        <w:t xml:space="preserve">with two and three clusters, which I then inspect to see how well the</w:t>
      </w:r>
      <w:r>
        <w:t xml:space="preserve"> </w:t>
      </w:r>
      <w:r>
        <w:t xml:space="preserve">comments of named organizations were classified. If the two cluster</w:t>
      </w:r>
      <w:r>
        <w:t xml:space="preserve"> </w:t>
      </w:r>
      <w:r>
        <w:t xml:space="preserve">model most sensibly describes the conflict, I label these clusters</w:t>
      </w:r>
      <w:r>
        <w:t xml:space="preserve"> </w:t>
      </w:r>
      <w:r>
        <w:t xml:space="preserve">“</w:t>
      </w:r>
      <w:r>
        <w:t xml:space="preserve">pro</w:t>
      </w:r>
      <w:r>
        <w:t xml:space="preserve">”</w:t>
      </w:r>
      <w:r>
        <w:t xml:space="preserve"> </w:t>
      </w:r>
      <w:r>
        <w:t xml:space="preserve">and</w:t>
      </w:r>
      <w:r>
        <w:t xml:space="preserve"> </w:t>
      </w:r>
      <w:r>
        <w:t xml:space="preserve">“</w:t>
      </w:r>
      <w:r>
        <w:t xml:space="preserve">con</w:t>
      </w:r>
      <w:r>
        <w:t xml:space="preserve">”</w:t>
      </w:r>
      <w:r>
        <w:t xml:space="preserve"> </w:t>
      </w:r>
      <w:r>
        <w:t xml:space="preserve">If the three-cluster model more sensibly describes the</w:t>
      </w:r>
      <w:r>
        <w:t xml:space="preserve"> </w:t>
      </w:r>
      <w:r>
        <w:t xml:space="preserve">conflict, I label these clusters as</w:t>
      </w:r>
      <w:r>
        <w:t xml:space="preserve"> </w:t>
      </w:r>
      <w:r>
        <w:t xml:space="preserve">“</w:t>
      </w:r>
      <w:r>
        <w:t xml:space="preserve">pro, con, other.</w:t>
      </w:r>
      <w:r>
        <w:t xml:space="preserve">”</w:t>
      </w:r>
      <w:r>
        <w:t xml:space="preserve"> </w:t>
      </w:r>
      <w:r>
        <w:t xml:space="preserve">If neither fits</w:t>
      </w:r>
      <w:r>
        <w:t xml:space="preserve"> </w:t>
      </w:r>
      <w:r>
        <w:t xml:space="preserve">well, I increase the number of clusters as needed.</w:t>
      </w:r>
    </w:p>
    <w:p>
      <w:pPr>
        <w:pStyle w:val="CaptionedFigure"/>
      </w:pPr>
      <w:r>
        <w:drawing>
          <wp:inline>
            <wp:extent cx="5334000" cy="5333999"/>
            <wp:effectExtent b="0" l="0" r="0" t="0"/>
            <wp:docPr descr="Figure 2.7: K-means clustering fails to capture coalitions when nearly all comments oppose a regulation" title="" id="1" name="Picture"/>
            <a:graphic>
              <a:graphicData uri="http://schemas.openxmlformats.org/drawingml/2006/picture">
                <pic:pic>
                  <pic:nvPicPr>
                    <pic:cNvPr descr="/Users/devin/dissertation/Figs/kmeans.png" id="0" name="Picture"/>
                    <pic:cNvPicPr>
                      <a:picLocks noChangeArrowheads="1" noChangeAspect="1"/>
                    </pic:cNvPicPr>
                  </pic:nvPicPr>
                  <pic:blipFill>
                    <a:blip r:embed="rId88"/>
                    <a:stretch>
                      <a:fillRect/>
                    </a:stretch>
                  </pic:blipFill>
                  <pic:spPr bwMode="auto">
                    <a:xfrm>
                      <a:off x="0" y="0"/>
                      <a:ext cx="5334000" cy="5333999"/>
                    </a:xfrm>
                    <a:prstGeom prst="rect">
                      <a:avLst/>
                    </a:prstGeom>
                    <a:noFill/>
                    <a:ln w="9525">
                      <a:noFill/>
                      <a:headEnd/>
                      <a:tailEnd/>
                    </a:ln>
                  </pic:spPr>
                </pic:pic>
              </a:graphicData>
            </a:graphic>
          </wp:inline>
        </w:drawing>
      </w:r>
    </w:p>
    <w:p>
      <w:pPr>
        <w:pStyle w:val="ImageCaption"/>
      </w:pPr>
      <w:r>
        <w:t xml:space="preserve">Figure 2.7: K-means clustering fails to capture coalitions when nearly all comments oppose a regulation</w:t>
      </w:r>
    </w:p>
    <w:p>
      <w:pPr>
        <w:pStyle w:val="BodyText"/>
      </w:pPr>
      <w:r>
        <w:t xml:space="preserve">The asymmetry in expressed support for most rules presents challenges</w:t>
      </w:r>
      <w:r>
        <w:t xml:space="preserve"> </w:t>
      </w:r>
      <w:r>
        <w:t xml:space="preserve">for unsupervised clustering because much of the variation in comment</w:t>
      </w:r>
      <w:r>
        <w:t xml:space="preserve"> </w:t>
      </w:r>
      <w:r>
        <w:t xml:space="preserve">texts is within-coalition variation. For example, one of the most common</w:t>
      </w:r>
      <w:r>
        <w:t xml:space="preserve"> </w:t>
      </w:r>
      <w:r>
        <w:t xml:space="preserve">clustering methods, k-means clustering, often captures within-coalition</w:t>
      </w:r>
      <w:r>
        <w:t xml:space="preserve"> </w:t>
      </w:r>
      <w:r>
        <w:t xml:space="preserve">variation. Figure</w:t>
      </w:r>
      <w:r>
        <w:t xml:space="preserve"> </w:t>
      </w:r>
      <w:r>
        <w:t xml:space="preserve">2.7</w:t>
      </w:r>
      <w:r>
        <w:t xml:space="preserve"> </w:t>
      </w:r>
      <w:r>
        <w:t xml:space="preserve">shows k-means clusters based on a normalized</w:t>
      </w:r>
      <w:r>
        <w:t xml:space="preserve"> </w:t>
      </w:r>
      <w:r>
        <w:t xml:space="preserve">measure of word frequency (term-frequency/inverse-document-frequency)</w:t>
      </w:r>
      <w:r>
        <w:t xml:space="preserve"> </w:t>
      </w:r>
      <w:r>
        <w:t xml:space="preserve">compared to two principal components of variation. Neither k-means nor</w:t>
      </w:r>
      <w:r>
        <w:t xml:space="preserve"> </w:t>
      </w:r>
      <w:r>
        <w:t xml:space="preserve">principal components analysis is well suited to identifying the small</w:t>
      </w:r>
      <w:r>
        <w:t xml:space="preserve"> </w:t>
      </w:r>
      <w:r>
        <w:t xml:space="preserve">number of comments supporting the Park Service’s proposed restrictions</w:t>
      </w:r>
      <w:r>
        <w:t xml:space="preserve"> </w:t>
      </w:r>
      <w:r>
        <w:t xml:space="preserve">on protests in Washington DC.</w:t>
      </w:r>
    </w:p>
    <w:p>
      <w:pPr>
        <w:pStyle w:val="BodyText"/>
      </w:pPr>
      <w:r>
        <w:t xml:space="preserve">Two strategies may improve clustering. First, even partial text re-use</w:t>
      </w:r>
      <w:r>
        <w:t xml:space="preserve"> </w:t>
      </w:r>
      <w:r>
        <w:t xml:space="preserve">generally indicates that comments belong to the same coalition. For</w:t>
      </w:r>
      <w:r>
        <w:t xml:space="preserve"> </w:t>
      </w:r>
      <w:r>
        <w:t xml:space="preserve">example, as seen at the top of Figure</w:t>
      </w:r>
      <w:r>
        <w:t xml:space="preserve"> </w:t>
      </w:r>
      <w:r>
        <w:t xml:space="preserve">2.7</w:t>
      </w:r>
      <w:r>
        <w:t xml:space="preserve">, models</w:t>
      </w:r>
      <w:r>
        <w:t xml:space="preserve"> </w:t>
      </w:r>
      <w:r>
        <w:t xml:space="preserve">may be restricted to cluster the large number of comments beginning with</w:t>
      </w:r>
      <w:r>
        <w:t xml:space="preserve"> </w:t>
      </w:r>
      <w:r>
        <w:t xml:space="preserve">“</w:t>
      </w:r>
      <w:r>
        <w:t xml:space="preserve">As a citizen who has frequently participated</w:t>
      </w:r>
      <w:r>
        <w:t xml:space="preserve">”</w:t>
      </w:r>
      <w:r>
        <w:t xml:space="preserve"> </w:t>
      </w:r>
      <w:r>
        <w:t xml:space="preserve">in the same coalition</w:t>
      </w:r>
      <w:r>
        <w:t xml:space="preserve"> </w:t>
      </w:r>
      <w:r>
        <w:t xml:space="preserve">even if they go on to add different personal anecdotes about why protest</w:t>
      </w:r>
      <w:r>
        <w:t xml:space="preserve"> </w:t>
      </w:r>
      <w:r>
        <w:t xml:space="preserve">rights are important to them. Thus, clustering methods could be</w:t>
      </w:r>
      <w:r>
        <w:t xml:space="preserve"> </w:t>
      </w:r>
      <w:r>
        <w:t xml:space="preserve">restricted to group partially copied texts, as well as entirely copied</w:t>
      </w:r>
      <w:r>
        <w:t xml:space="preserve"> </w:t>
      </w:r>
      <w:r>
        <w:t xml:space="preserve">texts. Second, Bayesian mixture model may better recover pro and con</w:t>
      </w:r>
      <w:r>
        <w:t xml:space="preserve"> </w:t>
      </w:r>
      <w:r>
        <w:t xml:space="preserve">clusters, especially with strong priors comments using positive and</w:t>
      </w:r>
      <w:r>
        <w:t xml:space="preserve"> </w:t>
      </w:r>
      <w:r>
        <w:t xml:space="preserve">negative sentiment words belong together.</w:t>
      </w:r>
    </w:p>
    <w:p>
      <w:pPr>
        <w:pStyle w:val="Heading3"/>
      </w:pPr>
      <w:bookmarkStart w:id="89" w:name="X485ca33351ca8406ef1c978735998676aea3251"/>
      <w:r>
        <w:t xml:space="preserve">2.5.4	Measuring the volume, intensity, and potential contagion of public engagement.</w:t>
      </w:r>
      <w:bookmarkEnd w:id="89"/>
    </w:p>
    <w:p>
      <w:pPr>
        <w:pStyle w:val="FirstParagraph"/>
      </w:pPr>
      <w:r>
        <w:t xml:space="preserve">I measure variation in engagement in three ways, corresponding to the</w:t>
      </w:r>
      <w:r>
        <w:t xml:space="preserve"> </w:t>
      </w:r>
      <w:r>
        <w:t xml:space="preserve">three types of comments described above.</w:t>
      </w:r>
    </w:p>
    <w:p>
      <w:pPr>
        <w:pStyle w:val="BodyText"/>
      </w:pPr>
      <w:r>
        <w:rPr>
          <w:b/>
        </w:rPr>
        <w:t xml:space="preserve">Volume.</w:t>
      </w:r>
      <w:r>
        <w:t xml:space="preserve"> </w:t>
      </w:r>
      <w:r>
        <w:t xml:space="preserve">First, I measure the total number of comments on the rule.</w:t>
      </w:r>
      <w:r>
        <w:t xml:space="preserve"> </w:t>
      </w:r>
      <w:r>
        <w:t xml:space="preserve">As commenting results from multiple processes: a coalition deciding to</w:t>
      </w:r>
      <w:r>
        <w:t xml:space="preserve"> </w:t>
      </w:r>
      <w:r>
        <w:t xml:space="preserve">lobby at all, a coalition deciding to mobilize, and response to the</w:t>
      </w:r>
      <w:r>
        <w:t xml:space="preserve"> </w:t>
      </w:r>
      <w:r>
        <w:t xml:space="preserve">campaign the distribution contains many cases where groups may have had</w:t>
      </w:r>
      <w:r>
        <w:t xml:space="preserve"> </w:t>
      </w:r>
      <w:r>
        <w:t xml:space="preserve">success mobilizing but never reached the choice of whether to mobilize</w:t>
      </w:r>
      <w:r>
        <w:t xml:space="preserve"> </w:t>
      </w:r>
      <w:r>
        <w:t xml:space="preserve">or not. Perhaps they were unaware of the draft rule. Once the decision</w:t>
      </w:r>
      <w:r>
        <w:t xml:space="preserve"> </w:t>
      </w:r>
      <w:r>
        <w:t xml:space="preserve">to mobilize has been reached and made, the response to mobilizing is a</w:t>
      </w:r>
      <w:r>
        <w:t xml:space="preserve"> </w:t>
      </w:r>
      <w:r>
        <w:t xml:space="preserve">count process. Thus, I expect the count of comments across rules to</w:t>
      </w:r>
      <w:r>
        <w:t xml:space="preserve"> </w:t>
      </w:r>
      <w:r>
        <w:t xml:space="preserve">follow a zero-inflated negative binomial distribution.</w:t>
      </w:r>
    </w:p>
    <w:p>
      <w:pPr>
        <w:pStyle w:val="BodyText"/>
      </w:pPr>
      <w:r>
        <w:rPr>
          <w:b/>
        </w:rPr>
        <w:t xml:space="preserve">Effort.</w:t>
      </w:r>
      <w:r>
        <w:t xml:space="preserve"> </w:t>
      </w:r>
      <w:r>
        <w:t xml:space="preserve">I measure effort per comment by the number of words people</w:t>
      </w:r>
      <w:r>
        <w:t xml:space="preserve"> </w:t>
      </w:r>
      <w:r>
        <w:t xml:space="preserve">write, omitting any to text longer than ten words that is not unique,</w:t>
      </w:r>
      <w:r>
        <w:t xml:space="preserve"> </w:t>
      </w:r>
      <w:r>
        <w:t xml:space="preserve">usually because a mobilizing organization provided it. For example, the Sierra Club mobilized more than 47,710</w:t>
      </w:r>
      <w:r>
        <w:t xml:space="preserve"> </w:t>
      </w:r>
      <w:r>
        <w:t xml:space="preserve">people to submit exactly the same text on the delay of the methane</w:t>
      </w:r>
      <w:r>
        <w:t xml:space="preserve"> </w:t>
      </w:r>
      <w:r>
        <w:t xml:space="preserve">pollution rule, but 7,452 people also took the time to write a</w:t>
      </w:r>
      <w:r>
        <w:t xml:space="preserve"> </w:t>
      </w:r>
      <w:r>
        <w:t xml:space="preserve">personalized comment in addition to the text provided (see Figure</w:t>
      </w:r>
      <w:r>
        <w:t xml:space="preserve"> </w:t>
      </w:r>
      <w:r>
        <w:t xml:space="preserve">2.5</w:t>
      </w:r>
      <w:r>
        <w:t xml:space="preserve">). However, we may</w:t>
      </w:r>
      <w:r>
        <w:t xml:space="preserve"> </w:t>
      </w:r>
      <w:r>
        <w:t xml:space="preserve">not observe people who have low levels of passion for the issue because</w:t>
      </w:r>
      <w:r>
        <w:t xml:space="preserve"> </w:t>
      </w:r>
      <w:r>
        <w:t xml:space="preserve">they either do not cross the effort threshold required to comment or opt</w:t>
      </w:r>
      <w:r>
        <w:t xml:space="preserve"> </w:t>
      </w:r>
      <w:r>
        <w:t xml:space="preserve">to write nothing more than the form letter. Thus, while effort measured</w:t>
      </w:r>
      <w:r>
        <w:t xml:space="preserve"> </w:t>
      </w:r>
      <w:r>
        <w:t xml:space="preserve">by the number of words people write may be normally distributed, I</w:t>
      </w:r>
      <w:r>
        <w:t xml:space="preserve"> </w:t>
      </w:r>
      <w:r>
        <w:t xml:space="preserve">assume that the low end of the observed distribution is truncated.</w:t>
      </w:r>
    </w:p>
    <w:p>
      <w:pPr>
        <w:pStyle w:val="BodyText"/>
      </w:pPr>
      <w:r>
        <w:rPr>
          <w:b/>
        </w:rPr>
        <w:t xml:space="preserve">Contagion.</w:t>
      </w:r>
      <w:r>
        <w:t xml:space="preserve"> </w:t>
      </w:r>
      <w:r>
        <w:t xml:space="preserve">Mass-comment campaigns have wildly different results.</w:t>
      </w:r>
      <w:r>
        <w:t xml:space="preserve"> </w:t>
      </w:r>
      <w:r>
        <w:t xml:space="preserve">Some submit a clean 10,000 copies of (signatures on) the same comment.</w:t>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w:t>
      </w:r>
    </w:p>
    <w:p>
      <w:pPr>
        <w:pStyle w:val="Heading2"/>
      </w:pPr>
      <w:bookmarkStart w:id="90" w:name="why-results"/>
      <w:r>
        <w:t xml:space="preserve">2.6	Results: Patterns of Public Engagement in Rulemaking</w:t>
      </w:r>
      <w:bookmarkEnd w:id="90"/>
    </w:p>
    <w:p>
      <w:pPr>
        <w:pStyle w:val="Heading3"/>
      </w:pPr>
      <w:bookmarkStart w:id="91" w:name="X9db25176cbd8755e21648b77adc0579ddbaadff"/>
      <w:r>
        <w:t xml:space="preserve">2.6.1	Most comments result from mass-comment campaigns.</w:t>
      </w:r>
      <w:bookmarkEnd w:id="91"/>
    </w:p>
    <w:p>
      <w:pPr>
        <w:pStyle w:val="FirstParagraph"/>
      </w:pPr>
      <w:r>
        <w:t xml:space="preserve">Figure</w:t>
      </w:r>
      <w:r>
        <w:t xml:space="preserve"> </w:t>
      </w:r>
      <w:r>
        <w:t xml:space="preserve">2.8</w:t>
      </w:r>
      <w:r>
        <w:t xml:space="preserve"> </w:t>
      </w:r>
      <w:r>
        <w:t xml:space="preserve">shows all comments posted on</w:t>
      </w:r>
      <w:r>
        <w:t xml:space="preserve"> </w:t>
      </w:r>
      <w:r>
        <w:t xml:space="preserve">regulations.gov over time by whether they are exact or partial copies of</w:t>
      </w:r>
      <w:r>
        <w:t xml:space="preserve"> </w:t>
      </w:r>
      <w:r>
        <w:t xml:space="preserve">another comment or not. I call comments that have between 2 and 99</w:t>
      </w:r>
      <w:r>
        <w:t xml:space="preserve"> </w:t>
      </w:r>
      <w:r>
        <w:t xml:space="preserve">identical copies,</w:t>
      </w:r>
      <w:r>
        <w:t xml:space="preserve"> </w:t>
      </w:r>
      <w:r>
        <w:t xml:space="preserve">“</w:t>
      </w:r>
      <w:r>
        <w:t xml:space="preserve">medium batch</w:t>
      </w:r>
      <w:r>
        <w:t xml:space="preserve">”</w:t>
      </w:r>
      <w:r>
        <w:t xml:space="preserve"> </w:t>
      </w:r>
      <w:r>
        <w:t xml:space="preserve">because such comments may reflect</w:t>
      </w:r>
      <w:r>
        <w:t xml:space="preserve"> </w:t>
      </w:r>
      <w:r>
        <w:t xml:space="preserve">coordinated efforts among interest groups that do not include a public</w:t>
      </w:r>
      <w:r>
        <w:t xml:space="preserve"> </w:t>
      </w:r>
      <w:r>
        <w:t xml:space="preserve">pressure strategy that involves mobilizing ordinary people. Even relatively unsuccessful public pressure campaigns yield far more than 99 comments. Comments that have either 100 or more identical copies or were uploaded in bulk batches of at least 100 are then</w:t>
      </w:r>
      <w:r>
        <w:t xml:space="preserve"> </w:t>
      </w:r>
      <w:r>
        <w:t xml:space="preserve">“</w:t>
      </w:r>
      <w:r>
        <w:t xml:space="preserve">mass comments</w:t>
      </w:r>
      <w:r>
        <w:t xml:space="preserve">”</w:t>
      </w:r>
      <w:r>
        <w:t xml:space="preserve"> </w:t>
      </w:r>
      <w:r>
        <w:t xml:space="preserve">that were certainly mobilized by a public pressure campaign. Figure</w:t>
      </w:r>
      <w:r>
        <w:t xml:space="preserve"> </w:t>
      </w:r>
      <w:r>
        <w:t xml:space="preserve">2.8</w:t>
      </w:r>
      <w:r>
        <w:t xml:space="preserve"> </w:t>
      </w:r>
      <w:r>
        <w:t xml:space="preserve">shows that public pressure campaigns mobilize the vast majority of comments. Over 80% of the 48 million comments on proposed rules posted to regulations.gov were mobilized by just 100 organizations. In other words, most comments are from ordinary people mobilized by a few public interest organizations.</w:t>
      </w:r>
    </w:p>
    <w:p>
      <w:pPr>
        <w:pStyle w:val="BodyText"/>
      </w:pPr>
      <w:r>
        <w:drawing>
          <wp:inline>
            <wp:extent cx="4595937" cy="2848523"/>
            <wp:effectExtent b="0" l="0" r="0" t="0"/>
            <wp:docPr descr="Figure 2.8: Comments on Draft Rules Posted to Regulations.gov 2006-2018" title="" id="1" name="Picture"/>
            <a:graphic>
              <a:graphicData uri="http://schemas.openxmlformats.org/drawingml/2006/picture">
                <pic:pic>
                  <pic:nvPicPr>
                    <pic:cNvPr descr="/Users/devin/dissertation/Figs/comments-mass-1.png" id="0" name="Picture"/>
                    <pic:cNvPicPr>
                      <a:picLocks noChangeArrowheads="1" noChangeAspect="1"/>
                    </pic:cNvPicPr>
                  </pic:nvPicPr>
                  <pic:blipFill>
                    <a:blip r:embed="rId92"/>
                    <a:stretch>
                      <a:fillRect/>
                    </a:stretch>
                  </pic:blipFill>
                  <pic:spPr bwMode="auto">
                    <a:xfrm>
                      <a:off x="0" y="0"/>
                      <a:ext cx="4595937" cy="2848523"/>
                    </a:xfrm>
                    <a:prstGeom prst="rect">
                      <a:avLst/>
                    </a:prstGeom>
                    <a:noFill/>
                    <a:ln w="9525">
                      <a:noFill/>
                      <a:headEnd/>
                      <a:tailEnd/>
                    </a:ln>
                  </pic:spPr>
                </pic:pic>
              </a:graphicData>
            </a:graphic>
          </wp:inline>
        </w:drawing>
      </w:r>
      <w:r>
        <w:drawing>
          <wp:inline>
            <wp:extent cx="4595937" cy="2848523"/>
            <wp:effectExtent b="0" l="0" r="0" t="0"/>
            <wp:docPr descr="(#fig:comments-support)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93"/>
                    <a:stretch>
                      <a:fillRect/>
                    </a:stretch>
                  </pic:blipFill>
                  <pic:spPr bwMode="auto">
                    <a:xfrm>
                      <a:off x="0" y="0"/>
                      <a:ext cx="4595937" cy="2848523"/>
                    </a:xfrm>
                    <a:prstGeom prst="rect">
                      <a:avLst/>
                    </a:prstGeom>
                    <a:noFill/>
                    <a:ln w="9525">
                      <a:noFill/>
                      <a:headEnd/>
                      <a:tailEnd/>
                    </a:ln>
                  </pic:spPr>
                </pic:pic>
              </a:graphicData>
            </a:graphic>
          </wp:inline>
        </w:drawing>
      </w:r>
    </w:p>
    <w:p>
      <w:pPr>
        <w:pStyle w:val="BodyText"/>
      </w:pPr>
      <w:r>
        <w:t xml:space="preserve">The right pane of Figure</w:t>
      </w:r>
      <w:r>
        <w:t xml:space="preserve"> </w:t>
      </w:r>
      <w:r>
        <w:t xml:space="preserve">2.8</w:t>
      </w:r>
      <w:r>
        <w:t xml:space="preserve"> </w:t>
      </w:r>
      <w:r>
        <w:t xml:space="preserve">shows results from a sample of several</w:t>
      </w:r>
      <w:r>
        <w:t xml:space="preserve"> </w:t>
      </w:r>
      <w:r>
        <w:t xml:space="preserve">million comments for which I have digitized texts.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w:t>
      </w:r>
      <w:r>
        <w:t xml:space="preserve"> </w:t>
      </w:r>
      <w:r>
        <w:t xml:space="preserve">" compared to those mentioning</w:t>
      </w:r>
      <w:r>
        <w:t xml:space="preserve"> </w:t>
      </w:r>
      <w:r>
        <w:t xml:space="preserve">“</w:t>
      </w:r>
      <w:r>
        <w:t xml:space="preserve">oppose</w:t>
      </w:r>
      <w:r>
        <w:t xml:space="preserve">”</w:t>
      </w:r>
      <w:r>
        <w:t xml:space="preserve"> </w:t>
      </w:r>
      <w:r>
        <w:t xml:space="preserve">(Figure</w:t>
      </w:r>
      <w:r>
        <w:t xml:space="preserve"> </w:t>
      </w:r>
      <w:r>
        <w:t xml:space="preserve">2.8</w:t>
      </w:r>
      <w:r>
        <w:t xml:space="preserve">. This may be a function of the</w:t>
      </w:r>
      <w:r>
        <w:t xml:space="preserve"> </w:t>
      </w:r>
      <w:r>
        <w:t xml:space="preserve">changing regulatory agenda due to the change in presidential</w:t>
      </w:r>
      <w:r>
        <w:t xml:space="preserve"> </w:t>
      </w:r>
      <w:r>
        <w:t xml:space="preserve">administration. However, support and oppose are not used in all comments</w:t>
      </w:r>
      <w:r>
        <w:t xml:space="preserve"> </w:t>
      </w:r>
      <w:r>
        <w:t xml:space="preserve">and do not always indicate support for a rule.</w:t>
      </w:r>
      <w:r>
        <w:t xml:space="preserve"> </w:t>
      </w:r>
    </w:p>
    <w:p>
      <w:pPr>
        <w:pStyle w:val="Heading3"/>
      </w:pPr>
      <w:bookmarkStart w:id="94" w:name="X6326c39a01fefb31599b588b0ba4bdd57102d00"/>
      <w:r>
        <w:t xml:space="preserve">2.6.2	Most comments occur on a small number of salient rules.</w:t>
      </w:r>
      <w:bookmarkEnd w:id="94"/>
    </w:p>
    <w:p>
      <w:pPr>
        <w:pStyle w:val="FirstParagraph"/>
      </w:pPr>
      <w:r>
        <w:t xml:space="preserve">Approximately one-third of public comments posted to regulations.gov</w:t>
      </w:r>
      <w:r>
        <w:t xml:space="preserve"> </w:t>
      </w:r>
      <w:r>
        <w:t xml:space="preserve">were received on just ten regulations shown in Figure</w:t>
      </w:r>
      <w:r>
        <w:t xml:space="preserve"> </w:t>
      </w:r>
      <w:r>
        <w:t xml:space="preserve">2.10</w:t>
      </w:r>
      <w:r>
        <w:t xml:space="preserve">.</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95"/>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p>
      <w:pPr>
        <w:pStyle w:val="Heading3"/>
      </w:pPr>
      <w:bookmarkStart w:id="96" w:name="X5304376366e1ab8f87679c5343b775d034be619"/>
      <w:r>
        <w:t xml:space="preserve">2.6.3	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bookmarkEnd w:id="96"/>
    </w:p>
    <w:p>
      <w:pPr>
        <w:pStyle w:val="FirstParagraph"/>
      </w:pPr>
      <w:r>
        <w:t xml:space="preserve">In short, I find much more evidence of grassroots participation than astroturf participation.</w:t>
      </w:r>
    </w:p>
    <w:p>
      <w:pPr>
        <w:pStyle w:val="Heading3"/>
      </w:pPr>
      <w:bookmarkStart w:id="97" w:name="Xf4dafca4aa524a02e910d72235d7145a6377725"/>
      <w:r>
        <w:t xml:space="preserve">2.6.4	A coalition of public-interest organizations mobilize most comments.</w:t>
      </w:r>
      <w:bookmarkEnd w:id="97"/>
    </w:p>
    <w:p>
      <w:pPr>
        <w:pStyle w:val="FirstParagraph"/>
      </w:pPr>
      <w:r>
        <w:t xml:space="preserve">As Figure</w:t>
      </w:r>
      <w:r>
        <w:t xml:space="preserve"> </w:t>
      </w:r>
      <w:r>
        <w:t xml:space="preserve">2.10</w:t>
      </w:r>
      <w:r>
        <w:t xml:space="preserve"> </w:t>
      </w:r>
      <w:r>
        <w:t xml:space="preserve">shows, the most prolific mobilizers are</w:t>
      </w:r>
      <w:r>
        <w:t xml:space="preserve"> </w:t>
      </w:r>
      <w:r>
        <w:t xml:space="preserve">environmental groups. On five out of the top ten dockets (here including</w:t>
      </w:r>
      <w:r>
        <w:t xml:space="preserve"> </w:t>
      </w:r>
      <w:r>
        <w:t xml:space="preserve">rulemaking and non-rulemaking dockets), a similar coalition of groups</w:t>
      </w:r>
      <w:r>
        <w:t xml:space="preserve"> </w:t>
      </w:r>
      <w:r>
        <w:t xml:space="preserve">mobilized the majority of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on the top ten dockets, 19 of the top 20 mobilizers generally</w:t>
      </w:r>
      <w:r>
        <w:t xml:space="preserve"> </w:t>
      </w:r>
      <w:r>
        <w:t xml:space="preserve">lobby together. America’s Energy Cooperatives (AEC), an industry association,</w:t>
      </w:r>
      <w:r>
        <w:t xml:space="preserve"> </w:t>
      </w:r>
      <w:r>
        <w:t xml:space="preserve">stands out as the lone mobilizer on behalf of material interest for its</w:t>
      </w:r>
      <w:r>
        <w:t xml:space="preserve"> </w:t>
      </w:r>
      <w:r>
        <w:t xml:space="preserve">members. Notably, it only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 1b. If AEC found their policy goals in the Clean Power Plan rulemaking threatened by the political information being generated by environmental groups, it would make sense to devote resources to their own public pressure campaign to disrupt any perceived consensus. Likewise, if AEC was not concerned that environmental group mobilizing would affect the Clean Power Plan repeal, sponsoring a public pressure campaign would be a poor investment.</w:t>
      </w:r>
    </w:p>
    <w:p>
      <w:pPr>
        <w:pStyle w:val="Heading1"/>
      </w:pPr>
      <w:bookmarkStart w:id="98" w:name="X161de8945e9e99c59f2e14a370cb32bddbf8df0"/>
      <w:r>
        <w:t xml:space="preserve">3	Policy Influence: Do Public Pressure Campaigns Influence Bureaucratic Policymaking?</w:t>
      </w:r>
      <w:bookmarkEnd w:id="98"/>
    </w:p>
    <w:p>
      <w:pPr>
        <w:pStyle w:val="FirstParagraph"/>
      </w:pPr>
      <w:r>
        <w:t xml:space="preserve">See the preanalysis plan for this chapter</w:t>
      </w:r>
      <w:r>
        <w:t xml:space="preserve"> </w:t>
      </w:r>
      <w:hyperlink r:id="rId99">
        <w:r>
          <w:rPr>
            <w:rStyle w:val="Hyperlink"/>
            <w:i/>
          </w:rPr>
          <w:t xml:space="preserve">here</w:t>
        </w:r>
      </w:hyperlink>
      <w:r>
        <w:t xml:space="preserve">.</w:t>
      </w:r>
    </w:p>
    <w:p>
      <w:pPr>
        <w:pStyle w:val="Heading4"/>
      </w:pPr>
      <w:bookmarkStart w:id="100" w:name="abstract-1"/>
      <w:r>
        <w:t xml:space="preserve">Abstract</w:t>
      </w:r>
      <w:bookmarkEnd w:id="100"/>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100 rules with a mass-comment campaign and 100 rules without a mass comment campaign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causal mediator using a subset of rules where I collect and code correspondence from Member of Congress to agencies about proposed agency rules with and without public pressure campaigns.</w:t>
      </w:r>
    </w:p>
    <w:p>
      <w:pPr>
        <w:pStyle w:val="Heading2"/>
      </w:pPr>
      <w:bookmarkStart w:id="101" w:name="introduction-1"/>
      <w:r>
        <w:t xml:space="preserve">3.1	Introduction</w:t>
      </w:r>
      <w:bookmarkEnd w:id="101"/>
    </w:p>
    <w:p>
      <w:pPr>
        <w:pStyle w:val="FirstParagraph"/>
      </w:pPr>
      <w:r>
        <w:t xml:space="preserve">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mass mobilization as a</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w:t>
      </w:r>
    </w:p>
    <w:p>
      <w:pPr>
        <w:pStyle w:val="BodyText"/>
      </w:pPr>
      <m:oMathPara>
        <m:oMathParaPr>
          <m:jc m:val="center"/>
        </m:oMathParaPr>
        <m:oMath>
          <m:r>
            <m:t>n</m:t>
          </m:r>
          <m:r>
            <m:t>o</m:t>
          </m:r>
          <m:r>
            <m:t>n</m:t>
          </m:r>
          <m:r>
            <m:t>−</m:t>
          </m:r>
          <m:r>
            <m:t>n</m:t>
          </m:r>
          <m:r>
            <m:t>u</m:t>
          </m:r>
          <m:r>
            <m:t>l</m:t>
          </m:r>
          <m:r>
            <m:t>l</m:t>
          </m:r>
          <m:r>
            <m:t>r</m:t>
          </m:r>
          <m:r>
            <m:t>e</m:t>
          </m:r>
          <m:r>
            <m:t>s</m:t>
          </m:r>
          <m:r>
            <m:t>u</m:t>
          </m:r>
          <m:r>
            <m:t>l</m:t>
          </m:r>
          <m:r>
            <m:t>t</m:t>
          </m:r>
          <m:r>
            <m:t>s</m:t>
          </m:r>
        </m:oMath>
      </m:oMathPara>
    </w:p>
    <w:p>
      <w:pPr>
        <w:pStyle w:val="FirstParagraph"/>
      </w:pPr>
      <w:r>
        <w:t xml:space="preserve">but no evidence that mass engagement affects rulemaking processes or</w:t>
      </w:r>
      <w:r>
        <w:t xml:space="preserve"> </w:t>
      </w:r>
      <w:r>
        <w:t xml:space="preserve">outcomes through</w:t>
      </w:r>
    </w:p>
    <w:p>
      <w:pPr>
        <w:pStyle w:val="BodyText"/>
      </w:pPr>
      <m:oMathPara>
        <m:oMathParaPr>
          <m:jc m:val="center"/>
        </m:oMathParaPr>
        <m:oMath>
          <m:r>
            <m:t>n</m:t>
          </m:r>
          <m:r>
            <m:t>u</m:t>
          </m:r>
          <m:r>
            <m:t>l</m:t>
          </m:r>
          <m:r>
            <m:t>l</m:t>
          </m:r>
          <m:r>
            <m:t>r</m:t>
          </m:r>
          <m:r>
            <m:t>e</m:t>
          </m:r>
          <m:r>
            <m:t>s</m:t>
          </m:r>
          <m:r>
            <m:t>u</m:t>
          </m:r>
          <m:r>
            <m:t>l</m:t>
          </m:r>
          <m:r>
            <m:t>t</m:t>
          </m:r>
          <m:r>
            <m:t>s</m:t>
          </m:r>
        </m:oMath>
      </m:oMathPara>
    </w:p>
    <w:p>
      <w:pPr>
        <w:pStyle w:val="FirstParagraph"/>
      </w:pPr>
      <w:r>
        <w:t xml:space="preserve">.</w:t>
      </w:r>
    </w:p>
    <w:p>
      <w:pPr>
        <w:pStyle w:val="Heading2"/>
      </w:pPr>
      <w:bookmarkStart w:id="102" w:name="influence-theory"/>
      <w:r>
        <w:t xml:space="preserve">3.2	Theory</w:t>
      </w:r>
      <w:bookmarkEnd w:id="102"/>
    </w:p>
    <w:p>
      <w:pPr>
        <w:pStyle w:val="Heading3"/>
      </w:pPr>
      <w:bookmarkStart w:id="103" w:name="formal"/>
      <w:r>
        <w:t xml:space="preserve">3.2.1	Incorporating political information into formal models of rulemaking</w:t>
      </w:r>
      <w:bookmarkEnd w:id="103"/>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r>
        <w:t xml:space="preserve">Libgober (</w:t>
      </w:r>
      <w:hyperlink w:anchor="ref-Libgober2018">
        <w:r>
          <w:rPr>
            <w:rStyle w:val="Hyperlink"/>
          </w:rPr>
          <w:t xml:space="preserve">2018</w:t>
        </w:r>
      </w:hyperlink>
      <w:r>
        <w:t xml:space="preserve">)</w:t>
      </w:r>
      <w:r>
        <w:t xml:space="preserve"> </w:t>
      </w:r>
      <w:r>
        <w:t xml:space="preserve">posits a utility function for agency</w:t>
      </w:r>
      <w:r>
        <w:t xml:space="preserve"> </w:t>
      </w:r>
      <m:oMath>
        <m:r>
          <m:t>G</m:t>
        </m:r>
      </m:oMath>
      <w:r>
        <w:t xml:space="preserve"> </w:t>
      </w:r>
      <w:r>
        <w:t xml:space="preserve">as</w:t>
      </w:r>
      <w:r>
        <w:t xml:space="preserve"> </w:t>
      </w:r>
      <m:oMath>
        <m:sSub>
          <m:e>
            <m:r>
              <m:t>u</m:t>
            </m:r>
          </m:e>
          <m:sub>
            <m:r>
              <m:t>G</m:t>
            </m:r>
          </m:sub>
        </m:sSub>
        <m:r>
          <m:t>(</m:t>
        </m:r>
        <m:sSub>
          <m:e>
            <m:r>
              <m:t>x</m:t>
            </m:r>
          </m:e>
          <m:sub>
            <m:r>
              <m:t>F</m:t>
            </m:r>
          </m:sub>
        </m:sSub>
        <m:r>
          <m:t>)</m:t>
        </m:r>
        <m:r>
          <m:t>=</m:t>
        </m:r>
        <m:sSub>
          <m:e>
            <m:r>
              <m:t>α</m:t>
            </m:r>
          </m:e>
          <m:sub>
            <m:r>
              <m:t>0</m:t>
            </m:r>
          </m:sub>
        </m:sSub>
        <m:sSubSup>
          <m:e>
            <m:r>
              <m:t>x</m:t>
            </m:r>
          </m:e>
          <m:sub>
            <m:r>
              <m:t>f</m:t>
            </m:r>
          </m:sub>
          <m:sup>
            <m:r>
              <m:t>2</m:t>
            </m:r>
          </m:sup>
        </m:sSubSup>
        <m:r>
          <m:t>+</m:t>
        </m:r>
        <m:nary>
          <m:naryPr>
            <m:chr m:val="∑"/>
            <m:limLoc m:val="undOvr"/>
            <m:subHide m:val="0"/>
            <m:supHide m:val="0"/>
          </m:naryPr>
          <m:sub>
            <m:r>
              <m:t>i</m:t>
            </m:r>
            <m:r>
              <m:t>=</m:t>
            </m:r>
            <m:r>
              <m:t>1</m:t>
            </m:r>
          </m:sub>
          <m:sup>
            <m:r>
              <m:t>N</m:t>
            </m:r>
          </m:sup>
          <m:e>
            <m:sSub>
              <m:e>
                <m:r>
                  <m:t>α</m:t>
                </m:r>
              </m:e>
              <m:sub>
                <m:r>
                  <m:t>i</m:t>
                </m:r>
              </m:sub>
            </m:sSub>
          </m:e>
        </m:nary>
        <m:sSub>
          <m:e>
            <m:r>
              <m:t>u</m:t>
            </m:r>
          </m:e>
          <m:sub>
            <m:r>
              <m:t>i</m:t>
            </m:r>
          </m:sub>
        </m:sSub>
        <m:r>
          <m:t>(</m:t>
        </m:r>
        <m:sSub>
          <m:e>
            <m:r>
              <m:t>x</m:t>
            </m:r>
          </m:e>
          <m:sub>
            <m:r>
              <m:t>f</m:t>
            </m:r>
          </m:sub>
        </m:sSub>
        <m: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 a member of the public or</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 "allocational bias"—i.e. how much the agency</w:t>
      </w:r>
      <w:r>
        <w:t xml:space="preserve"> </w:t>
      </w:r>
      <w:r>
        <w:t xml:space="preserve">cares about its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t>=</m:t>
            </m:r>
            <m:r>
              <m:t>1</m:t>
            </m:r>
            <m: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the agency care?</w:t>
      </w:r>
      <w:r>
        <w:t xml:space="preserve">”</w:t>
      </w:r>
    </w:p>
    <w:p>
      <w:pPr>
        <w:pStyle w:val="BodyText"/>
      </w:pPr>
      <w:r>
        <w:t xml:space="preserve">First, like other lobbying strategies, going public may shift the</w:t>
      </w:r>
      <w:r>
        <w:t xml:space="preserve"> </w:t>
      </w:r>
      <w:r>
        <w:t xml:space="preserve">strategic environment, leading an agency to shift its allocation in</w:t>
      </w:r>
      <w:r>
        <w:t xml:space="preserve"> </w:t>
      </w:r>
      <w:r>
        <w:t xml:space="preserve">favor of some groups and away from others. Let this strategic shift be a</w:t>
      </w:r>
      <w:r>
        <w:t xml:space="preserve"> </w:t>
      </w:r>
      <w:r>
        <w:t xml:space="preserve">vector</w:t>
      </w:r>
      <w:r>
        <w:t xml:space="preserve"> </w:t>
      </w:r>
      <m:oMath>
        <m:sSub>
          <m:e>
            <m:r>
              <m:t>α</m:t>
            </m:r>
          </m:e>
          <m:sub>
            <m:r>
              <m:t>s</m:t>
            </m:r>
          </m:sub>
        </m:sSub>
      </m:oMath>
      <w:r>
        <w:t xml:space="preserve">. Second, campaigns may directly persuade agencies to</w:t>
      </w:r>
      <w:r>
        <w:t xml:space="preserve"> </w:t>
      </w:r>
      <w:r>
        <w:t xml:space="preserve">adjust their allocational bias, for example by supporting claims about</w:t>
      </w:r>
      <w:r>
        <w:t xml:space="preserve"> </w:t>
      </w:r>
      <w:r>
        <w:t xml:space="preserve">the number of people the group represents or the intensity or legitimacy</w:t>
      </w:r>
      <w:r>
        <w:t xml:space="preserve"> </w:t>
      </w:r>
      <w:r>
        <w:t xml:space="preserve">of their policy demands. Let this direct shift be</w:t>
      </w:r>
      <w:r>
        <w:t xml:space="preserve"> </w:t>
      </w:r>
      <m:oMath>
        <m:sSub>
          <m:e>
            <m:r>
              <m:t>α</m:t>
            </m:r>
          </m:e>
          <m:sub>
            <m:r>
              <m:t>d</m:t>
            </m:r>
          </m:sub>
        </m:sSub>
      </m:oMath>
      <w:r>
        <w:t xml:space="preserve"> </w:t>
      </w:r>
      <w:r>
        <w:t xml:space="preserve">and</w:t>
      </w:r>
      <w:r>
        <w:t xml:space="preserve"> </w:t>
      </w:r>
      <w:r>
        <w:t xml:space="preserve">immutable taste now be</w:t>
      </w:r>
      <w:r>
        <w:t xml:space="preserve"> </w:t>
      </w:r>
      <m:oMath>
        <m:sSub>
          <m:e>
            <m:r>
              <m:t>α</m:t>
            </m:r>
          </m:e>
          <m:sub>
            <m:r>
              <m:t>t</m:t>
            </m:r>
          </m:sub>
        </m:sSub>
      </m:oMath>
      <w:r>
        <w:t xml:space="preserve">. Having decomposed an agency’s</w:t>
      </w:r>
      <w:r>
        <w:t xml:space="preserve"> </w:t>
      </w:r>
      <w:r>
        <w:t xml:space="preserve">allocative bias into three parts (its fixed tastes, shifting strategic</w:t>
      </w:r>
      <w:r>
        <w:t xml:space="preserve"> </w:t>
      </w:r>
      <w:r>
        <w:t xml:space="preserve">environment, and potential to be convinced), the agency’s utility</w:t>
      </w:r>
      <w:r>
        <w:t xml:space="preserve"> </w:t>
      </w:r>
      <w:r>
        <w:t xml:space="preserve">function is now</w:t>
      </w:r>
      <w:r>
        <w:t xml:space="preserve"> </w:t>
      </w:r>
      <m:oMath>
        <m:sSub>
          <m:e>
            <m:r>
              <m:t>u</m:t>
            </m:r>
          </m:e>
          <m:sub>
            <m:r>
              <m:t>G</m:t>
            </m:r>
          </m:sub>
        </m:sSub>
        <m:r>
          <m:t>(</m:t>
        </m:r>
        <m:sSub>
          <m:e>
            <m:r>
              <m:t>x</m:t>
            </m:r>
          </m:e>
          <m:sub>
            <m:r>
              <m:t>F</m:t>
            </m:r>
          </m:sub>
        </m:sSub>
        <m:r>
          <m:t>)</m:t>
        </m:r>
        <m:r>
          <m:t>=</m:t>
        </m:r>
        <m:r>
          <m:t>(</m:t>
        </m:r>
        <m:sSub>
          <m:e>
            <m:r>
              <m:t>α</m:t>
            </m:r>
          </m:e>
          <m:sub>
            <m:r>
              <m:t>t</m:t>
            </m:r>
            <m:r>
              <m:t>0</m:t>
            </m:r>
          </m:sub>
        </m:sSub>
        <m:r>
          <m:t>+</m:t>
        </m:r>
        <m:sSub>
          <m:e>
            <m:r>
              <m:t>α</m:t>
            </m:r>
          </m:e>
          <m:sub>
            <m:r>
              <m:t>s</m:t>
            </m:r>
            <m:r>
              <m:t>0</m:t>
            </m:r>
          </m:sub>
        </m:sSub>
        <m:r>
          <m:t>+</m:t>
        </m:r>
        <m:sSub>
          <m:e>
            <m:r>
              <m:t>α</m:t>
            </m:r>
          </m:e>
          <m:sub>
            <m:r>
              <m:t>d</m:t>
            </m:r>
            <m:r>
              <m:t>0</m:t>
            </m:r>
          </m:sub>
        </m:sSub>
        <m:r>
          <m:t>)</m:t>
        </m:r>
        <m:sSubSup>
          <m:e>
            <m:r>
              <m:t>x</m:t>
            </m:r>
          </m:e>
          <m:sub>
            <m:r>
              <m:t>f</m:t>
            </m:r>
          </m:sub>
          <m:sup>
            <m:r>
              <m:t>2</m:t>
            </m:r>
          </m:sup>
        </m:sSubSup>
        <m:r>
          <m:t>+</m:t>
        </m:r>
        <m:nary>
          <m:naryPr>
            <m:chr m:val="∑"/>
            <m:limLoc m:val="undOvr"/>
            <m:subHide m:val="0"/>
            <m:supHide m:val="0"/>
          </m:naryPr>
          <m:sub>
            <m:r>
              <m:t>i</m:t>
            </m:r>
            <m:r>
              <m:t>=</m:t>
            </m:r>
            <m:r>
              <m:t>1</m:t>
            </m:r>
          </m:sub>
          <m:sup>
            <m:r>
              <m:t>N</m:t>
            </m:r>
          </m:sup>
          <m:e>
            <m:r>
              <m:t>(</m:t>
            </m:r>
          </m:e>
        </m:nary>
        <m:sSub>
          <m:e>
            <m:r>
              <m:t>α</m:t>
            </m:r>
          </m:e>
          <m:sub>
            <m:r>
              <m:t>t</m:t>
            </m:r>
            <m:r>
              <m:t>i</m:t>
            </m:r>
          </m:sub>
        </m:sSub>
        <m:r>
          <m:t>+</m:t>
        </m:r>
        <m:sSub>
          <m:e>
            <m:r>
              <m:t>α</m:t>
            </m:r>
          </m:e>
          <m:sub>
            <m:r>
              <m:t>s</m:t>
            </m:r>
            <m:r>
              <m:t>i</m:t>
            </m:r>
          </m:sub>
        </m:sSub>
        <m:r>
          <m:t>+</m:t>
        </m:r>
        <m:sSub>
          <m:e>
            <m:r>
              <m:t>α</m:t>
            </m:r>
          </m:e>
          <m:sub>
            <m:r>
              <m:t>d</m:t>
            </m:r>
            <m:r>
              <m:t>i</m:t>
            </m:r>
          </m:sub>
        </m:sSub>
        <m:r>
          <m:t>)</m:t>
        </m:r>
        <m:sSub>
          <m:e>
            <m:r>
              <m:t>u</m:t>
            </m:r>
          </m:e>
          <m:sub>
            <m:r>
              <m:t>i</m:t>
            </m:r>
          </m:sub>
        </m:sSub>
        <m:r>
          <m:t>(</m:t>
        </m:r>
        <m:sSub>
          <m:e>
            <m:r>
              <m:t>x</m:t>
            </m:r>
          </m:e>
          <m:sub>
            <m:r>
              <m:t>f</m:t>
            </m:r>
          </m:sub>
        </m:sSub>
        <m:r>
          <m:t>)</m:t>
        </m:r>
      </m:oMath>
      <w:r>
        <w:t xml:space="preserve">.</w:t>
      </w:r>
      <w:r>
        <w:t xml:space="preserve"> </w:t>
      </w:r>
      <w:r>
        <w:t xml:space="preserve">If, after the comment period, an agency’s strategic environment is</w:t>
      </w:r>
      <w:r>
        <w:t xml:space="preserve"> </w:t>
      </w:r>
      <w:r>
        <w:t xml:space="preserve">unchanged and it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 This less</w:t>
      </w:r>
      <w:r>
        <w:t xml:space="preserve"> </w:t>
      </w:r>
      <w:r>
        <w:t xml:space="preserve">plausible when groups go public and expand the scope of conflict.</w:t>
      </w:r>
    </w:p>
    <w:p>
      <w:pPr>
        <w:pStyle w:val="BodyText"/>
      </w:pPr>
      <w:r>
        <w:t xml:space="preserve">Incorperating political information allows us to begin formalizing</w:t>
      </w:r>
      <w:r>
        <w:t xml:space="preserve"> </w:t>
      </w:r>
      <w:r>
        <w:t xml:space="preserve">intuitions about mechanisms of influence. For example,</w:t>
      </w:r>
      <w:r>
        <w:t xml:space="preserve"> </w:t>
      </w:r>
      <w:r>
        <w:t xml:space="preserve">Libgober (</w:t>
      </w:r>
      <w:hyperlink w:anchor="ref-Libgober2018">
        <w:r>
          <w:rPr>
            <w:rStyle w:val="Hyperlink"/>
          </w:rPr>
          <w:t xml:space="preserve">2018</w:t>
        </w:r>
      </w:hyperlink>
      <w:r>
        <w:t xml:space="preserve">)</w:t>
      </w:r>
      <w:r>
        <w:t xml:space="preserve"> </w:t>
      </w:r>
      <w:r>
        <w:t xml:space="preserve">asks</w:t>
      </w:r>
      <w:r>
        <w:t xml:space="preserve"> </w:t>
      </w:r>
      <w:r>
        <w:t xml:space="preserve">“</w:t>
      </w:r>
      <w:r>
        <w:t xml:space="preserve">What proportion of commenting activity can be characterized as</w:t>
      </w:r>
      <w:r>
        <w:t xml:space="preserve"> </w:t>
      </w:r>
      <w:r>
        <w:t xml:space="preserve">informing regulators about public preferences versus attempting to</w:t>
      </w:r>
      <w:r>
        <w:t xml:space="preserve"> </w:t>
      </w:r>
      <w:r>
        <w:t xml:space="preserve">attract attention of other political principals?</w:t>
      </w:r>
      <w:r>
        <w:t xml:space="preserve">”</w:t>
      </w:r>
      <w:r>
        <w:t xml:space="preserve"> </w:t>
      </w:r>
      <w:r>
        <w:t xml:space="preserve">(p. 29). Adding</w:t>
      </w:r>
      <w:r>
        <w:t xml:space="preserve"> </w:t>
      </w:r>
      <w:r>
        <w:t xml:space="preserve">political information to the model allows us to formalize this question:</w:t>
      </w:r>
      <w:r>
        <w:t xml:space="preserve"> </w:t>
      </w:r>
      <w:r>
        <w:t xml:space="preserve">Under what conditions does the decision to comment depend on an</w:t>
      </w:r>
      <w:r>
        <w:t xml:space="preserve"> </w:t>
      </w:r>
      <w:r>
        <w:t xml:space="preserve">organization’s beliefs about</w:t>
      </w:r>
      <w:r>
        <w:t xml:space="preserve"> </w:t>
      </w:r>
      <m:oMath>
        <m:sSub>
          <m:e>
            <m:r>
              <m:t>α</m:t>
            </m:r>
          </m:e>
          <m:sub>
            <m:r>
              <m:t>t</m:t>
            </m:r>
          </m:sub>
        </m:sSub>
      </m:oMath>
      <w:r>
        <w:t xml:space="preserve"> </w:t>
      </w:r>
      <w:r>
        <w:t xml:space="preserve">versus beliefs about</w:t>
      </w:r>
      <w:r>
        <w:t xml:space="preserve"> </w:t>
      </w:r>
      <m:oMath>
        <m:sSub>
          <m:e>
            <m:r>
              <m:t>α</m:t>
            </m:r>
          </m:e>
          <m:sub>
            <m:r>
              <m:t>s</m:t>
            </m:r>
          </m:sub>
        </m:sSub>
      </m:oMath>
      <w:r>
        <w:t xml:space="preserve">?</w:t>
      </w:r>
      <w:r>
        <w:t xml:space="preserve"> </w:t>
      </w:r>
      <w:r>
        <w:t xml:space="preserve">Empirically, we may often be able to infer that the difference in</w:t>
      </w:r>
      <w:r>
        <w:t xml:space="preserve"> </w:t>
      </w:r>
      <w:r>
        <w:t xml:space="preserve">commenting can be attributed to group</w:t>
      </w:r>
      <w:r>
        <w:t xml:space="preserve"> </w:t>
      </w:r>
      <m:oMath>
        <m:r>
          <m:t>i</m:t>
        </m:r>
      </m:oMath>
      <w:r>
        <w:t xml:space="preserve">’s beliefs about</w:t>
      </w:r>
      <w:r>
        <w:t xml:space="preserve"> </w:t>
      </w:r>
      <m:oMath>
        <m:sSub>
          <m:e>
            <m:r>
              <m:t>α</m:t>
            </m:r>
          </m:e>
          <m:sub>
            <m:r>
              <m:t>s</m:t>
            </m:r>
            <m:r>
              <m:t>i</m:t>
            </m:r>
          </m:sub>
        </m:sSub>
      </m:oMath>
      <w:r>
        <w:t xml:space="preserve"> </w:t>
      </w:r>
      <w:r>
        <w:t xml:space="preserve">if the behavior of political principals varies but other observed</w:t>
      </w:r>
      <w:r>
        <w:t xml:space="preserve"> </w:t>
      </w:r>
      <w:r>
        <w:t xml:space="preserve">parameter values are similar across rules at a given agency.</w:t>
      </w:r>
    </w:p>
    <w:p>
      <w:pPr>
        <w:pStyle w:val="BodyText"/>
      </w:pPr>
      <w:r>
        <w:t xml:space="preserve">Rational-choice explanations of why organizations comment on proposed</w:t>
      </w:r>
      <w:r>
        <w:t xml:space="preserve"> </w:t>
      </w:r>
      <w:r>
        <w:t xml:space="preserve">rules build on an intuition that potential commenters will comment only</w:t>
      </w:r>
      <w:r>
        <w:t xml:space="preserve"> </w:t>
      </w:r>
      <w:r>
        <w:t xml:space="preserve">when the benefits exceed the costs of doing so. This intuition ought to</w:t>
      </w:r>
      <w:r>
        <w:t xml:space="preserve"> </w:t>
      </w:r>
      <w:r>
        <w:t xml:space="preserve">apply to other lobbying strategies such as mass mobilization as well.</w:t>
      </w:r>
      <w:r>
        <w:t xml:space="preserve"> </w:t>
      </w:r>
      <w:r>
        <w:t xml:space="preserve">Adding an additional lobbying strategy into the model described above is</w:t>
      </w:r>
      <w:r>
        <w:t xml:space="preserve"> </w:t>
      </w:r>
      <w:r>
        <w:t xml:space="preserve">straightforward. In Libgober’s model, a potential commenter has negative</w:t>
      </w:r>
      <w:r>
        <w:t xml:space="preserve"> </w:t>
      </w:r>
      <w:r>
        <w:t xml:space="preserve">quadratic preferences centered on their ideal policy</w:t>
      </w:r>
      <w:r>
        <w:t xml:space="preserve"> </w:t>
      </w:r>
      <m:oMath>
        <m:sSub>
          <m:e>
            <m:r>
              <m:t>p</m:t>
            </m:r>
          </m:e>
          <m:sub>
            <m:r>
              <m:t>i</m:t>
            </m:r>
          </m:sub>
        </m:sSub>
      </m:oMath>
      <w:r>
        <w:t xml:space="preserve"> </w:t>
      </w:r>
      <w:r>
        <w:t xml:space="preserve">and</w:t>
      </w:r>
      <w:r>
        <w:t xml:space="preserve"> </w:t>
      </w:r>
      <m:oMath>
        <m:sSub>
          <m:e>
            <m:r>
              <m:t>u</m:t>
            </m:r>
          </m:e>
          <m:sub>
            <m:r>
              <m:t>i</m:t>
            </m:r>
          </m:sub>
        </m:sSub>
        <m:r>
          <m:t>=</m:t>
        </m:r>
        <m:r>
          <m:t>−</m:t>
        </m:r>
        <m:r>
          <m:t>(</m:t>
        </m:r>
        <m:sSub>
          <m:e>
            <m:r>
              <m:t>x</m:t>
            </m:r>
          </m:e>
          <m:sub>
            <m:r>
              <m:t>f</m:t>
            </m:r>
          </m:sub>
        </m:sSub>
        <m:r>
          <m:t>−</m:t>
        </m:r>
        <m:sSub>
          <m:e>
            <m:r>
              <m:t>p</m:t>
            </m:r>
          </m:e>
          <m:sub>
            <m:r>
              <m:t>i</m:t>
            </m:r>
          </m:sub>
        </m:sSub>
        <m:sSup>
          <m:e>
            <m:r>
              <m:t>)</m:t>
            </m:r>
          </m:e>
          <m:sup>
            <m:r>
              <m:t>2</m:t>
            </m:r>
          </m:sup>
        </m:sSup>
      </m:oMath>
      <w:r>
        <w:t xml:space="preserve"> </w:t>
      </w:r>
      <w:r>
        <w:t xml:space="preserve">where</w:t>
      </w:r>
      <w:r>
        <w:t xml:space="preserve"> </w:t>
      </w:r>
      <m:oMath>
        <m:sSub>
          <m:e>
            <m:r>
              <m:t>x</m:t>
            </m:r>
          </m:e>
          <m:sub>
            <m:r>
              <m:t>f</m:t>
            </m:r>
          </m:sub>
        </m:sSub>
      </m:oMath>
      <w:r>
        <w:t xml:space="preserve"> </w:t>
      </w:r>
      <w:r>
        <w:t xml:space="preserve">is the final policy chosen by the</w:t>
      </w:r>
      <w:r>
        <w:t xml:space="preserve"> </w:t>
      </w:r>
      <w:r>
        <w:t xml:space="preserve">agency. An organization will comment if the cost of doing so is less</w:t>
      </w:r>
      <w:r>
        <w:t xml:space="preserve"> </w:t>
      </w:r>
      <w:r>
        <w:t xml:space="preserve">than the difference between their utility when the agency selects a</w:t>
      </w:r>
      <w:r>
        <w:t xml:space="preserve"> </w:t>
      </w:r>
      <w:r>
        <w:t xml:space="preserve">policy having been informed about the organization’s ideal point</w:t>
      </w:r>
      <w:r>
        <w:t xml:space="preserve"> </w:t>
      </w:r>
      <m:oMath>
        <m:sSub>
          <m:e>
            <m:r>
              <m:t>p</m:t>
            </m:r>
          </m:e>
          <m:sub>
            <m:r>
              <m:t>i</m:t>
            </m:r>
          </m:sub>
        </m:sSub>
      </m:oMath>
      <w:r>
        <w:t xml:space="preserve"> </w:t>
      </w:r>
      <w:r>
        <w:t xml:space="preserve">versus when the agency selects a policy having made a guess about the</w:t>
      </w:r>
      <w:r>
        <w:t xml:space="preserve"> </w:t>
      </w:r>
      <w:r>
        <w:t xml:space="preserve">organization’s ideal point,</w:t>
      </w:r>
      <w:r>
        <w:t xml:space="preserve"> </w:t>
      </w:r>
      <m:oMath>
        <m:sSub>
          <m:e>
            <m:r>
              <m:t>z</m:t>
            </m:r>
          </m:e>
          <m:sub>
            <m:r>
              <m:t>i</m:t>
            </m:r>
          </m:sub>
        </m:sSub>
      </m:oMath>
      <w:r>
        <w:t xml:space="preserve">. If</w:t>
      </w:r>
      <w:r>
        <w:t xml:space="preserve"> </w:t>
      </w:r>
      <m:oMath>
        <m:sSub>
          <m:e>
            <m:r>
              <m:t>c</m:t>
            </m:r>
          </m:e>
          <m:sub>
            <m:r>
              <m:t>i</m:t>
            </m:r>
          </m:sub>
        </m:sSub>
      </m:oMath>
      <w:r>
        <w:t xml:space="preserve"> </w:t>
      </w:r>
      <w:r>
        <w:t xml:space="preserve">is organization</w:t>
      </w:r>
      <w:r>
        <w:t xml:space="preserve"> </w:t>
      </w:r>
      <m:oMath>
        <m:r>
          <m:t>i</m:t>
        </m:r>
      </m:oMath>
      <w:r>
        <w:t xml:space="preserve">’s cost</w:t>
      </w:r>
      <w:r>
        <w:t xml:space="preserve"> </w:t>
      </w:r>
      <w:r>
        <w:t xml:space="preserve">of commenting, then</w:t>
      </w:r>
      <w:r>
        <w:t xml:space="preserve"> </w:t>
      </w:r>
      <m:oMath>
        <m:r>
          <m:t>i</m:t>
        </m:r>
      </m:oMath>
      <w:r>
        <w:t xml:space="preserve"> </w:t>
      </w:r>
      <w:r>
        <w:t xml:space="preserve">will comment if it expects to be better off</w:t>
      </w:r>
      <w:r>
        <w:t xml:space="preserve"> </w:t>
      </w:r>
      <w:r>
        <w:t xml:space="preserve">providing information than abstaining</w:t>
      </w:r>
      <w:r>
        <w:t xml:space="preserve"> </w:t>
      </w:r>
      <m:oMath>
        <m:r>
          <m:t>E</m:t>
        </m:r>
        <m:r>
          <m:t>[</m:t>
        </m:r>
        <m:sSub>
          <m:e>
            <m:r>
              <m:t>u</m:t>
            </m:r>
          </m:e>
          <m:sub>
            <m:r>
              <m:t>i</m:t>
            </m:r>
          </m:sub>
        </m:sSub>
        <m:r>
          <m:t>|</m:t>
        </m:r>
        <m:sSub>
          <m:e>
            <m:r>
              <m:t>p</m:t>
            </m:r>
          </m:e>
          <m:sub>
            <m:r>
              <m:t>i</m:t>
            </m:r>
          </m:sub>
        </m:sSub>
        <m:r>
          <m:t>]</m:t>
        </m:r>
        <m:r>
          <m:t>&gt;</m:t>
        </m:r>
        <m:r>
          <m:t>E</m:t>
        </m:r>
        <m:r>
          <m:t>[</m:t>
        </m:r>
        <m:sSub>
          <m:e>
            <m:r>
              <m:t>u</m:t>
            </m:r>
          </m:e>
          <m:sub>
            <m:r>
              <m:t>i</m:t>
            </m:r>
          </m:sub>
        </m:sSub>
        <m:r>
          <m:t>|</m:t>
        </m:r>
        <m:sSub>
          <m:e>
            <m:r>
              <m:t>z</m:t>
            </m:r>
          </m:e>
          <m:sub>
            <m:r>
              <m:t>i</m:t>
            </m:r>
          </m:sub>
        </m:sSub>
        <m:r>
          <m:t>]</m:t>
        </m:r>
        <m:r>
          <m:t>+</m:t>
        </m:r>
        <m:sSub>
          <m:e>
            <m:r>
              <m:t>c</m:t>
            </m:r>
          </m:e>
          <m:sub>
            <m:r>
              <m:t>i</m:t>
            </m:r>
          </m:sub>
        </m:sSub>
      </m:oMath>
      <w:r>
        <w:t xml:space="preserve">. Similarly, an organization will go</w:t>
      </w:r>
      <w:r>
        <w:t xml:space="preserve"> </w:t>
      </w:r>
      <w:r>
        <w:t xml:space="preserve">public when it expects that the cost of running a mass mobilization</w:t>
      </w:r>
      <w:r>
        <w:t xml:space="preserve"> </w:t>
      </w:r>
      <w:r>
        <w:t xml:space="preserve">campaign to be less than the difference in utility when the agency</w:t>
      </w:r>
      <w:r>
        <w:t xml:space="preserve"> </w:t>
      </w:r>
      <w:r>
        <w:t xml:space="preserve">selects a policy having been informed about the intensity of broader</w:t>
      </w:r>
      <w:r>
        <w:t xml:space="preserve"> </w:t>
      </w:r>
      <w:r>
        <w:t xml:space="preserve">public preferences</w:t>
      </w:r>
      <w:r>
        <w:t xml:space="preserve"> </w:t>
      </w:r>
      <m:oMath>
        <m:sSub>
          <m:e>
            <m:r>
              <m:t>p</m:t>
            </m:r>
          </m:e>
          <m:sub>
            <m:r>
              <m:t>p</m:t>
            </m:r>
            <m:r>
              <m:t>u</m:t>
            </m:r>
            <m:r>
              <m:t>b</m:t>
            </m:r>
            <m:r>
              <m:t>l</m:t>
            </m:r>
            <m:r>
              <m:t>i</m:t>
            </m:r>
            <m:r>
              <m:t>c</m:t>
            </m:r>
          </m:sub>
        </m:sSub>
      </m:oMath>
      <w:r>
        <w:t xml:space="preserve"> </w:t>
      </w:r>
      <w:r>
        <w:t xml:space="preserve">versus when the agency selects a policy</w:t>
      </w:r>
      <w:r>
        <w:t xml:space="preserve"> </w:t>
      </w:r>
      <w:r>
        <w:t xml:space="preserve">having made a guess about the intensity of the attentive public’s</w:t>
      </w:r>
      <w:r>
        <w:t xml:space="preserve"> </w:t>
      </w:r>
      <w:r>
        <w:t xml:space="preserve">preferences,</w:t>
      </w:r>
      <w:r>
        <w:t xml:space="preserve"> </w:t>
      </w:r>
      <m:oMath>
        <m:sSub>
          <m:e>
            <m:r>
              <m:t>z</m:t>
            </m:r>
          </m:e>
          <m:sub>
            <m:r>
              <m:t>p</m:t>
            </m:r>
            <m:r>
              <m:t>u</m:t>
            </m:r>
            <m:r>
              <m:t>b</m:t>
            </m:r>
            <m:r>
              <m:t>l</m:t>
            </m:r>
            <m:r>
              <m:t>i</m:t>
            </m:r>
            <m:r>
              <m:t>c</m:t>
            </m:r>
          </m:sub>
        </m:sSub>
      </m:oMath>
      <w:r>
        <w:t xml:space="preserve">. If</w:t>
      </w:r>
      <w:r>
        <w:t xml:space="preserve"> </w:t>
      </w:r>
      <m:oMath>
        <m:sSub>
          <m:e>
            <m:r>
              <m:t>c</m:t>
            </m:r>
          </m:e>
          <m:sub>
            <m:r>
              <m:t>c</m:t>
            </m:r>
            <m:r>
              <m:t>a</m:t>
            </m:r>
            <m:r>
              <m:t>m</m:t>
            </m:r>
            <m:r>
              <m:t>p</m:t>
            </m:r>
            <m:r>
              <m:t>a</m:t>
            </m:r>
            <m:r>
              <m:t>i</m:t>
            </m:r>
            <m:r>
              <m:t>g</m:t>
            </m:r>
            <m:r>
              <m:t>n</m:t>
            </m:r>
            <m:r>
              <m:t>,</m:t>
            </m:r>
            <m:r>
              <m:t>i</m:t>
            </m:r>
          </m:sub>
        </m:sSub>
      </m:oMath>
      <w:r>
        <w:t xml:space="preserve"> </w:t>
      </w:r>
      <w:r>
        <w:t xml:space="preserve">is organization</w:t>
      </w:r>
      <w:r>
        <w:t xml:space="preserve"> </w:t>
      </w:r>
      <m:oMath>
        <m:r>
          <m:t>i</m:t>
        </m:r>
      </m:oMath>
      <w:r>
        <w:t xml:space="preserve">’s</w:t>
      </w:r>
      <w:r>
        <w:t xml:space="preserve"> </w:t>
      </w:r>
      <w:r>
        <w:t xml:space="preserve">cost of running a mass mobilization campaign, then</w:t>
      </w:r>
      <w:r>
        <w:t xml:space="preserve"> </w:t>
      </w:r>
      <m:oMath>
        <m:r>
          <m:t>i</m:t>
        </m:r>
      </m:oMath>
      <w:r>
        <w:t xml:space="preserve"> </w:t>
      </w:r>
      <w:r>
        <w:t xml:space="preserve">will launch a</w:t>
      </w:r>
      <w:r>
        <w:t xml:space="preserve"> </w:t>
      </w:r>
      <w:r>
        <w:t xml:space="preserve">campaign if</w:t>
      </w:r>
      <w:r>
        <w:t xml:space="preserve"> </w:t>
      </w:r>
      <m:oMath>
        <m:r>
          <m:t>E</m:t>
        </m:r>
        <m:r>
          <m:t>[</m:t>
        </m:r>
        <m:sSub>
          <m:e>
            <m:r>
              <m:t>u</m:t>
            </m:r>
          </m:e>
          <m:sub>
            <m:r>
              <m:t>i</m:t>
            </m:r>
          </m:sub>
        </m:sSub>
        <m:r>
          <m:t>|</m:t>
        </m:r>
        <m:sSub>
          <m:e>
            <m:r>
              <m:t>p</m:t>
            </m:r>
          </m:e>
          <m:sub>
            <m:r>
              <m:t>p</m:t>
            </m:r>
            <m:r>
              <m:t>u</m:t>
            </m:r>
            <m:r>
              <m:t>b</m:t>
            </m:r>
            <m:r>
              <m:t>l</m:t>
            </m:r>
            <m:r>
              <m:t>i</m:t>
            </m:r>
            <m:r>
              <m:t>c</m:t>
            </m:r>
          </m:sub>
        </m:sSub>
        <m:r>
          <m:t>]</m:t>
        </m:r>
        <m:r>
          <m:t>&gt;</m:t>
        </m:r>
        <m:r>
          <m:t>E</m:t>
        </m:r>
        <m:r>
          <m:t>[</m:t>
        </m:r>
        <m:sSub>
          <m:e>
            <m:r>
              <m:t>u</m:t>
            </m:r>
          </m:e>
          <m:sub>
            <m:r>
              <m:t>i</m:t>
            </m:r>
          </m:sub>
        </m:sSub>
        <m:r>
          <m:t>|</m:t>
        </m:r>
        <m:sSub>
          <m:e>
            <m:r>
              <m:t>z</m:t>
            </m:r>
          </m:e>
          <m:sub>
            <m:r>
              <m:t>p</m:t>
            </m:r>
            <m:r>
              <m:t>u</m:t>
            </m:r>
            <m:r>
              <m:t>b</m:t>
            </m:r>
            <m:r>
              <m:t>l</m:t>
            </m:r>
            <m:r>
              <m:t>i</m:t>
            </m:r>
            <m:r>
              <m:t>c</m:t>
            </m:r>
          </m:sub>
        </m:sSub>
        <m:r>
          <m:t>]</m:t>
        </m:r>
        <m:r>
          <m:t>+</m:t>
        </m:r>
        <m:sSub>
          <m:e>
            <m:r>
              <m:t>c</m:t>
            </m:r>
          </m:e>
          <m:sub>
            <m:r>
              <m:t>c</m:t>
            </m:r>
            <m:r>
              <m:t>a</m:t>
            </m:r>
            <m:r>
              <m:t>m</m:t>
            </m:r>
            <m:r>
              <m:t>p</m:t>
            </m:r>
            <m:r>
              <m:t>a</m:t>
            </m:r>
            <m:r>
              <m:t>i</m:t>
            </m:r>
            <m:r>
              <m:t>g</m:t>
            </m:r>
            <m:r>
              <m:t>n</m:t>
            </m:r>
            <m:r>
              <m:t>,</m:t>
            </m:r>
            <m:r>
              <m:t>i</m:t>
            </m:r>
          </m:sub>
        </m:sSub>
      </m:oMath>
      <w:r>
        <w:t xml:space="preserve">. This</w:t>
      </w:r>
      <w:r>
        <w:t xml:space="preserve"> </w:t>
      </w:r>
      <w:r>
        <w:t xml:space="preserve">suggests that mass mobilization with the aim of influencing policy, i.e.</w:t>
      </w:r>
      <w:r>
        <w:t xml:space="preserve"> </w:t>
      </w:r>
      <w:r>
        <w:t xml:space="preserve">going public, should be more common when agencies are either poorly</w:t>
      </w:r>
      <w:r>
        <w:t xml:space="preserve"> </w:t>
      </w:r>
      <w:r>
        <w:t xml:space="preserve">informed or distant from public opinion and potentially influenced by</w:t>
      </w:r>
      <w:r>
        <w:t xml:space="preserve"> </w:t>
      </w:r>
      <w:r>
        <w:t xml:space="preserve">the types of political information created by mass engagement.</w:t>
      </w:r>
    </w:p>
    <w:p>
      <w:pPr>
        <w:pStyle w:val="BodyText"/>
      </w:pPr>
      <w:r>
        <w:t xml:space="preserve">Additionally, an organization may comment or run a mass mobilization</w:t>
      </w:r>
      <w:r>
        <w:t xml:space="preserve"> </w:t>
      </w:r>
      <w:r>
        <w:t xml:space="preserve">campaign if it benefits in ways that are independent of policy outcomes.</w:t>
      </w:r>
      <w:r>
        <w:t xml:space="preserve"> </w:t>
      </w:r>
      <w:r>
        <w:t xml:space="preserve">Strategies such as "going down fighting" can be incorporated by adding</w:t>
      </w:r>
      <w:r>
        <w:t xml:space="preserve"> </w:t>
      </w:r>
      <w:r>
        <w:t xml:space="preserve">exogenous benefit parameters to the utility function of the potential</w:t>
      </w:r>
      <w:r>
        <w:t xml:space="preserve"> </w:t>
      </w:r>
      <w:r>
        <w:t xml:space="preserve">commenter/mobilizer. Let</w:t>
      </w:r>
      <w:r>
        <w:t xml:space="preserve"> </w:t>
      </w:r>
      <m:oMath>
        <m:sSub>
          <m:e>
            <m:r>
              <m:t>v</m:t>
            </m:r>
          </m:e>
          <m:sub>
            <m:r>
              <m:t>i</m:t>
            </m:r>
          </m:sub>
        </m:sSub>
      </m:oMath>
      <w:r>
        <w:t xml:space="preserve"> </w:t>
      </w:r>
      <w:r>
        <w:t xml:space="preserve">be the benefit of commenting independent</w:t>
      </w:r>
      <w:r>
        <w:t xml:space="preserve"> </w:t>
      </w:r>
      <w:r>
        <w:t xml:space="preserve">of its effect on the policy outcome, such as pleasing members or to</w:t>
      </w:r>
      <w:r>
        <w:t xml:space="preserve"> </w:t>
      </w:r>
      <w:r>
        <w:t xml:space="preserve">reserving the right to sue. Let</w:t>
      </w:r>
      <w:r>
        <w:t xml:space="preserve"> </w:t>
      </w:r>
      <m:oMath>
        <m:sSub>
          <m:e>
            <m:r>
              <m:t>w</m:t>
            </m:r>
          </m:e>
          <m:sub>
            <m:r>
              <m:t>i</m:t>
            </m:r>
          </m:sub>
        </m:sSub>
      </m:oMath>
      <w:r>
        <w:t xml:space="preserve"> </w:t>
      </w:r>
      <w:r>
        <w:t xml:space="preserve">be the benefit of running a mass</w:t>
      </w:r>
      <w:r>
        <w:t xml:space="preserve"> </w:t>
      </w:r>
      <w:r>
        <w:t xml:space="preserve">mobilization campaign independent of its effect on the outcome of the</w:t>
      </w:r>
      <w:r>
        <w:t xml:space="preserve"> </w:t>
      </w:r>
      <w:r>
        <w:t xml:space="preserve">policy at hand, such as fulfilling expectations of existing members or</w:t>
      </w:r>
      <w:r>
        <w:t xml:space="preserve"> </w:t>
      </w:r>
      <w:r>
        <w:t xml:space="preserve">recruiting new members. An organizations utility function would then be</w:t>
      </w:r>
      <w:r>
        <w:t xml:space="preserve"> </w:t>
      </w:r>
      <m:oMath>
        <m:sSub>
          <m:e>
            <m:r>
              <m:t>u</m:t>
            </m:r>
          </m:e>
          <m:sub>
            <m:r>
              <m:t>i</m:t>
            </m:r>
          </m:sub>
        </m:sSub>
        <m:r>
          <m:t>=</m:t>
        </m:r>
        <m:r>
          <m:t>−</m:t>
        </m:r>
        <m:r>
          <m:t>(</m:t>
        </m:r>
        <m:r>
          <m:t>x</m:t>
        </m:r>
        <m:r>
          <m:t>−</m:t>
        </m:r>
        <m:sSub>
          <m:e>
            <m:r>
              <m:t>p</m:t>
            </m:r>
          </m:e>
          <m:sub>
            <m:r>
              <m:t>i</m:t>
            </m:r>
          </m:sub>
        </m:sSub>
        <m:sSup>
          <m:e>
            <m:r>
              <m:t>)</m:t>
            </m:r>
          </m:e>
          <m:sup>
            <m:r>
              <m:t>2</m:t>
            </m:r>
          </m:sup>
        </m:sSup>
        <m:r>
          <m:t>+</m:t>
        </m:r>
        <m:sSub>
          <m:e>
            <m:r>
              <m:t>v</m:t>
            </m:r>
          </m:e>
          <m:sub>
            <m:r>
              <m:t>i</m:t>
            </m:r>
          </m:sub>
        </m:sSub>
        <m:r>
          <m:t>+</m:t>
        </m:r>
        <m:sSub>
          <m:e>
            <m:r>
              <m:t>w</m:t>
            </m:r>
          </m:e>
          <m:sub>
            <m:r>
              <m:t>i</m:t>
            </m:r>
          </m:sub>
        </m:sSub>
      </m:oMath>
      <w:r>
        <w:t xml:space="preserve">.</w:t>
      </w:r>
    </w:p>
    <w:p>
      <w:pPr>
        <w:pStyle w:val="BodyText"/>
      </w:pPr>
      <w:r>
        <w:t xml:space="preserve">Adding these parameters also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may either be wrong about an agency’s allocative bias</w:t>
      </w:r>
      <w:r>
        <w:t xml:space="preserve"> </w:t>
      </w:r>
      <w:r>
        <w:t xml:space="preserve">or their ability to shift it. Incorporating political information allows</w:t>
      </w:r>
      <w:r>
        <w:t xml:space="preserve"> </w:t>
      </w:r>
      <w:r>
        <w:t xml:space="preserve">change and uncertainty in an agency’s biases. The result of commenting</w:t>
      </w:r>
      <w:r>
        <w:t xml:space="preserve"> </w:t>
      </w:r>
      <w:r>
        <w:t xml:space="preserve">without rule change also becomes possible if commenters are allowed a</w:t>
      </w:r>
      <w:r>
        <w:t xml:space="preserve"> </w:t>
      </w:r>
      <w:r>
        <w:t xml:space="preserve">strategy of</w:t>
      </w:r>
      <w:r>
        <w:t xml:space="preserve"> </w:t>
      </w:r>
      <w:r>
        <w:t xml:space="preserve">“</w:t>
      </w:r>
      <w:r>
        <w:t xml:space="preserve">going down fighting</w:t>
      </w:r>
      <w:r>
        <w:t xml:space="preserve">”</w:t>
      </w:r>
      <w:r>
        <w:t xml:space="preserve"> </w:t>
      </w:r>
      <w:r>
        <w:t xml:space="preserve">and incentives to do so.</w:t>
      </w:r>
    </w:p>
    <w:p>
      <w:pPr>
        <w:pStyle w:val="Heading3"/>
      </w:pPr>
      <w:bookmarkStart w:id="104" w:name="oversight-theory"/>
      <w:r>
        <w:t xml:space="preserve">3.2.2	Congressional oversight as a mediator of interest-group influence</w:t>
      </w:r>
      <w:bookmarkEnd w:id="104"/>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upon observing the preferences of principals, may change the</w:t>
      </w:r>
      <w:r>
        <w:t xml:space="preserve"> </w:t>
      </w:r>
      <w:r>
        <w:t xml:space="preserve">rule or delay its publication. Agencies may do this to avoid political</w:t>
      </w:r>
      <w:r>
        <w:t xml:space="preserve"> </w:t>
      </w:r>
      <w:r>
        <w:t xml:space="preserve">consequences such as having their policies reversed</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(Cuéllar</w:t>
      </w:r>
      <w:r>
        <w:t xml:space="preserve"> </w:t>
      </w:r>
      <w:hyperlink w:anchor="ref-Cuellar2005">
        <w:r>
          <w:rPr>
            <w:rStyle w:val="Hyperlink"/>
          </w:rPr>
          <w:t xml:space="preserve">2005</w:t>
        </w:r>
      </w:hyperlink>
      <w:r>
        <w:t xml:space="preserve">)</w:t>
      </w:r>
      <w:r>
        <w:t xml:space="preserve">. While it is widely accepted that agency officials take</w:t>
      </w:r>
      <w:r>
        <w:t xml:space="preserve"> </w:t>
      </w:r>
      <w:r>
        <w:t xml:space="preserve">the positions of their principals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(Epstein and O’Halloran</w:t>
      </w:r>
      <w:r>
        <w:t xml:space="preserve"> </w:t>
      </w:r>
      <w:hyperlink w:anchor="ref-Epstein1994">
        <w:r>
          <w:rPr>
            <w:rStyle w:val="Hyperlink"/>
          </w:rPr>
          <w:t xml:space="preserve">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r>
        <w:t xml:space="preserve">McCubbins, Noll, and Weingast (</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(Balla</w:t>
      </w:r>
      <w:r>
        <w:t xml:space="preserve"> </w:t>
      </w:r>
      <w:hyperlink w:anchor="ref-Balla1998">
        <w:r>
          <w:rPr>
            <w:rStyle w:val="Hyperlink"/>
          </w:rPr>
          <w:t xml:space="preserve">1998</w:t>
        </w:r>
      </w:hyperlink>
      <w:r>
        <w:t xml:space="preserve">)</w:t>
      </w:r>
      <w:r>
        <w:t xml:space="preserve">.</w:t>
      </w:r>
    </w:p>
    <w:p>
      <w:pPr>
        <w:pStyle w:val="Heading3"/>
      </w:pPr>
      <w:bookmarkStart w:id="105" w:name="X740691dbc1d13859f3bf171ce470f133d6a4896"/>
      <w:r>
        <w:t xml:space="preserve">3.2.3	Incorporating political information into models of political oversight</w:t>
      </w:r>
      <w:bookmarkEnd w:id="105"/>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momentum needed to hold course.</w:t>
      </w:r>
    </w:p>
    <w:p>
      <w:pPr>
        <w:pStyle w:val="CaptionedFigure"/>
      </w:pPr>
      <w:r>
        <w:drawing>
          <wp:inline>
            <wp:extent cx="5334000" cy="2374952"/>
            <wp:effectExtent b="0" l="0" r="0" t="0"/>
            <wp:docPr descr="Figure 3.1: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06"/>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3.1: Incorporating Congressional Oversight into Model of Bureaucratic Policymaking</w:t>
      </w:r>
    </w:p>
    <w:p>
      <w:pPr>
        <w:pStyle w:val="BodyText"/>
      </w:pPr>
      <w:r>
        <w:t xml:space="preserve">Mass engagement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(Arnold</w:t>
      </w:r>
      <w:r>
        <w:t xml:space="preserve"> </w:t>
      </w:r>
      <w:hyperlink w:anchor="ref-Arnold1979">
        <w:r>
          <w:rPr>
            <w:rStyle w:val="Hyperlink"/>
          </w:rPr>
          <w:t xml:space="preserve">1979</w:t>
        </w:r>
      </w:hyperlink>
      <w:r>
        <w:t xml:space="preserve">; Mayhew</w:t>
      </w:r>
      <w:r>
        <w:t xml:space="preserve"> </w:t>
      </w:r>
      <w:hyperlink w:anchor="ref-Mayhew2000">
        <w:r>
          <w:rPr>
            <w:rStyle w:val="Hyperlink"/>
          </w:rPr>
          <w:t xml:space="preserve">2000</w:t>
        </w:r>
      </w:hyperlink>
      <w:r>
        <w:t xml:space="preserve">)</w:t>
      </w:r>
      <w:r>
        <w:t xml:space="preserve">.</w:t>
      </w:r>
      <w:r>
        <w:t xml:space="preserve"> </w:t>
      </w:r>
      <w:r>
        <w:t xml:space="preserve">Moore (</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p>
      <w:pPr>
        <w:pStyle w:val="Heading3"/>
      </w:pPr>
      <w:bookmarkStart w:id="107" w:name="oversight-hypotheses"/>
      <w:r>
        <w:t xml:space="preserve">3.2.4	Hypotheses about the relationship between mass engagement and oversight</w:t>
      </w:r>
      <w:bookmarkEnd w:id="107"/>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
        </w:rPr>
        <w:t xml:space="preserve">Hypothesis 2:</w:t>
      </w:r>
      <w:r>
        <w:t xml:space="preserve"> </w:t>
      </w:r>
      <w:r>
        <w:rPr>
          <w:i/>
        </w:rPr>
        <w:t xml:space="preserve">Elected officials’ advocacy is moderated by mass</w:t>
      </w:r>
      <w:r>
        <w:rPr>
          <w:i/>
        </w:rPr>
        <w:t xml:space="preserve"> </w:t>
      </w:r>
      <w:r>
        <w:rPr>
          <w:i/>
        </w:rPr>
        <w:t xml:space="preserve">engagement.</w:t>
      </w:r>
    </w:p>
    <w:p>
      <w:pPr>
        <w:pStyle w:val="BodyText"/>
      </w:pPr>
      <w:bookmarkStart w:id="108" w:name="hyp:beacon"/>
      <m:oMathPara>
        <m:oMathParaPr>
          <m:jc m:val="center"/>
        </m:oMathParaPr>
        <m:oMath>
          <m:r>
            <m:t>h</m:t>
          </m:r>
          <m:r>
            <m:t>y</m:t>
          </m:r>
          <m:r>
            <m:t>p</m:t>
          </m:r>
          <m:r>
            <m:t>:</m:t>
          </m:r>
          <m:r>
            <m:t>b</m:t>
          </m:r>
          <m:r>
            <m:t>e</m:t>
          </m:r>
          <m:r>
            <m:t>a</m:t>
          </m:r>
          <m:r>
            <m:t>c</m:t>
          </m:r>
          <m:r>
            <m:t>o</m:t>
          </m:r>
          <m:r>
            <m:t>n</m:t>
          </m:r>
        </m:oMath>
      </m:oMathPara>
      <w:bookmarkEnd w:id="108"/>
    </w:p>
    <w:p>
      <w:pPr>
        <w:pStyle w:val="FirstParagraph"/>
      </w:pP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bookmarkStart w:id="109" w:name="hyp:warning"/>
      <m:oMathPara>
        <m:oMathParaPr>
          <m:jc m:val="center"/>
        </m:oMathParaPr>
        <m:oMath>
          <m:r>
            <m:t>h</m:t>
          </m:r>
          <m:r>
            <m:t>y</m:t>
          </m:r>
          <m:r>
            <m:t>p</m:t>
          </m:r>
          <m:r>
            <m:t>:</m:t>
          </m:r>
          <m:r>
            <m:t>w</m:t>
          </m:r>
          <m:r>
            <m:t>a</m:t>
          </m:r>
          <m:r>
            <m:t>r</m:t>
          </m:r>
          <m:r>
            <m:t>n</m:t>
          </m:r>
          <m:r>
            <m:t>i</m:t>
          </m:r>
          <m:r>
            <m:t>n</m:t>
          </m:r>
          <m:r>
            <m:t>g</m:t>
          </m:r>
        </m:oMath>
      </m:oMathPara>
      <w:bookmarkEnd w:id="109"/>
    </w:p>
    <w:p>
      <w:pPr>
        <w:pStyle w:val="FirstParagraph"/>
      </w:pP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implies that</w:t>
      </w:r>
      <w:r>
        <w:t xml:space="preserve"> </w:t>
      </w:r>
      <m:oMath>
        <m:sSub>
          <m:e>
            <m:r>
              <m:t>β</m:t>
            </m:r>
          </m:e>
          <m:sub>
            <m:r>
              <m:t>1</m:t>
            </m:r>
          </m:sub>
        </m:sSub>
      </m:oMath>
      <w:r>
        <w:t xml:space="preserve"> </w:t>
      </w:r>
      <w:r>
        <w:t xml:space="preserve">is positive and</w:t>
      </w:r>
      <w:r>
        <w:t xml:space="preserve"> </w:t>
      </w:r>
      <w:r>
        <w:t xml:space="preserve">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m:oMath>
        <m:sSub>
          <m:e>
            <m:r>
              <m:t>β</m:t>
            </m:r>
          </m:e>
          <m:sub>
            <m:r>
              <m:t>2</m:t>
            </m:r>
          </m:sub>
        </m:sSub>
      </m:oMath>
      <w:r>
        <w:t xml:space="preserve"> </w:t>
      </w:r>
      <w:r>
        <w:t xml:space="preserve">is negative in this statement:</w:t>
      </w:r>
      <w:r>
        <w:t xml:space="preserve"> </w:t>
      </w:r>
      <w:r>
        <w:rPr>
          <w:i/>
        </w:rPr>
        <w:t xml:space="preserve">Pr(Principal Comments</w:t>
      </w:r>
      <w:r>
        <w:rPr>
          <w:i/>
        </w:rPr>
        <w:t xml:space="preserve"> </w:t>
      </w:r>
      <m:oMath>
        <m:r>
          <m:t>|</m:t>
        </m:r>
      </m:oMath>
      <w:r>
        <w:rPr>
          <w:i/>
        </w:rPr>
        <w:t xml:space="preserve"> </w:t>
      </w:r>
      <w:r>
        <w:rPr>
          <w:i/>
        </w:rPr>
        <w:t xml:space="preserve">Principal Position</w:t>
      </w:r>
      <w:r>
        <w:rPr>
          <w:i/>
        </w:rPr>
        <w:t xml:space="preserve"> </w:t>
      </w:r>
      <m:oMath>
        <m:r>
          <m:t>i</m:t>
        </m:r>
      </m:oMath>
      <w:r>
        <w:rPr>
          <w:i/>
        </w:rPr>
        <w:t xml:space="preserve">)</w:t>
      </w:r>
      <w:r>
        <w:rPr>
          <w:i/>
        </w:rPr>
        <w:t xml:space="preserve"> </w:t>
      </w:r>
      <m:oMath>
        <m:r>
          <m:t>∼</m:t>
        </m:r>
        <m:sSub>
          <m:e>
            <m:r>
              <m:t>β</m:t>
            </m:r>
          </m:e>
          <m:sub>
            <m:r>
              <m:t>0</m:t>
            </m:r>
          </m:sub>
        </m:sSub>
        <m:r>
          <m:t>+</m:t>
        </m:r>
        <m:sSub>
          <m:e>
            <m:r>
              <m:t>β</m:t>
            </m:r>
          </m:e>
          <m:sub>
            <m:r>
              <m:t>1</m:t>
            </m:r>
          </m:sub>
        </m:sSub>
      </m:oMath>
      <w:r>
        <w:rPr>
          <w:i/>
        </w:rPr>
        <w:t xml:space="preserve">Comments supporting</w:t>
      </w:r>
      <w:r>
        <w:rPr>
          <w:i/>
        </w:rPr>
        <w:t xml:space="preserve"> </w:t>
      </w:r>
      <m:oMath>
        <m:r>
          <m:t>i</m:t>
        </m:r>
        <m:r>
          <m:t>+</m:t>
        </m:r>
        <m:sSub>
          <m:e>
            <m:r>
              <m:t>β</m:t>
            </m:r>
          </m:e>
          <m:sub>
            <m:r>
              <m:t>2</m:t>
            </m:r>
          </m:sub>
        </m:sSub>
      </m:oMath>
      <w:r>
        <w:rPr>
          <w:i/>
        </w:rPr>
        <w:t xml:space="preserve">Comments</w:t>
      </w:r>
      <w:r>
        <w:rPr>
          <w:i/>
        </w:rPr>
        <w:t xml:space="preserve"> </w:t>
      </w:r>
      <w:r>
        <w:rPr>
          <w:i/>
        </w:rPr>
        <w:t xml:space="preserve">opposing</w:t>
      </w:r>
      <w:r>
        <w:rPr>
          <w:i/>
        </w:rPr>
        <w:t xml:space="preserve"> </w:t>
      </w:r>
      <m:oMath>
        <m:r>
          <m:t>i</m:t>
        </m:r>
      </m:oMath>
    </w:p>
    <w:p>
      <w:pPr>
        <w:pStyle w:val="FirstParagraph"/>
      </w:pPr>
      <w:r>
        <w:t xml:space="preserve">If 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10"/>
      </w:r>
    </w:p>
    <w:p>
      <w:pPr>
        <w:pStyle w:val="FirstParagraph"/>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w:r>
        <w:t xml:space="preserve">or</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respectively.</w:t>
      </w:r>
    </w:p>
    <w:p>
      <w:pPr>
        <w:pStyle w:val="FirstParagraph"/>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p>
      <w:pPr>
        <w:pStyle w:val="Heading2"/>
      </w:pPr>
      <w:bookmarkStart w:id="111" w:name="testing-the-theory"/>
      <w:r>
        <w:t xml:space="preserve">3.3	Testing the Theory</w:t>
      </w:r>
      <w:bookmarkEnd w:id="111"/>
    </w:p>
    <w:p>
      <w:pPr>
        <w:pStyle w:val="Heading3"/>
      </w:pPr>
      <w:bookmarkStart w:id="112" w:name="influence-data"/>
      <w:r>
        <w:t xml:space="preserve">3.3.1	Data</w:t>
      </w:r>
      <w:bookmarkEnd w:id="112"/>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2018, that received at least one comment from an organization, and that saw a final agency action between 2005 and 2019.</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13"/>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 For hand-coding, I first select a random sample of 100 proposed rules with a mass-comment campaign and then selecting a matched sample of 100 proposed rules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15"/>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17"/>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p>
      <w:pPr>
        <w:pStyle w:val="Heading3"/>
      </w:pPr>
      <w:bookmarkStart w:id="118" w:name="the-dependent-variable-lobbying-success"/>
      <w:r>
        <w:t xml:space="preserve">3.3.2	The Dependent Variable: Lobbying Success</w:t>
      </w:r>
      <w:bookmarkEnd w:id="118"/>
    </w:p>
    <w:p>
      <w:pPr>
        <w:pStyle w:val="FirstParagraph"/>
      </w:pPr>
      <w:r>
        <w:t xml:space="preserve">The dependent variable is the extent to which a lobbying coalition got the policy outcome they sought, which I measure in three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19"/>
      </w:r>
      <w:r>
        <w:br/>
      </w:r>
      <w:r>
        <w:t xml:space="preserve">I then code overall lobbying success and lobbying success on each specific demand for each organization and coalition. Both the overall score and average score across specific demands both fall on the interval from -1 (</w:t>
      </w:r>
      <w:r>
        <w:t xml:space="preserve">“</w:t>
      </w:r>
      <w:r>
        <w:t xml:space="preserve">significantly different</w:t>
      </w:r>
      <w:r>
        <w:t xml:space="preserve">”</w:t>
      </w:r>
      <w:r>
        <w:t xml:space="preserve">) to 1 (</w:t>
      </w:r>
      <w:r>
        <w:t xml:space="preserve">“</w:t>
      </w:r>
      <w:r>
        <w:t xml:space="preserve">mostly as requested</w:t>
      </w:r>
      <w:r>
        <w:t xml:space="preserve">”</w:t>
      </w:r>
      <w:r>
        <w:t xml:space="preserve">).</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Third, I capture a broader dimension of lobbying success by modeling the similarity in word frequency distributions between comments and changes to the rule. New or changed text is identified as described above, except that I also include the rule’s preamble and the agency’s responses to comments. Agencies write lengthy justifications of their decisions in response to some comments but not others. By including preambles and responses to comments, this measure captures attention to a comment’s demands and the extent to which the agency adopts a comment’s discursive framing (i.e. the distribution of words it uses). I us cosign similarity to scale the word frequencies used by each comment relative to those in changes between draft and final rule.</w:t>
      </w:r>
      <w:r>
        <w:rPr>
          <w:rStyle w:val="FootnoteReference"/>
        </w:rPr>
        <w:footnoteReference w:id="122"/>
      </w:r>
      <w:r>
        <w:t xml:space="preserve"> </w:t>
      </w:r>
      <w:r>
        <w:t xml:space="preserve">This measure falls between 0 (no common words) and 1 (exactly the same distribution of 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 and __ with the word-frequency method.</w:t>
      </w:r>
    </w:p>
    <w:p>
      <w:pPr>
        <w:pStyle w:val="Heading3"/>
      </w:pPr>
      <w:bookmarkStart w:id="124" w:name="the-main-predictor-variable"/>
      <w:r>
        <w:t xml:space="preserve">3.3.3	The Main Predictor Variable</w:t>
      </w:r>
      <w:bookmarkEnd w:id="124"/>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
        </w:rPr>
        <w:t xml:space="preserve">log mass comments</w:t>
      </w:r>
      <w:r>
        <w:t xml:space="preserve"> </w:t>
      </w:r>
      <w:r>
        <w:t xml:space="preserve">takes a value of 0.</w:t>
      </w:r>
    </w:p>
    <w:p>
      <w:pPr>
        <w:pStyle w:val="Heading3"/>
      </w:pPr>
      <w:bookmarkStart w:id="125" w:name="explanatory-variables"/>
      <w:r>
        <w:t xml:space="preserve">3.3.4	Explanatory variables</w:t>
      </w:r>
      <w:bookmarkEnd w:id="125"/>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
        </w:rPr>
        <w:t xml:space="preserve">business-led</w:t>
      </w:r>
      <w:r>
        <w:t xml:space="preserve"> </w:t>
      </w:r>
      <w:r>
        <w:t xml:space="preserve">coalition with</w:t>
      </w:r>
      <w:r>
        <w:t xml:space="preserve"> </w:t>
      </w:r>
      <w:r>
        <w:rPr>
          <w:i/>
        </w:rPr>
        <w:t xml:space="preserve">N</w:t>
      </w:r>
      <w:r>
        <w:t xml:space="preserve"> </w:t>
      </w:r>
      <w:r>
        <w:t xml:space="preserve">organizational members). Coalition</w:t>
      </w:r>
      <w:r>
        <w:t xml:space="preserve"> </w:t>
      </w:r>
      <w:r>
        <w:rPr>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
        </w:rPr>
        <w:t xml:space="preserve">size</w:t>
      </w:r>
      <w:r>
        <w:t xml:space="preserve"> </w:t>
      </w:r>
      <w:r>
        <w:t xml:space="preserve">is 1. A coalition is</w:t>
      </w:r>
      <w:r>
        <w:t xml:space="preserve"> </w:t>
      </w:r>
      <w:r>
        <w:rPr>
          <w:i/>
        </w:rPr>
        <w:t xml:space="preserve">unopposed</w:t>
      </w:r>
      <w:r>
        <w:t xml:space="preserve"> </w:t>
      </w:r>
      <w:r>
        <w:t xml:space="preserve">when no opposing organizations comments. I code a coalition as</w:t>
      </w:r>
      <w:r>
        <w:t xml:space="preserve"> </w:t>
      </w:r>
      <w:r>
        <w:rPr>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26"/>
      </w:r>
    </w:p>
    <w:p>
      <w:pPr>
        <w:pStyle w:val="Heading3"/>
      </w:pPr>
      <w:bookmarkStart w:id="127" w:name="examples-of-hand-coded-lobbying-success"/>
      <w:r>
        <w:t xml:space="preserve">3.3.5	Examples of hand-coded lobbying success</w:t>
      </w:r>
      <w:bookmarkEnd w:id="127"/>
    </w:p>
    <w:p>
      <w:pPr>
        <w:pStyle w:val="FirstParagraph"/>
      </w:pPr>
      <w:r>
        <w:rPr>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28"/>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15,</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69/88, 0.78, and</w:t>
      </w:r>
      <w:r>
        <w:t xml:space="preserve"> </w:t>
      </w:r>
      <w:r>
        <w:rPr>
          <w:i/>
        </w:rPr>
        <w:t xml:space="preserve">log mass comments</w:t>
      </w:r>
      <w:r>
        <w:t xml:space="preserve"> </w:t>
      </w:r>
      <w:r>
        <w:t xml:space="preserve">is log(943,931), 13.76.</w:t>
      </w:r>
    </w:p>
    <w:p>
      <w:pPr>
        <w:pStyle w:val="BodyText"/>
      </w:pPr>
      <w:r>
        <w:rPr>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129,</w:t>
      </w:r>
      <w:r>
        <w:t xml:space="preserve"> </w:t>
      </w:r>
      <w:r>
        <w:rPr>
          <w:i/>
        </w:rPr>
        <w:t xml:space="preserve">business coalition</w:t>
      </w:r>
      <w:r>
        <w:t xml:space="preserve"> </w:t>
      </w:r>
      <w:r>
        <w:t xml:space="preserve">is 1,</w:t>
      </w:r>
      <w:r>
        <w:t xml:space="preserve"> </w:t>
      </w:r>
      <w:r>
        <w:rPr>
          <w:i/>
        </w:rPr>
        <w:t xml:space="preserve">comment length</w:t>
      </w:r>
      <w:r>
        <w:t xml:space="preserve"> </w:t>
      </w:r>
      <w:r>
        <w:t xml:space="preserve">is 63/85, 0.74, and</w:t>
      </w:r>
      <w:r>
        <w:t xml:space="preserve"> </w:t>
      </w:r>
      <w:r>
        <w:rPr>
          <w:i/>
        </w:rPr>
        <w:t xml:space="preserve">log mass comments</w:t>
      </w:r>
      <w:r>
        <w:t xml:space="preserve"> </w:t>
      </w:r>
      <w:r>
        <w:t xml:space="preserve">is 0.</w:t>
      </w:r>
    </w:p>
    <w:p>
      <w:pPr>
        <w:pStyle w:val="BodyText"/>
      </w:pPr>
      <w:r>
        <w:t xml:space="preserve">For the State of Oregon’s coalition, the dependent variable,</w:t>
      </w:r>
      <w:r>
        <w:t xml:space="preserve"> </w:t>
      </w:r>
      <w:r>
        <w:rPr>
          <w:i/>
        </w:rPr>
        <w:t xml:space="preserve">coalitions success</w:t>
      </w:r>
      <w:r>
        <w:t xml:space="preserve"> </w:t>
      </w:r>
      <w:r>
        <w:t xml:space="preserve">is 2,</w:t>
      </w:r>
      <w:r>
        <w:t xml:space="preserve"> </w:t>
      </w:r>
      <w:r>
        <w:rPr>
          <w:i/>
        </w:rPr>
        <w:t xml:space="preserve">coalition size</w:t>
      </w:r>
      <w:r>
        <w:t xml:space="preserve"> </w:t>
      </w:r>
      <w:r>
        <w:t xml:space="preserve">is 6,</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5/85, 0.06, and</w:t>
      </w:r>
      <w:r>
        <w:t xml:space="preserve"> </w:t>
      </w:r>
      <w:r>
        <w:rPr>
          <w:i/>
        </w:rPr>
        <w:t xml:space="preserve">log mass comments</w:t>
      </w:r>
      <w:r>
        <w:t xml:space="preserve"> </w:t>
      </w:r>
      <w:r>
        <w:t xml:space="preserve">is 0.</w:t>
      </w:r>
    </w:p>
    <w:p>
      <w:pPr>
        <w:pStyle w:val="BodyText"/>
      </w:pPr>
      <w:r>
        <w:t xml:space="preserve">For the EarthJustice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3,</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7/85, 0.08, and</w:t>
      </w:r>
      <w:r>
        <w:t xml:space="preserve"> </w:t>
      </w:r>
      <w:r>
        <w:rPr>
          <w:i/>
        </w:rPr>
        <w:t xml:space="preserve">log mass comments</w:t>
      </w:r>
      <w:r>
        <w:t xml:space="preserve"> </w:t>
      </w:r>
      <w:r>
        <w:t xml:space="preserve">is 0.</w:t>
      </w:r>
    </w:p>
    <w:p>
      <w:pPr>
        <w:pStyle w:val="Heading3"/>
      </w:pPr>
      <w:bookmarkStart w:id="129" w:name="limitations"/>
      <w:r>
        <w:t xml:space="preserve">3.3.6	Limitations</w:t>
      </w:r>
      <w:bookmarkEnd w:id="129"/>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30"/>
      </w:r>
    </w:p>
    <w:p>
      <w:pPr>
        <w:pStyle w:val="BodyText"/>
      </w:pPr>
      <w:r>
        <w:t xml:space="preserve">Second, bureaucrats may anticipate public pressure campaigns when writing draft rules, muting the observed relationship between public pressure and rule change at the final rule stage of the policy process.</w:t>
      </w:r>
    </w:p>
    <w:p>
      <w:pPr>
        <w:pStyle w:val="Heading3"/>
      </w:pPr>
      <w:bookmarkStart w:id="131" w:name="modeling-the-direct-relationship"/>
      <w:r>
        <w:t xml:space="preserve">3.3.7	Modeling the direct relationship</w:t>
      </w:r>
      <w:bookmarkEnd w:id="131"/>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32"/>
      </w:r>
      <w:r>
        <w:t xml:space="preserve"> </w:t>
      </w:r>
      <w:r>
        <w:t xml:space="preserve">regression:</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l</m:t>
          </m:r>
          <m:r>
            <m:t>e</m:t>
          </m:r>
          <m:r>
            <m:t>n</m:t>
          </m:r>
          <m:r>
            <m:t>g</m:t>
          </m:r>
          <m:r>
            <m:t>t</m:t>
          </m:r>
          <m:sSub>
            <m:e>
              <m:r>
                <m:t>h</m:t>
              </m:r>
            </m:e>
            <m:sub>
              <m:r>
                <m:t>i</m:t>
              </m:r>
            </m:sub>
          </m:sSub>
          <m:r>
            <m:t>+</m:t>
          </m:r>
          <m:sSub>
            <m:e>
              <m:r>
                <m:t>β</m:t>
              </m:r>
            </m:e>
            <m:sub>
              <m:r>
                <m:t>3</m:t>
              </m:r>
            </m:sub>
          </m:sSub>
          <m:r>
            <m:t>u</m:t>
          </m:r>
          <m:r>
            <m:t>n</m:t>
          </m:r>
          <m:r>
            <m:t>o</m:t>
          </m:r>
          <m:r>
            <m:t>p</m:t>
          </m:r>
          <m:r>
            <m:t>p</m:t>
          </m:r>
          <m:r>
            <m:t>o</m:t>
          </m:r>
          <m:r>
            <m:t>s</m:t>
          </m:r>
          <m:r>
            <m:t>e</m:t>
          </m:r>
          <m:sSub>
            <m:e>
              <m:r>
                <m:t>d</m:t>
              </m:r>
            </m:e>
            <m:sub>
              <m:r>
                <m:t>i</m:t>
              </m:r>
            </m:sub>
          </m:sSub>
          <m:r>
            <m:t>+</m:t>
          </m:r>
          <m:sSub>
            <m:e>
              <m:r>
                <m:t>β</m:t>
              </m:r>
            </m:e>
            <m:sub>
              <m:r>
                <m:t>4</m:t>
              </m:r>
            </m:sub>
          </m:sSub>
          <m:r>
            <m:t>s</m:t>
          </m:r>
          <m:r>
            <m:t>i</m:t>
          </m:r>
          <m:r>
            <m:t>z</m:t>
          </m:r>
          <m:sSub>
            <m:e>
              <m:r>
                <m:t>e</m:t>
              </m:r>
            </m:e>
            <m:sub>
              <m:r>
                <m:t>i</m:t>
              </m:r>
            </m:sub>
          </m:sSub>
          <m:r>
            <m:t>+</m:t>
          </m:r>
          <m:sSub>
            <m:e>
              <m:r>
                <m:t>β</m:t>
              </m:r>
            </m:e>
            <m:sub>
              <m:r>
                <m:t>5</m:t>
              </m:r>
            </m:sub>
          </m:sSub>
          <m:r>
            <m:t>b</m:t>
          </m:r>
          <m:r>
            <m:t>u</m:t>
          </m:r>
          <m:r>
            <m:t>s</m:t>
          </m:r>
          <m:r>
            <m:t>i</m:t>
          </m:r>
          <m:r>
            <m:t>n</m:t>
          </m:r>
          <m:r>
            <m:t>e</m:t>
          </m:r>
          <m:r>
            <m:t>s</m:t>
          </m:r>
          <m:sSub>
            <m:e>
              <m:r>
                <m:t>s</m:t>
              </m:r>
            </m:e>
            <m:sub>
              <m:r>
                <m:t>i</m:t>
              </m:r>
            </m:sub>
          </m:sSub>
          <m:r>
            <m:t>+</m:t>
          </m:r>
          <m:sSub>
            <m:e>
              <m:r>
                <m:t>ϵ</m:t>
              </m:r>
            </m:e>
            <m:sub>
              <m:r>
                <m:t>i</m:t>
              </m:r>
            </m:sub>
          </m:sSub>
        </m:oMath>
      </m:oMathPara>
    </w:p>
    <w:p>
      <w:pPr>
        <w:pStyle w:val="Heading3"/>
      </w:pPr>
      <w:bookmarkStart w:id="134" w:name="modeling-mediated-relationships"/>
      <w:r>
        <w:t xml:space="preserve">3.3.8	Modeling mediated relationships</w:t>
      </w:r>
      <w:bookmarkEnd w:id="134"/>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
        </w:rPr>
        <w:t xml:space="preserve">length</w:t>
      </w:r>
      <w:r>
        <w:t xml:space="preserve">,</w:t>
      </w:r>
      <w:r>
        <w:t xml:space="preserve"> </w:t>
      </w:r>
      <w:r>
        <w:rPr>
          <w:i/>
        </w:rPr>
        <w:t xml:space="preserve">unopposed</w:t>
      </w:r>
      <w:r>
        <w:t xml:space="preserve">,</w:t>
      </w:r>
      <w:r>
        <w:t xml:space="preserve"> </w:t>
      </w:r>
      <w:r>
        <w:rPr>
          <w:i/>
        </w:rPr>
        <w:t xml:space="preserve">size</w:t>
      </w:r>
      <w:r>
        <w:t xml:space="preserve">, and</w:t>
      </w:r>
      <w:r>
        <w:t xml:space="preserve"> </w:t>
      </w:r>
      <w:r>
        <w:rPr>
          <w:i/>
        </w:rPr>
        <w:t xml:space="preserve">business</w:t>
      </w:r>
      <w:r>
        <w:t xml:space="preserve">) and then the outcome as a combination of the mediator,</w:t>
      </w:r>
      <w:r>
        <w:t xml:space="preserve"> </w:t>
      </w:r>
      <w:r>
        <w:rPr>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r>
                <m:t>−</m:t>
              </m:r>
              <m:r>
                <m:t>n</m:t>
              </m:r>
            </m:sub>
          </m:sSub>
          <m:sSub>
            <m:e>
              <m:r>
                <m:t>X</m:t>
              </m:r>
            </m:e>
            <m:sub>
              <m:r>
                <m:t>i</m:t>
              </m:r>
            </m:sub>
          </m:sSub>
          <m: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3</m:t>
              </m:r>
              <m:r>
                <m:t>−</m:t>
              </m:r>
              <m:r>
                <m:t>n</m:t>
              </m:r>
            </m:sub>
          </m:sSub>
          <m:sSub>
            <m:e>
              <m:r>
                <m:t>X</m:t>
              </m:r>
            </m:e>
            <m:sub>
              <m:r>
                <m:t>i</m:t>
              </m:r>
            </m:sub>
          </m:sSub>
          <m:r>
            <m:t>+</m:t>
          </m:r>
          <m:sSub>
            <m:e>
              <m:r>
                <m:t>ϵ</m:t>
              </m:r>
            </m:e>
            <m:sub>
              <m:r>
                <m:t>i</m:t>
              </m:r>
            </m:sub>
          </m:sSub>
        </m:oMath>
      </m:oMathPara>
    </w:p>
    <w:p>
      <w:pPr>
        <w:pStyle w:val="Heading3"/>
      </w:pPr>
      <w:bookmarkStart w:id="135" w:name="X9dad55b8bdc23bf4fff055b9986eec589ac675c"/>
      <w:r>
        <w:t xml:space="preserve">3.3.9	A Census of Comments from Members of Congress in Agency Rulemaking</w:t>
      </w:r>
      <w:bookmarkEnd w:id="135"/>
    </w:p>
    <w:p>
      <w:pPr>
        <w:pStyle w:val="FirstParagraph"/>
      </w:pPr>
      <w:r>
        <w:t xml:space="preserve">Through an iterative combination of automated search methods and hand-coding, I identify the elected official or organization that submitted each comment.</w:t>
      </w:r>
    </w:p>
    <w:p>
      <w:pPr>
        <w:pStyle w:val="BodyText"/>
      </w:pPr>
      <w:r>
        <w:t xml:space="preserve">Figure</w:t>
      </w:r>
      <w:r>
        <w:t xml:space="preserve"> </w:t>
      </w:r>
      <w:r>
        <w:t xml:space="preserve">3.2</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2: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36"/>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3.2: Number of Letters from Members of Congress Received During Rulemaking per Year</w:t>
      </w:r>
    </w:p>
    <w:p>
      <w:pPr>
        <w:pStyle w:val="BodyText"/>
      </w:pPr>
      <w:r>
        <w:t xml:space="preserve">To assess the hypothesis that mass engagement affects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hyperlink w:anchor="fig:causal-principals-test">
        <m:oMathPara>
          <m:oMathParaPr>
            <m:jc m:val="center"/>
          </m:oMathParaPr>
          <m:oMath>
            <m:r>
              <m:t>f</m:t>
            </m:r>
            <m:r>
              <m:t>i</m:t>
            </m:r>
            <m:r>
              <m:t>g</m:t>
            </m:r>
            <m:r>
              <m:t>:</m:t>
            </m:r>
            <m:r>
              <m:t>c</m:t>
            </m:r>
            <m:r>
              <m:t>a</m:t>
            </m:r>
            <m:r>
              <m:t>u</m:t>
            </m:r>
            <m:r>
              <m:t>s</m:t>
            </m:r>
            <m:r>
              <m:t>a</m:t>
            </m:r>
            <m:r>
              <m:t>l</m:t>
            </m:r>
            <m:r>
              <m:t>−</m:t>
            </m:r>
            <m:r>
              <m:t>p</m:t>
            </m:r>
            <m:r>
              <m:t>r</m:t>
            </m:r>
            <m:r>
              <m:t>i</m:t>
            </m:r>
            <m:r>
              <m:t>n</m:t>
            </m:r>
            <m:r>
              <m:t>c</m:t>
            </m:r>
            <m:r>
              <m:t>i</m:t>
            </m:r>
            <m:r>
              <m:t>p</m:t>
            </m:r>
            <m:r>
              <m:t>a</m:t>
            </m:r>
            <m:r>
              <m:t>l</m:t>
            </m:r>
            <m:r>
              <m:t>s</m:t>
            </m:r>
            <m:r>
              <m:t>−</m:t>
            </m:r>
            <m:r>
              <m:t>t</m:t>
            </m:r>
            <m:r>
              <m:t>e</m:t>
            </m:r>
            <m:r>
              <m:t>s</m:t>
            </m:r>
            <m:r>
              <m:t>t</m:t>
            </m:r>
          </m:oMath>
        </m:oMathPara>
      </w:hyperlink>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3: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37"/>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3.3: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p>
      <w:pPr>
        <w:pStyle w:val="Heading3"/>
      </w:pPr>
      <w:bookmarkStart w:id="138" w:name="X8af8b91adbbff91858bc367bca7d07a7f38dd8d"/>
      <w:r>
        <w:t xml:space="preserve">3.3.10	Models testing the relationship between mass engagement and congressional oversight</w:t>
      </w:r>
      <w:bookmarkEnd w:id="138"/>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
        </w:rPr>
        <w:t xml:space="preserve"> </w:t>
      </w:r>
      <w:r>
        <w:rPr>
          <w:i/>
        </w:rPr>
        <w:t xml:space="preserve">= Total comments from Congress</w:t>
      </w:r>
      <w:r>
        <w:t xml:space="preserve"> </w:t>
      </w:r>
      <m:oMath>
        <m: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t>∼</m:t>
                </m:r>
                <m:sSub>
                  <m:e>
                    <m:r>
                      <m:t>β</m:t>
                    </m:r>
                  </m:e>
                  <m:sub>
                    <m:r>
                      <m:t>0</m:t>
                    </m:r>
                  </m:sub>
                </m:sSub>
                <m: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
        </w:rPr>
        <w:t xml:space="preserve">Total comments from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
        </w:rPr>
        <w:t xml:space="preserve">Share of Members of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z</m:t>
                    </m:r>
                  </m:e>
                  <m:sub>
                    <m:r>
                      <m:t>i</m:t>
                    </m:r>
                  </m:sub>
                </m:sSub>
              </m:e>
            </m:mr>
          </m:m>
        </m:oMath>
      </m:oMathPara>
    </w:p>
    <w:p>
      <w:pPr>
        <w:pStyle w:val="FirstParagraph"/>
      </w:pPr>
    </w:p>
    <w:p>
      <w:pPr>
        <w:pStyle w:val="Heading2"/>
      </w:pPr>
      <w:bookmarkStart w:id="139" w:name="influence-results-sim"/>
      <w:r>
        <w:t xml:space="preserve">3.4	Results (SIMULATED)</w:t>
      </w:r>
      <w:bookmarkEnd w:id="139"/>
    </w:p>
    <w:p>
      <w:pPr>
        <w:pStyle w:val="BlockText"/>
      </w:pPr>
      <w:r>
        <w:t xml:space="preserve">SIMULATED DATA AND RESULTS FROM PREANALYSIS PLAN WILL BE MOVED TO AN APPENDIX</w:t>
      </w:r>
    </w:p>
    <w:p>
      <w:pPr>
        <w:pStyle w:val="Heading3"/>
      </w:pPr>
      <w:bookmarkStart w:id="140" w:name="simulated-data"/>
      <w:r>
        <w:t xml:space="preserve">3.4.1	Simulated Data</w:t>
      </w:r>
      <w:bookmarkEnd w:id="140"/>
    </w:p>
    <w:p>
      <w:pPr>
        <w:pStyle w:val="FirstParagraph"/>
      </w:pPr>
      <w:r>
        <w:t xml:space="preserve">To illustrate my planned analysis, I simulate data for each variable described above.</w:t>
      </w:r>
    </w:p>
    <w:p>
      <w:pPr>
        <w:pStyle w:val="BodyText"/>
      </w:pPr>
      <w:r>
        <w:rPr>
          <w:b/>
        </w:rPr>
        <w:t xml:space="preserve">Dependent variable:</w:t>
      </w:r>
      <w:r>
        <w:t xml:space="preserve"> </w:t>
      </w:r>
      <w:r>
        <w:rPr>
          <w:i/>
        </w:rPr>
        <w:t xml:space="preserve">Coalition success</w:t>
      </w:r>
      <w:r>
        <w:t xml:space="preserve"> </w:t>
      </w:r>
      <w:r>
        <w:t xml:space="preserve">is drawn from a descrete distribution {-1, -.5, 0, .5, 1}.</w:t>
      </w:r>
    </w:p>
    <w:p>
      <w:pPr>
        <w:pStyle w:val="BodyText"/>
      </w:pPr>
      <w:r>
        <w:rPr>
          <w:b/>
        </w:rPr>
        <w:t xml:space="preserve">Explanatory variables:</w:t>
      </w:r>
      <w:r>
        <w:t xml:space="preserve"> </w:t>
      </w:r>
      <w:r>
        <w:rPr>
          <w:i/>
        </w:rPr>
        <w:t xml:space="preserve">Coalition size</w:t>
      </w:r>
      <w:r>
        <w:t xml:space="preserve"> </w:t>
      </w:r>
      <w:r>
        <w:t xml:space="preserve">(a count) is drawn from a Poisson distribution.</w:t>
      </w:r>
      <w:r>
        <w:t xml:space="preserve"> </w:t>
      </w:r>
      <w:r>
        <w:rPr>
          <w:i/>
        </w:rPr>
        <w:t xml:space="preserve">Business colation</w:t>
      </w:r>
      <w:r>
        <w:t xml:space="preserve"> </w:t>
      </w:r>
      <w:r>
        <w:t xml:space="preserve">is binomial. In reality, business coalitions are more common than non-business coalitions, but here I estimate a balanced sample. I set rule pages constant at 85 and draw</w:t>
      </w:r>
      <w:r>
        <w:t xml:space="preserve"> </w:t>
      </w:r>
      <w:r>
        <w:rPr>
          <w:i/>
        </w:rPr>
        <w:t xml:space="preserve">comment lengths</w:t>
      </w:r>
      <w:r>
        <w:t xml:space="preserve"> </w:t>
      </w:r>
      <w:r>
        <w:t xml:space="preserve">from a Poisson distribution. While in reality, less than one percent of coalitions lobbying in rulemaking opt for a mass-comment campaign, I aim to gather a balanced sample, so half of the simulated data are assumed to have no mass comment campaign (</w:t>
      </w:r>
      <w:r>
        <w:rPr>
          <w:i/>
        </w:rPr>
        <w:t xml:space="preserve">comments</w:t>
      </w:r>
      <w:r>
        <w:t xml:space="preserve"> </w:t>
      </w:r>
      <w:r>
        <w:t xml:space="preserve">= 1,</w:t>
      </w:r>
      <w:r>
        <w:t xml:space="preserve"> </w:t>
      </w:r>
      <w:r>
        <w:rPr>
          <w:i/>
        </w:rPr>
        <w:t xml:space="preserve">log(comments)</w:t>
      </w:r>
      <w:r>
        <w:t xml:space="preserve"> </w:t>
      </w:r>
      <w:r>
        <w:t xml:space="preserve">= 0) and the other half have a number of</w:t>
      </w:r>
      <w:r>
        <w:t xml:space="preserve"> </w:t>
      </w:r>
      <w:r>
        <w:rPr>
          <w:i/>
        </w:rPr>
        <w:t xml:space="preserve">comments</w:t>
      </w:r>
      <w:r>
        <w:t xml:space="preserve"> </w:t>
      </w:r>
      <w:r>
        <w:t xml:space="preserve">drawn from a Zero-Truncated Poisson distribution, which is then transformed to a log scale.</w:t>
      </w:r>
    </w:p>
    <w:p>
      <w:pPr>
        <w:pStyle w:val="BodyText"/>
      </w:pPr>
      <w:r>
        <w:t xml:space="preserve">Table</w:t>
      </w:r>
      <w:r>
        <w:t xml:space="preserve"> </w:t>
      </w:r>
      <w:r>
        <w:t xml:space="preserve">3.1</w:t>
      </w:r>
      <w:r>
        <w:t xml:space="preserve"> </w:t>
      </w:r>
      <w:r>
        <w:t xml:space="preserve">shows ten rows of simulated data.</w:t>
      </w:r>
    </w:p>
    <w:p>
      <w:pPr>
        <w:pStyle w:val="BodyText"/>
      </w:pPr>
      <w:r>
        <w:t xml:space="preserve">Table 3.1: Simulated data</w:t>
      </w:r>
    </w:p>
    <w:p>
      <w:pPr>
        <w:pStyle w:val="BodyText"/>
      </w:pPr>
      <w:r>
        <w:t xml:space="preserve">rule_id</w:t>
      </w:r>
    </w:p>
    <w:p>
      <w:pPr>
        <w:pStyle w:val="BodyText"/>
      </w:pPr>
      <w:r>
        <w:t xml:space="preserve">coalition_id</w:t>
      </w:r>
    </w:p>
    <w:p>
      <w:pPr>
        <w:pStyle w:val="BodyText"/>
      </w:pPr>
      <w:r>
        <w:t xml:space="preserve">coalitions</w:t>
      </w:r>
    </w:p>
    <w:p>
      <w:pPr>
        <w:pStyle w:val="BodyText"/>
      </w:pPr>
      <w:r>
        <w:t xml:space="preserve">coalition_unopposed</w:t>
      </w:r>
    </w:p>
    <w:p>
      <w:pPr>
        <w:pStyle w:val="BodyText"/>
      </w:pPr>
      <w:r>
        <w:t xml:space="preserve">coalition_success</w:t>
      </w:r>
    </w:p>
    <w:p>
      <w:pPr>
        <w:pStyle w:val="BodyText"/>
      </w:pPr>
      <w:r>
        <w:t xml:space="preserve">coalition_size</w:t>
      </w:r>
    </w:p>
    <w:p>
      <w:pPr>
        <w:pStyle w:val="BodyText"/>
      </w:pPr>
      <w:r>
        <w:t xml:space="preserve">coalition_business</w:t>
      </w:r>
    </w:p>
    <w:p>
      <w:pPr>
        <w:pStyle w:val="BodyText"/>
      </w:pPr>
      <w:r>
        <w:t xml:space="preserve">comment_length</w:t>
      </w:r>
    </w:p>
    <w:p>
      <w:pPr>
        <w:pStyle w:val="BodyText"/>
      </w:pPr>
      <w:r>
        <w:t xml:space="preserve">comments</w:t>
      </w:r>
    </w:p>
    <w:p>
      <w:pPr>
        <w:pStyle w:val="BodyText"/>
      </w:pPr>
      <w:r>
        <w:t xml:space="preserve">cong_support</w:t>
      </w:r>
    </w:p>
    <w:p>
      <w:pPr>
        <w:pStyle w:val="BodyText"/>
      </w:pPr>
      <w:r>
        <w:t xml:space="preserve">723</w:t>
      </w:r>
    </w:p>
    <w:p>
      <w:pPr>
        <w:pStyle w:val="BodyText"/>
      </w:pPr>
      <w:r>
        <w:t xml:space="preserve">27</w:t>
      </w:r>
    </w:p>
    <w:p>
      <w:pPr>
        <w:pStyle w:val="BodyText"/>
      </w:pPr>
      <w:r>
        <w:t xml:space="preserve">1</w:t>
      </w:r>
    </w:p>
    <w:p>
      <w:pPr>
        <w:pStyle w:val="BodyText"/>
      </w:pPr>
      <w:r>
        <w:t xml:space="preserve">0</w:t>
      </w:r>
    </w:p>
    <w:p>
      <w:pPr>
        <w:pStyle w:val="BodyText"/>
      </w:pPr>
      <w:r>
        <w:t xml:space="preserve">-1.0</w:t>
      </w:r>
    </w:p>
    <w:p>
      <w:pPr>
        <w:pStyle w:val="BodyText"/>
      </w:pPr>
      <w:r>
        <w:t xml:space="preserve">4</w:t>
      </w:r>
    </w:p>
    <w:p>
      <w:pPr>
        <w:pStyle w:val="BodyText"/>
      </w:pPr>
      <w:r>
        <w:t xml:space="preserve">1</w:t>
      </w:r>
    </w:p>
    <w:p>
      <w:pPr>
        <w:pStyle w:val="BodyText"/>
      </w:pPr>
      <w:r>
        <w:t xml:space="preserve">12.9</w:t>
      </w:r>
    </w:p>
    <w:p>
      <w:pPr>
        <w:pStyle w:val="BodyText"/>
      </w:pPr>
      <w:r>
        <w:t xml:space="preserve">159014</w:t>
      </w:r>
    </w:p>
    <w:p>
      <w:pPr>
        <w:pStyle w:val="BodyText"/>
      </w:pPr>
      <w:r>
        <w:t xml:space="preserve">0</w:t>
      </w:r>
    </w:p>
    <w:p>
      <w:pPr>
        <w:pStyle w:val="BodyText"/>
      </w:pPr>
      <w:r>
        <w:t xml:space="preserve">1096</w:t>
      </w:r>
    </w:p>
    <w:p>
      <w:pPr>
        <w:pStyle w:val="BodyText"/>
      </w:pPr>
      <w:r>
        <w:t xml:space="preserve">4</w:t>
      </w:r>
    </w:p>
    <w:p>
      <w:pPr>
        <w:pStyle w:val="BodyText"/>
      </w:pPr>
      <w:r>
        <w:t xml:space="preserve">2</w:t>
      </w:r>
    </w:p>
    <w:p>
      <w:pPr>
        <w:pStyle w:val="BodyText"/>
      </w:pPr>
      <w:r>
        <w:t xml:space="preserve">1</w:t>
      </w:r>
    </w:p>
    <w:p>
      <w:pPr>
        <w:pStyle w:val="BodyText"/>
      </w:pPr>
      <w:r>
        <w:t xml:space="preserve">0.5</w:t>
      </w:r>
    </w:p>
    <w:p>
      <w:pPr>
        <w:pStyle w:val="BodyText"/>
      </w:pPr>
      <w:r>
        <w:t xml:space="preserve">21</w:t>
      </w:r>
    </w:p>
    <w:p>
      <w:pPr>
        <w:pStyle w:val="BodyText"/>
      </w:pPr>
      <w:r>
        <w:t xml:space="preserve">1</w:t>
      </w:r>
    </w:p>
    <w:p>
      <w:pPr>
        <w:pStyle w:val="BodyText"/>
      </w:pPr>
      <w:r>
        <w:t xml:space="preserve">14.1</w:t>
      </w:r>
    </w:p>
    <w:p>
      <w:pPr>
        <w:pStyle w:val="BodyText"/>
      </w:pPr>
      <w:r>
        <w:t xml:space="preserve">72850</w:t>
      </w:r>
    </w:p>
    <w:p>
      <w:pPr>
        <w:pStyle w:val="BodyText"/>
      </w:pPr>
      <w:r>
        <w:t xml:space="preserve">13</w:t>
      </w:r>
    </w:p>
    <w:p>
      <w:pPr>
        <w:pStyle w:val="BodyText"/>
      </w:pPr>
      <w:r>
        <w:t xml:space="preserve">1220</w:t>
      </w:r>
    </w:p>
    <w:p>
      <w:pPr>
        <w:pStyle w:val="BodyText"/>
      </w:pPr>
      <w:r>
        <w:t xml:space="preserve">1503</w:t>
      </w:r>
    </w:p>
    <w:p>
      <w:pPr>
        <w:pStyle w:val="BodyText"/>
      </w:pPr>
      <w:r>
        <w:t xml:space="preserve">2</w:t>
      </w:r>
    </w:p>
    <w:p>
      <w:pPr>
        <w:pStyle w:val="BodyText"/>
      </w:pPr>
      <w:r>
        <w:t xml:space="preserve">1</w:t>
      </w:r>
    </w:p>
    <w:p>
      <w:pPr>
        <w:pStyle w:val="BodyText"/>
      </w:pPr>
      <w:r>
        <w:t xml:space="preserve">0.5</w:t>
      </w:r>
    </w:p>
    <w:p>
      <w:pPr>
        <w:pStyle w:val="BodyText"/>
      </w:pPr>
      <w:r>
        <w:t xml:space="preserve">2</w:t>
      </w:r>
    </w:p>
    <w:p>
      <w:pPr>
        <w:pStyle w:val="BodyText"/>
      </w:pPr>
      <w:r>
        <w:t xml:space="preserve">1</w:t>
      </w:r>
    </w:p>
    <w:p>
      <w:pPr>
        <w:pStyle w:val="BodyText"/>
      </w:pPr>
      <w:r>
        <w:t xml:space="preserve">14.1</w:t>
      </w:r>
    </w:p>
    <w:p>
      <w:pPr>
        <w:pStyle w:val="BodyText"/>
      </w:pPr>
      <w:r>
        <w:t xml:space="preserve">1</w:t>
      </w:r>
    </w:p>
    <w:p>
      <w:pPr>
        <w:pStyle w:val="BodyText"/>
      </w:pPr>
      <w:r>
        <w:t xml:space="preserve">0</w:t>
      </w:r>
    </w:p>
    <w:p>
      <w:pPr>
        <w:pStyle w:val="BodyText"/>
      </w:pPr>
      <w:r>
        <w:t xml:space="preserve">1374</w:t>
      </w:r>
    </w:p>
    <w:p>
      <w:pPr>
        <w:pStyle w:val="BodyText"/>
      </w:pPr>
      <w:r>
        <w:t xml:space="preserve">1124</w:t>
      </w:r>
    </w:p>
    <w:p>
      <w:pPr>
        <w:pStyle w:val="BodyText"/>
      </w:pPr>
      <w:r>
        <w:t xml:space="preserve">2</w:t>
      </w:r>
    </w:p>
    <w:p>
      <w:pPr>
        <w:pStyle w:val="BodyText"/>
      </w:pPr>
      <w:r>
        <w:t xml:space="preserve">1</w:t>
      </w:r>
    </w:p>
    <w:p>
      <w:pPr>
        <w:pStyle w:val="BodyText"/>
      </w:pPr>
      <w:r>
        <w:t xml:space="preserve">0.5</w:t>
      </w:r>
    </w:p>
    <w:p>
      <w:pPr>
        <w:pStyle w:val="BodyText"/>
      </w:pPr>
      <w:r>
        <w:t xml:space="preserve">12</w:t>
      </w:r>
    </w:p>
    <w:p>
      <w:pPr>
        <w:pStyle w:val="BodyText"/>
      </w:pPr>
      <w:r>
        <w:t xml:space="preserve">1</w:t>
      </w:r>
    </w:p>
    <w:p>
      <w:pPr>
        <w:pStyle w:val="BodyText"/>
      </w:pPr>
      <w:r>
        <w:t xml:space="preserve">9.4</w:t>
      </w:r>
    </w:p>
    <w:p>
      <w:pPr>
        <w:pStyle w:val="BodyText"/>
      </w:pPr>
      <w:r>
        <w:t xml:space="preserve">1</w:t>
      </w:r>
    </w:p>
    <w:p>
      <w:pPr>
        <w:pStyle w:val="BodyText"/>
      </w:pPr>
      <w:r>
        <w:t xml:space="preserve">0</w:t>
      </w:r>
    </w:p>
    <w:p>
      <w:pPr>
        <w:pStyle w:val="BodyText"/>
      </w:pPr>
      <w:r>
        <w:t xml:space="preserve">752</w:t>
      </w:r>
    </w:p>
    <w:p>
      <w:pPr>
        <w:pStyle w:val="BodyText"/>
      </w:pPr>
      <w:r>
        <w:t xml:space="preserve">768</w:t>
      </w:r>
    </w:p>
    <w:p>
      <w:pPr>
        <w:pStyle w:val="BodyText"/>
      </w:pPr>
      <w:r>
        <w:t xml:space="preserve">1</w:t>
      </w:r>
    </w:p>
    <w:p>
      <w:pPr>
        <w:pStyle w:val="BodyText"/>
      </w:pPr>
      <w:r>
        <w:t xml:space="preserve">0</w:t>
      </w:r>
    </w:p>
    <w:p>
      <w:pPr>
        <w:pStyle w:val="BodyText"/>
      </w:pPr>
      <w:r>
        <w:t xml:space="preserve">1.0</w:t>
      </w:r>
    </w:p>
    <w:p>
      <w:pPr>
        <w:pStyle w:val="BodyText"/>
      </w:pPr>
      <w:r>
        <w:t xml:space="preserve">26</w:t>
      </w:r>
    </w:p>
    <w:p>
      <w:pPr>
        <w:pStyle w:val="BodyText"/>
      </w:pPr>
      <w:r>
        <w:t xml:space="preserve">0</w:t>
      </w:r>
    </w:p>
    <w:p>
      <w:pPr>
        <w:pStyle w:val="BodyText"/>
      </w:pPr>
      <w:r>
        <w:t xml:space="preserve">5.9</w:t>
      </w:r>
    </w:p>
    <w:p>
      <w:pPr>
        <w:pStyle w:val="BodyText"/>
      </w:pPr>
      <w:r>
        <w:t xml:space="preserve">1</w:t>
      </w:r>
    </w:p>
    <w:p>
      <w:pPr>
        <w:pStyle w:val="BodyText"/>
      </w:pPr>
      <w:r>
        <w:t xml:space="preserve">5</w:t>
      </w:r>
    </w:p>
    <w:p>
      <w:pPr>
        <w:pStyle w:val="BodyText"/>
      </w:pPr>
      <w:r>
        <w:t xml:space="preserve">356</w:t>
      </w:r>
    </w:p>
    <w:p>
      <w:pPr>
        <w:pStyle w:val="BodyText"/>
      </w:pPr>
      <w:r>
        <w:t xml:space="preserve">1429</w:t>
      </w:r>
    </w:p>
    <w:p>
      <w:pPr>
        <w:pStyle w:val="BodyText"/>
      </w:pPr>
      <w:r>
        <w:t xml:space="preserve">1</w:t>
      </w:r>
    </w:p>
    <w:p>
      <w:pPr>
        <w:pStyle w:val="BodyText"/>
      </w:pPr>
      <w:r>
        <w:t xml:space="preserve">0</w:t>
      </w:r>
    </w:p>
    <w:p>
      <w:pPr>
        <w:pStyle w:val="BodyText"/>
      </w:pPr>
      <w:r>
        <w:t xml:space="preserve">-0.5</w:t>
      </w:r>
    </w:p>
    <w:p>
      <w:pPr>
        <w:pStyle w:val="BodyText"/>
      </w:pPr>
      <w:r>
        <w:t xml:space="preserve">34</w:t>
      </w:r>
    </w:p>
    <w:p>
      <w:pPr>
        <w:pStyle w:val="BodyText"/>
      </w:pPr>
      <w:r>
        <w:t xml:space="preserve">1</w:t>
      </w:r>
    </w:p>
    <w:p>
      <w:pPr>
        <w:pStyle w:val="BodyText"/>
      </w:pPr>
      <w:r>
        <w:t xml:space="preserve">12.9</w:t>
      </w:r>
    </w:p>
    <w:p>
      <w:pPr>
        <w:pStyle w:val="BodyText"/>
      </w:pPr>
      <w:r>
        <w:t xml:space="preserve">88640</w:t>
      </w:r>
    </w:p>
    <w:p>
      <w:pPr>
        <w:pStyle w:val="BodyText"/>
      </w:pPr>
      <w:r>
        <w:t xml:space="preserve">0</w:t>
      </w:r>
    </w:p>
    <w:p>
      <w:pPr>
        <w:pStyle w:val="BodyText"/>
      </w:pPr>
      <w:r>
        <w:t xml:space="preserve">490</w:t>
      </w:r>
    </w:p>
    <w:p>
      <w:pPr>
        <w:pStyle w:val="BodyText"/>
      </w:pPr>
      <w:r>
        <w:t xml:space="preserve">530</w:t>
      </w:r>
    </w:p>
    <w:p>
      <w:pPr>
        <w:pStyle w:val="BodyText"/>
      </w:pPr>
      <w:r>
        <w:t xml:space="preserve">1</w:t>
      </w:r>
    </w:p>
    <w:p>
      <w:pPr>
        <w:pStyle w:val="BodyText"/>
      </w:pPr>
      <w:r>
        <w:t xml:space="preserve">0</w:t>
      </w:r>
    </w:p>
    <w:p>
      <w:pPr>
        <w:pStyle w:val="BodyText"/>
      </w:pPr>
      <w:r>
        <w:t xml:space="preserve">0.5</w:t>
      </w:r>
    </w:p>
    <w:p>
      <w:pPr>
        <w:pStyle w:val="BodyText"/>
      </w:pPr>
      <w:r>
        <w:t xml:space="preserve">2</w:t>
      </w:r>
    </w:p>
    <w:p>
      <w:pPr>
        <w:pStyle w:val="BodyText"/>
      </w:pPr>
      <w:r>
        <w:t xml:space="preserve">0</w:t>
      </w:r>
    </w:p>
    <w:p>
      <w:pPr>
        <w:pStyle w:val="BodyText"/>
      </w:pPr>
      <w:r>
        <w:t xml:space="preserve">5.9</w:t>
      </w:r>
    </w:p>
    <w:p>
      <w:pPr>
        <w:pStyle w:val="BodyText"/>
      </w:pPr>
      <w:r>
        <w:t xml:space="preserve">1</w:t>
      </w:r>
    </w:p>
    <w:p>
      <w:pPr>
        <w:pStyle w:val="BodyText"/>
      </w:pPr>
      <w:r>
        <w:t xml:space="preserve">0</w:t>
      </w:r>
    </w:p>
    <w:p>
      <w:pPr>
        <w:pStyle w:val="BodyText"/>
      </w:pPr>
      <w:r>
        <w:t xml:space="preserve">452</w:t>
      </w:r>
    </w:p>
    <w:p>
      <w:pPr>
        <w:pStyle w:val="BodyText"/>
      </w:pPr>
      <w:r>
        <w:t xml:space="preserve">54</w:t>
      </w:r>
    </w:p>
    <w:p>
      <w:pPr>
        <w:pStyle w:val="BodyText"/>
      </w:pPr>
      <w:r>
        <w:t xml:space="preserve">1</w:t>
      </w:r>
    </w:p>
    <w:p>
      <w:pPr>
        <w:pStyle w:val="BodyText"/>
      </w:pPr>
      <w:r>
        <w:t xml:space="preserve">0</w:t>
      </w:r>
    </w:p>
    <w:p>
      <w:pPr>
        <w:pStyle w:val="BodyText"/>
      </w:pPr>
      <w:r>
        <w:t xml:space="preserve">0.5</w:t>
      </w:r>
    </w:p>
    <w:p>
      <w:pPr>
        <w:pStyle w:val="BodyText"/>
      </w:pPr>
      <w:r>
        <w:t xml:space="preserve">15</w:t>
      </w:r>
    </w:p>
    <w:p>
      <w:pPr>
        <w:pStyle w:val="BodyText"/>
      </w:pPr>
      <w:r>
        <w:t xml:space="preserve">0</w:t>
      </w:r>
    </w:p>
    <w:p>
      <w:pPr>
        <w:pStyle w:val="BodyText"/>
      </w:pPr>
      <w:r>
        <w:t xml:space="preserve">11.8</w:t>
      </w:r>
    </w:p>
    <w:p>
      <w:pPr>
        <w:pStyle w:val="BodyText"/>
      </w:pPr>
      <w:r>
        <w:t xml:space="preserve">123667</w:t>
      </w:r>
    </w:p>
    <w:p>
      <w:pPr>
        <w:pStyle w:val="BodyText"/>
      </w:pPr>
      <w:r>
        <w:t xml:space="preserve">3</w:t>
      </w:r>
    </w:p>
    <w:p>
      <w:pPr>
        <w:pStyle w:val="BodyText"/>
      </w:pPr>
      <w:r>
        <w:t xml:space="preserve">1400</w:t>
      </w:r>
    </w:p>
    <w:p>
      <w:pPr>
        <w:pStyle w:val="BodyText"/>
      </w:pPr>
      <w:r>
        <w:t xml:space="preserve">400</w:t>
      </w:r>
    </w:p>
    <w:p>
      <w:pPr>
        <w:pStyle w:val="BodyText"/>
      </w:pPr>
      <w:r>
        <w:t xml:space="preserve">2</w:t>
      </w:r>
    </w:p>
    <w:p>
      <w:pPr>
        <w:pStyle w:val="BodyText"/>
      </w:pPr>
      <w:r>
        <w:t xml:space="preserve">1</w:t>
      </w:r>
    </w:p>
    <w:p>
      <w:pPr>
        <w:pStyle w:val="BodyText"/>
      </w:pPr>
      <w:r>
        <w:t xml:space="preserve">1.0</w:t>
      </w:r>
    </w:p>
    <w:p>
      <w:pPr>
        <w:pStyle w:val="BodyText"/>
      </w:pPr>
      <w:r>
        <w:t xml:space="preserve">1</w:t>
      </w:r>
    </w:p>
    <w:p>
      <w:pPr>
        <w:pStyle w:val="BodyText"/>
      </w:pPr>
      <w:r>
        <w:t xml:space="preserve">0</w:t>
      </w:r>
    </w:p>
    <w:p>
      <w:pPr>
        <w:pStyle w:val="BodyText"/>
      </w:pPr>
      <w:r>
        <w:t xml:space="preserve">18.8</w:t>
      </w:r>
    </w:p>
    <w:p>
      <w:pPr>
        <w:pStyle w:val="BodyText"/>
      </w:pPr>
      <w:r>
        <w:t xml:space="preserve">149570</w:t>
      </w:r>
    </w:p>
    <w:p>
      <w:pPr>
        <w:pStyle w:val="BodyText"/>
      </w:pPr>
      <w:r>
        <w:t xml:space="preserve">4</w:t>
      </w:r>
    </w:p>
    <w:p>
      <w:pPr>
        <w:pStyle w:val="BodyText"/>
      </w:pPr>
      <w:r>
        <w:t xml:space="preserve">1500</w:t>
      </w:r>
    </w:p>
    <w:p>
      <w:pPr>
        <w:pStyle w:val="BodyText"/>
      </w:pPr>
      <w:r>
        <w:t xml:space="preserve">1186</w:t>
      </w:r>
    </w:p>
    <w:p>
      <w:pPr>
        <w:pStyle w:val="BodyText"/>
      </w:pPr>
      <w:r>
        <w:t xml:space="preserve">2</w:t>
      </w:r>
    </w:p>
    <w:p>
      <w:pPr>
        <w:pStyle w:val="BodyText"/>
      </w:pPr>
      <w:r>
        <w:t xml:space="preserve">1</w:t>
      </w:r>
    </w:p>
    <w:p>
      <w:pPr>
        <w:pStyle w:val="BodyText"/>
      </w:pPr>
      <w:r>
        <w:t xml:space="preserve">0.5</w:t>
      </w:r>
    </w:p>
    <w:p>
      <w:pPr>
        <w:pStyle w:val="BodyText"/>
      </w:pPr>
      <w:r>
        <w:t xml:space="preserve">19</w:t>
      </w:r>
    </w:p>
    <w:p>
      <w:pPr>
        <w:pStyle w:val="BodyText"/>
      </w:pPr>
      <w:r>
        <w:t xml:space="preserve">0</w:t>
      </w:r>
    </w:p>
    <w:p>
      <w:pPr>
        <w:pStyle w:val="BodyText"/>
      </w:pPr>
      <w:r>
        <w:t xml:space="preserve">11.8</w:t>
      </w:r>
    </w:p>
    <w:p>
      <w:pPr>
        <w:pStyle w:val="BodyText"/>
      </w:pPr>
      <w:r>
        <w:t xml:space="preserve">1</w:t>
      </w:r>
    </w:p>
    <w:p>
      <w:pPr>
        <w:pStyle w:val="BodyText"/>
      </w:pPr>
      <w:r>
        <w:t xml:space="preserve">8</w:t>
      </w:r>
    </w:p>
    <w:p>
      <w:pPr>
        <w:pStyle w:val="BodyText"/>
      </w:pPr>
      <w:r>
        <w:drawing>
          <wp:inline>
            <wp:extent cx="5334000" cy="5334000"/>
            <wp:effectExtent b="0" l="0" r="0" t="0"/>
            <wp:docPr descr="" title="" id="1" name="Picture"/>
            <a:graphic>
              <a:graphicData uri="http://schemas.openxmlformats.org/drawingml/2006/picture">
                <pic:pic>
                  <pic:nvPicPr>
                    <pic:cNvPr descr="figs/hist-coalitions-sim-1.png" id="0" name="Picture"/>
                    <pic:cNvPicPr>
                      <a:picLocks noChangeArrowheads="1" noChangeAspect="1"/>
                    </pic:cNvPicPr>
                  </pic:nvPicPr>
                  <pic:blipFill>
                    <a:blip r:embed="rId14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s/hist-coalitions-sim-2.png" id="0" name="Picture"/>
                    <pic:cNvPicPr>
                      <a:picLocks noChangeArrowheads="1" noChangeAspect="1"/>
                    </pic:cNvPicPr>
                  </pic:nvPicPr>
                  <pic:blipFill>
                    <a:blip r:embed="rId14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s/hist-coalitions-sim-3.png" id="0" name="Picture"/>
                    <pic:cNvPicPr>
                      <a:picLocks noChangeArrowheads="1" noChangeAspect="1"/>
                    </pic:cNvPicPr>
                  </pic:nvPicPr>
                  <pic:blipFill>
                    <a:blip r:embed="rId1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figs/hist-comments-sim-1.png" id="0"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figs/hist-comments-sim-2.png" id="0" name="Picture"/>
                    <pic:cNvPicPr>
                      <a:picLocks noChangeArrowheads="1" noChangeAspect="1"/>
                    </pic:cNvPicPr>
                  </pic:nvPicPr>
                  <pic:blipFill>
                    <a:blip r:embed="rId145"/>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146" w:name="simulated-results"/>
      <w:r>
        <w:t xml:space="preserve">3.4.2	Simulated Results</w:t>
      </w:r>
      <w:bookmarkEnd w:id="146"/>
    </w:p>
    <w:p>
      <w:pPr>
        <w:pStyle w:val="FirstParagraph"/>
      </w:pPr>
      <w:r>
        <w:t xml:space="preserve">Unsurprisingly this model yields no significant results (Figure</w:t>
      </w:r>
      <w:r>
        <w:t xml:space="preserve"> </w:t>
      </w:r>
      <w:r>
        <w:t xml:space="preserve">3.4</w:t>
      </w:r>
      <w:r>
        <w:t xml:space="preserve">, Table</w:t>
      </w:r>
      <w:r>
        <w:t xml:space="preserve"> </w:t>
      </w:r>
      <w:r>
        <w:t xml:space="preserve">3.2</w:t>
      </w:r>
      <w:r>
        <w:t xml:space="preserve">).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4: OLS model of coalition lobbying sucess with simulated data" title="" id="1" name="Picture"/>
            <a:graphic>
              <a:graphicData uri="http://schemas.openxmlformats.org/drawingml/2006/picture">
                <pic:pic>
                  <pic:nvPicPr>
                    <pic:cNvPr descr="figs/model-success-plot-sim-1.png" id="0" name="Picture"/>
                    <pic:cNvPicPr>
                      <a:picLocks noChangeArrowheads="1" noChangeAspect="1"/>
                    </pic:cNvPicPr>
                  </pic:nvPicPr>
                  <pic:blipFill>
                    <a:blip r:embed="rId147"/>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3.4: OLS model of coalition lobbying sucess with simulated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3.2</w:t>
      </w:r>
      <w:r>
        <w:t xml:space="preserve"> </w:t>
      </w:r>
      <w:r>
        <w:t xml:space="preserve">replaces the dependent varible (lobbying success) with the mediator variable (the number of supportive members of Congress).</w:t>
      </w:r>
    </w:p>
    <w:p>
      <w:pPr>
        <w:pStyle w:val="BodyText"/>
      </w:pPr>
      <w:r>
        <w:t xml:space="preserve">Table 3.2: Lobbying success and congressional support with simulated data</w:t>
      </w:r>
    </w:p>
    <w:p>
      <w:pPr>
        <w:pStyle w:val="BodyText"/>
      </w:pPr>
      <w:r>
        <w:t xml:space="preserve">1</w:t>
      </w:r>
    </w:p>
    <w:p>
      <w:pPr>
        <w:pStyle w:val="BodyText"/>
      </w:pPr>
      <w:r>
        <w:t xml:space="preserve">2</w:t>
      </w:r>
    </w:p>
    <w:p>
      <w:pPr>
        <w:pStyle w:val="BodyText"/>
      </w:pPr>
      <w:r>
        <w:t xml:space="preserve">3</w:t>
      </w:r>
    </w:p>
    <w:p>
      <w:pPr>
        <w:pStyle w:val="BodyText"/>
      </w:pPr>
      <w:r>
        <w:t xml:space="preserve">Dependent Variable</w:t>
      </w:r>
    </w:p>
    <w:p>
      <w:pPr>
        <w:pStyle w:val="BodyText"/>
      </w:pPr>
      <w:r>
        <w:t xml:space="preserve">Lobbying Success</w:t>
      </w:r>
    </w:p>
    <w:p>
      <w:pPr>
        <w:pStyle w:val="BodyText"/>
      </w:pPr>
      <w:r>
        <w:t xml:space="preserve">Lobbying Success</w:t>
      </w:r>
    </w:p>
    <w:p>
      <w:pPr>
        <w:pStyle w:val="BodyText"/>
      </w:pPr>
      <w:r>
        <w:t xml:space="preserve">Members of Congress in Coalition</w:t>
      </w:r>
    </w:p>
    <w:p>
      <w:pPr>
        <w:pStyle w:val="BodyText"/>
      </w:pPr>
      <w:r>
        <w:t xml:space="preserve">(Intercept)</w:t>
      </w:r>
    </w:p>
    <w:p>
      <w:pPr>
        <w:pStyle w:val="BodyText"/>
      </w:pPr>
      <w:r>
        <w:t xml:space="preserve">0.032</w:t>
      </w:r>
    </w:p>
    <w:p>
      <w:pPr>
        <w:pStyle w:val="BodyText"/>
      </w:pPr>
      <w:r>
        <w:t xml:space="preserve">0.033</w:t>
      </w:r>
    </w:p>
    <w:p>
      <w:pPr>
        <w:pStyle w:val="BodyText"/>
      </w:pPr>
      <w:r>
        <w:t xml:space="preserve">2.155***</w:t>
      </w:r>
    </w:p>
    <w:p>
      <w:pPr>
        <w:pStyle w:val="BodyText"/>
      </w:pPr>
      <w:r>
        <w:t xml:space="preserve">(0.057)</w:t>
      </w:r>
    </w:p>
    <w:p>
      <w:pPr>
        <w:pStyle w:val="BodyText"/>
      </w:pPr>
      <w:r>
        <w:t xml:space="preserve">(0.057)</w:t>
      </w:r>
    </w:p>
    <w:p>
      <w:pPr>
        <w:pStyle w:val="BodyText"/>
      </w:pPr>
      <w:r>
        <w:t xml:space="preserve">(0.304)</w:t>
      </w:r>
    </w:p>
    <w:p>
      <w:pPr>
        <w:pStyle w:val="BodyText"/>
      </w:pPr>
      <w:r>
        <w:t xml:space="preserve">log(comments)</w:t>
      </w:r>
    </w:p>
    <w:p>
      <w:pPr>
        <w:pStyle w:val="BodyText"/>
      </w:pPr>
      <w:r>
        <w:t xml:space="preserve">0.001</w:t>
      </w:r>
    </w:p>
    <w:p>
      <w:pPr>
        <w:pStyle w:val="BodyText"/>
      </w:pPr>
      <w:r>
        <w:t xml:space="preserve">0.001</w:t>
      </w:r>
    </w:p>
    <w:p>
      <w:pPr>
        <w:pStyle w:val="BodyText"/>
      </w:pPr>
      <w:r>
        <w:t xml:space="preserve">-0.001</w:t>
      </w:r>
    </w:p>
    <w:p>
      <w:pPr>
        <w:pStyle w:val="BodyText"/>
      </w:pPr>
      <w:r>
        <w:t xml:space="preserve">(0.002)</w:t>
      </w:r>
    </w:p>
    <w:p>
      <w:pPr>
        <w:pStyle w:val="BodyText"/>
      </w:pPr>
      <w:r>
        <w:t xml:space="preserve">(0.002)</w:t>
      </w:r>
    </w:p>
    <w:p>
      <w:pPr>
        <w:pStyle w:val="BodyText"/>
      </w:pPr>
      <w:r>
        <w:t xml:space="preserve">(0.013)</w:t>
      </w:r>
    </w:p>
    <w:p>
      <w:pPr>
        <w:pStyle w:val="BodyText"/>
      </w:pPr>
      <w:r>
        <w:t xml:space="preserve">comment_length</w:t>
      </w:r>
    </w:p>
    <w:p>
      <w:pPr>
        <w:pStyle w:val="BodyText"/>
      </w:pPr>
      <w:r>
        <w:t xml:space="preserve">0.002</w:t>
      </w:r>
    </w:p>
    <w:p>
      <w:pPr>
        <w:pStyle w:val="BodyText"/>
      </w:pPr>
      <w:r>
        <w:t xml:space="preserve">0.002</w:t>
      </w:r>
    </w:p>
    <w:p>
      <w:pPr>
        <w:pStyle w:val="BodyText"/>
      </w:pPr>
      <w:r>
        <w:t xml:space="preserve">0.011</w:t>
      </w:r>
    </w:p>
    <w:p>
      <w:pPr>
        <w:pStyle w:val="BodyText"/>
      </w:pPr>
      <w:r>
        <w:t xml:space="preserve">(0.004)</w:t>
      </w:r>
    </w:p>
    <w:p>
      <w:pPr>
        <w:pStyle w:val="BodyText"/>
      </w:pPr>
      <w:r>
        <w:t xml:space="preserve">(0.004)</w:t>
      </w:r>
    </w:p>
    <w:p>
      <w:pPr>
        <w:pStyle w:val="BodyText"/>
      </w:pPr>
      <w:r>
        <w:t xml:space="preserve">(0.020)</w:t>
      </w:r>
    </w:p>
    <w:p>
      <w:pPr>
        <w:pStyle w:val="BodyText"/>
      </w:pPr>
      <w:r>
        <w:t xml:space="preserve">coalition_business</w:t>
      </w:r>
    </w:p>
    <w:p>
      <w:pPr>
        <w:pStyle w:val="BodyText"/>
      </w:pPr>
      <w:r>
        <w:t xml:space="preserve">0.024</w:t>
      </w:r>
    </w:p>
    <w:p>
      <w:pPr>
        <w:pStyle w:val="BodyText"/>
      </w:pPr>
      <w:r>
        <w:t xml:space="preserve">0.024</w:t>
      </w:r>
    </w:p>
    <w:p>
      <w:pPr>
        <w:pStyle w:val="BodyText"/>
      </w:pPr>
      <w:r>
        <w:t xml:space="preserve">-0.065</w:t>
      </w:r>
    </w:p>
    <w:p>
      <w:pPr>
        <w:pStyle w:val="BodyText"/>
      </w:pPr>
      <w:r>
        <w:t xml:space="preserve">(0.030)</w:t>
      </w:r>
    </w:p>
    <w:p>
      <w:pPr>
        <w:pStyle w:val="BodyText"/>
      </w:pPr>
      <w:r>
        <w:t xml:space="preserve">(0.030)</w:t>
      </w:r>
    </w:p>
    <w:p>
      <w:pPr>
        <w:pStyle w:val="BodyText"/>
      </w:pPr>
      <w:r>
        <w:t xml:space="preserve">(0.159)</w:t>
      </w:r>
    </w:p>
    <w:p>
      <w:pPr>
        <w:pStyle w:val="BodyText"/>
      </w:pPr>
      <w:r>
        <w:t xml:space="preserve">coalition_size</w:t>
      </w:r>
    </w:p>
    <w:p>
      <w:pPr>
        <w:pStyle w:val="BodyText"/>
      </w:pPr>
      <w:r>
        <w:t xml:space="preserve">-0.001</w:t>
      </w:r>
    </w:p>
    <w:p>
      <w:pPr>
        <w:pStyle w:val="BodyText"/>
      </w:pPr>
      <w:r>
        <w:t xml:space="preserve">-0.001</w:t>
      </w:r>
    </w:p>
    <w:p>
      <w:pPr>
        <w:pStyle w:val="BodyText"/>
      </w:pPr>
      <w:r>
        <w:t xml:space="preserve">0.003</w:t>
      </w:r>
    </w:p>
    <w:p>
      <w:pPr>
        <w:pStyle w:val="BodyText"/>
      </w:pPr>
      <w:r>
        <w:t xml:space="preserve">(0.002)</w:t>
      </w:r>
    </w:p>
    <w:p>
      <w:pPr>
        <w:pStyle w:val="BodyText"/>
      </w:pPr>
      <w:r>
        <w:t xml:space="preserve">(0.002)</w:t>
      </w:r>
    </w:p>
    <w:p>
      <w:pPr>
        <w:pStyle w:val="BodyText"/>
      </w:pPr>
      <w:r>
        <w:t xml:space="preserve">(0.010)</w:t>
      </w:r>
    </w:p>
    <w:p>
      <w:pPr>
        <w:pStyle w:val="BodyText"/>
      </w:pPr>
      <w:r>
        <w:t xml:space="preserve">coalition_unopposed</w:t>
      </w:r>
    </w:p>
    <w:p>
      <w:pPr>
        <w:pStyle w:val="BodyText"/>
      </w:pPr>
      <w:r>
        <w:t xml:space="preserve">0.000</w:t>
      </w:r>
    </w:p>
    <w:p>
      <w:pPr>
        <w:pStyle w:val="BodyText"/>
      </w:pPr>
      <w:r>
        <w:t xml:space="preserve">0.000</w:t>
      </w:r>
    </w:p>
    <w:p>
      <w:pPr>
        <w:pStyle w:val="BodyText"/>
      </w:pPr>
      <w:r>
        <w:t xml:space="preserve">-0.015</w:t>
      </w:r>
    </w:p>
    <w:p>
      <w:pPr>
        <w:pStyle w:val="BodyText"/>
      </w:pPr>
      <w:r>
        <w:t xml:space="preserve">(0.027)</w:t>
      </w:r>
    </w:p>
    <w:p>
      <w:pPr>
        <w:pStyle w:val="BodyText"/>
      </w:pPr>
      <w:r>
        <w:t xml:space="preserve">(0.027)</w:t>
      </w:r>
    </w:p>
    <w:p>
      <w:pPr>
        <w:pStyle w:val="BodyText"/>
      </w:pPr>
      <w:r>
        <w:t xml:space="preserve">(0.147)</w:t>
      </w:r>
    </w:p>
    <w:p>
      <w:pPr>
        <w:pStyle w:val="BodyText"/>
      </w:pPr>
      <w:r>
        <w:t xml:space="preserve">cong_support</w:t>
      </w:r>
    </w:p>
    <w:p>
      <w:pPr>
        <w:pStyle w:val="BodyText"/>
      </w:pPr>
      <w:r>
        <w:t xml:space="preserve">0.000</w:t>
      </w:r>
    </w:p>
    <w:p>
      <w:pPr>
        <w:pStyle w:val="BodyText"/>
      </w:pPr>
      <w:r>
        <w:t xml:space="preserve">(0.004)</w:t>
      </w:r>
    </w:p>
    <w:p>
      <w:pPr>
        <w:pStyle w:val="BodyText"/>
      </w:pPr>
      <w:r>
        <w:t xml:space="preserve">Num.Obs.</w:t>
      </w:r>
    </w:p>
    <w:p>
      <w:pPr>
        <w:pStyle w:val="BodyText"/>
      </w:pPr>
      <w:r>
        <w:t xml:space="preserve">2000</w:t>
      </w:r>
    </w:p>
    <w:p>
      <w:pPr>
        <w:pStyle w:val="BodyText"/>
      </w:pPr>
      <w:r>
        <w:t xml:space="preserve">2000</w:t>
      </w:r>
    </w:p>
    <w:p>
      <w:pPr>
        <w:pStyle w:val="BodyText"/>
      </w:pPr>
      <w:r>
        <w:t xml:space="preserve">2000</w:t>
      </w:r>
    </w:p>
    <w:p>
      <w:pPr>
        <w:pStyle w:val="BodyText"/>
      </w:pPr>
      <w:r>
        <w:t xml:space="preserve">R2</w:t>
      </w:r>
    </w:p>
    <w:p>
      <w:pPr>
        <w:pStyle w:val="BodyText"/>
      </w:pPr>
      <w:r>
        <w:t xml:space="preserve">0.001</w:t>
      </w:r>
    </w:p>
    <w:p>
      <w:pPr>
        <w:pStyle w:val="BodyText"/>
      </w:pPr>
      <w:r>
        <w:t xml:space="preserve">0.001</w:t>
      </w:r>
    </w:p>
    <w:p>
      <w:pPr>
        <w:pStyle w:val="BodyText"/>
      </w:pPr>
      <w:r>
        <w:t xml:space="preserve">0.000</w:t>
      </w:r>
    </w:p>
    <w:p>
      <w:pPr>
        <w:pStyle w:val="BodyText"/>
      </w:pPr>
      <w:r>
        <w:t xml:space="preserve">R2 Adj.</w:t>
      </w:r>
    </w:p>
    <w:p>
      <w:pPr>
        <w:pStyle w:val="BodyText"/>
      </w:pPr>
      <w:r>
        <w:t xml:space="preserve">-0.002</w:t>
      </w:r>
    </w:p>
    <w:p>
      <w:pPr>
        <w:pStyle w:val="BodyText"/>
      </w:pPr>
      <w:r>
        <w:t xml:space="preserve">-0.002</w:t>
      </w:r>
    </w:p>
    <w:p>
      <w:pPr>
        <w:pStyle w:val="BodyText"/>
      </w:pPr>
      <w:r>
        <w:t xml:space="preserve">-0.002</w:t>
      </w:r>
    </w:p>
    <w:p>
      <w:pPr>
        <w:pStyle w:val="BodyText"/>
      </w:pPr>
      <w:r>
        <w:t xml:space="preserve">AIC</w:t>
      </w:r>
    </w:p>
    <w:p>
      <w:pPr>
        <w:pStyle w:val="BodyText"/>
      </w:pPr>
      <w:r>
        <w:t xml:space="preserve">3706.5</w:t>
      </w:r>
    </w:p>
    <w:p>
      <w:pPr>
        <w:pStyle w:val="BodyText"/>
      </w:pPr>
      <w:r>
        <w:t xml:space="preserve">3708.5</w:t>
      </w:r>
    </w:p>
    <w:p>
      <w:pPr>
        <w:pStyle w:val="BodyText"/>
      </w:pPr>
      <w:r>
        <w:t xml:space="preserve">10430.4</w:t>
      </w:r>
    </w:p>
    <w:p>
      <w:pPr>
        <w:pStyle w:val="BodyText"/>
      </w:pPr>
      <w:r>
        <w:t xml:space="preserve">BIC</w:t>
      </w:r>
    </w:p>
    <w:p>
      <w:pPr>
        <w:pStyle w:val="BodyText"/>
      </w:pPr>
      <w:r>
        <w:t xml:space="preserve">3745.7</w:t>
      </w:r>
    </w:p>
    <w:p>
      <w:pPr>
        <w:pStyle w:val="BodyText"/>
      </w:pPr>
      <w:r>
        <w:t xml:space="preserve">3753.3</w:t>
      </w:r>
    </w:p>
    <w:p>
      <w:pPr>
        <w:pStyle w:val="BodyText"/>
      </w:pPr>
      <w:r>
        <w:t xml:space="preserve">10469.6</w:t>
      </w:r>
    </w:p>
    <w:p>
      <w:pPr>
        <w:pStyle w:val="BodyText"/>
      </w:pPr>
      <w:r>
        <w:t xml:space="preserve">Log.Lik.</w:t>
      </w:r>
    </w:p>
    <w:p>
      <w:pPr>
        <w:pStyle w:val="BodyText"/>
      </w:pPr>
      <w:r>
        <w:t xml:space="preserve">-1846.251</w:t>
      </w:r>
    </w:p>
    <w:p>
      <w:pPr>
        <w:pStyle w:val="BodyText"/>
      </w:pPr>
      <w:r>
        <w:t xml:space="preserve">-1846.247</w:t>
      </w:r>
    </w:p>
    <w:p>
      <w:pPr>
        <w:pStyle w:val="BodyText"/>
      </w:pPr>
      <w:r>
        <w:t xml:space="preserve">-5208.186</w:t>
      </w:r>
    </w:p>
    <w:p>
      <w:pPr>
        <w:pStyle w:val="BodyText"/>
      </w:pPr>
      <w:r>
        <w:t xml:space="preserve">F</w:t>
      </w:r>
    </w:p>
    <w:p>
      <w:pPr>
        <w:pStyle w:val="BodyText"/>
      </w:pPr>
      <w:r>
        <w:t xml:space="preserve">0.286</w:t>
      </w:r>
    </w:p>
    <w:p>
      <w:pPr>
        <w:pStyle w:val="BodyText"/>
      </w:pPr>
      <w:r>
        <w:t xml:space="preserve">0.240</w:t>
      </w:r>
    </w:p>
    <w:p>
      <w:pPr>
        <w:pStyle w:val="BodyText"/>
      </w:pPr>
      <w:r>
        <w:t xml:space="preserve">0.119</w:t>
      </w:r>
    </w:p>
    <w:p>
      <w:pPr>
        <w:pStyle w:val="BodyText"/>
      </w:pPr>
    </w:p>
    <w:p>
      <w:pPr>
        <w:pStyle w:val="BodyText"/>
      </w:pPr>
      <w:r>
        <w:t xml:space="preserve"> </w:t>
      </w:r>
      <w:r>
        <w:t xml:space="preserve">* p &lt; 0.1, ** p &lt; 0.05, *** p &lt; 0.01</w:t>
      </w:r>
    </w:p>
    <w:p>
      <w:pPr>
        <w:pStyle w:val="BodyText"/>
      </w:pPr>
      <w:r>
        <w:t xml:space="preserve">The average effect of the logged number of comments, conditional on letters from members of congress (the ACME) is 0, with a p value of 0.99.</w:t>
      </w:r>
    </w:p>
    <w:p>
      <w:pPr>
        <w:pStyle w:val="BodyText"/>
      </w:pPr>
      <w:r>
        <w:t xml:space="preserve">The average direct effect (ADE) of the logged number of comments on lobbying success is 0, with a p value of 0.56</w:t>
      </w:r>
    </w:p>
    <w:p>
      <w:pPr>
        <w:pStyle w:val="BodyText"/>
      </w:pPr>
      <w:r>
        <w:t xml:space="preserve">The Total Effect of a one-unit increase in the logged number of comments is 0, with a p value of 0.56. 0 of this is mediated through mobilizing congressional attention (p-value = 0.99).</w:t>
      </w:r>
    </w:p>
    <w:p>
      <w:pPr>
        <w:pStyle w:val="Heading2"/>
      </w:pPr>
      <w:bookmarkStart w:id="148" w:name="influence-results"/>
      <w:r>
        <w:t xml:space="preserve">3.5	Results (hand-coded data)</w:t>
      </w:r>
      <w:bookmarkEnd w:id="148"/>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coeficient to be posive in the sample of rules that did not see a mass comment campaign. The contentious nature of this sample also means that there is no variation the</w:t>
      </w:r>
      <w:r>
        <w:t xml:space="preserve"> </w:t>
      </w:r>
      <w:r>
        <w:rPr>
          <w:rStyle w:val="VerbatimChar"/>
        </w:rPr>
        <w:t xml:space="preserve">coalition_unopposed</w:t>
      </w:r>
      <w:r>
        <w:t xml:space="preserve"> </w:t>
      </w:r>
      <w:r>
        <w:t xml:space="preserve">variable (no coalitions in the sample with mass comment campaigns lobbied unoppossed).</w:t>
      </w:r>
    </w:p>
    <w:p>
      <w:pPr>
        <w:pStyle w:val="Heading3"/>
      </w:pPr>
      <w:bookmarkStart w:id="149" w:name="hand-coded-data"/>
      <w:r>
        <w:t xml:space="preserve">3.5.1	Hand-coded Data</w:t>
      </w:r>
      <w:bookmarkEnd w:id="149"/>
    </w:p>
    <w:p>
      <w:pPr>
        <w:pStyle w:val="FirstParagraph"/>
      </w:pPr>
      <w:r>
        <w:rPr>
          <w:b/>
        </w:rPr>
        <w:t xml:space="preserve">Dependent variable:</w:t>
      </w:r>
      <w:r>
        <w:t xml:space="preserve"> </w:t>
      </w:r>
      <w:r>
        <w:rPr>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
        </w:rPr>
        <w:t xml:space="preserve">Explanatory variables:</w:t>
      </w:r>
      <w:r>
        <w:t xml:space="preserve"> </w:t>
      </w:r>
      <w:r>
        <w:rPr>
          <w:i/>
        </w:rPr>
        <w:t xml:space="preserve">Coalition size</w:t>
      </w:r>
      <w:r>
        <w:t xml:space="preserve"> </w:t>
      </w:r>
      <w:r>
        <w:t xml:space="preserve">(a count) is the number of organizations lobbying on the rule.</w:t>
      </w:r>
      <w:r>
        <w:t xml:space="preserve"> </w:t>
      </w:r>
      <w:r>
        <w:rPr>
          <w:i/>
        </w:rPr>
        <w:t xml:space="preserve">Business colation</w:t>
      </w:r>
      <w:r>
        <w:t xml:space="preserve"> </w:t>
      </w:r>
      <w:r>
        <w:t xml:space="preserve">is binomial.</w:t>
      </w:r>
      <w:r>
        <w:t xml:space="preserve"> </w:t>
      </w:r>
      <w:r>
        <w:rPr>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Table</w:t>
      </w:r>
      <w:r>
        <w:t xml:space="preserve"> </w:t>
      </w:r>
      <w:r>
        <w:t xml:space="preserve">3.3</w:t>
      </w:r>
      <w:r>
        <w:t xml:space="preserve"> </w:t>
      </w:r>
      <w:r>
        <w:t xml:space="preserve">shows ten rows of coded data, summarized at the coalition level.</w:t>
      </w:r>
    </w:p>
    <w:p>
      <w:pPr>
        <w:pStyle w:val="BodyText"/>
      </w:pPr>
      <w:r>
        <w:t xml:space="preserve">Table 3.3: Coded data</w:t>
      </w:r>
    </w:p>
    <w:p>
      <w:pPr>
        <w:pStyle w:val="BodyText"/>
      </w:pPr>
      <w:r>
        <w:t xml:space="preserve">docket_id</w:t>
      </w:r>
    </w:p>
    <w:p>
      <w:pPr>
        <w:pStyle w:val="BodyText"/>
      </w:pPr>
      <w:r>
        <w:t xml:space="preserve">coalition_id</w:t>
      </w:r>
    </w:p>
    <w:p>
      <w:pPr>
        <w:pStyle w:val="BodyText"/>
      </w:pPr>
      <w:r>
        <w:t xml:space="preserve">coalition_comment</w:t>
      </w:r>
    </w:p>
    <w:p>
      <w:pPr>
        <w:pStyle w:val="BodyText"/>
      </w:pPr>
      <w:r>
        <w:t xml:space="preserve">coalition_unopposed</w:t>
      </w:r>
    </w:p>
    <w:p>
      <w:pPr>
        <w:pStyle w:val="BodyText"/>
      </w:pPr>
      <w:r>
        <w:t xml:space="preserve">cong_support</w:t>
      </w:r>
    </w:p>
    <w:p>
      <w:pPr>
        <w:pStyle w:val="BodyText"/>
      </w:pPr>
      <w:r>
        <w:t xml:space="preserve">coalition_size</w:t>
      </w:r>
    </w:p>
    <w:p>
      <w:pPr>
        <w:pStyle w:val="BodyText"/>
      </w:pPr>
      <w:r>
        <w:t xml:space="preserve">coalition_business</w:t>
      </w:r>
    </w:p>
    <w:p>
      <w:pPr>
        <w:pStyle w:val="BodyText"/>
      </w:pPr>
      <w:r>
        <w:t xml:space="preserve">coalition_success</w:t>
      </w:r>
    </w:p>
    <w:p>
      <w:pPr>
        <w:pStyle w:val="BodyText"/>
      </w:pPr>
      <w:r>
        <w:t xml:space="preserve">comments</w:t>
      </w:r>
    </w:p>
    <w:p>
      <w:pPr>
        <w:pStyle w:val="BodyText"/>
      </w:pPr>
      <w:r>
        <w:t xml:space="preserve">CFPB-2016-0025</w:t>
      </w:r>
    </w:p>
    <w:p>
      <w:pPr>
        <w:pStyle w:val="BodyText"/>
      </w:pPr>
      <w:r>
        <w:t xml:space="preserve">14</w:t>
      </w:r>
    </w:p>
    <w:p>
      <w:pPr>
        <w:pStyle w:val="BodyText"/>
      </w:pPr>
      <w:r>
        <w:t xml:space="preserve">Church Folk</w:t>
      </w:r>
    </w:p>
    <w:p>
      <w:pPr>
        <w:pStyle w:val="BodyText"/>
      </w:pPr>
      <w:r>
        <w:t xml:space="preserve">FALSE</w:t>
      </w:r>
    </w:p>
    <w:p>
      <w:pPr>
        <w:pStyle w:val="BodyText"/>
      </w:pPr>
      <w:r>
        <w:t xml:space="preserve">0</w:t>
      </w:r>
    </w:p>
    <w:p>
      <w:pPr>
        <w:pStyle w:val="BodyText"/>
      </w:pPr>
      <w:r>
        <w:t xml:space="preserve">28</w:t>
      </w:r>
    </w:p>
    <w:p>
      <w:pPr>
        <w:pStyle w:val="BodyText"/>
      </w:pPr>
      <w:r>
        <w:t xml:space="preserve">FALSE</w:t>
      </w:r>
    </w:p>
    <w:p>
      <w:pPr>
        <w:pStyle w:val="BodyText"/>
      </w:pPr>
      <w:r>
        <w:t xml:space="preserve">1.0000000</w:t>
      </w:r>
    </w:p>
    <w:p>
      <w:pPr>
        <w:pStyle w:val="BodyText"/>
      </w:pPr>
      <w:r>
        <w:t xml:space="preserve">28</w:t>
      </w:r>
    </w:p>
    <w:p>
      <w:pPr>
        <w:pStyle w:val="BodyText"/>
      </w:pPr>
      <w:r>
        <w:t xml:space="preserve">CFPB-2016-0025</w:t>
      </w:r>
    </w:p>
    <w:p>
      <w:pPr>
        <w:pStyle w:val="BodyText"/>
      </w:pPr>
      <w:r>
        <w:t xml:space="preserve">70</w:t>
      </w:r>
    </w:p>
    <w:p>
      <w:pPr>
        <w:pStyle w:val="BodyText"/>
      </w:pPr>
      <w:r>
        <w:t xml:space="preserve">TRUE</w:t>
      </w:r>
    </w:p>
    <w:p>
      <w:pPr>
        <w:pStyle w:val="BodyText"/>
      </w:pPr>
      <w:r>
        <w:t xml:space="preserve">FALSE</w:t>
      </w:r>
    </w:p>
    <w:p>
      <w:pPr>
        <w:pStyle w:val="BodyText"/>
      </w:pPr>
      <w:r>
        <w:t xml:space="preserve">0</w:t>
      </w:r>
    </w:p>
    <w:p>
      <w:pPr>
        <w:pStyle w:val="BodyText"/>
      </w:pPr>
      <w:r>
        <w:t xml:space="preserve">18</w:t>
      </w:r>
    </w:p>
    <w:p>
      <w:pPr>
        <w:pStyle w:val="BodyText"/>
      </w:pPr>
      <w:r>
        <w:t xml:space="preserve">FALSE</w:t>
      </w:r>
    </w:p>
    <w:p>
      <w:pPr>
        <w:pStyle w:val="BodyText"/>
      </w:pPr>
      <w:r>
        <w:t xml:space="preserve">-0.6428571</w:t>
      </w:r>
    </w:p>
    <w:p>
      <w:pPr>
        <w:pStyle w:val="BodyText"/>
      </w:pPr>
      <w:r>
        <w:t xml:space="preserve">18</w:t>
      </w:r>
    </w:p>
    <w:p>
      <w:pPr>
        <w:pStyle w:val="BodyText"/>
      </w:pPr>
      <w:r>
        <w:t xml:space="preserve">CFPB-2019-0006</w:t>
      </w:r>
    </w:p>
    <w:p>
      <w:pPr>
        <w:pStyle w:val="BodyText"/>
      </w:pPr>
      <w:r>
        <w:t xml:space="preserve">70</w:t>
      </w:r>
    </w:p>
    <w:p>
      <w:pPr>
        <w:pStyle w:val="BodyText"/>
      </w:pPr>
      <w:r>
        <w:t xml:space="preserve">TRUE</w:t>
      </w:r>
    </w:p>
    <w:p>
      <w:pPr>
        <w:pStyle w:val="BodyText"/>
      </w:pPr>
      <w:r>
        <w:t xml:space="preserve">FALSE</w:t>
      </w:r>
    </w:p>
    <w:p>
      <w:pPr>
        <w:pStyle w:val="BodyText"/>
      </w:pPr>
      <w:r>
        <w:t xml:space="preserve">0</w:t>
      </w:r>
    </w:p>
    <w:p>
      <w:pPr>
        <w:pStyle w:val="BodyText"/>
      </w:pPr>
      <w:r>
        <w:t xml:space="preserve">79</w:t>
      </w:r>
    </w:p>
    <w:p>
      <w:pPr>
        <w:pStyle w:val="BodyText"/>
      </w:pPr>
      <w:r>
        <w:t xml:space="preserve">TRUE</w:t>
      </w:r>
    </w:p>
    <w:p>
      <w:pPr>
        <w:pStyle w:val="BodyText"/>
      </w:pPr>
      <w:r>
        <w:t xml:space="preserve">-1.1176471</w:t>
      </w:r>
    </w:p>
    <w:p>
      <w:pPr>
        <w:pStyle w:val="BodyText"/>
      </w:pPr>
      <w:r>
        <w:t xml:space="preserve">79</w:t>
      </w:r>
    </w:p>
    <w:p>
      <w:pPr>
        <w:pStyle w:val="BodyText"/>
      </w:pPr>
      <w:r>
        <w:t xml:space="preserve">CFPB-2019-0006</w:t>
      </w:r>
    </w:p>
    <w:p>
      <w:pPr>
        <w:pStyle w:val="BodyText"/>
      </w:pPr>
      <w:r>
        <w:t xml:space="preserve">70</w:t>
      </w:r>
    </w:p>
    <w:p>
      <w:pPr>
        <w:pStyle w:val="BodyText"/>
      </w:pPr>
      <w:r>
        <w:t xml:space="preserve">TRUE</w:t>
      </w:r>
    </w:p>
    <w:p>
      <w:pPr>
        <w:pStyle w:val="BodyText"/>
      </w:pPr>
      <w:r>
        <w:t xml:space="preserve">FALSE</w:t>
      </w:r>
    </w:p>
    <w:p>
      <w:pPr>
        <w:pStyle w:val="BodyText"/>
      </w:pPr>
      <w:r>
        <w:t xml:space="preserve">0</w:t>
      </w:r>
    </w:p>
    <w:p>
      <w:pPr>
        <w:pStyle w:val="BodyText"/>
      </w:pPr>
      <w:r>
        <w:t xml:space="preserve">79</w:t>
      </w:r>
    </w:p>
    <w:p>
      <w:pPr>
        <w:pStyle w:val="BodyText"/>
      </w:pPr>
      <w:r>
        <w:t xml:space="preserve">FALSE</w:t>
      </w:r>
    </w:p>
    <w:p>
      <w:pPr>
        <w:pStyle w:val="BodyText"/>
      </w:pPr>
      <w:r>
        <w:t xml:space="preserve">-1.1176471</w:t>
      </w:r>
    </w:p>
    <w:p>
      <w:pPr>
        <w:pStyle w:val="BodyText"/>
      </w:pPr>
      <w:r>
        <w:t xml:space="preserve">79</w:t>
      </w:r>
    </w:p>
    <w:p>
      <w:pPr>
        <w:pStyle w:val="BodyText"/>
      </w:pPr>
      <w:r>
        <w:t xml:space="preserve">DEA-2018-0005</w:t>
      </w:r>
    </w:p>
    <w:p>
      <w:pPr>
        <w:pStyle w:val="BodyText"/>
      </w:pPr>
      <w:r>
        <w:t xml:space="preserve">33</w:t>
      </w:r>
    </w:p>
    <w:p>
      <w:pPr>
        <w:pStyle w:val="BodyText"/>
      </w:pPr>
      <w:r>
        <w:t xml:space="preserve">HSCA</w:t>
      </w:r>
    </w:p>
    <w:p>
      <w:pPr>
        <w:pStyle w:val="BodyText"/>
      </w:pPr>
      <w:r>
        <w:t xml:space="preserve">FALSE</w:t>
      </w:r>
    </w:p>
    <w:p>
      <w:pPr>
        <w:pStyle w:val="BodyText"/>
      </w:pPr>
      <w:r>
        <w:t xml:space="preserve">0</w:t>
      </w:r>
    </w:p>
    <w:p>
      <w:pPr>
        <w:pStyle w:val="BodyText"/>
      </w:pPr>
      <w:r>
        <w:t xml:space="preserve">9</w:t>
      </w:r>
    </w:p>
    <w:p>
      <w:pPr>
        <w:pStyle w:val="BodyText"/>
      </w:pPr>
      <w:r>
        <w:t xml:space="preserve">FALSE</w:t>
      </w:r>
    </w:p>
    <w:p>
      <w:pPr>
        <w:pStyle w:val="BodyText"/>
      </w:pPr>
      <w:r>
        <w:t xml:space="preserve">-1.7777778</w:t>
      </w:r>
    </w:p>
    <w:p>
      <w:pPr>
        <w:pStyle w:val="BodyText"/>
      </w:pPr>
      <w:r>
        <w:t xml:space="preserve">9</w:t>
      </w:r>
    </w:p>
    <w:p>
      <w:pPr>
        <w:pStyle w:val="BodyText"/>
      </w:pPr>
      <w:r>
        <w:t xml:space="preserve">DEA-2018-0005</w:t>
      </w:r>
    </w:p>
    <w:p>
      <w:pPr>
        <w:pStyle w:val="BodyText"/>
      </w:pPr>
      <w:r>
        <w:t xml:space="preserve">60</w:t>
      </w:r>
    </w:p>
    <w:p>
      <w:pPr>
        <w:pStyle w:val="BodyText"/>
      </w:pPr>
      <w:r>
        <w:t xml:space="preserve">PhRMA</w:t>
      </w:r>
    </w:p>
    <w:p>
      <w:pPr>
        <w:pStyle w:val="BodyText"/>
      </w:pPr>
      <w:r>
        <w:t xml:space="preserve">FALSE</w:t>
      </w:r>
    </w:p>
    <w:p>
      <w:pPr>
        <w:pStyle w:val="BodyText"/>
      </w:pPr>
      <w:r>
        <w:t xml:space="preserve">0</w:t>
      </w:r>
    </w:p>
    <w:p>
      <w:pPr>
        <w:pStyle w:val="BodyText"/>
      </w:pPr>
      <w:r>
        <w:t xml:space="preserve">3</w:t>
      </w:r>
    </w:p>
    <w:p>
      <w:pPr>
        <w:pStyle w:val="BodyText"/>
      </w:pPr>
      <w:r>
        <w:t xml:space="preserve">FALSE</w:t>
      </w:r>
    </w:p>
    <w:p>
      <w:pPr>
        <w:pStyle w:val="BodyText"/>
      </w:pPr>
      <w:r>
        <w:t xml:space="preserve">0.6666667</w:t>
      </w:r>
    </w:p>
    <w:p>
      <w:pPr>
        <w:pStyle w:val="BodyText"/>
      </w:pPr>
      <w:r>
        <w:t xml:space="preserve">3</w:t>
      </w:r>
    </w:p>
    <w:p>
      <w:pPr>
        <w:pStyle w:val="BodyText"/>
      </w:pPr>
      <w:r>
        <w:t xml:space="preserve">DO-2007-0015</w:t>
      </w:r>
    </w:p>
    <w:p>
      <w:pPr>
        <w:pStyle w:val="BodyText"/>
      </w:pPr>
      <w:r>
        <w:t xml:space="preserve">120</w:t>
      </w:r>
    </w:p>
    <w:p>
      <w:pPr>
        <w:pStyle w:val="BodyText"/>
      </w:pPr>
      <w:r>
        <w:t xml:space="preserve">TRUE;other trade associations; MasterCard; Visa</w:t>
      </w:r>
    </w:p>
    <w:p>
      <w:pPr>
        <w:pStyle w:val="BodyText"/>
      </w:pPr>
      <w:r>
        <w:t xml:space="preserve">FALSE</w:t>
      </w:r>
    </w:p>
    <w:p>
      <w:pPr>
        <w:pStyle w:val="BodyText"/>
      </w:pPr>
      <w:r>
        <w:t xml:space="preserve">0</w:t>
      </w:r>
    </w:p>
    <w:p>
      <w:pPr>
        <w:pStyle w:val="BodyText"/>
      </w:pPr>
      <w:r>
        <w:t xml:space="preserve">1</w:t>
      </w:r>
    </w:p>
    <w:p>
      <w:pPr>
        <w:pStyle w:val="BodyText"/>
      </w:pPr>
      <w:r>
        <w:t xml:space="preserve">TRUE</w:t>
      </w:r>
    </w:p>
    <w:p>
      <w:pPr>
        <w:pStyle w:val="BodyText"/>
      </w:pPr>
      <w:r>
        <w:t xml:space="preserve">-2.0000000</w:t>
      </w:r>
    </w:p>
    <w:p>
      <w:pPr>
        <w:pStyle w:val="BodyText"/>
      </w:pPr>
      <w:r>
        <w:t xml:space="preserve">1</w:t>
      </w:r>
    </w:p>
    <w:p>
      <w:pPr>
        <w:pStyle w:val="BodyText"/>
      </w:pPr>
      <w:r>
        <w:t xml:space="preserve">DO-2007-0015</w:t>
      </w:r>
    </w:p>
    <w:p>
      <w:pPr>
        <w:pStyle w:val="BodyText"/>
      </w:pPr>
      <w:r>
        <w:t xml:space="preserve">121</w:t>
      </w:r>
    </w:p>
    <w:p>
      <w:pPr>
        <w:pStyle w:val="BodyText"/>
      </w:pPr>
      <w:r>
        <w:t xml:space="preserve">TRUE;racing orgs</w:t>
      </w:r>
    </w:p>
    <w:p>
      <w:pPr>
        <w:pStyle w:val="BodyText"/>
      </w:pPr>
      <w:r>
        <w:t xml:space="preserve">FALSE</w:t>
      </w:r>
    </w:p>
    <w:p>
      <w:pPr>
        <w:pStyle w:val="BodyText"/>
      </w:pPr>
      <w:r>
        <w:t xml:space="preserve">0</w:t>
      </w:r>
    </w:p>
    <w:p>
      <w:pPr>
        <w:pStyle w:val="BodyText"/>
      </w:pPr>
      <w:r>
        <w:t xml:space="preserve">1</w:t>
      </w:r>
    </w:p>
    <w:p>
      <w:pPr>
        <w:pStyle w:val="BodyText"/>
      </w:pPr>
      <w:r>
        <w:t xml:space="preserve">TRUE</w:t>
      </w:r>
    </w:p>
    <w:p>
      <w:pPr>
        <w:pStyle w:val="BodyText"/>
      </w:pPr>
      <w:r>
        <w:t xml:space="preserve">1.0000000</w:t>
      </w:r>
    </w:p>
    <w:p>
      <w:pPr>
        <w:pStyle w:val="BodyText"/>
      </w:pPr>
      <w:r>
        <w:t xml:space="preserve">1</w:t>
      </w:r>
    </w:p>
    <w:p>
      <w:pPr>
        <w:pStyle w:val="BodyText"/>
      </w:pPr>
      <w:r>
        <w:t xml:space="preserve">DOI-2015-0005</w:t>
      </w:r>
    </w:p>
    <w:p>
      <w:pPr>
        <w:pStyle w:val="BodyText"/>
      </w:pPr>
      <w:r>
        <w:t xml:space="preserve">64</w:t>
      </w:r>
    </w:p>
    <w:p>
      <w:pPr>
        <w:pStyle w:val="BodyText"/>
      </w:pPr>
      <w:r>
        <w:t xml:space="preserve">SUPPORT AND ASSIST</w:t>
      </w:r>
    </w:p>
    <w:p>
      <w:pPr>
        <w:pStyle w:val="BodyText"/>
      </w:pPr>
      <w:r>
        <w:t xml:space="preserve">FALSE</w:t>
      </w:r>
    </w:p>
    <w:p>
      <w:pPr>
        <w:pStyle w:val="BodyText"/>
      </w:pPr>
      <w:r>
        <w:t xml:space="preserve">0</w:t>
      </w:r>
    </w:p>
    <w:p>
      <w:pPr>
        <w:pStyle w:val="BodyText"/>
      </w:pPr>
      <w:r>
        <w:t xml:space="preserve">11</w:t>
      </w:r>
    </w:p>
    <w:p>
      <w:pPr>
        <w:pStyle w:val="BodyText"/>
      </w:pPr>
      <w:r>
        <w:t xml:space="preserve">FALSE</w:t>
      </w:r>
    </w:p>
    <w:p>
      <w:pPr>
        <w:pStyle w:val="BodyText"/>
      </w:pPr>
      <w:r>
        <w:t xml:space="preserve">2.0000000</w:t>
      </w:r>
    </w:p>
    <w:p>
      <w:pPr>
        <w:pStyle w:val="BodyText"/>
      </w:pPr>
      <w:r>
        <w:t xml:space="preserve">11</w:t>
      </w:r>
    </w:p>
    <w:p>
      <w:pPr>
        <w:pStyle w:val="BodyText"/>
      </w:pPr>
      <w:r>
        <w:t xml:space="preserve">DOI-2015-0005</w:t>
      </w:r>
    </w:p>
    <w:p>
      <w:pPr>
        <w:pStyle w:val="BodyText"/>
      </w:pPr>
      <w:r>
        <w:t xml:space="preserve">8</w:t>
      </w:r>
    </w:p>
    <w:p>
      <w:pPr>
        <w:pStyle w:val="BodyText"/>
      </w:pPr>
      <w:r>
        <w:t xml:space="preserve">BLANKET CREW</w:t>
      </w:r>
    </w:p>
    <w:p>
      <w:pPr>
        <w:pStyle w:val="BodyText"/>
      </w:pPr>
      <w:r>
        <w:t xml:space="preserve">FALSE</w:t>
      </w:r>
    </w:p>
    <w:p>
      <w:pPr>
        <w:pStyle w:val="BodyText"/>
      </w:pPr>
      <w:r>
        <w:t xml:space="preserve">0</w:t>
      </w:r>
    </w:p>
    <w:p>
      <w:pPr>
        <w:pStyle w:val="BodyText"/>
      </w:pPr>
      <w:r>
        <w:t xml:space="preserve">11</w:t>
      </w:r>
    </w:p>
    <w:p>
      <w:pPr>
        <w:pStyle w:val="BodyText"/>
      </w:pPr>
      <w:r>
        <w:t xml:space="preserve">FALSE</w:t>
      </w:r>
    </w:p>
    <w:p>
      <w:pPr>
        <w:pStyle w:val="BodyText"/>
      </w:pPr>
      <w:r>
        <w:t xml:space="preserve">2.0000000</w:t>
      </w:r>
    </w:p>
    <w:p>
      <w:pPr>
        <w:pStyle w:val="BodyText"/>
      </w:pPr>
      <w:r>
        <w:t xml:space="preserve">11</w:t>
      </w:r>
    </w:p>
    <w:p>
      <w:pPr>
        <w:pStyle w:val="BodyText"/>
      </w:pPr>
      <w:r>
        <w:t xml:space="preserve">FEMA-2016-0003</w:t>
      </w:r>
    </w:p>
    <w:p>
      <w:pPr>
        <w:pStyle w:val="BodyText"/>
      </w:pPr>
      <w:r>
        <w:t xml:space="preserve">58</w:t>
      </w:r>
    </w:p>
    <w:p>
      <w:pPr>
        <w:pStyle w:val="BodyText"/>
      </w:pPr>
      <w:r>
        <w:t xml:space="preserve">Pew</w:t>
      </w:r>
    </w:p>
    <w:p>
      <w:pPr>
        <w:pStyle w:val="BodyText"/>
      </w:pPr>
      <w:r>
        <w:t xml:space="preserve">FALSE</w:t>
      </w:r>
    </w:p>
    <w:p>
      <w:pPr>
        <w:pStyle w:val="BodyText"/>
      </w:pPr>
      <w:r>
        <w:t xml:space="preserve">0</w:t>
      </w:r>
    </w:p>
    <w:p>
      <w:pPr>
        <w:pStyle w:val="BodyText"/>
      </w:pPr>
      <w:r>
        <w:t xml:space="preserve">223</w:t>
      </w:r>
    </w:p>
    <w:p>
      <w:pPr>
        <w:pStyle w:val="BodyText"/>
      </w:pPr>
      <w:r>
        <w:t xml:space="preserve">FALSE</w:t>
      </w:r>
    </w:p>
    <w:p>
      <w:pPr>
        <w:pStyle w:val="BodyText"/>
      </w:pPr>
      <w:r>
        <w:t xml:space="preserve">-1.8918919</w:t>
      </w:r>
    </w:p>
    <w:p>
      <w:pPr>
        <w:pStyle w:val="BodyText"/>
      </w:pPr>
      <w:r>
        <w:t xml:space="preserve">2982</w:t>
      </w:r>
    </w:p>
    <w:p>
      <w:pPr>
        <w:pStyle w:val="BodyText"/>
      </w:pPr>
      <w:r>
        <w:t xml:space="preserve">FEMA-2016-0003</w:t>
      </w:r>
    </w:p>
    <w:p>
      <w:pPr>
        <w:pStyle w:val="BodyText"/>
      </w:pPr>
      <w:r>
        <w:t xml:space="preserve">2</w:t>
      </w:r>
    </w:p>
    <w:p>
      <w:pPr>
        <w:pStyle w:val="BodyText"/>
      </w:pPr>
      <w:r>
        <w:t xml:space="preserve">AASA</w:t>
      </w:r>
    </w:p>
    <w:p>
      <w:pPr>
        <w:pStyle w:val="BodyText"/>
      </w:pPr>
      <w:r>
        <w:t xml:space="preserve">FALSE</w:t>
      </w:r>
    </w:p>
    <w:p>
      <w:pPr>
        <w:pStyle w:val="BodyText"/>
      </w:pPr>
      <w:r>
        <w:t xml:space="preserve">0</w:t>
      </w:r>
    </w:p>
    <w:p>
      <w:pPr>
        <w:pStyle w:val="BodyText"/>
      </w:pPr>
      <w:r>
        <w:t xml:space="preserve">16</w:t>
      </w:r>
    </w:p>
    <w:p>
      <w:pPr>
        <w:pStyle w:val="BodyText"/>
      </w:pPr>
      <w:r>
        <w:t xml:space="preserve">FALSE</w:t>
      </w:r>
    </w:p>
    <w:p>
      <w:pPr>
        <w:pStyle w:val="BodyText"/>
      </w:pPr>
      <w:r>
        <w:t xml:space="preserve">2.0000000</w:t>
      </w:r>
    </w:p>
    <w:p>
      <w:pPr>
        <w:pStyle w:val="BodyText"/>
      </w:pPr>
      <w:r>
        <w:t xml:space="preserve">16</w:t>
      </w:r>
    </w:p>
    <w:p>
      <w:pPr>
        <w:pStyle w:val="BodyText"/>
      </w:pPr>
      <w:r>
        <w:t xml:space="preserve">MSHA-2011-0001</w:t>
      </w:r>
    </w:p>
    <w:p>
      <w:pPr>
        <w:pStyle w:val="BodyText"/>
      </w:pPr>
      <w:r>
        <w:t xml:space="preserve">55</w:t>
      </w:r>
    </w:p>
    <w:p>
      <w:pPr>
        <w:pStyle w:val="BodyText"/>
      </w:pPr>
      <w:r>
        <w:t xml:space="preserve">OIAA</w:t>
      </w:r>
    </w:p>
    <w:p>
      <w:pPr>
        <w:pStyle w:val="BodyText"/>
      </w:pPr>
      <w:r>
        <w:t xml:space="preserve">FALSE</w:t>
      </w:r>
    </w:p>
    <w:p>
      <w:pPr>
        <w:pStyle w:val="BodyText"/>
      </w:pPr>
      <w:r>
        <w:t xml:space="preserve">0</w:t>
      </w:r>
    </w:p>
    <w:p>
      <w:pPr>
        <w:pStyle w:val="BodyText"/>
      </w:pPr>
      <w:r>
        <w:t xml:space="preserve">1</w:t>
      </w:r>
    </w:p>
    <w:p>
      <w:pPr>
        <w:pStyle w:val="BodyText"/>
      </w:pPr>
      <w:r>
        <w:t xml:space="preserve">TRUE</w:t>
      </w:r>
    </w:p>
    <w:p>
      <w:pPr>
        <w:pStyle w:val="BodyText"/>
      </w:pPr>
      <w:r>
        <w:t xml:space="preserve">-2.0000000</w:t>
      </w:r>
    </w:p>
    <w:p>
      <w:pPr>
        <w:pStyle w:val="BodyText"/>
      </w:pPr>
      <w:r>
        <w:t xml:space="preserve">1</w:t>
      </w:r>
    </w:p>
    <w:p>
      <w:pPr>
        <w:pStyle w:val="BodyText"/>
      </w:pPr>
      <w:r>
        <w:t xml:space="preserve">MSHA-2011-0001</w:t>
      </w:r>
    </w:p>
    <w:p>
      <w:pPr>
        <w:pStyle w:val="BodyText"/>
      </w:pPr>
      <w:r>
        <w:t xml:space="preserve">81</w:t>
      </w:r>
    </w:p>
    <w:p>
      <w:pPr>
        <w:pStyle w:val="BodyText"/>
      </w:pPr>
      <w:r>
        <w:t xml:space="preserve">TRUE-NMA</w:t>
      </w:r>
    </w:p>
    <w:p>
      <w:pPr>
        <w:pStyle w:val="BodyText"/>
      </w:pPr>
      <w:r>
        <w:t xml:space="preserve">FALSE</w:t>
      </w:r>
    </w:p>
    <w:p>
      <w:pPr>
        <w:pStyle w:val="BodyText"/>
      </w:pPr>
      <w:r>
        <w:t xml:space="preserve">0</w:t>
      </w:r>
    </w:p>
    <w:p>
      <w:pPr>
        <w:pStyle w:val="BodyText"/>
      </w:pPr>
      <w:r>
        <w:t xml:space="preserve">1</w:t>
      </w:r>
    </w:p>
    <w:p>
      <w:pPr>
        <w:pStyle w:val="BodyText"/>
      </w:pPr>
      <w:r>
        <w:t xml:space="preserve">TRUE</w:t>
      </w:r>
    </w:p>
    <w:p>
      <w:pPr>
        <w:pStyle w:val="BodyText"/>
      </w:pPr>
      <w:r>
        <w:t xml:space="preserve">0.0000000</w:t>
      </w:r>
    </w:p>
    <w:p>
      <w:pPr>
        <w:pStyle w:val="BodyText"/>
      </w:pPr>
      <w:r>
        <w:t xml:space="preserve">1</w:t>
      </w:r>
    </w:p>
    <w:p>
      <w:pPr>
        <w:pStyle w:val="BodyText"/>
      </w:pPr>
      <w:r>
        <w:t xml:space="preserve">NPS-2018-0007</w:t>
      </w:r>
    </w:p>
    <w:p>
      <w:pPr>
        <w:pStyle w:val="BodyText"/>
      </w:pPr>
      <w:r>
        <w:t xml:space="preserve">70</w:t>
      </w:r>
    </w:p>
    <w:p>
      <w:pPr>
        <w:pStyle w:val="BodyText"/>
      </w:pPr>
      <w:r>
        <w:t xml:space="preserve">TRUE</w:t>
      </w:r>
    </w:p>
    <w:p>
      <w:pPr>
        <w:pStyle w:val="BodyText"/>
      </w:pPr>
      <w:r>
        <w:t xml:space="preserve">FALSE</w:t>
      </w:r>
    </w:p>
    <w:p>
      <w:pPr>
        <w:pStyle w:val="BodyText"/>
      </w:pPr>
      <w:r>
        <w:t xml:space="preserve">0</w:t>
      </w:r>
    </w:p>
    <w:p>
      <w:pPr>
        <w:pStyle w:val="BodyText"/>
      </w:pPr>
      <w:r>
        <w:t xml:space="preserve">35</w:t>
      </w:r>
    </w:p>
    <w:p>
      <w:pPr>
        <w:pStyle w:val="BodyText"/>
      </w:pPr>
      <w:r>
        <w:t xml:space="preserve">TRUE</w:t>
      </w:r>
    </w:p>
    <w:p>
      <w:pPr>
        <w:pStyle w:val="BodyText"/>
      </w:pPr>
      <w:r>
        <w:t xml:space="preserve">1.9687500</w:t>
      </w:r>
    </w:p>
    <w:p>
      <w:pPr>
        <w:pStyle w:val="BodyText"/>
      </w:pPr>
      <w:r>
        <w:t xml:space="preserve">35</w:t>
      </w:r>
    </w:p>
    <w:p>
      <w:pPr>
        <w:pStyle w:val="BodyText"/>
      </w:pPr>
      <w:r>
        <w:t xml:space="preserve">NPS-2018-0007</w:t>
      </w:r>
    </w:p>
    <w:p>
      <w:pPr>
        <w:pStyle w:val="BodyText"/>
      </w:pPr>
      <w:r>
        <w:t xml:space="preserve">70</w:t>
      </w:r>
    </w:p>
    <w:p>
      <w:pPr>
        <w:pStyle w:val="BodyText"/>
      </w:pPr>
      <w:r>
        <w:t xml:space="preserve">TRUE</w:t>
      </w:r>
    </w:p>
    <w:p>
      <w:pPr>
        <w:pStyle w:val="BodyText"/>
      </w:pPr>
      <w:r>
        <w:t xml:space="preserve">FALSE</w:t>
      </w:r>
    </w:p>
    <w:p>
      <w:pPr>
        <w:pStyle w:val="BodyText"/>
      </w:pPr>
      <w:r>
        <w:t xml:space="preserve">0</w:t>
      </w:r>
    </w:p>
    <w:p>
      <w:pPr>
        <w:pStyle w:val="BodyText"/>
      </w:pPr>
      <w:r>
        <w:t xml:space="preserve">35</w:t>
      </w:r>
    </w:p>
    <w:p>
      <w:pPr>
        <w:pStyle w:val="BodyText"/>
      </w:pPr>
      <w:r>
        <w:t xml:space="preserve">FALSE</w:t>
      </w:r>
    </w:p>
    <w:p>
      <w:pPr>
        <w:pStyle w:val="BodyText"/>
      </w:pPr>
      <w:r>
        <w:t xml:space="preserve">1.9687500</w:t>
      </w:r>
    </w:p>
    <w:p>
      <w:pPr>
        <w:pStyle w:val="BodyText"/>
      </w:pPr>
      <w:r>
        <w:t xml:space="preserve">35</w:t>
      </w:r>
    </w:p>
    <w:p>
      <w:pPr>
        <w:pStyle w:val="BodyText"/>
      </w:pPr>
      <w:r>
        <w:t xml:space="preserve">USCBP-2007-0064</w:t>
      </w:r>
    </w:p>
    <w:p>
      <w:pPr>
        <w:pStyle w:val="BodyText"/>
      </w:pPr>
      <w:r>
        <w:t xml:space="preserve">22</w:t>
      </w:r>
    </w:p>
    <w:p>
      <w:pPr>
        <w:pStyle w:val="BodyText"/>
      </w:pPr>
      <w:r>
        <w:t xml:space="preserve">EBAA</w:t>
      </w:r>
    </w:p>
    <w:p>
      <w:pPr>
        <w:pStyle w:val="BodyText"/>
      </w:pPr>
      <w:r>
        <w:t xml:space="preserve">FALSE</w:t>
      </w:r>
    </w:p>
    <w:p>
      <w:pPr>
        <w:pStyle w:val="BodyText"/>
      </w:pPr>
      <w:r>
        <w:t xml:space="preserve">0</w:t>
      </w:r>
    </w:p>
    <w:p>
      <w:pPr>
        <w:pStyle w:val="BodyText"/>
      </w:pPr>
      <w:r>
        <w:t xml:space="preserve">5</w:t>
      </w:r>
    </w:p>
    <w:p>
      <w:pPr>
        <w:pStyle w:val="BodyText"/>
      </w:pPr>
      <w:r>
        <w:t xml:space="preserve">FALSE</w:t>
      </w:r>
    </w:p>
    <w:p>
      <w:pPr>
        <w:pStyle w:val="BodyText"/>
      </w:pPr>
      <w:r>
        <w:t xml:space="preserve">-1.2000000</w:t>
      </w:r>
    </w:p>
    <w:p>
      <w:pPr>
        <w:pStyle w:val="BodyText"/>
      </w:pPr>
      <w:r>
        <w:t xml:space="preserve">5</w:t>
      </w:r>
    </w:p>
    <w:p>
      <w:pPr>
        <w:pStyle w:val="BodyText"/>
      </w:pPr>
      <w:r>
        <w:t xml:space="preserve">USCBP-2007-0064</w:t>
      </w:r>
    </w:p>
    <w:p>
      <w:pPr>
        <w:pStyle w:val="BodyText"/>
      </w:pPr>
      <w:r>
        <w:t xml:space="preserve">6</w:t>
      </w:r>
    </w:p>
    <w:p>
      <w:pPr>
        <w:pStyle w:val="BodyText"/>
      </w:pPr>
      <w:r>
        <w:t xml:space="preserve">BBP</w:t>
      </w:r>
    </w:p>
    <w:p>
      <w:pPr>
        <w:pStyle w:val="BodyText"/>
      </w:pPr>
      <w:r>
        <w:t xml:space="preserve">FALSE</w:t>
      </w:r>
    </w:p>
    <w:p>
      <w:pPr>
        <w:pStyle w:val="BodyText"/>
      </w:pPr>
      <w:r>
        <w:t xml:space="preserve">0</w:t>
      </w:r>
    </w:p>
    <w:p>
      <w:pPr>
        <w:pStyle w:val="BodyText"/>
      </w:pPr>
      <w:r>
        <w:t xml:space="preserve">20</w:t>
      </w:r>
    </w:p>
    <w:p>
      <w:pPr>
        <w:pStyle w:val="BodyText"/>
      </w:pPr>
      <w:r>
        <w:t xml:space="preserve">FALSE</w:t>
      </w:r>
    </w:p>
    <w:p>
      <w:pPr>
        <w:pStyle w:val="BodyText"/>
      </w:pPr>
      <w:r>
        <w:t xml:space="preserve">-1.2000000</w:t>
      </w:r>
    </w:p>
    <w:p>
      <w:pPr>
        <w:pStyle w:val="BodyText"/>
      </w:pPr>
      <w:r>
        <w:t xml:space="preserve">20</w:t>
      </w:r>
    </w:p>
    <w:p>
      <w:pPr>
        <w:pStyle w:val="BodyText"/>
      </w:pPr>
      <w:r>
        <w:t xml:space="preserve">USCG-2010-0990</w:t>
      </w:r>
    </w:p>
    <w:p>
      <w:pPr>
        <w:pStyle w:val="BodyText"/>
      </w:pPr>
      <w:r>
        <w:t xml:space="preserve">9</w:t>
      </w:r>
    </w:p>
    <w:p>
      <w:pPr>
        <w:pStyle w:val="BodyText"/>
      </w:pPr>
      <w:r>
        <w:t xml:space="preserve">BoatUS</w:t>
      </w:r>
    </w:p>
    <w:p>
      <w:pPr>
        <w:pStyle w:val="BodyText"/>
      </w:pPr>
      <w:r>
        <w:t xml:space="preserve">FALSE</w:t>
      </w:r>
    </w:p>
    <w:p>
      <w:pPr>
        <w:pStyle w:val="BodyText"/>
      </w:pPr>
      <w:r>
        <w:t xml:space="preserve">0</w:t>
      </w:r>
    </w:p>
    <w:p>
      <w:pPr>
        <w:pStyle w:val="BodyText"/>
      </w:pPr>
      <w:r>
        <w:t xml:space="preserve">6</w:t>
      </w:r>
    </w:p>
    <w:p>
      <w:pPr>
        <w:pStyle w:val="BodyText"/>
      </w:pPr>
      <w:r>
        <w:t xml:space="preserve">FALSE</w:t>
      </w:r>
    </w:p>
    <w:p>
      <w:pPr>
        <w:pStyle w:val="BodyText"/>
      </w:pPr>
      <w:r>
        <w:t xml:space="preserve">-1.0000000</w:t>
      </w:r>
    </w:p>
    <w:p>
      <w:pPr>
        <w:pStyle w:val="BodyText"/>
      </w:pPr>
      <w:r>
        <w:t xml:space="preserve">6</w:t>
      </w:r>
    </w:p>
    <w:p>
      <w:pPr>
        <w:pStyle w:val="BodyText"/>
      </w:pPr>
      <w:r>
        <w:t xml:space="preserve">USCG-2010-0990</w:t>
      </w:r>
    </w:p>
    <w:p>
      <w:pPr>
        <w:pStyle w:val="BodyText"/>
      </w:pPr>
      <w:r>
        <w:t xml:space="preserve">49</w:t>
      </w:r>
    </w:p>
    <w:p>
      <w:pPr>
        <w:pStyle w:val="BodyText"/>
      </w:pPr>
      <w:r>
        <w:t xml:space="preserve">NMMA</w:t>
      </w:r>
    </w:p>
    <w:p>
      <w:pPr>
        <w:pStyle w:val="BodyText"/>
      </w:pPr>
      <w:r>
        <w:t xml:space="preserve">FALSE</w:t>
      </w:r>
    </w:p>
    <w:p>
      <w:pPr>
        <w:pStyle w:val="BodyText"/>
      </w:pPr>
      <w:r>
        <w:t xml:space="preserve">0</w:t>
      </w:r>
    </w:p>
    <w:p>
      <w:pPr>
        <w:pStyle w:val="BodyText"/>
      </w:pPr>
      <w:r>
        <w:t xml:space="preserve">4</w:t>
      </w:r>
    </w:p>
    <w:p>
      <w:pPr>
        <w:pStyle w:val="BodyText"/>
      </w:pPr>
      <w:r>
        <w:t xml:space="preserve">FALSE</w:t>
      </w:r>
    </w:p>
    <w:p>
      <w:pPr>
        <w:pStyle w:val="BodyText"/>
      </w:pPr>
      <w:r>
        <w:t xml:space="preserve">2.0000000</w:t>
      </w:r>
    </w:p>
    <w:p>
      <w:pPr>
        <w:pStyle w:val="BodyText"/>
      </w:pPr>
      <w:r>
        <w:t xml:space="preserve">4</w:t>
      </w:r>
    </w:p>
    <w:p>
      <w:pPr>
        <w:pStyle w:val="BodyText"/>
      </w:pPr>
      <w:r>
        <w:drawing>
          <wp:inline>
            <wp:extent cx="5334000" cy="5334000"/>
            <wp:effectExtent b="0" l="0" r="0" t="0"/>
            <wp:docPr descr="" title="" id="1" name="Picture"/>
            <a:graphic>
              <a:graphicData uri="http://schemas.openxmlformats.org/drawingml/2006/picture">
                <pic:pic>
                  <pic:nvPicPr>
                    <pic:cNvPr descr="figs/hist-coalitions-1.png" id="0" name="Picture"/>
                    <pic:cNvPicPr>
                      <a:picLocks noChangeArrowheads="1" noChangeAspect="1"/>
                    </pic:cNvPicPr>
                  </pic:nvPicPr>
                  <pic:blipFill>
                    <a:blip r:embed="rId15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s/hist-coalitions-2.png" id="0" name="Picture"/>
                    <pic:cNvPicPr>
                      <a:picLocks noChangeArrowheads="1" noChangeAspect="1"/>
                    </pic:cNvPicPr>
                  </pic:nvPicPr>
                  <pic:blipFill>
                    <a:blip r:embed="rId15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s/hist-coalitions-3.png" id="0" name="Picture"/>
                    <pic:cNvPicPr>
                      <a:picLocks noChangeArrowheads="1" noChangeAspect="1"/>
                    </pic:cNvPicPr>
                  </pic:nvPicPr>
                  <pic:blipFill>
                    <a:blip r:embed="rId15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figs/hist-comments-1.png" id="0"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154" w:name="results"/>
      <w:r>
        <w:t xml:space="preserve">3.5.2	Results</w:t>
      </w:r>
      <w:bookmarkEnd w:id="154"/>
    </w:p>
    <w:p>
      <w:pPr>
        <w:pStyle w:val="FirstParagraph"/>
      </w:pPr>
      <w:r>
        <w:t xml:space="preserve">The results of this model (Figure</w:t>
      </w:r>
      <w:r>
        <w:t xml:space="preserve"> </w:t>
      </w:r>
      <w:r>
        <w:t xml:space="preserve">3.5</w:t>
      </w:r>
      <w:r>
        <w:t xml:space="preserve">, Table</w:t>
      </w:r>
      <w:r>
        <w:t xml:space="preserve"> </w:t>
      </w:r>
      <w:r>
        <w:t xml:space="preserve">3.4</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5: OLS model of coalition lobbying sucess with hand-coded data" title="" id="1" name="Picture"/>
            <a:graphic>
              <a:graphicData uri="http://schemas.openxmlformats.org/drawingml/2006/picture">
                <pic:pic>
                  <pic:nvPicPr>
                    <pic:cNvPr descr="figs/model-success-plot-1.png" id="0" name="Picture"/>
                    <pic:cNvPicPr>
                      <a:picLocks noChangeArrowheads="1" noChangeAspect="1"/>
                    </pic:cNvPicPr>
                  </pic:nvPicPr>
                  <pic:blipFill>
                    <a:blip r:embed="rId155"/>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3.5: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3.4</w:t>
      </w:r>
      <w:r>
        <w:t xml:space="preserve"> </w:t>
      </w:r>
      <w:r>
        <w:t xml:space="preserve">replaces the dependent varible (lobbying success) with the mediator variable (the number of supportive members of Congress).</w:t>
      </w:r>
    </w:p>
    <w:p>
      <w:pPr>
        <w:pStyle w:val="BodyText"/>
      </w:pPr>
      <w:r>
        <w:t xml:space="preserve">Table 3.4: Lobbying success and congressional support</w:t>
      </w:r>
    </w:p>
    <w:p>
      <w:pPr>
        <w:pStyle w:val="BodyText"/>
      </w:pPr>
      <w:r>
        <w:t xml:space="preserve">1</w:t>
      </w:r>
    </w:p>
    <w:p>
      <w:pPr>
        <w:pStyle w:val="BodyText"/>
      </w:pPr>
      <w:r>
        <w:t xml:space="preserve">2</w:t>
      </w:r>
    </w:p>
    <w:p>
      <w:pPr>
        <w:pStyle w:val="BodyText"/>
      </w:pPr>
      <w:r>
        <w:t xml:space="preserve">3</w:t>
      </w:r>
    </w:p>
    <w:p>
      <w:pPr>
        <w:pStyle w:val="BodyText"/>
      </w:pPr>
      <w:r>
        <w:t xml:space="preserve">Dependent Variable</w:t>
      </w:r>
    </w:p>
    <w:p>
      <w:pPr>
        <w:pStyle w:val="BodyText"/>
      </w:pPr>
      <w:r>
        <w:t xml:space="preserve">Lobbying Success</w:t>
      </w:r>
    </w:p>
    <w:p>
      <w:pPr>
        <w:pStyle w:val="BodyText"/>
      </w:pPr>
      <w:r>
        <w:t xml:space="preserve">Lobbying Success</w:t>
      </w:r>
    </w:p>
    <w:p>
      <w:pPr>
        <w:pStyle w:val="BodyText"/>
      </w:pPr>
      <w:r>
        <w:t xml:space="preserve">Members of Congress in Coalition</w:t>
      </w:r>
    </w:p>
    <w:p>
      <w:pPr>
        <w:pStyle w:val="BodyText"/>
      </w:pPr>
      <w:r>
        <w:t xml:space="preserve">(Intercept)</w:t>
      </w:r>
    </w:p>
    <w:p>
      <w:pPr>
        <w:pStyle w:val="BodyText"/>
      </w:pPr>
      <w:r>
        <w:t xml:space="preserve">0.262</w:t>
      </w:r>
    </w:p>
    <w:p>
      <w:pPr>
        <w:pStyle w:val="BodyText"/>
      </w:pPr>
      <w:r>
        <w:t xml:space="preserve">-0.028</w:t>
      </w:r>
    </w:p>
    <w:p>
      <w:pPr>
        <w:pStyle w:val="BodyText"/>
      </w:pPr>
      <w:r>
        <w:t xml:space="preserve">0.074</w:t>
      </w:r>
    </w:p>
    <w:p>
      <w:pPr>
        <w:pStyle w:val="BodyText"/>
      </w:pPr>
      <w:r>
        <w:t xml:space="preserve">(0.220)</w:t>
      </w:r>
    </w:p>
    <w:p>
      <w:pPr>
        <w:pStyle w:val="BodyText"/>
      </w:pPr>
      <w:r>
        <w:t xml:space="preserve">(0.419)</w:t>
      </w:r>
    </w:p>
    <w:p>
      <w:pPr>
        <w:pStyle w:val="BodyText"/>
      </w:pPr>
      <w:r>
        <w:t xml:space="preserve">(0.059)</w:t>
      </w:r>
    </w:p>
    <w:p>
      <w:pPr>
        <w:pStyle w:val="BodyText"/>
      </w:pPr>
      <w:r>
        <w:t xml:space="preserve">log(comments)</w:t>
      </w:r>
    </w:p>
    <w:p>
      <w:pPr>
        <w:pStyle w:val="BodyText"/>
      </w:pPr>
      <w:r>
        <w:t xml:space="preserve">0.428**</w:t>
      </w:r>
    </w:p>
    <w:p>
      <w:pPr>
        <w:pStyle w:val="BodyText"/>
      </w:pPr>
      <w:r>
        <w:t xml:space="preserve">0.372</w:t>
      </w:r>
    </w:p>
    <w:p>
      <w:pPr>
        <w:pStyle w:val="BodyText"/>
      </w:pPr>
      <w:r>
        <w:t xml:space="preserve">-0.013</w:t>
      </w:r>
    </w:p>
    <w:p>
      <w:pPr>
        <w:pStyle w:val="BodyText"/>
      </w:pPr>
      <w:r>
        <w:t xml:space="preserve">(0.181)</w:t>
      </w:r>
    </w:p>
    <w:p>
      <w:pPr>
        <w:pStyle w:val="BodyText"/>
      </w:pPr>
      <w:r>
        <w:t xml:space="preserve">(0.242)</w:t>
      </w:r>
    </w:p>
    <w:p>
      <w:pPr>
        <w:pStyle w:val="BodyText"/>
      </w:pPr>
      <w:r>
        <w:t xml:space="preserve">(0.035)</w:t>
      </w:r>
    </w:p>
    <w:p>
      <w:pPr>
        <w:pStyle w:val="BodyText"/>
      </w:pPr>
      <w:r>
        <w:t xml:space="preserve">coalition_businessTRUE</w:t>
      </w:r>
    </w:p>
    <w:p>
      <w:pPr>
        <w:pStyle w:val="BodyText"/>
      </w:pPr>
      <w:r>
        <w:t xml:space="preserve">-0.953***</w:t>
      </w:r>
    </w:p>
    <w:p>
      <w:pPr>
        <w:pStyle w:val="BodyText"/>
      </w:pPr>
      <w:r>
        <w:t xml:space="preserve">-0.011</w:t>
      </w:r>
    </w:p>
    <w:p>
      <w:pPr>
        <w:pStyle w:val="BodyText"/>
      </w:pPr>
      <w:r>
        <w:t xml:space="preserve">-0.062</w:t>
      </w:r>
    </w:p>
    <w:p>
      <w:pPr>
        <w:pStyle w:val="BodyText"/>
      </w:pPr>
      <w:r>
        <w:t xml:space="preserve">(0.288)</w:t>
      </w:r>
    </w:p>
    <w:p>
      <w:pPr>
        <w:pStyle w:val="BodyText"/>
      </w:pPr>
      <w:r>
        <w:t xml:space="preserve">(0.449)</w:t>
      </w:r>
    </w:p>
    <w:p>
      <w:pPr>
        <w:pStyle w:val="BodyText"/>
      </w:pPr>
      <w:r>
        <w:t xml:space="preserve">(0.064)</w:t>
      </w:r>
    </w:p>
    <w:p>
      <w:pPr>
        <w:pStyle w:val="BodyText"/>
      </w:pPr>
      <w:r>
        <w:t xml:space="preserve">coalition_size</w:t>
      </w:r>
    </w:p>
    <w:p>
      <w:pPr>
        <w:pStyle w:val="BodyText"/>
      </w:pPr>
      <w:r>
        <w:t xml:space="preserve">-0.025**</w:t>
      </w:r>
    </w:p>
    <w:p>
      <w:pPr>
        <w:pStyle w:val="BodyText"/>
      </w:pPr>
      <w:r>
        <w:t xml:space="preserve">-0.023**</w:t>
      </w:r>
    </w:p>
    <w:p>
      <w:pPr>
        <w:pStyle w:val="BodyText"/>
      </w:pPr>
      <w:r>
        <w:t xml:space="preserve">0.000</w:t>
      </w:r>
    </w:p>
    <w:p>
      <w:pPr>
        <w:pStyle w:val="BodyText"/>
      </w:pPr>
      <w:r>
        <w:t xml:space="preserve">(0.010)</w:t>
      </w:r>
    </w:p>
    <w:p>
      <w:pPr>
        <w:pStyle w:val="BodyText"/>
      </w:pPr>
      <w:r>
        <w:t xml:space="preserve">(0.011)</w:t>
      </w:r>
    </w:p>
    <w:p>
      <w:pPr>
        <w:pStyle w:val="BodyText"/>
      </w:pPr>
      <w:r>
        <w:t xml:space="preserve">(0.002)</w:t>
      </w:r>
    </w:p>
    <w:p>
      <w:pPr>
        <w:pStyle w:val="BodyText"/>
      </w:pPr>
      <w:r>
        <w:t xml:space="preserve">coalition_unopposedTRUE</w:t>
      </w:r>
    </w:p>
    <w:p>
      <w:pPr>
        <w:pStyle w:val="BodyText"/>
      </w:pPr>
      <w:r>
        <w:t xml:space="preserve">NA</w:t>
      </w:r>
    </w:p>
    <w:p>
      <w:pPr>
        <w:pStyle w:val="BodyText"/>
      </w:pPr>
      <w:r>
        <w:t xml:space="preserve">NA</w:t>
      </w:r>
    </w:p>
    <w:p>
      <w:pPr>
        <w:pStyle w:val="BodyText"/>
      </w:pPr>
      <w:r>
        <w:t xml:space="preserve">NA</w:t>
      </w:r>
    </w:p>
    <w:p>
      <w:pPr>
        <w:pStyle w:val="BodyText"/>
      </w:pPr>
      <w:r>
        <w:t xml:space="preserve">()</w:t>
      </w:r>
    </w:p>
    <w:p>
      <w:pPr>
        <w:pStyle w:val="BodyText"/>
      </w:pPr>
      <w:r>
        <w:t xml:space="preserve">()</w:t>
      </w:r>
    </w:p>
    <w:p>
      <w:pPr>
        <w:pStyle w:val="BodyText"/>
      </w:pPr>
      <w:r>
        <w:t xml:space="preserve">()</w:t>
      </w:r>
    </w:p>
    <w:p>
      <w:pPr>
        <w:pStyle w:val="BodyText"/>
      </w:pPr>
      <w:r>
        <w:t xml:space="preserve">cong_support</w:t>
      </w:r>
    </w:p>
    <w:p>
      <w:pPr>
        <w:pStyle w:val="BodyText"/>
      </w:pPr>
      <w:r>
        <w:t xml:space="preserve">1.778*</w:t>
      </w:r>
    </w:p>
    <w:p>
      <w:pPr>
        <w:pStyle w:val="BodyText"/>
      </w:pPr>
      <w:r>
        <w:t xml:space="preserve">(1.027)</w:t>
      </w:r>
    </w:p>
    <w:p>
      <w:pPr>
        <w:pStyle w:val="BodyText"/>
      </w:pPr>
      <w:r>
        <w:t xml:space="preserve">Num.Obs.</w:t>
      </w:r>
    </w:p>
    <w:p>
      <w:pPr>
        <w:pStyle w:val="BodyText"/>
      </w:pPr>
      <w:r>
        <w:t xml:space="preserve">130</w:t>
      </w:r>
    </w:p>
    <w:p>
      <w:pPr>
        <w:pStyle w:val="BodyText"/>
      </w:pPr>
      <w:r>
        <w:t xml:space="preserve">50</w:t>
      </w:r>
    </w:p>
    <w:p>
      <w:pPr>
        <w:pStyle w:val="BodyText"/>
      </w:pPr>
      <w:r>
        <w:t xml:space="preserve">50</w:t>
      </w:r>
    </w:p>
    <w:p>
      <w:pPr>
        <w:pStyle w:val="BodyText"/>
      </w:pPr>
      <w:r>
        <w:t xml:space="preserve">R2</w:t>
      </w:r>
    </w:p>
    <w:p>
      <w:pPr>
        <w:pStyle w:val="BodyText"/>
      </w:pPr>
      <w:r>
        <w:t xml:space="preserve">0.148</w:t>
      </w:r>
    </w:p>
    <w:p>
      <w:pPr>
        <w:pStyle w:val="BodyText"/>
      </w:pPr>
      <w:r>
        <w:t xml:space="preserve">0.142</w:t>
      </w:r>
    </w:p>
    <w:p>
      <w:pPr>
        <w:pStyle w:val="BodyText"/>
      </w:pPr>
      <w:r>
        <w:t xml:space="preserve">0.021</w:t>
      </w:r>
    </w:p>
    <w:p>
      <w:pPr>
        <w:pStyle w:val="BodyText"/>
      </w:pPr>
      <w:r>
        <w:t xml:space="preserve">R2 Adj.</w:t>
      </w:r>
    </w:p>
    <w:p>
      <w:pPr>
        <w:pStyle w:val="BodyText"/>
      </w:pPr>
      <w:r>
        <w:t xml:space="preserve">0.128</w:t>
      </w:r>
    </w:p>
    <w:p>
      <w:pPr>
        <w:pStyle w:val="BodyText"/>
      </w:pPr>
      <w:r>
        <w:t xml:space="preserve">0.066</w:t>
      </w:r>
    </w:p>
    <w:p>
      <w:pPr>
        <w:pStyle w:val="BodyText"/>
      </w:pPr>
      <w:r>
        <w:t xml:space="preserve">-0.043</w:t>
      </w:r>
    </w:p>
    <w:p>
      <w:pPr>
        <w:pStyle w:val="BodyText"/>
      </w:pPr>
      <w:r>
        <w:t xml:space="preserve">AIC</w:t>
      </w:r>
    </w:p>
    <w:p>
      <w:pPr>
        <w:pStyle w:val="BodyText"/>
      </w:pPr>
      <w:r>
        <w:t xml:space="preserve">489.5</w:t>
      </w:r>
    </w:p>
    <w:p>
      <w:pPr>
        <w:pStyle w:val="BodyText"/>
      </w:pPr>
      <w:r>
        <w:t xml:space="preserve">182.9</w:t>
      </w:r>
    </w:p>
    <w:p>
      <w:pPr>
        <w:pStyle w:val="BodyText"/>
      </w:pPr>
      <w:r>
        <w:t xml:space="preserve">-12.1</w:t>
      </w:r>
    </w:p>
    <w:p>
      <w:pPr>
        <w:pStyle w:val="BodyText"/>
      </w:pPr>
      <w:r>
        <w:t xml:space="preserve">BIC</w:t>
      </w:r>
    </w:p>
    <w:p>
      <w:pPr>
        <w:pStyle w:val="BodyText"/>
      </w:pPr>
      <w:r>
        <w:t xml:space="preserve">503.8</w:t>
      </w:r>
    </w:p>
    <w:p>
      <w:pPr>
        <w:pStyle w:val="BodyText"/>
      </w:pPr>
      <w:r>
        <w:t xml:space="preserve">194.4</w:t>
      </w:r>
    </w:p>
    <w:p>
      <w:pPr>
        <w:pStyle w:val="BodyText"/>
      </w:pPr>
      <w:r>
        <w:t xml:space="preserve">-2.6</w:t>
      </w:r>
    </w:p>
    <w:p>
      <w:pPr>
        <w:pStyle w:val="BodyText"/>
      </w:pPr>
      <w:r>
        <w:t xml:space="preserve">Log.Lik.</w:t>
      </w:r>
    </w:p>
    <w:p>
      <w:pPr>
        <w:pStyle w:val="BodyText"/>
      </w:pPr>
      <w:r>
        <w:t xml:space="preserve">-239.752</w:t>
      </w:r>
    </w:p>
    <w:p>
      <w:pPr>
        <w:pStyle w:val="BodyText"/>
      </w:pPr>
      <w:r>
        <w:t xml:space="preserve">-85.443</w:t>
      </w:r>
    </w:p>
    <w:p>
      <w:pPr>
        <w:pStyle w:val="BodyText"/>
      </w:pPr>
      <w:r>
        <w:t xml:space="preserve">11.073</w:t>
      </w:r>
    </w:p>
    <w:p>
      <w:pPr>
        <w:pStyle w:val="BodyText"/>
      </w:pPr>
      <w:r>
        <w:t xml:space="preserve">F</w:t>
      </w:r>
    </w:p>
    <w:p>
      <w:pPr>
        <w:pStyle w:val="BodyText"/>
      </w:pPr>
      <w:r>
        <w:t xml:space="preserve">7.294</w:t>
      </w:r>
    </w:p>
    <w:p>
      <w:pPr>
        <w:pStyle w:val="BodyText"/>
      </w:pPr>
      <w:r>
        <w:t xml:space="preserve">1.861</w:t>
      </w:r>
    </w:p>
    <w:p>
      <w:pPr>
        <w:pStyle w:val="BodyText"/>
      </w:pPr>
      <w:r>
        <w:t xml:space="preserve">0.327</w:t>
      </w:r>
    </w:p>
    <w:p>
      <w:pPr>
        <w:pStyle w:val="BodyText"/>
      </w:pPr>
    </w:p>
    <w:p>
      <w:pPr>
        <w:pStyle w:val="BodyText"/>
      </w:pPr>
      <w:r>
        <w:t xml:space="preserve"> </w:t>
      </w:r>
      <w:r>
        <w:t xml:space="preserve">* p &lt; 0.1, ** p &lt; 0.05, *** p &lt; 0.01</w:t>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 0, with a p value of 0.99.</w:t>
      </w:r>
    </w:p>
    <w:p>
      <w:pPr>
        <w:pStyle w:val="BodyText"/>
      </w:pPr>
      <w:r>
        <w:t xml:space="preserve">The average direct effect (ADE) of the logged number of comments on lobbying success is 0, with a p value of 0.56</w:t>
      </w:r>
    </w:p>
    <w:p>
      <w:pPr>
        <w:pStyle w:val="BodyText"/>
      </w:pPr>
      <w:r>
        <w:t xml:space="preserve">The Total Effect of a one-unit increase in the logged number of comments is 0, with a p value of 0.56. 0 of this is mediated through mobilizing congressional attention (p-value = 0.99).</w:t>
      </w:r>
    </w:p>
    <w:p>
      <w:pPr>
        <w:pStyle w:val="Heading3"/>
      </w:pPr>
      <w:bookmarkStart w:id="156" w:name="preliminary-findings"/>
      <w:r>
        <w:t xml:space="preserve">3.5.3	Preliminary findings</w:t>
      </w:r>
      <w:bookmarkEnd w:id="156"/>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go forward with the implementing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p>
      <w:pPr>
        <w:pStyle w:val="Heading2"/>
      </w:pPr>
      <w:bookmarkStart w:id="157" w:name="conclusion-1"/>
      <w:r>
        <w:t xml:space="preserve">3.6	Conclusion</w:t>
      </w:r>
      <w:bookmarkEnd w:id="157"/>
    </w:p>
    <w:p>
      <w:pPr>
        <w:pStyle w:val="BlockText"/>
      </w:pPr>
      <w:r>
        <w:t xml:space="preserve">TODO</w:t>
      </w:r>
    </w:p>
    <w:p>
      <w:pPr>
        <w:pStyle w:val="Heading1"/>
      </w:pPr>
      <w:bookmarkStart w:id="158" w:name="Xad1e5e3cf28743755c8bc9c8447ea666bb332bf"/>
      <w:r>
        <w:t xml:space="preserve">4	The Environmental Justice Movement and Technocratic Policymaking</w:t>
      </w:r>
      <w:bookmarkEnd w:id="158"/>
    </w:p>
    <w:p>
      <w:pPr>
        <w:pStyle w:val="FirstParagraph"/>
      </w:pPr>
      <w:r>
        <w:t xml:space="preserve">See the working paper version of this chapter</w:t>
      </w:r>
      <w:r>
        <w:t xml:space="preserve"> </w:t>
      </w:r>
      <w:hyperlink r:id="rId159">
        <w:r>
          <w:rPr>
            <w:rStyle w:val="Hyperlink"/>
            <w:i/>
          </w:rPr>
          <w:t xml:space="preserve">here</w:t>
        </w:r>
      </w:hyperlink>
      <w:r>
        <w:t xml:space="preserve">.</w:t>
      </w:r>
    </w:p>
    <w:p>
      <w:pPr>
        <w:pStyle w:val="Heading4"/>
      </w:pPr>
      <w:bookmarkStart w:id="160" w:name="abstract-2"/>
      <w:r>
        <w:t xml:space="preserve">Abstract</w:t>
      </w:r>
      <w:bookmarkEnd w:id="160"/>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p>
      <w:pPr>
        <w:pStyle w:val="Heading2"/>
      </w:pPr>
      <w:bookmarkStart w:id="161" w:name="introduction-2"/>
      <w:r>
        <w:t xml:space="preserve">4.1	Introduction</w:t>
      </w:r>
      <w:bookmarkEnd w:id="161"/>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(Skocpol</w:t>
      </w:r>
      <w:r>
        <w:t xml:space="preserve"> </w:t>
      </w:r>
      <w:hyperlink w:anchor="ref-Skocpol2013">
        <w:r>
          <w:rPr>
            <w:rStyle w:val="Hyperlink"/>
          </w:rPr>
          <w:t xml:space="preserve">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(Bullard</w:t>
      </w:r>
      <w:r>
        <w:t xml:space="preserve"> </w:t>
      </w:r>
      <w:hyperlink w:anchor="ref-Bullard1993">
        <w:r>
          <w:rPr>
            <w:rStyle w:val="Hyperlink"/>
          </w:rPr>
          <w:t xml:space="preserve">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p>
      <w:pPr>
        <w:pStyle w:val="Heading2"/>
      </w:pPr>
      <w:bookmarkStart w:id="162" w:name="theory"/>
      <w:r>
        <w:t xml:space="preserve">4.2	Theory</w:t>
      </w:r>
      <w:bookmarkEnd w:id="162"/>
    </w:p>
    <w:p>
      <w:pPr>
        <w:pStyle w:val="FirstParagraph"/>
      </w:pPr>
      <w:r>
        <w:t xml:space="preserve">Participatory processes like public comment periods, where policymakers must solicit public input on draft policies, are said to provide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and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163"/>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p>
      <w:pPr>
        <w:pStyle w:val="Heading3"/>
      </w:pPr>
      <w:bookmarkStart w:id="164" w:name="social-movements-and-policy-change"/>
      <w:r>
        <w:t xml:space="preserve">4.2.1	Social Movements and Policy Change</w:t>
      </w:r>
      <w:bookmarkEnd w:id="164"/>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(Lowi and Nicholson</w:t>
      </w:r>
      <w:r>
        <w:t xml:space="preserve"> </w:t>
      </w:r>
      <w:hyperlink w:anchor="ref-Lowi2015">
        <w:r>
          <w:rPr>
            <w:rStyle w:val="Hyperlink"/>
          </w:rPr>
          <w:t xml:space="preserve">2015</w:t>
        </w:r>
      </w:hyperlink>
      <w:r>
        <w:t xml:space="preserve">)</w:t>
      </w:r>
      <w:r>
        <w:t xml:space="preserve">. The organizational forms that mobilize and channel movement pressure (often called social movement organizations by those who study their organization and advocacy organizations or pressure groups by those that study their effects) are essential features of modern politics and lawmaking</w:t>
      </w:r>
      <w:r>
        <w:t xml:space="preserve"> </w:t>
      </w:r>
      <w:r>
        <w:t xml:space="preserve">(Baumgartner and Leech</w:t>
      </w:r>
      <w:r>
        <w:t xml:space="preserve"> </w:t>
      </w:r>
      <w:hyperlink w:anchor="ref-Baumgartner2001">
        <w:r>
          <w:rPr>
            <w:rStyle w:val="Hyperlink"/>
          </w:rPr>
          <w:t xml:space="preserve">2001</w:t>
        </w:r>
      </w:hyperlink>
      <w:r>
        <w:t xml:space="preserve">; Coglianese</w:t>
      </w:r>
      <w:r>
        <w:t xml:space="preserve"> </w:t>
      </w:r>
      <w:hyperlink w:anchor="ref-Coglianese2001">
        <w:r>
          <w:rPr>
            <w:rStyle w:val="Hyperlink"/>
          </w:rPr>
          <w:t xml:space="preserve">2001</w:t>
        </w:r>
      </w:hyperlink>
      <w:r>
        <w:t xml:space="preserve">)</w:t>
      </w:r>
      <w:r>
        <w:t xml:space="preserve">. Conversely, the lack of broad-based support for and movement pressure can be the failure of a policy effort</w:t>
      </w:r>
      <w:r>
        <w:t xml:space="preserve"> </w:t>
      </w:r>
      <w:r>
        <w:t xml:space="preserve">(Skocpol</w:t>
      </w:r>
      <w:r>
        <w:t xml:space="preserve"> </w:t>
      </w:r>
      <w:hyperlink w:anchor="ref-Skocpol2013">
        <w:r>
          <w:rPr>
            <w:rStyle w:val="Hyperlink"/>
          </w:rPr>
          <w:t xml:space="preserve">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(Gillion</w:t>
      </w:r>
      <w:r>
        <w:t xml:space="preserve"> </w:t>
      </w:r>
      <w:hyperlink w:anchor="ref-Gillion2013">
        <w:r>
          <w:rPr>
            <w:rStyle w:val="Hyperlink"/>
          </w:rPr>
          <w:t xml:space="preserve">2013</w:t>
        </w:r>
      </w:hyperlink>
      <w:r>
        <w:t xml:space="preserve">)</w:t>
      </w:r>
      <w:r>
        <w:t xml:space="preserve">. Petition campaigns can build the organizational capacity to affect policy</w:t>
      </w:r>
      <w:r>
        <w:t xml:space="preserve"> </w:t>
      </w:r>
      <w:r>
        <w:t xml:space="preserve">(Carpenter,</w:t>
      </w:r>
      <w:r>
        <w:t xml:space="preserve"> </w:t>
      </w:r>
      <w:hyperlink w:anchor="ref-CarpenterPetitions">
        <w:r>
          <w:rPr>
            <w:rStyle w:val="Hyperlink"/>
          </w:rPr>
          <w:t xml:space="preserve">n.d.</w:t>
        </w:r>
      </w:hyperlink>
      <w:r>
        <w:t xml:space="preserve">)</w:t>
      </w:r>
      <w:r>
        <w:t xml:space="preserve">. Activists reshape political parties to enact new policy agendas</w:t>
      </w:r>
      <w:r>
        <w:t xml:space="preserve"> </w:t>
      </w:r>
      <w:r>
        <w:t xml:space="preserve">(Schattschneider</w:t>
      </w:r>
      <w:r>
        <w:t xml:space="preserve"> </w:t>
      </w:r>
      <w:hyperlink w:anchor="ref-Schattschneider1942">
        <w:r>
          <w:rPr>
            <w:rStyle w:val="Hyperlink"/>
          </w:rPr>
          <w:t xml:space="preserve">1942</w:t>
        </w:r>
      </w:hyperlink>
      <w:r>
        <w:t xml:space="preserve">; Cohen et al.</w:t>
      </w:r>
      <w:r>
        <w:t xml:space="preserve"> </w:t>
      </w:r>
      <w:hyperlink w:anchor="ref-Cohen2008">
        <w:r>
          <w:rPr>
            <w:rStyle w:val="Hyperlink"/>
          </w:rPr>
          <w:t xml:space="preserve">2008</w:t>
        </w:r>
      </w:hyperlink>
      <w:r>
        <w:t xml:space="preserve">; Schlozman</w:t>
      </w:r>
      <w:r>
        <w:t xml:space="preserve"> </w:t>
      </w:r>
      <w:hyperlink w:anchor="ref-Schlozman2015">
        <w:r>
          <w:rPr>
            <w:rStyle w:val="Hyperlink"/>
          </w:rPr>
          <w:t xml:space="preserve">2015</w:t>
        </w:r>
      </w:hyperlink>
      <w:r>
        <w:t xml:space="preserve">; Skocpol and Williamson</w:t>
      </w:r>
      <w:r>
        <w:t xml:space="preserve"> </w:t>
      </w:r>
      <w:hyperlink w:anchor="ref-Skocpol2016">
        <w:r>
          <w:rPr>
            <w:rStyle w:val="Hyperlink"/>
          </w:rPr>
          <w:t xml:space="preserve">2016</w:t>
        </w:r>
      </w:hyperlink>
      <w:r>
        <w:t xml:space="preserve">)</w:t>
      </w:r>
      <w:r>
        <w:t xml:space="preserve">.</w:t>
      </w:r>
    </w:p>
    <w:p>
      <w:pPr>
        <w:pStyle w:val="BodyText"/>
      </w:pPr>
      <w:r>
        <w:t xml:space="preserve">Studies of social movements tend to explain social movement emergence rather than specific impacts (see reviews by</w:t>
      </w:r>
      <w:r>
        <w:t xml:space="preserve"> </w:t>
      </w:r>
      <w:r>
        <w:t xml:space="preserve">Meyer (</w:t>
      </w:r>
      <w:hyperlink w:anchor="ref-Meyer2004">
        <w:r>
          <w:rPr>
            <w:rStyle w:val="Hyperlink"/>
          </w:rPr>
          <w:t xml:space="preserve">2004</w:t>
        </w:r>
      </w:hyperlink>
      <w:r>
        <w:t xml:space="preserve">)</w:t>
      </w:r>
      <w:r>
        <w:t xml:space="preserve"> </w:t>
      </w:r>
      <w:r>
        <w:t xml:space="preserve">and</w:t>
      </w:r>
      <w:r>
        <w:t xml:space="preserve"> </w:t>
      </w:r>
      <w:r>
        <w:t xml:space="preserve">Mcadam (</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(Andrews and Edwards</w:t>
      </w:r>
      <w:r>
        <w:t xml:space="preserve"> </w:t>
      </w:r>
      <w:hyperlink w:anchor="ref-Andrews2004">
        <w:r>
          <w:rPr>
            <w:rStyle w:val="Hyperlink"/>
          </w:rPr>
          <w:t xml:space="preserve">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(Gillion</w:t>
      </w:r>
      <w:r>
        <w:t xml:space="preserve"> </w:t>
      </w:r>
      <w:hyperlink w:anchor="ref-Gillion2013">
        <w:r>
          <w:rPr>
            <w:rStyle w:val="Hyperlink"/>
          </w:rPr>
          <w:t xml:space="preserve">2013</w:t>
        </w:r>
      </w:hyperlink>
      <w:r>
        <w:t xml:space="preserve">)</w:t>
      </w:r>
      <w:r>
        <w:t xml:space="preserve"> </w:t>
      </w:r>
      <w:r>
        <w:t xml:space="preserve">or case studies of local policy issues</w:t>
      </w:r>
      <w:r>
        <w:t xml:space="preserve"> </w:t>
      </w:r>
      <w:r>
        <w:t xml:space="preserve">(e.g., Bullard</w:t>
      </w:r>
      <w:r>
        <w:t xml:space="preserve"> </w:t>
      </w:r>
      <w:hyperlink w:anchor="ref-Bullard1993">
        <w:r>
          <w:rPr>
            <w:rStyle w:val="Hyperlink"/>
          </w:rPr>
          <w:t xml:space="preserve">1993</w:t>
        </w:r>
      </w:hyperlink>
      <w:r>
        <w:t xml:space="preserve">; Rochon and Mazmanian</w:t>
      </w:r>
      <w:r>
        <w:t xml:space="preserve"> </w:t>
      </w:r>
      <w:hyperlink w:anchor="ref-Rochon1993">
        <w:r>
          <w:rPr>
            <w:rStyle w:val="Hyperlink"/>
          </w:rPr>
          <w:t xml:space="preserve">1993</w:t>
        </w:r>
      </w:hyperlink>
      <w:r>
        <w:t xml:space="preserve">)</w:t>
      </w:r>
      <w:r>
        <w:t xml:space="preserve">. Reviewing the specificity of measures used to assess the impact of advocacy campaigns,</w:t>
      </w:r>
      <w:r>
        <w:t xml:space="preserve"> </w:t>
      </w:r>
      <w:r>
        <w:t xml:space="preserve">Burstein (</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r>
        <w:t xml:space="preserve">Leech (</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r>
        <w:t xml:space="preserve">Lowery (</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(Hojnacki et al.</w:t>
      </w:r>
      <w:r>
        <w:t xml:space="preserve"> </w:t>
      </w:r>
      <w:hyperlink w:anchor="ref-Hojnacki2012">
        <w:r>
          <w:rPr>
            <w:rStyle w:val="Hyperlink"/>
          </w:rPr>
          <w:t xml:space="preserve">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p>
      <w:pPr>
        <w:pStyle w:val="Heading3"/>
      </w:pPr>
      <w:bookmarkStart w:id="165" w:name="X1c3790d66e0c8fcd3dabc4541111806693f8d51"/>
      <w:r>
        <w:t xml:space="preserve">4.2.2	Technical Information: the Currency of Lobbying</w:t>
      </w:r>
      <w:bookmarkEnd w:id="165"/>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(Kerwin and Furlong</w:t>
      </w:r>
      <w:r>
        <w:t xml:space="preserve"> </w:t>
      </w:r>
      <w:hyperlink w:anchor="ref-Kerwin2011">
        <w:r>
          <w:rPr>
            <w:rStyle w:val="Hyperlink"/>
          </w:rPr>
          <w:t xml:space="preserve">2011</w:t>
        </w:r>
      </w:hyperlink>
      <w:r>
        <w:t xml:space="preserve">)</w:t>
      </w:r>
      <w:r>
        <w:t xml:space="preserve">. Leading formal models are information-based models where sophisticated lobbying groups affect policy by revealing information to the agency</w:t>
      </w:r>
      <w:r>
        <w:t xml:space="preserve"> </w:t>
      </w:r>
      <w:r>
        <w:t xml:space="preserve">(Gailmard and Patty</w:t>
      </w:r>
      <w:r>
        <w:t xml:space="preserve"> </w:t>
      </w:r>
      <w:hyperlink w:anchor="ref-Gailmard2017">
        <w:r>
          <w:rPr>
            <w:rStyle w:val="Hyperlink"/>
          </w:rPr>
          <w:t xml:space="preserve">2017</w:t>
        </w:r>
      </w:hyperlink>
      <w:r>
        <w:t xml:space="preserve">; Libgober</w:t>
      </w:r>
      <w:r>
        <w:t xml:space="preserve"> </w:t>
      </w:r>
      <w:hyperlink w:anchor="ref-Libgober2018">
        <w:r>
          <w:rPr>
            <w:rStyle w:val="Hyperlink"/>
          </w:rPr>
          <w:t xml:space="preserve">2018</w:t>
        </w:r>
      </w:hyperlink>
      <w:r>
        <w:t xml:space="preserve">)</w:t>
      </w:r>
      <w:r>
        <w:t xml:space="preserve">, and empirical studies support the conclusion that information is the currency of lobbying in rulemaking</w:t>
      </w:r>
      <w:r>
        <w:t xml:space="preserve"> </w:t>
      </w:r>
      <w:r>
        <w:t xml:space="preserve">(Yackee</w:t>
      </w:r>
      <w:r>
        <w:t xml:space="preserve"> </w:t>
      </w:r>
      <w:hyperlink w:anchor="ref-Yackee2012">
        <w:r>
          <w:rPr>
            <w:rStyle w:val="Hyperlink"/>
          </w:rPr>
          <w:t xml:space="preserve">2012</w:t>
        </w:r>
      </w:hyperlink>
      <w:r>
        <w:t xml:space="preserve">; Cook</w:t>
      </w:r>
      <w:r>
        <w:t xml:space="preserve"> </w:t>
      </w:r>
      <w:hyperlink w:anchor="ref-Cook2017">
        <w:r>
          <w:rPr>
            <w:rStyle w:val="Hyperlink"/>
          </w:rPr>
          <w:t xml:space="preserve">2017</w:t>
        </w:r>
      </w:hyperlink>
      <w:r>
        <w:t xml:space="preserve">; Gordon and Rashin</w:t>
      </w:r>
      <w:r>
        <w:t xml:space="preserve"> </w:t>
      </w:r>
      <w:hyperlink w:anchor="ref-Gordon2018">
        <w:r>
          <w:rPr>
            <w:rStyle w:val="Hyperlink"/>
          </w:rPr>
          <w:t xml:space="preserve">2018</w:t>
        </w:r>
      </w:hyperlink>
      <w:r>
        <w:t xml:space="preserve">; Walters</w:t>
      </w:r>
      <w:r>
        <w:t xml:space="preserve"> </w:t>
      </w:r>
      <w:hyperlink w:anchor="ref-Walters2019">
        <w:r>
          <w:rPr>
            <w:rStyle w:val="Hyperlink"/>
          </w:rPr>
          <w:t xml:space="preserve">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(Wagner</w:t>
      </w:r>
      <w:r>
        <w:t xml:space="preserve"> </w:t>
      </w:r>
      <w:hyperlink w:anchor="ref-Wagner2010">
        <w:r>
          <w:rPr>
            <w:rStyle w:val="Hyperlink"/>
          </w:rPr>
          <w:t xml:space="preserve">2010</w:t>
        </w:r>
      </w:hyperlink>
      <w:r>
        <w:t xml:space="preserve">)</w:t>
      </w:r>
      <w:r>
        <w:t xml:space="preserve">.</w:t>
      </w:r>
      <w:r>
        <w:t xml:space="preserve"> </w:t>
      </w:r>
      <w:r>
        <w:t xml:space="preserve"> </w:t>
      </w:r>
      <w:r>
        <w:t xml:space="preserve">As</w:t>
      </w:r>
      <w:r>
        <w:t xml:space="preserve"> </w:t>
      </w:r>
      <w:r>
        <w:t xml:space="preserve">Yackee (</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 Hacker, and Mettler</w:t>
      </w:r>
      <w:r>
        <w:t xml:space="preserve"> </w:t>
      </w:r>
      <w:hyperlink w:anchor="ref-Soss2007">
        <w:r>
          <w:rPr>
            <w:rStyle w:val="Hyperlink"/>
          </w:rPr>
          <w:t xml:space="preserve">2007</w:t>
        </w:r>
      </w:hyperlink>
      <w:r>
        <w:t xml:space="preserve">; Hertel-Fernandez</w:t>
      </w:r>
      <w:r>
        <w:t xml:space="preserve"> </w:t>
      </w:r>
      <w:hyperlink w:anchor="ref-Hertel-Fernandez2019">
        <w:r>
          <w:rPr>
            <w:rStyle w:val="Hyperlink"/>
          </w:rPr>
          <w:t xml:space="preserve">2019</w:t>
        </w:r>
      </w:hyperlink>
      <w:r>
        <w:t xml:space="preserve">; Hacker</w:t>
      </w:r>
      <w:r>
        <w:t xml:space="preserve"> </w:t>
      </w:r>
      <w:hyperlink w:anchor="ref-Hacker2003">
        <w:r>
          <w:rPr>
            <w:rStyle w:val="Hyperlink"/>
          </w:rPr>
          <w:t xml:space="preserve">2003</w:t>
        </w:r>
      </w:hyperlink>
      <w:r>
        <w:t xml:space="preserve">; Gilens and Page</w:t>
      </w:r>
      <w:r>
        <w:t xml:space="preserve"> </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 and Carpenter</w:t>
      </w:r>
      <w:r>
        <w:t xml:space="preserve"> </w:t>
      </w:r>
      <w:hyperlink w:anchor="ref-LibgoberCarpenter2018">
        <w:r>
          <w:rPr>
            <w:rStyle w:val="Hyperlink"/>
          </w:rPr>
          <w:t xml:space="preserve">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r>
        <w:t xml:space="preserve">Balla et al. (</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p>
      <w:pPr>
        <w:pStyle w:val="Heading3"/>
      </w:pPr>
      <w:bookmarkStart w:id="166" w:name="political-information"/>
      <w:r>
        <w:t xml:space="preserve">4.2.3	Political Information</w:t>
      </w:r>
      <w:bookmarkEnd w:id="166"/>
    </w:p>
    <w:p>
      <w:pPr>
        <w:pStyle w:val="FirstParagraph"/>
      </w:pPr>
      <w:r>
        <w:t xml:space="preserve">While social movement organizations do engage in fights over technical reports and scientific studies, the information that activists provide is often more overtly political.</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p>
      <w:pPr>
        <w:pStyle w:val="Heading4"/>
      </w:pPr>
      <w:bookmarkStart w:id="167" w:name="X21a46321adfedfeae14da998745a5e83b4f58d7"/>
      <w:r>
        <w:t xml:space="preserve">4.2.3.1	Information About a Policy’s Disparate Effects</w:t>
      </w:r>
      <w:bookmarkEnd w:id="167"/>
    </w:p>
    <w:p>
      <w:pPr>
        <w:pStyle w:val="FirstParagraph"/>
      </w:pPr>
      <w:r>
        <w:t xml:space="preserve">First, while specific</w:t>
      </w:r>
      <w:r>
        <w:t xml:space="preserve"> </w:t>
      </w:r>
      <w:r>
        <w:rPr>
          <w:i/>
        </w:rPr>
        <w:t xml:space="preserve">data</w:t>
      </w:r>
      <w:r>
        <w:t xml:space="preserve"> </w:t>
      </w:r>
      <w:r>
        <w:t xml:space="preserve">on disparate impacts of policy may require expertise, anyone can highlight a community of concern and potential distributive effects of a policy. Just as</w:t>
      </w:r>
      <w:r>
        <w:t xml:space="preserve"> </w:t>
      </w:r>
      <w:r>
        <w:t xml:space="preserve">Nelson and Yackee (</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
        </w:rPr>
        <w:t xml:space="preserve">scientific</w:t>
      </w:r>
      <w:r>
        <w:t xml:space="preserve"> </w:t>
      </w:r>
      <w:r>
        <w:t xml:space="preserve">claims, such comments focusing on a policy’s disparate impacts bolster</w:t>
      </w:r>
      <w:r>
        <w:t xml:space="preserve"> </w:t>
      </w:r>
      <w:r>
        <w:rPr>
          <w:i/>
        </w:rPr>
        <w:t xml:space="preserve">political</w:t>
      </w:r>
      <w:r>
        <w:t xml:space="preserve"> </w:t>
      </w:r>
      <w:r>
        <w:t xml:space="preserve">claims about who counts and even</w:t>
      </w:r>
      <w:r>
        <w:t xml:space="preserve"> </w:t>
      </w:r>
      <w:r>
        <w:rPr>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r>
        <w:t xml:space="preserve">Gellhorn (</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r>
        <w:t xml:space="preserve">Seifter (</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(Lowi</w:t>
      </w:r>
      <w:r>
        <w:t xml:space="preserve"> </w:t>
      </w:r>
      <w:hyperlink w:anchor="ref-Lowi1964">
        <w:r>
          <w:rPr>
            <w:rStyle w:val="Hyperlink"/>
          </w:rPr>
          <w:t xml:space="preserve">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(Feinstein</w:t>
      </w:r>
      <w:r>
        <w:t xml:space="preserve"> </w:t>
      </w:r>
      <w:hyperlink w:anchor="ref-Feinstein2021">
        <w:r>
          <w:rPr>
            <w:rStyle w:val="Hyperlink"/>
          </w:rPr>
          <w:t xml:space="preserve">2021</w:t>
        </w:r>
      </w:hyperlink>
      <w:r>
        <w:t xml:space="preserve">)</w:t>
      </w:r>
      <w:r>
        <w:t xml:space="preserve">. This means that the political construction of relevant groups depends on who participates and the identities they mobilize or claim to represent. As</w:t>
      </w:r>
      <w:r>
        <w:t xml:space="preserve"> </w:t>
      </w:r>
      <w:r>
        <w:t xml:space="preserve">Yackee (</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(Rossi</w:t>
      </w:r>
      <w:r>
        <w:t xml:space="preserve"> </w:t>
      </w:r>
      <w:hyperlink w:anchor="ref-Rossi1997">
        <w:r>
          <w:rPr>
            <w:rStyle w:val="Hyperlink"/>
          </w:rPr>
          <w:t xml:space="preserve">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(Bierschbach and Bibas</w:t>
      </w:r>
      <w:r>
        <w:t xml:space="preserve"> </w:t>
      </w:r>
      <w:hyperlink w:anchor="ref-Bierschbach2012">
        <w:r>
          <w:rPr>
            <w:rStyle w:val="Hyperlink"/>
          </w:rPr>
          <w:t xml:space="preserve">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(Seifter</w:t>
      </w:r>
      <w:r>
        <w:t xml:space="preserve"> </w:t>
      </w:r>
      <w:hyperlink w:anchor="ref-Seifter2016UCLA">
        <w:r>
          <w:rPr>
            <w:rStyle w:val="Hyperlink"/>
          </w:rPr>
          <w:t xml:space="preserve">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
        </w:rPr>
        <w:t xml:space="preserve">United States v. Mead Corp.</w:t>
      </w:r>
      <w:r>
        <w:t xml:space="preserve">, 533 U.S. 218 2001), though empirical evidence suggests skepticism about the importance of policy processes for judicial review</w:t>
      </w:r>
      <w:r>
        <w:t xml:space="preserve"> </w:t>
      </w:r>
      <w:r>
        <w:t xml:space="preserve">(Judge-Lord</w:t>
      </w:r>
      <w:r>
        <w:t xml:space="preserve"> </w:t>
      </w:r>
      <w:hyperlink w:anchor="ref-judgelord2016MPSA">
        <w:r>
          <w:rPr>
            <w:rStyle w:val="Hyperlink"/>
          </w:rPr>
          <w:t xml:space="preserve">2016</w:t>
        </w:r>
      </w:hyperlink>
      <w:r>
        <w:t xml:space="preserve">)</w:t>
      </w:r>
      <w:r>
        <w:t xml:space="preserve">.</w:t>
      </w:r>
    </w:p>
    <w:p>
      <w:pPr>
        <w:pStyle w:val="Heading4"/>
      </w:pPr>
      <w:bookmarkStart w:id="168" w:name="public-pressure-as-a-political-resource"/>
      <w:r>
        <w:t xml:space="preserve">4.2.3.2	Public pressure as a political resource</w:t>
      </w:r>
      <w:bookmarkEnd w:id="168"/>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
        </w:rPr>
        <w:t xml:space="preserve">scientific</w:t>
      </w:r>
      <w:r>
        <w:t xml:space="preserve"> </w:t>
      </w:r>
      <w:r>
        <w:t xml:space="preserve">claims, perceived levels of public support bolster</w:t>
      </w:r>
      <w:r>
        <w:t xml:space="preserve"> </w:t>
      </w:r>
      <w:r>
        <w:rPr>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While scholars have generally distinguished the participation of groups from individual citizens (see</w:t>
      </w:r>
      <w:r>
        <w:t xml:space="preserve"> </w:t>
      </w:r>
      <w:r>
        <w:t xml:space="preserve">Yackee (</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(Seifter</w:t>
      </w:r>
      <w:r>
        <w:t xml:space="preserve"> </w:t>
      </w:r>
      <w:hyperlink w:anchor="ref-Seifter2016UCLA">
        <w:r>
          <w:rPr>
            <w:rStyle w:val="Hyperlink"/>
          </w:rPr>
          <w:t xml:space="preserve">2016</w:t>
        </w:r>
      </w:hyperlink>
      <w:r>
        <w:t xml:space="preserve">, pg. 1313)</w:t>
      </w:r>
      <w:r>
        <w:t xml:space="preserve">. I argue that we should view the participation of individuals as a direct result of interest group mobilization. As</w:t>
      </w:r>
      <w:r>
        <w:t xml:space="preserve"> </w:t>
      </w:r>
      <w:r>
        <w:t xml:space="preserve">(Rossi</w:t>
      </w:r>
      <w:r>
        <w:t xml:space="preserve"> </w:t>
      </w:r>
      <w:hyperlink w:anchor="ref-Rossi1997">
        <w:r>
          <w:rPr>
            <w:rStyle w:val="Hyperlink"/>
          </w:rPr>
          <w:t xml:space="preserve">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negligible input from their members</w:t>
      </w:r>
      <w:r>
        <w:t xml:space="preserve"> </w:t>
      </w:r>
      <w:r>
        <w:t xml:space="preserve">(Baumgartner and Leech</w:t>
      </w:r>
      <w:r>
        <w:t xml:space="preserve"> </w:t>
      </w:r>
      <w:hyperlink w:anchor="ref-Baumgartner2001">
        <w:r>
          <w:rPr>
            <w:rStyle w:val="Hyperlink"/>
          </w:rPr>
          <w:t xml:space="preserve">2001</w:t>
        </w:r>
      </w:hyperlink>
      <w:r>
        <w:t xml:space="preserve">; Skocpol</w:t>
      </w:r>
      <w:r>
        <w:t xml:space="preserve"> </w:t>
      </w:r>
      <w:hyperlink w:anchor="ref-Skocpol2003">
        <w:r>
          <w:rPr>
            <w:rStyle w:val="Hyperlink"/>
          </w:rPr>
          <w:t xml:space="preserve">2003</w:t>
        </w:r>
      </w:hyperlink>
      <w:r>
        <w:t xml:space="preserve">; Schlozman, Verba, and Brady</w:t>
      </w:r>
      <w:r>
        <w:t xml:space="preserve"> </w:t>
      </w:r>
      <w:hyperlink w:anchor="ref-Schlozman2012">
        <w:r>
          <w:rPr>
            <w:rStyle w:val="Hyperlink"/>
          </w:rPr>
          <w:t xml:space="preserve">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(Mccubbins and Schwartz</w:t>
      </w:r>
      <w:r>
        <w:t xml:space="preserve"> </w:t>
      </w:r>
      <w:hyperlink w:anchor="ref-Mccubbins1984">
        <w:r>
          <w:rPr>
            <w:rStyle w:val="Hyperlink"/>
          </w:rPr>
          <w:t xml:space="preserve">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Heading3"/>
      </w:pPr>
      <w:bookmarkStart w:id="169" w:name="hypotheses"/>
      <w:r>
        <w:t xml:space="preserve">4.2.4	Hypotheses</w:t>
      </w:r>
      <w:bookmarkEnd w:id="169"/>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
        </w:rPr>
        <w:t xml:space="preserve">any</w:t>
      </w:r>
      <w:r>
        <w:t xml:space="preserve"> </w:t>
      </w:r>
      <w:r>
        <w:t xml:space="preserve">effect at all on policy documents.</w:t>
      </w:r>
    </w:p>
    <w:p>
      <w:pPr>
        <w:pStyle w:val="Heading4"/>
      </w:pPr>
      <w:bookmarkStart w:id="170" w:name="distributive-information-hypotheses"/>
      <w:r>
        <w:t xml:space="preserve">4.2.4.1	Distributive Information Hypotheses</w:t>
      </w:r>
      <w:bookmarkEnd w:id="170"/>
    </w:p>
    <w:p>
      <w:pPr>
        <w:pStyle w:val="BlockText"/>
      </w:pPr>
      <w:r>
        <w:rPr>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(Mendelson</w:t>
      </w:r>
      <w:r>
        <w:t xml:space="preserve"> </w:t>
      </w:r>
      <w:hyperlink w:anchor="ref-Mendelson2011">
        <w:r>
          <w:rPr>
            <w:rStyle w:val="Hyperlink"/>
          </w:rPr>
          <w:t xml:space="preserve">2011</w:t>
        </w:r>
      </w:hyperlink>
      <w:r>
        <w:t xml:space="preserve">; Nelson and Yackee</w:t>
      </w:r>
      <w:r>
        <w:t xml:space="preserve"> </w:t>
      </w:r>
      <w:hyperlink w:anchor="ref-Nelson2012">
        <w:r>
          <w:rPr>
            <w:rStyle w:val="Hyperlink"/>
          </w:rPr>
          <w:t xml:space="preserve">2012</w:t>
        </w:r>
      </w:hyperlink>
      <w:r>
        <w:t xml:space="preserve">)</w:t>
      </w:r>
      <w:r>
        <w:t xml:space="preserve">. This implies that the more unique comments raise EJ concerns, the more likely the coalition will influence policy.</w:t>
      </w:r>
      <w:r>
        <w:rPr>
          <w:rStyle w:val="FootnoteReference"/>
        </w:rPr>
        <w:footnoteReference w:id="171"/>
      </w:r>
    </w:p>
    <w:p>
      <w:pPr>
        <w:pStyle w:val="BodyText"/>
      </w:pPr>
      <w:r>
        <w:t xml:space="preserve">Competing intuitions and other prior studies oppose both the</w:t>
      </w:r>
      <w:r>
        <w:t xml:space="preserve"> </w:t>
      </w:r>
      <w:r>
        <w:rPr>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(Wagner</w:t>
      </w:r>
      <w:r>
        <w:t xml:space="preserve"> </w:t>
      </w:r>
      <w:hyperlink w:anchor="ref-Wagner2010">
        <w:r>
          <w:rPr>
            <w:rStyle w:val="Hyperlink"/>
          </w:rPr>
          <w:t xml:space="preserve">2010</w:t>
        </w:r>
      </w:hyperlink>
      <w:r>
        <w:t xml:space="preserve">)</w:t>
      </w:r>
      <w:r>
        <w:t xml:space="preserve">. Furthermore, scholarship finds business commenters are influential, and public interest groups are not</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
        </w:rPr>
        <w:t xml:space="preserve">Policy Receptivity Hypothesis</w:t>
      </w:r>
      <w:r>
        <w:t xml:space="preserve"> </w:t>
      </w:r>
      <w:r>
        <w:t xml:space="preserve">is that policymakers familiar with EJ concerns are the</w:t>
      </w:r>
      <w:r>
        <w:t xml:space="preserve"> </w:t>
      </w:r>
      <w:r>
        <w:rPr>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p>
      <w:pPr>
        <w:pStyle w:val="Heading4"/>
      </w:pPr>
      <w:bookmarkStart w:id="172" w:name="public-pressure-hypotheses"/>
      <w:r>
        <w:t xml:space="preserve">4.2.4.2	Public Pressure Hypotheses</w:t>
      </w:r>
      <w:bookmarkEnd w:id="172"/>
    </w:p>
    <w:p>
      <w:pPr>
        <w:pStyle w:val="BlockText"/>
      </w:pPr>
      <w:r>
        <w:rPr>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(Leech</w:t>
      </w:r>
      <w:r>
        <w:t xml:space="preserve"> </w:t>
      </w:r>
      <w:hyperlink w:anchor="ref-Leech2010">
        <w:r>
          <w:rPr>
            <w:rStyle w:val="Hyperlink"/>
          </w:rPr>
          <w:t xml:space="preserve">2010</w:t>
        </w:r>
      </w:hyperlink>
      <w:r>
        <w:t xml:space="preserve">)</w:t>
      </w:r>
      <w:r>
        <w:t xml:space="preserve">.</w:t>
      </w:r>
    </w:p>
    <w:p>
      <w:pPr>
        <w:pStyle w:val="BodyText"/>
      </w:pPr>
      <w:r>
        <w:t xml:space="preserve">The competing intuition against the</w:t>
      </w:r>
      <w:r>
        <w:t xml:space="preserve"> </w:t>
      </w:r>
      <w:r>
        <w:rPr>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
        </w:rPr>
        <w:t xml:space="preserve">Specific Pressure Hypothesis</w:t>
      </w:r>
      <w:r>
        <w:t xml:space="preserve">: Policies are more likely to address an issue when they receive more public attention (e.g., more public comments)</w:t>
      </w:r>
      <w:r>
        <w:t xml:space="preserve"> </w:t>
      </w:r>
      <w:r>
        <w:rPr>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p>
      <w:pPr>
        <w:pStyle w:val="Heading2"/>
      </w:pPr>
      <w:bookmarkStart w:id="173" w:name="testing-the-theory-1"/>
      <w:r>
        <w:t xml:space="preserve">4.3	Testing the Theory</w:t>
      </w:r>
      <w:bookmarkEnd w:id="173"/>
    </w:p>
    <w:p>
      <w:pPr>
        <w:pStyle w:val="Heading3"/>
      </w:pPr>
      <w:bookmarkStart w:id="174" w:name="X4d4dbe491c27800adf325f3bb7b12eac02210b9"/>
      <w:r>
        <w:t xml:space="preserve">4.3.1	</w:t>
      </w:r>
      <w:r>
        <w:t xml:space="preserve">“</w:t>
      </w:r>
      <w:r>
        <w:t xml:space="preserve">Environmental Justice</w:t>
      </w:r>
      <w:r>
        <w:t xml:space="preserve">”</w:t>
      </w:r>
      <w:r>
        <w:t xml:space="preserve"> </w:t>
      </w:r>
      <w:r>
        <w:t xml:space="preserve">as a Boundary-drawing Tool</w:t>
      </w:r>
      <w:bookmarkEnd w:id="174"/>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p>
      <w:pPr>
        <w:pStyle w:val="Heading3"/>
      </w:pPr>
      <w:bookmarkStart w:id="175" w:name="data"/>
      <w:r>
        <w:t xml:space="preserve">4.3.2	Data</w:t>
      </w:r>
      <w:bookmarkEnd w:id="175"/>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176"/>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177"/>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178"/>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179"/>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p>
      <w:pPr>
        <w:pStyle w:val="Heading4"/>
      </w:pPr>
      <w:bookmarkStart w:id="180" w:name="comments"/>
      <w:r>
        <w:t xml:space="preserve">4.3.2.1	Comments</w:t>
      </w:r>
      <w:bookmarkEnd w:id="180"/>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181"/>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p>
      <w:pPr>
        <w:pStyle w:val="Heading4"/>
      </w:pPr>
      <w:bookmarkStart w:id="182" w:name="X5bc72fdd8ee21381c1bed30b551ba5f6b7d1f04"/>
      <w:r>
        <w:t xml:space="preserve">4.3.2.2	Interest Groups and Second-order Representation</w:t>
      </w:r>
      <w:bookmarkEnd w:id="182"/>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w:t>
      </w:r>
    </w:p>
    <w:p>
      <w:pPr>
        <w:pStyle w:val="Heading5"/>
      </w:pPr>
      <w:bookmarkStart w:id="183" w:name="Xa0465661e073274b9a5bc0617e85f811e5e5137"/>
      <w:r>
        <w:t xml:space="preserve">4.3.2.2.1	Which Organizations Most often Raise EJ Concerns?</w:t>
      </w:r>
      <w:bookmarkEnd w:id="183"/>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(Earthjustice</w:t>
      </w:r>
      <w:r>
        <w:t xml:space="preserve"> </w:t>
      </w:r>
      <w:hyperlink w:anchor="ref-Earthjustice2017">
        <w:r>
          <w:rPr>
            <w:rStyle w:val="Hyperlink"/>
          </w:rPr>
          <w:t xml:space="preserve">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(WEACT</w:t>
      </w:r>
      <w:r>
        <w:t xml:space="preserve"> </w:t>
      </w:r>
      <w:hyperlink w:anchor="ref-WEACT2017">
        <w:r>
          <w:rPr>
            <w:rStyle w:val="Hyperlink"/>
          </w:rPr>
          <w:t xml:space="preserve">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(CBECAL</w:t>
      </w:r>
      <w:r>
        <w:t xml:space="preserve"> </w:t>
      </w:r>
      <w:hyperlink w:anchor="ref-CBECAL2017">
        <w:r>
          <w:rPr>
            <w:rStyle w:val="Hyperlink"/>
          </w:rPr>
          <w:t xml:space="preserve">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(CBECAL</w:t>
      </w:r>
      <w:r>
        <w:t xml:space="preserve"> </w:t>
      </w:r>
      <w:hyperlink w:anchor="ref-CBECAL2017">
        <w:r>
          <w:rPr>
            <w:rStyle w:val="Hyperlink"/>
          </w:rPr>
          <w:t xml:space="preserve">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(Hobson</w:t>
      </w:r>
      <w:r>
        <w:t xml:space="preserve"> </w:t>
      </w:r>
      <w:hyperlink w:anchor="ref-Hobson2004">
        <w:r>
          <w:rPr>
            <w:rStyle w:val="Hyperlink"/>
          </w:rPr>
          <w:t xml:space="preserve">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(Mansbridge</w:t>
      </w:r>
      <w:r>
        <w:t xml:space="preserve"> </w:t>
      </w:r>
      <w:hyperlink w:anchor="ref-Mansbridge2003">
        <w:r>
          <w:rPr>
            <w:rStyle w:val="Hyperlink"/>
          </w:rPr>
          <w:t xml:space="preserve">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p>
      <w:pPr>
        <w:pStyle w:val="Heading5"/>
      </w:pPr>
      <w:bookmarkStart w:id="184" w:name="commenter-race"/>
      <w:r>
        <w:t xml:space="preserve">4.3.2.2.2	Commenter Race</w:t>
      </w:r>
      <w:bookmarkEnd w:id="184"/>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185"/>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186"/>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(Bullard</w:t>
      </w:r>
      <w:r>
        <w:t xml:space="preserve"> </w:t>
      </w:r>
      <w:hyperlink w:anchor="ref-Bullard1993">
        <w:r>
          <w:rPr>
            <w:rStyle w:val="Hyperlink"/>
          </w:rPr>
          <w:t xml:space="preserve">1993</w:t>
        </w:r>
      </w:hyperlink>
      <w:r>
        <w:t xml:space="preserve">)</w:t>
      </w:r>
      <w:r>
        <w:t xml:space="preserve">.</w:t>
      </w:r>
    </w:p>
    <w:p>
      <w:pPr>
        <w:pStyle w:val="Heading3"/>
      </w:pPr>
      <w:bookmarkStart w:id="187" w:name="Xa5d348ccb1676da69c867e395370eaa18ed3817"/>
      <w:r>
        <w:t xml:space="preserve">4.3.3	Tracing Ideas Through Rulemaking:</w:t>
      </w:r>
      <w:r>
        <w:t xml:space="preserve"> </w:t>
      </w:r>
      <w:r>
        <w:t xml:space="preserve">“</w:t>
      </w:r>
      <w:r>
        <w:t xml:space="preserve">Environmental Justice</w:t>
      </w:r>
      <w:r>
        <w:t xml:space="preserve">”</w:t>
      </w:r>
      <w:r>
        <w:t xml:space="preserve"> </w:t>
      </w:r>
      <w:r>
        <w:t xml:space="preserve">as a Contested Concept</w:t>
      </w:r>
      <w:bookmarkEnd w:id="187"/>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(Bullard</w:t>
      </w:r>
      <w:r>
        <w:t xml:space="preserve"> </w:t>
      </w:r>
      <w:hyperlink w:anchor="ref-Bullard1993">
        <w:r>
          <w:rPr>
            <w:rStyle w:val="Hyperlink"/>
          </w:rPr>
          <w:t xml:space="preserve">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p>
      <w:pPr>
        <w:pStyle w:val="Heading4"/>
      </w:pPr>
      <w:bookmarkStart w:id="188" w:name="Xcf30ced5e2318c2b966e4ae47416aff842c0b7c"/>
      <w:r>
        <w:t xml:space="preserve">4.3.3.1	The Evolving Distributional Politics of Mercury Pollution</w:t>
      </w:r>
      <w:bookmarkEnd w:id="188"/>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(Gillion</w:t>
      </w:r>
      <w:r>
        <w:t xml:space="preserve"> </w:t>
      </w:r>
      <w:hyperlink w:anchor="ref-Gillion2013">
        <w:r>
          <w:rPr>
            <w:rStyle w:val="Hyperlink"/>
          </w:rPr>
          <w:t xml:space="preserve">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p>
      <w:pPr>
        <w:pStyle w:val="Heading3"/>
      </w:pPr>
      <w:bookmarkStart w:id="189" w:name="measuring-policy-change"/>
      <w:r>
        <w:t xml:space="preserve">4.3.4	Measuring Policy Change</w:t>
      </w:r>
      <w:bookmarkEnd w:id="189"/>
    </w:p>
    <w:p>
      <w:pPr>
        <w:pStyle w:val="FirstParagraph"/>
      </w:pPr>
      <w:r>
        <w:t xml:space="preserve">Having shown how public comments and pressure can influence policy texts, I assess the general relationship between comments and policy change across all rules. I use two indicators of policy change to model the effect of public comments on policy:</w:t>
      </w:r>
      <w:r>
        <w:t xml:space="preserve"> </w:t>
      </w:r>
      <w:r>
        <w:rPr>
          <w:i/>
        </w:rPr>
        <w:t xml:space="preserve">whether</w:t>
      </w:r>
      <w:r>
        <w:t xml:space="preserve"> </w:t>
      </w:r>
      <w:r>
        <w:t xml:space="preserve">a rule addresses EJ and change in</w:t>
      </w:r>
      <w:r>
        <w:t xml:space="preserve"> </w:t>
      </w:r>
      <w:r>
        <w:rPr>
          <w:i/>
        </w:rPr>
        <w:t xml:space="preserve">how</w:t>
      </w:r>
      <w:r>
        <w:t xml:space="preserve"> </w:t>
      </w:r>
      <w:r>
        <w:t xml:space="preserve">it addresses EJ, i.e., change in portions of the text discussing EJ. Both measures represent a relatively low bar, indicating whether the agency explicitly paid any attention to EJ. This is appropriate given that prior research shows little to no effect of public comments from advocacy groups and little attention to EJ in particular.</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p>
      <w:pPr>
        <w:pStyle w:val="Heading4"/>
      </w:pPr>
      <w:bookmarkStart w:id="190" w:name="X31bf8ee7b1badcf23c858e7b743e74b4096d22d"/>
      <w:r>
        <w:t xml:space="preserve">4.3.4.1	Measure 1: Adding Text Addressing EJ to Final Rules</w:t>
      </w:r>
      <w:bookmarkEnd w:id="190"/>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p>
      <w:pPr>
        <w:pStyle w:val="Heading4"/>
      </w:pPr>
      <w:bookmarkStart w:id="191" w:name="X3d604303bfede2a71706b8d5c03a6208b82a9aa"/>
      <w:r>
        <w:t xml:space="preserve">4.3.4.2	Measure 2: Changing Text Addressing EJ in Final Rules</w:t>
      </w:r>
      <w:bookmarkEnd w:id="191"/>
    </w:p>
    <w:p>
      <w:pPr>
        <w:pStyle w:val="FirstParagraph"/>
      </w:pPr>
      <w:r>
        <w:t xml:space="preserve">Where draft rules did address EJ, I measured whether a rule changed</w:t>
      </w:r>
      <w:r>
        <w:t xml:space="preserve"> </w:t>
      </w:r>
      <w:r>
        <w:rPr>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192"/>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193"/>
      </w:r>
    </w:p>
    <w:p>
      <w:pPr>
        <w:pStyle w:val="Heading2"/>
      </w:pPr>
      <w:bookmarkStart w:id="194" w:name="results-1"/>
      <w:r>
        <w:t xml:space="preserve">4.4	Results</w:t>
      </w:r>
      <w:bookmarkEnd w:id="194"/>
    </w:p>
    <w:p>
      <w:pPr>
        <w:pStyle w:val="Heading3"/>
      </w:pPr>
      <w:bookmarkStart w:id="195" w:name="X3ac71875dcf4a6fa0ed5df60562bda96690e359"/>
      <w:r>
        <w:t xml:space="preserve">4.4.1	Are final rules more likely to address environmental justice after comments do so?</w:t>
      </w:r>
      <w:bookmarkEnd w:id="195"/>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4.1</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
        </w:rPr>
        <w:t xml:space="preserve">across</w:t>
      </w:r>
      <w:r>
        <w:t xml:space="preserve"> </w:t>
      </w:r>
      <w:r>
        <w:t xml:space="preserve">agencies, whereas estimates in models 2 and 4 only rely on variation</w:t>
      </w:r>
      <w:r>
        <w:t xml:space="preserve"> </w:t>
      </w:r>
      <w:r>
        <w:rPr>
          <w:i/>
        </w:rPr>
        <w:t xml:space="preserve">within</w:t>
      </w:r>
      <w:r>
        <w:t xml:space="preserve"> </w:t>
      </w:r>
      <w:r>
        <w:t xml:space="preserve">agencies. All estimates rely on variation</w:t>
      </w:r>
      <w:r>
        <w:t xml:space="preserve"> </w:t>
      </w:r>
      <w:r>
        <w:rPr>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t xml:space="preserve">Table 4.1: Logit Regression Predicting Change in Rule Text</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Dependent Variable</w:t>
      </w:r>
    </w:p>
    <w:p>
      <w:pPr>
        <w:pStyle w:val="BodyText"/>
      </w:pPr>
      <w:r>
        <w:t xml:space="preserve">EJ Added</w:t>
      </w:r>
    </w:p>
    <w:p>
      <w:pPr>
        <w:pStyle w:val="BodyText"/>
      </w:pPr>
      <w:r>
        <w:t xml:space="preserve">EJ Added</w:t>
      </w:r>
    </w:p>
    <w:p>
      <w:pPr>
        <w:pStyle w:val="BodyText"/>
      </w:pPr>
      <w:r>
        <w:t xml:space="preserve">EJ Changed</w:t>
      </w:r>
    </w:p>
    <w:p>
      <w:pPr>
        <w:pStyle w:val="BodyText"/>
      </w:pPr>
      <w:r>
        <w:t xml:space="preserve">EJ Changed</w:t>
      </w:r>
    </w:p>
    <w:p>
      <w:pPr>
        <w:pStyle w:val="BodyText"/>
      </w:pPr>
      <w:r>
        <w:t xml:space="preserve">EJ Comment</w:t>
      </w:r>
    </w:p>
    <w:p>
      <w:pPr>
        <w:pStyle w:val="BodyText"/>
      </w:pPr>
      <w:r>
        <w:t xml:space="preserve">3.363***</w:t>
      </w:r>
    </w:p>
    <w:p>
      <w:pPr>
        <w:pStyle w:val="BodyText"/>
      </w:pPr>
      <w:r>
        <w:t xml:space="preserve">2.414***</w:t>
      </w:r>
    </w:p>
    <w:p>
      <w:pPr>
        <w:pStyle w:val="BodyText"/>
      </w:pPr>
      <w:r>
        <w:t xml:space="preserve">0.717***</w:t>
      </w:r>
    </w:p>
    <w:p>
      <w:pPr>
        <w:pStyle w:val="BodyText"/>
      </w:pPr>
      <w:r>
        <w:t xml:space="preserve">0.748***</w:t>
      </w:r>
    </w:p>
    <w:p>
      <w:pPr>
        <w:pStyle w:val="BodyText"/>
      </w:pPr>
      <w:r>
        <w:t xml:space="preserve">(0.221)</w:t>
      </w:r>
    </w:p>
    <w:p>
      <w:pPr>
        <w:pStyle w:val="BodyText"/>
      </w:pPr>
      <w:r>
        <w:t xml:space="preserve">(0.240)</w:t>
      </w:r>
    </w:p>
    <w:p>
      <w:pPr>
        <w:pStyle w:val="BodyText"/>
      </w:pPr>
      <w:r>
        <w:t xml:space="preserve">(0.243)</w:t>
      </w:r>
    </w:p>
    <w:p>
      <w:pPr>
        <w:pStyle w:val="BodyText"/>
      </w:pPr>
      <w:r>
        <w:t xml:space="preserve">(0.246)</w:t>
      </w:r>
    </w:p>
    <w:p>
      <w:pPr>
        <w:pStyle w:val="BodyText"/>
      </w:pPr>
      <w:r>
        <w:t xml:space="preserve">Log(Comments+1)</w:t>
      </w:r>
    </w:p>
    <w:p>
      <w:pPr>
        <w:pStyle w:val="BodyText"/>
      </w:pPr>
      <w:r>
        <w:t xml:space="preserve">0.068**</w:t>
      </w:r>
    </w:p>
    <w:p>
      <w:pPr>
        <w:pStyle w:val="BodyText"/>
      </w:pPr>
      <w:r>
        <w:t xml:space="preserve">0.232***</w:t>
      </w:r>
    </w:p>
    <w:p>
      <w:pPr>
        <w:pStyle w:val="BodyText"/>
      </w:pPr>
      <w:r>
        <w:t xml:space="preserve">-0.147***</w:t>
      </w:r>
    </w:p>
    <w:p>
      <w:pPr>
        <w:pStyle w:val="BodyText"/>
      </w:pPr>
      <w:r>
        <w:t xml:space="preserve">-0.156***</w:t>
      </w:r>
    </w:p>
    <w:p>
      <w:pPr>
        <w:pStyle w:val="BodyText"/>
      </w:pPr>
      <w:r>
        <w:t xml:space="preserve">(0.028)</w:t>
      </w:r>
    </w:p>
    <w:p>
      <w:pPr>
        <w:pStyle w:val="BodyText"/>
      </w:pPr>
      <w:r>
        <w:t xml:space="preserve">(0.036)</w:t>
      </w:r>
    </w:p>
    <w:p>
      <w:pPr>
        <w:pStyle w:val="BodyText"/>
      </w:pPr>
      <w:r>
        <w:t xml:space="preserve">(0.032)</w:t>
      </w:r>
    </w:p>
    <w:p>
      <w:pPr>
        <w:pStyle w:val="BodyText"/>
      </w:pPr>
      <w:r>
        <w:t xml:space="preserve">(0.033)</w:t>
      </w:r>
    </w:p>
    <w:p>
      <w:pPr>
        <w:pStyle w:val="BodyText"/>
      </w:pPr>
      <w:r>
        <w:t xml:space="preserve">Unique EJ Comments</w:t>
      </w:r>
    </w:p>
    <w:p>
      <w:pPr>
        <w:pStyle w:val="BodyText"/>
      </w:pPr>
      <w:r>
        <w:t xml:space="preserve">0.005</w:t>
      </w:r>
    </w:p>
    <w:p>
      <w:pPr>
        <w:pStyle w:val="BodyText"/>
      </w:pPr>
      <w:r>
        <w:t xml:space="preserve">0.227***</w:t>
      </w:r>
    </w:p>
    <w:p>
      <w:pPr>
        <w:pStyle w:val="BodyText"/>
      </w:pPr>
      <w:r>
        <w:t xml:space="preserve">0.032**</w:t>
      </w:r>
    </w:p>
    <w:p>
      <w:pPr>
        <w:pStyle w:val="BodyText"/>
      </w:pPr>
      <w:r>
        <w:t xml:space="preserve">0.036**</w:t>
      </w:r>
    </w:p>
    <w:p>
      <w:pPr>
        <w:pStyle w:val="BodyText"/>
      </w:pPr>
      <w:r>
        <w:t xml:space="preserve">(0.006)</w:t>
      </w:r>
    </w:p>
    <w:p>
      <w:pPr>
        <w:pStyle w:val="BodyText"/>
      </w:pPr>
      <w:r>
        <w:t xml:space="preserve">(0.068)</w:t>
      </w:r>
    </w:p>
    <w:p>
      <w:pPr>
        <w:pStyle w:val="BodyText"/>
      </w:pPr>
      <w:r>
        <w:t xml:space="preserve">(0.014)</w:t>
      </w:r>
    </w:p>
    <w:p>
      <w:pPr>
        <w:pStyle w:val="BodyText"/>
      </w:pPr>
      <w:r>
        <w:t xml:space="preserve">(0.014)</w:t>
      </w:r>
    </w:p>
    <w:p>
      <w:pPr>
        <w:pStyle w:val="BodyText"/>
      </w:pPr>
      <w:r>
        <w:t xml:space="preserve">EJ Comment*Log(Comments+1)</w:t>
      </w:r>
    </w:p>
    <w:p>
      <w:pPr>
        <w:pStyle w:val="BodyText"/>
      </w:pPr>
      <w:r>
        <w:t xml:space="preserve">-0.227***</w:t>
      </w:r>
    </w:p>
    <w:p>
      <w:pPr>
        <w:pStyle w:val="BodyText"/>
      </w:pPr>
      <w:r>
        <w:t xml:space="preserve">-0.226***</w:t>
      </w:r>
    </w:p>
    <w:p>
      <w:pPr>
        <w:pStyle w:val="BodyText"/>
      </w:pPr>
      <w:r>
        <w:t xml:space="preserve">0.071</w:t>
      </w:r>
    </w:p>
    <w:p>
      <w:pPr>
        <w:pStyle w:val="BodyText"/>
      </w:pPr>
      <w:r>
        <w:t xml:space="preserve">0.069</w:t>
      </w:r>
    </w:p>
    <w:p>
      <w:pPr>
        <w:pStyle w:val="BodyText"/>
      </w:pPr>
      <w:r>
        <w:t xml:space="preserve">(0.052)</w:t>
      </w:r>
    </w:p>
    <w:p>
      <w:pPr>
        <w:pStyle w:val="BodyText"/>
      </w:pPr>
      <w:r>
        <w:t xml:space="preserve">(0.072)</w:t>
      </w:r>
    </w:p>
    <w:p>
      <w:pPr>
        <w:pStyle w:val="BodyText"/>
      </w:pPr>
      <w:r>
        <w:t xml:space="preserve">(0.050)</w:t>
      </w:r>
    </w:p>
    <w:p>
      <w:pPr>
        <w:pStyle w:val="BodyText"/>
      </w:pPr>
      <w:r>
        <w:t xml:space="preserve">(0.051)</w:t>
      </w:r>
    </w:p>
    <w:p>
      <w:pPr>
        <w:pStyle w:val="BodyText"/>
      </w:pPr>
      <w:r>
        <w:t xml:space="preserve">President FE</w:t>
      </w:r>
    </w:p>
    <w:p>
      <w:pPr>
        <w:pStyle w:val="BodyText"/>
      </w:pPr>
      <w:r>
        <w:t xml:space="preserve">X</w:t>
      </w:r>
    </w:p>
    <w:p>
      <w:pPr>
        <w:pStyle w:val="BodyText"/>
      </w:pPr>
      <w:r>
        <w:t xml:space="preserve">X</w:t>
      </w:r>
    </w:p>
    <w:p>
      <w:pPr>
        <w:pStyle w:val="BodyText"/>
      </w:pPr>
      <w:r>
        <w:t xml:space="preserve">X</w:t>
      </w:r>
    </w:p>
    <w:p>
      <w:pPr>
        <w:pStyle w:val="BodyText"/>
      </w:pPr>
      <w:r>
        <w:t xml:space="preserve">X</w:t>
      </w:r>
    </w:p>
    <w:p>
      <w:pPr>
        <w:pStyle w:val="BodyText"/>
      </w:pPr>
      <w:r>
        <w:t xml:space="preserve">Agency FE</w:t>
      </w:r>
    </w:p>
    <w:p>
      <w:pPr>
        <w:pStyle w:val="BodyText"/>
      </w:pPr>
      <w:r>
        <w:t xml:space="preserve">X</w:t>
      </w:r>
    </w:p>
    <w:p>
      <w:pPr>
        <w:pStyle w:val="BodyText"/>
      </w:pPr>
      <w:r>
        <w:t xml:space="preserve">X</w:t>
      </w:r>
    </w:p>
    <w:p>
      <w:pPr>
        <w:pStyle w:val="BodyText"/>
      </w:pPr>
      <w:r>
        <w:t xml:space="preserve">Num.Obs.</w:t>
      </w:r>
    </w:p>
    <w:p>
      <w:pPr>
        <w:pStyle w:val="BodyText"/>
      </w:pPr>
      <w:r>
        <w:t xml:space="preserve">11721</w:t>
      </w:r>
    </w:p>
    <w:p>
      <w:pPr>
        <w:pStyle w:val="BodyText"/>
      </w:pPr>
      <w:r>
        <w:t xml:space="preserve">11721</w:t>
      </w:r>
    </w:p>
    <w:p>
      <w:pPr>
        <w:pStyle w:val="BodyText"/>
      </w:pPr>
      <w:r>
        <w:t xml:space="preserve">1885</w:t>
      </w:r>
    </w:p>
    <w:p>
      <w:pPr>
        <w:pStyle w:val="BodyText"/>
      </w:pPr>
      <w:r>
        <w:t xml:space="preserve">1885</w:t>
      </w:r>
    </w:p>
    <w:p>
      <w:pPr>
        <w:pStyle w:val="BodyText"/>
      </w:pPr>
      <w:r>
        <w:t xml:space="preserve">AIC</w:t>
      </w:r>
    </w:p>
    <w:p>
      <w:pPr>
        <w:pStyle w:val="BodyText"/>
      </w:pPr>
      <w:r>
        <w:t xml:space="preserve">3868.6</w:t>
      </w:r>
    </w:p>
    <w:p>
      <w:pPr>
        <w:pStyle w:val="BodyText"/>
      </w:pPr>
      <w:r>
        <w:t xml:space="preserve">3125.6</w:t>
      </w:r>
    </w:p>
    <w:p>
      <w:pPr>
        <w:pStyle w:val="BodyText"/>
      </w:pPr>
      <w:r>
        <w:t xml:space="preserve">2180.4</w:t>
      </w:r>
    </w:p>
    <w:p>
      <w:pPr>
        <w:pStyle w:val="BodyText"/>
      </w:pPr>
      <w:r>
        <w:t xml:space="preserve">2166.5</w:t>
      </w:r>
    </w:p>
    <w:p>
      <w:pPr>
        <w:pStyle w:val="BodyText"/>
      </w:pPr>
      <w:r>
        <w:t xml:space="preserve">BIC</w:t>
      </w:r>
    </w:p>
    <w:p>
      <w:pPr>
        <w:pStyle w:val="BodyText"/>
      </w:pPr>
      <w:r>
        <w:t xml:space="preserve">3927.5</w:t>
      </w:r>
    </w:p>
    <w:p>
      <w:pPr>
        <w:pStyle w:val="BodyText"/>
      </w:pPr>
      <w:r>
        <w:t xml:space="preserve">3464.6</w:t>
      </w:r>
    </w:p>
    <w:p>
      <w:pPr>
        <w:pStyle w:val="BodyText"/>
      </w:pPr>
      <w:r>
        <w:t xml:space="preserve">2224.7</w:t>
      </w:r>
    </w:p>
    <w:p>
      <w:pPr>
        <w:pStyle w:val="BodyText"/>
      </w:pPr>
      <w:r>
        <w:t xml:space="preserve">2327.2</w:t>
      </w:r>
    </w:p>
    <w:p>
      <w:pPr>
        <w:pStyle w:val="BodyText"/>
      </w:pPr>
      <w:r>
        <w:t xml:space="preserve">Log.Lik.</w:t>
      </w:r>
    </w:p>
    <w:p>
      <w:pPr>
        <w:pStyle w:val="BodyText"/>
      </w:pPr>
      <w:r>
        <w:t xml:space="preserve">-1926.296</w:t>
      </w:r>
    </w:p>
    <w:p>
      <w:pPr>
        <w:pStyle w:val="BodyText"/>
      </w:pPr>
      <w:r>
        <w:t xml:space="preserve">-1516.818</w:t>
      </w:r>
    </w:p>
    <w:p>
      <w:pPr>
        <w:pStyle w:val="BodyText"/>
      </w:pPr>
      <w:r>
        <w:t xml:space="preserve">-1082.192</w:t>
      </w:r>
    </w:p>
    <w:p>
      <w:pPr>
        <w:pStyle w:val="BodyText"/>
      </w:pPr>
      <w:r>
        <w:t xml:space="preserve">-1054.252</w:t>
      </w:r>
    </w:p>
    <w:p>
      <w:pPr>
        <w:pStyle w:val="BodyText"/>
      </w:pPr>
    </w:p>
    <w:p>
      <w:pPr>
        <w:pStyle w:val="BodyText"/>
      </w:pPr>
      <w:r>
        <w:t xml:space="preserve"> </w:t>
      </w:r>
      <w:r>
        <w:t xml:space="preserve">* p &lt; 0.1, ** p &lt; 0.05, *** p &lt; 0.01</w:t>
      </w:r>
    </w:p>
    <w:p>
      <w:pPr>
        <w:pStyle w:val="Heading4"/>
      </w:pPr>
      <w:bookmarkStart w:id="196" w:name="the-predicted-probability-of-added-text"/>
      <w:r>
        <w:t xml:space="preserve">4.4.1.1	The Predicted Probability of Added Text</w:t>
      </w:r>
      <w:bookmarkEnd w:id="196"/>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197"/>
      </w:r>
    </w:p>
    <w:p>
      <w:pPr>
        <w:pStyle w:val="CaptionedFigure"/>
      </w:pPr>
      <w:r>
        <w:drawing>
          <wp:inline>
            <wp:extent cx="5334000" cy="3733800"/>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198"/>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
        </w:rPr>
        <w:t xml:space="preserve">Repeated Information Hypothesis</w:t>
      </w:r>
      <w:r>
        <w:t xml:space="preserve">.</w:t>
      </w:r>
    </w:p>
    <w:p>
      <w:pPr>
        <w:pStyle w:val="CaptionedFigure"/>
      </w:pPr>
      <w:r>
        <w:drawing>
          <wp:inline>
            <wp:extent cx="5334000" cy="25400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199"/>
                    <a:stretch>
                      <a:fillRect/>
                    </a:stretch>
                  </pic:blipFill>
                  <pic:spPr bwMode="auto">
                    <a:xfrm>
                      <a:off x="0" y="0"/>
                      <a:ext cx="5334000" cy="25400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0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p>
      <w:pPr>
        <w:pStyle w:val="Heading3"/>
      </w:pPr>
      <w:bookmarkStart w:id="201" w:name="X359aa25eb254b4dd11d195bec28ae6b4f08071c"/>
      <w:r>
        <w:t xml:space="preserve">4.4.2	Are rules more likely to change how they address environmental justice when comments mention it?</w:t>
      </w:r>
      <w:bookmarkEnd w:id="201"/>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4.1</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p>
      <w:pPr>
        <w:pStyle w:val="Heading4"/>
      </w:pPr>
      <w:bookmarkStart w:id="202" w:name="X04127dd06ed2c9e81e39c0dab2ab957e3608a00"/>
      <w:r>
        <w:t xml:space="preserve">4.4.2.1	The Predicted Probability of Changed Text</w:t>
      </w:r>
      <w:bookmarkEnd w:id="202"/>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733800"/>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03"/>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
        </w:rPr>
        <w:t xml:space="preserve">fewer</w:t>
      </w:r>
      <w:r>
        <w:t xml:space="preserve"> </w:t>
      </w:r>
      <w:r>
        <w:t xml:space="preserve">comments. Thus, the total number of comments has the opposite relationship to</w:t>
      </w:r>
      <w:r>
        <w:t xml:space="preserve"> </w:t>
      </w:r>
      <w:r>
        <w:rPr>
          <w:i/>
        </w:rPr>
        <w:t xml:space="preserve">how</w:t>
      </w:r>
      <w:r>
        <w:t xml:space="preserve"> </w:t>
      </w:r>
      <w:r>
        <w:t xml:space="preserve">rules that already addressed EJ changed as it did to</w:t>
      </w:r>
      <w:r>
        <w:t xml:space="preserve"> </w:t>
      </w:r>
      <w:r>
        <w:rPr>
          <w:i/>
        </w:rPr>
        <w:t xml:space="preserve">whether</w:t>
      </w:r>
      <w:r>
        <w:t xml:space="preserve"> </w:t>
      </w:r>
      <w:r>
        <w:t xml:space="preserve">rules added any EJ text. While the</w:t>
      </w:r>
      <w:r>
        <w:t xml:space="preserve"> </w:t>
      </w:r>
      <w:r>
        <w:rPr>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5400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04"/>
                    <a:stretch>
                      <a:fillRect/>
                    </a:stretch>
                  </pic:blipFill>
                  <pic:spPr bwMode="auto">
                    <a:xfrm>
                      <a:off x="0" y="0"/>
                      <a:ext cx="5334000" cy="25400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
        </w:rPr>
        <w:t xml:space="preserve">How</w:t>
      </w:r>
      <w:r>
        <w:t xml:space="preserve"> </w:t>
      </w:r>
      <w:r>
        <w:t xml:space="preserve">Environmental Justice is Addressed Between Draft and Final Rules by Number of Comments</w:t>
      </w:r>
    </w:p>
    <w:p>
      <w:pPr>
        <w:pStyle w:val="Heading2"/>
      </w:pPr>
      <w:bookmarkStart w:id="205" w:name="conclusion-2"/>
      <w:r>
        <w:t xml:space="preserve">4.5	Conclusion</w:t>
      </w:r>
      <w:bookmarkEnd w:id="205"/>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p>
      <w:pPr>
        <w:pStyle w:val="Heading1"/>
      </w:pPr>
      <w:bookmarkStart w:id="206" w:name="reforming-the-policy-process"/>
      <w:r>
        <w:t xml:space="preserve">5	Reforming the Policy Process</w:t>
      </w:r>
      <w:bookmarkEnd w:id="206"/>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proposed reformes in light of the empirical evidence in the prvious chapters. I start with a short outline of the various positions staked out by administrative law scholars, each rooted in different theories of democracy. I then review several specific challenges and reform proposals. Finally, I extend</w:t>
      </w:r>
    </w:p>
    <w:p>
      <w:pPr>
        <w:pStyle w:val="Heading3"/>
      </w:pPr>
      <w:bookmarkStart w:id="207" w:name="the-debate-in-administrative-law"/>
      <w:r>
        <w:t xml:space="preserve">5.0.1	The Debate in Administrative Law</w:t>
      </w:r>
      <w:bookmarkEnd w:id="207"/>
    </w:p>
    <w:p>
      <w:pPr>
        <w:pStyle w:val="Heading4"/>
      </w:pPr>
      <w:bookmarkStart w:id="208" w:name="participatory-democracy-optimists"/>
      <w:r>
        <w:t xml:space="preserve">Participatory democracy optimists</w:t>
      </w:r>
      <w:bookmarkEnd w:id="208"/>
    </w:p>
    <w:p>
      <w:pPr>
        <w:pStyle w:val="FirstParagraph"/>
      </w:pPr>
      <w:r>
        <w:t xml:space="preserve">Optomists see notice and comment is the</w:t>
      </w:r>
      <w:r>
        <w:t xml:space="preserve"> </w:t>
      </w:r>
      <w:r>
        <w:t xml:space="preserve">“</w:t>
      </w:r>
      <w:r>
        <w:t xml:space="preserve">purest example of participatory democracy in actual American governance.</w:t>
      </w:r>
      <w:r>
        <w:t xml:space="preserve">”</w:t>
      </w:r>
      <w:r>
        <w:t xml:space="preserve"> </w:t>
      </w:r>
      <w:r>
        <w:t xml:space="preserve">The process is technically open to anyone with an opinion to offer and agencies are, to an extent, required to resond to substantive ideas.</w:t>
      </w:r>
    </w:p>
    <w:p>
      <w:pPr>
        <w:pStyle w:val="Heading4"/>
      </w:pPr>
      <w:bookmarkStart w:id="209" w:name="regulatory-democracy-reformers"/>
      <w:r>
        <w:t xml:space="preserve">“</w:t>
      </w:r>
      <w:r>
        <w:t xml:space="preserve">Regulatory democracy</w:t>
      </w:r>
      <w:r>
        <w:t xml:space="preserve">”</w:t>
      </w:r>
      <w:r>
        <w:t xml:space="preserve"> </w:t>
      </w:r>
      <w:r>
        <w:t xml:space="preserve">reformers</w:t>
      </w:r>
      <w:bookmarkEnd w:id="209"/>
    </w:p>
    <w:p>
      <w:pPr>
        <w:pStyle w:val="FirstParagraph"/>
      </w:pPr>
      <w:r>
        <w:t xml:space="preserve">Cuéllar (</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r>
        <w:t xml:space="preserve">Mendelson (</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becuase mass comments contain valuable information. For this camp, the quality of the public debate is more important than the total number of people, their affiliations, or their biases. They emphasize the transformative power of discourse.</w:t>
      </w:r>
      <w:r>
        <w:t xml:space="preserve"> </w:t>
      </w:r>
    </w:p>
    <w:p>
      <w:pPr>
        <w:pStyle w:val="Heading4"/>
      </w:pPr>
      <w:bookmarkStart w:id="210" w:name="pluralist-reformers"/>
      <w:r>
        <w:t xml:space="preserve">Pluralist reformers</w:t>
      </w:r>
      <w:bookmarkEnd w:id="210"/>
    </w:p>
    <w:p>
      <w:pPr>
        <w:pStyle w:val="FirstParagraph"/>
      </w:pPr>
      <w:r>
        <w:t xml:space="preserve">A different brand of reformer focuses less on discource and more on interest group representation. Pluralist reformers argue that lobbying groups should have to disclose there membership, funding, and decisionmaking processes (Seifter 2016). In this view, organized groups, not individuals, are the central actors in public comment processes. However, becuase agencies often lack information about groups, it is difficult to know how well they represent the people they claim to. Interest groups faithful representation of their memebers is crucial to pluralist ideas of democracy.</w:t>
      </w:r>
    </w:p>
    <w:p>
      <w:pPr>
        <w:pStyle w:val="Heading4"/>
      </w:pPr>
      <w:bookmarkStart w:id="211" w:name="rational-pluralists"/>
      <w:r>
        <w:t xml:space="preserve">Rational pluralists</w:t>
      </w:r>
      <w:bookmarkEnd w:id="211"/>
    </w:p>
    <w:p>
      <w:pPr>
        <w:pStyle w:val="FirstParagraph"/>
      </w:pPr>
      <w:r>
        <w:t xml:space="preserve">Another group of scholars sees organized interst groups and experts that can provied credible information. In this view, random or self-selecting members of the general public are not apropriate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buisnesses in the comment process? The most obvious problem would be if legitmate small buisness concerns are just lost in the flood.</w:t>
      </w:r>
      <w:r>
        <w:t xml:space="preserve">”</w:t>
      </w:r>
      <w:r>
        <w:t xml:space="preserve"> </w:t>
      </w:r>
      <w:r>
        <w:t xml:space="preserve">(GSA 2019a, p. 31-32)</w:t>
      </w:r>
    </w:p>
    <w:p>
      <w:pPr>
        <w:pStyle w:val="FirstParagraph"/>
      </w:pPr>
      <w:r>
        <w:t xml:space="preserve">Sherhouse raised an additional concern that mass-comment campaigns might distract people from writing their own, more informative comment. While recognising that</w:t>
      </w:r>
      <w:r>
        <w:t xml:space="preserve"> </w:t>
      </w:r>
      <w:r>
        <w:t xml:space="preserve">“</w:t>
      </w:r>
      <w:r>
        <w:t xml:space="preserve">not everyone who does not sign onto that kind of [mass] comment would be willing to write a high 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p>
      <w:pPr>
        <w:pStyle w:val="Heading4"/>
      </w:pPr>
      <w:bookmarkStart w:id="212" w:name="skeptics"/>
      <w:r>
        <w:t xml:space="preserve">Skeptics</w:t>
      </w:r>
      <w:bookmarkEnd w:id="212"/>
    </w:p>
    <w:p>
      <w:pPr>
        <w:pStyle w:val="FirstParagraph"/>
      </w:pPr>
      <w:r>
        <w:t xml:space="preserve">The most skeptical camp goes even further, arguing that open solicitations to the general public should be aboloshed.</w:t>
      </w:r>
    </w:p>
    <w:p>
      <w:pPr>
        <w:pStyle w:val="Heading3"/>
      </w:pPr>
      <w:bookmarkStart w:id="213" w:name="challenges"/>
      <w:r>
        <w:t xml:space="preserve">5.0.2	Challenges</w:t>
      </w:r>
      <w:bookmarkEnd w:id="213"/>
    </w:p>
    <w:p>
      <w:pPr>
        <w:pStyle w:val="Heading4"/>
      </w:pPr>
      <w:bookmarkStart w:id="214" w:name="fraud"/>
      <w:r>
        <w:t xml:space="preserve">Fraud</w:t>
      </w:r>
      <w:bookmarkEnd w:id="214"/>
    </w:p>
    <w:p>
      <w:pPr>
        <w:pStyle w:val="FirstParagraph"/>
      </w:pPr>
      <w:r>
        <w:t xml:space="preserve">(The Wall Street Journal](</w:t>
      </w:r>
      <w:hyperlink r:id="rId215">
        <w:r>
          <w:rPr>
            <w:rStyle w:val="Hyperlink"/>
          </w:rPr>
          <w:t xml:space="preserve">https://www.wsj.com/articles/many-comments-critical-of-fiduciary-rule-are-fake-1514370601</w:t>
        </w:r>
      </w:hyperlink>
      <w:r>
        <w:t xml:space="preserve">) reported that 40% of comments on one Department of Labor rule used fradulent identities.</w:t>
      </w:r>
    </w:p>
    <w:p>
      <w:pPr>
        <w:pStyle w:val="Heading3"/>
      </w:pPr>
      <w:bookmarkStart w:id="216" w:name="reforms"/>
      <w:r>
        <w:t xml:space="preserve">5.0.3	Reforms</w:t>
      </w:r>
      <w:bookmarkEnd w:id="216"/>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6"/>
        </w:numPr>
      </w:pPr>
      <w:r>
        <w:t xml:space="preserve">First we must dispense with the idea that agencies merely implement the law. The APA provides for public participation because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r>
        <w:t xml:space="preserve">Potter et al. (</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6"/>
        </w:numPr>
      </w:pPr>
      <w:r>
        <w:t xml:space="preserve">Critics may argue that opening the door wider to petition campaigns lets in biases. Indeed we know that people who opt to participate are disproportionately privleged. In an unequal socieity, we have unequal participation, but higher barriers to entry only make this worse. More problematic is the idea that well-funded group who typically dominate rule making (Yackee) 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Because these organizations</w:t>
      </w:r>
    </w:p>
    <w:p>
      <w:pPr>
        <w:pStyle w:val="BodyText"/>
      </w:pPr>
      <w:r>
        <w:t xml:space="preserve">Raso suggests similar reforms</w:t>
      </w:r>
    </w:p>
    <w:p>
      <w:pPr>
        <w:pStyle w:val="BodyText"/>
      </w:pPr>
      <w:r>
        <w:t xml:space="preserve">as others have pointed out</w:t>
      </w:r>
    </w:p>
    <w:p>
      <w:pPr>
        <w:pStyle w:val="BodyText"/>
      </w:pPr>
      <w:r>
        <w:t xml:space="preserve">As the moderator of my class’s forum I can co-sign research on discursive democracy initiatives that realizing transformative discourse is difficult. the ideal of</w:t>
      </w:r>
      <w:r>
        <w:t xml:space="preserve"> </w:t>
      </w:r>
      <w:r>
        <w:t xml:space="preserve">“</w:t>
      </w:r>
      <w:r>
        <w:t xml:space="preserve">transformed into something</w:t>
      </w:r>
      <w:r>
        <w:t xml:space="preserve">”</w:t>
      </w:r>
      <w:r>
        <w:t xml:space="preserve"> </w:t>
      </w:r>
      <w:r>
        <w:t xml:space="preserve">is laudable but people are busy and any barrier to participation will massively reduce participation. Participation already follows a log scale distribution, with most rules receiving no comments–even major rules, on average receive less than 10.</w:t>
      </w:r>
    </w:p>
    <w:p>
      <w:pPr>
        <w:pStyle w:val="Heading4"/>
      </w:pPr>
      <w:bookmarkStart w:id="217" w:name="aims-of-reform"/>
      <w:r>
        <w:t xml:space="preserve">Aims of reform</w:t>
      </w:r>
      <w:bookmarkEnd w:id="217"/>
    </w:p>
    <w:p>
      <w:pPr>
        <w:pStyle w:val="FirstParagraph"/>
      </w:pPr>
      <w:r>
        <w:rPr>
          <w:b/>
        </w:rPr>
        <w:t xml:space="preserve">Lower barriers to participation.</w:t>
      </w:r>
    </w:p>
    <w:p>
      <w:pPr>
        <w:pStyle w:val="BodyText"/>
      </w:pPr>
      <w:r>
        <w:t xml:space="preserve">The main barier to participation in rulemaking is information. Even people with relativly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
        </w:rPr>
        <w:t xml:space="preserve">Increase transparency.</w:t>
      </w:r>
    </w:p>
    <w:p>
      <w:pPr>
        <w:pStyle w:val="BodyText"/>
      </w:pPr>
      <w:r>
        <w:rPr>
          <w:b/>
        </w:rPr>
        <w:t xml:space="preserve">Reduce the cost of extracting information from comments.</w:t>
      </w:r>
      <w:r>
        <w:t xml:space="preserve"> </w:t>
      </w:r>
      <w:r>
        <w:t xml:space="preserve">Reformers often highlight the value of linking comments to particular questions or sections of a draft rule. Technology can certianly improve sophisticated debates about a rule’s technical provisions. Indeed, sophisticated commentors have adopted track-changes technoligy to provide marked 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
        </w:rPr>
        <w:t xml:space="preserve">Gaurd against fraud.</w:t>
      </w:r>
    </w:p>
    <w:p>
      <w:pPr>
        <w:pStyle w:val="Heading4"/>
      </w:pPr>
      <w:bookmarkStart w:id="218" w:name="parsing-the-questions"/>
      <w:r>
        <w:t xml:space="preserve">Parsing the questions</w:t>
      </w:r>
      <w:bookmarkEnd w:id="218"/>
    </w:p>
    <w:p>
      <w:pPr>
        <w:pStyle w:val="FirstParagraph"/>
      </w:pPr>
      <w:r>
        <w:t xml:space="preserve">Agencies often specific ask questions and solicit comment on specific topics in an NPRM. These topics offer an intitial structure to allow commenters to self identify the topics of their comments. The American Bar Association’s Section of Administrative Law and Regulatory Practice reccomends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menue or ask additional questions.</w:t>
      </w:r>
    </w:p>
    <w:p>
      <w:pPr>
        <w:pStyle w:val="BodyText"/>
      </w:pPr>
      <w:r>
        <w:t xml:space="preserve">For example, agencies may encourage groups to mobilize in support of the groups’ answer to the questions that agencies ask. Given past trends, this will likely take the form of petition campaigns and agencies should have a mechanism to receive those comments as such.</w:t>
      </w:r>
    </w:p>
    <w:p>
      <w:pPr>
        <w:pStyle w:val="Heading4"/>
      </w:pPr>
      <w:bookmarkStart w:id="219" w:name="offering-answers"/>
      <w:r>
        <w:t xml:space="preserve">Offering answers</w:t>
      </w:r>
      <w:bookmarkEnd w:id="219"/>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7"/>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 paid for them to produce their comments came from. Likewise, organizations running campaigns should disclose the sources of funding for the campaigns and how how much they spent mobilizing public support. These numbers will provide a helpful demomoninator for agencies to gaduge public enthusiasm.</w:t>
      </w:r>
    </w:p>
    <w:p>
      <w:r>
        <w:pict>
          <v:rect style="width:0;height:1.5pt" o:hralign="center" o:hrstd="t" o:hr="t"/>
        </w:pict>
      </w:r>
    </w:p>
    <w:p>
      <w:pPr>
        <w:pStyle w:val="Heading4"/>
      </w:pPr>
      <w:bookmarkStart w:id="220" w:name="acus-report"/>
      <w:r>
        <w:t xml:space="preserve">ACUS Report</w:t>
      </w:r>
      <w:bookmarkEnd w:id="220"/>
    </w:p>
    <w:p>
      <w:r>
        <w:pict>
          <v:rect style="width:0;height:1.5pt" o:hralign="center" o:hrstd="t" o:hr="t"/>
        </w:pict>
      </w:r>
    </w:p>
    <w:p>
      <w:pPr>
        <w:pStyle w:val="Heading4"/>
      </w:pPr>
      <w:bookmarkStart w:id="221" w:name="X373c49abac0f56889b518962547d41b908b2dc6"/>
      <w:r>
        <w:t xml:space="preserve">Increasing transparency and public participation (GSA-2019-02)</w:t>
      </w:r>
      <w:bookmarkEnd w:id="221"/>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archotypical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campaings. Third, technology consultants represent the way in which mass comment campaings are primarily viewed as a technological challenge.</w:t>
      </w:r>
    </w:p>
    <w:p>
      <w:pPr>
        <w:pStyle w:val="BodyText"/>
      </w:pPr>
      <w:r>
        <w:t xml:space="preserve">Another important feature of this policy area is it’s tight-knit epistimic community. As observed by Mr. Hedren:</w:t>
      </w:r>
    </w:p>
    <w:p>
      <w:pPr>
        <w:pStyle w:val="BlockText"/>
      </w:pPr>
      <w:r>
        <w:t xml:space="preserve">“</w:t>
      </w:r>
      <w:r>
        <w:t xml:space="preserve">it’s a little alrming to me in some respects to see that, looking out into the crowd, I think I know about half of you on a first-name basis. So, we probably neeed a little bit more fresh blood in this regulatory nerd community.</w:t>
      </w:r>
      <w:r>
        <w:t xml:space="preserve">”</w:t>
      </w:r>
      <w:r>
        <w:t xml:space="preserve"> </w:t>
      </w:r>
      <w:r>
        <w:t xml:space="preserve">- Patrick Hedren, National Association of Manufactures</w:t>
      </w:r>
    </w:p>
    <w:p>
      <w:pPr>
        <w:pStyle w:val="Heading4"/>
      </w:pPr>
      <w:bookmarkStart w:id="222" w:name="gaurding-against-fraud"/>
      <w:r>
        <w:t xml:space="preserve">Gaurding against fraud</w:t>
      </w:r>
      <w:bookmarkEnd w:id="222"/>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
        </w:rPr>
        <w:t xml:space="preserve">Authentication.</w:t>
      </w:r>
      <w:r>
        <w:t xml:space="preserve"> </w:t>
      </w:r>
      <w:r>
        <w:t xml:space="preserve">Matt Cutts (acting director of the U.S. Digital Service) suggest CAPTCHAS, email confirmations, and multi-factor authentication. If comments are allowed to be collected by third parties like the Sierra Club, the government can encourage but</w:t>
      </w:r>
      <w:r>
        <w:t xml:space="preserve"> </w:t>
      </w:r>
      <w:r>
        <w:rPr>
          <w:i/>
        </w:rPr>
        <w:t xml:space="preserve">may not be able to enforce the use of CAPTCHAS</w:t>
      </w:r>
      <w:r>
        <w:t xml:space="preserve">. Requireing confirmation or authentication by email or phone alone would be a barrier to participation. Requiring both could be prohibiative.</w:t>
      </w:r>
    </w:p>
    <w:p>
      <w:pPr>
        <w:pStyle w:val="BodyText"/>
      </w:pPr>
      <w:r>
        <w:t xml:space="preserve">The most secure approach that allows third-parties to gather comments may be to authenticate each comment by asking each commentor to provide an email address or phone number at which to recieve a message asking them to confirm the text of their comment.</w:t>
      </w:r>
    </w:p>
    <w:p>
      <w:pPr>
        <w:pStyle w:val="BodyText"/>
      </w:pPr>
      <w:r>
        <w:t xml:space="preserve">Asking for a second interaction with the agency raises the cost of participation but may also make participation a slightly richer expierence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prefrences.</w:t>
      </w:r>
    </w:p>
    <w:p>
      <w:pPr>
        <w:pStyle w:val="BodyText"/>
      </w:pPr>
      <w:r>
        <w:t xml:space="preserve">More importantly, authentication gaurds against idneity theft. It is difficult to provide a large number of fake phone numbers and real phone numbers used fraudently would likely generate complaints, alerting the agency that the campaign may be engaging in fraud. Again, fraud complaints need not discount an entire campaign. Opponents of a campaign by the Sierra Club, for example, could submit fraudlient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benifits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
        </w:rPr>
        <w:t xml:space="preserve">Should agencies accecpt anonomus comments?</w:t>
      </w:r>
    </w:p>
    <w:p>
      <w:pPr>
        <w:pStyle w:val="BodyText"/>
      </w:pPr>
      <w:r>
        <w:t xml:space="preserve">There are good reasons to accept technical information from anonomus sources. For example, they may fear retaliation. However, anonmus comments should not be used to infer political information. This distinction supports two tracks with distinct requirments. An agency may want to allow sophisticated anonomus comments to be co-signed by large numbers of authenticated supporters, thus alowing insiders with necessary knowlege to make sopisticated arguments, but also much to lose to put ideas into pulic nad the agency to gadge public reacation to those ideas.</w:t>
      </w:r>
    </w:p>
    <w:p>
      <w:pPr>
        <w:pStyle w:val="Heading1"/>
      </w:pPr>
      <w:bookmarkStart w:id="223" w:name="conclusion-3"/>
      <w:r>
        <w:t xml:space="preserve">6	Conclusion</w:t>
      </w:r>
      <w:bookmarkEnd w:id="223"/>
    </w:p>
    <w:p>
      <w:pPr>
        <w:pStyle w:val="FirstParagraph"/>
      </w:pPr>
      <w:r>
        <w:t xml:space="preserve">The legitimacy of bureaucratic policymaking is said to depend on the premise that rulemaking provides for public voice</w:t>
      </w:r>
      <w:r>
        <w:t xml:space="preserve"> </w:t>
      </w:r>
      <w:r>
        <w:t xml:space="preserve">(Croley</w:t>
      </w:r>
      <w:r>
        <w:t xml:space="preserve"> </w:t>
      </w:r>
      <w:hyperlink w:anchor="ref-Croley2003">
        <w:r>
          <w:rPr>
            <w:rStyle w:val="Hyperlink"/>
          </w:rPr>
          <w:t xml:space="preserve">2003</w:t>
        </w:r>
      </w:hyperlink>
      <w:r>
        <w:t xml:space="preserve">, @Rosenbloom2003)</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464" w:name="refs"/>
    <w:bookmarkStart w:id="225" w:name="ref-ACUS2018"/>
    <w:p>
      <w:pPr>
        <w:pStyle w:val="Bibliography"/>
      </w:pPr>
      <w:r>
        <w:t xml:space="preserve">ACUS. 2018. “Mass and Fake Comments in Agency Rulemaking.” Administrative Conference of the United States.</w:t>
      </w:r>
      <w:r>
        <w:t xml:space="preserve"> </w:t>
      </w:r>
      <w:hyperlink r:id="rId224">
        <w:r>
          <w:rPr>
            <w:rStyle w:val="Hyperlink"/>
          </w:rPr>
          <w:t xml:space="preserve">https://www.acus.gov/sites/default/files/documents/ACUS Recommendations Packet.pdf</w:t>
        </w:r>
      </w:hyperlink>
      <w:r>
        <w:t xml:space="preserve">.</w:t>
      </w:r>
    </w:p>
    <w:bookmarkEnd w:id="225"/>
    <w:bookmarkStart w:id="227" w:name="ref-Andrews2004"/>
    <w:p>
      <w:pPr>
        <w:pStyle w:val="Bibliography"/>
      </w:pPr>
      <w:r>
        <w:t xml:space="preserve">Andrews, Kenneth T., and Bob Edwards. 2004. “Advocacy Organizations in the U.S. Political Process.”</w:t>
      </w:r>
      <w:r>
        <w:t xml:space="preserve"> </w:t>
      </w:r>
      <w:r>
        <w:rPr>
          <w:i/>
        </w:rPr>
        <w:t xml:space="preserve">Annual Review of Political Science</w:t>
      </w:r>
      <w:r>
        <w:t xml:space="preserve"> </w:t>
      </w:r>
      <w:r>
        <w:t xml:space="preserve">30: 479–506.</w:t>
      </w:r>
      <w:r>
        <w:t xml:space="preserve"> </w:t>
      </w:r>
      <w:hyperlink r:id="rId226">
        <w:r>
          <w:rPr>
            <w:rStyle w:val="Hyperlink"/>
          </w:rPr>
          <w:t xml:space="preserve">https://doi.org/10.1146/annurev.soc.30.012703.110542</w:t>
        </w:r>
      </w:hyperlink>
      <w:r>
        <w:t xml:space="preserve">.</w:t>
      </w:r>
    </w:p>
    <w:bookmarkEnd w:id="227"/>
    <w:bookmarkStart w:id="229" w:name="ref-Arnold1979"/>
    <w:p>
      <w:pPr>
        <w:pStyle w:val="Bibliography"/>
      </w:pPr>
      <w:r>
        <w:t xml:space="preserve">Arnold, R. Douglas. 1979.</w:t>
      </w:r>
      <w:r>
        <w:t xml:space="preserve"> </w:t>
      </w:r>
      <w:r>
        <w:rPr>
          <w:i/>
        </w:rPr>
        <w:t xml:space="preserve">Congress and the bureaucracy: a theory of influence</w:t>
      </w:r>
      <w:r>
        <w:t xml:space="preserve">. New Haven: Yale University Press.</w:t>
      </w:r>
      <w:r>
        <w:t xml:space="preserve"> </w:t>
      </w:r>
      <w:hyperlink r:id="rId228">
        <w:r>
          <w:rPr>
            <w:rStyle w:val="Hyperlink"/>
          </w:rPr>
          <w:t xml:space="preserve">https://yalebooks.yale.edu/book/9780300025927/congress-and-bureaucracy</w:t>
        </w:r>
      </w:hyperlink>
      <w:r>
        <w:t xml:space="preserve">.</w:t>
      </w:r>
    </w:p>
    <w:bookmarkEnd w:id="229"/>
    <w:bookmarkStart w:id="231" w:name="ref-Balla1998"/>
    <w:p>
      <w:pPr>
        <w:pStyle w:val="Bibliography"/>
      </w:pPr>
      <w:r>
        <w:t xml:space="preserve">Balla, Steven J. 1998. “Administrative Procedures and Political Control of the Bureaucracy.”</w:t>
      </w:r>
      <w:r>
        <w:t xml:space="preserve"> </w:t>
      </w:r>
      <w:r>
        <w:rPr>
          <w:i/>
        </w:rPr>
        <w:t xml:space="preserve">American Political Science Review</w:t>
      </w:r>
      <w:r>
        <w:t xml:space="preserve"> </w:t>
      </w:r>
      <w:r>
        <w:t xml:space="preserve">92 (03): 663–73.</w:t>
      </w:r>
      <w:r>
        <w:t xml:space="preserve"> </w:t>
      </w:r>
      <w:hyperlink r:id="rId230">
        <w:r>
          <w:rPr>
            <w:rStyle w:val="Hyperlink"/>
          </w:rPr>
          <w:t xml:space="preserve">https://doi.org/10.2307/2585488</w:t>
        </w:r>
      </w:hyperlink>
      <w:r>
        <w:t xml:space="preserve">.</w:t>
      </w:r>
    </w:p>
    <w:bookmarkEnd w:id="231"/>
    <w:bookmarkStart w:id="232" w:name="ref-Balla2018"/>
    <w:p>
      <w:pPr>
        <w:pStyle w:val="Bibliography"/>
      </w:pPr>
      <w:r>
        <w:t xml:space="preserve">Balla, Steven J, Alexander R Beck, William C Cubbison, and Aryamala Prasad. 2018. “Where’s the Spam? Mass Comment Campaigns in Agency Rulemaking.”</w:t>
      </w:r>
    </w:p>
    <w:bookmarkEnd w:id="232"/>
    <w:bookmarkStart w:id="234" w:name="ref-Baumgartner2001"/>
    <w:p>
      <w:pPr>
        <w:pStyle w:val="Bibliography"/>
      </w:pPr>
      <w:r>
        <w:t xml:space="preserve">Baumgartner, Frank R., and Beth L. Leech. 2001.</w:t>
      </w:r>
      <w:r>
        <w:t xml:space="preserve"> </w:t>
      </w:r>
      <w:r>
        <w:rPr>
          <w:i/>
        </w:rPr>
        <w:t xml:space="preserve">Basic Interests: The Importance of Groups in Politics and in Political Science.</w:t>
      </w:r>
      <w:r>
        <w:t xml:space="preserve"> </w:t>
      </w:r>
      <w:r>
        <w:t xml:space="preserve">Princeton University Press.</w:t>
      </w:r>
      <w:r>
        <w:t xml:space="preserve"> </w:t>
      </w:r>
      <w:hyperlink r:id="rId233">
        <w:r>
          <w:rPr>
            <w:rStyle w:val="Hyperlink"/>
          </w:rPr>
          <w:t xml:space="preserve">https://doi.org/10.1515/9781400822485</w:t>
        </w:r>
      </w:hyperlink>
      <w:r>
        <w:t xml:space="preserve">.</w:t>
      </w:r>
    </w:p>
    <w:bookmarkEnd w:id="234"/>
    <w:bookmarkStart w:id="236" w:name="ref-Berry1999"/>
    <w:p>
      <w:pPr>
        <w:pStyle w:val="Bibliography"/>
      </w:pPr>
      <w:r>
        <w:t xml:space="preserve">Berry, Jeffrey M. 1999.</w:t>
      </w:r>
      <w:r>
        <w:t xml:space="preserve"> </w:t>
      </w:r>
      <w:r>
        <w:rPr>
          <w:i/>
        </w:rPr>
        <w:t xml:space="preserve">The New Liberalism: The Rising Power of Citizen Groups</w:t>
      </w:r>
      <w:r>
        <w:t xml:space="preserve">. Brookings.</w:t>
      </w:r>
      <w:r>
        <w:t xml:space="preserve"> </w:t>
      </w:r>
      <w:hyperlink r:id="rId235">
        <w:r>
          <w:rPr>
            <w:rStyle w:val="Hyperlink"/>
          </w:rPr>
          <w:t xml:space="preserve">https://www.brookings.edu/book/the-new-liberalism/</w:t>
        </w:r>
      </w:hyperlink>
      <w:r>
        <w:t xml:space="preserve">.</w:t>
      </w:r>
    </w:p>
    <w:bookmarkEnd w:id="236"/>
    <w:bookmarkStart w:id="237" w:name="ref-Bierschbach2012"/>
    <w:p>
      <w:pPr>
        <w:pStyle w:val="Bibliography"/>
      </w:pPr>
      <w:r>
        <w:t xml:space="preserve">Bierschbach, Richard A., and Stephanos Bibas. 2012. “Notice-and-Comment Sentencing.”</w:t>
      </w:r>
      <w:r>
        <w:t xml:space="preserve"> </w:t>
      </w:r>
      <w:r>
        <w:rPr>
          <w:i/>
        </w:rPr>
        <w:t xml:space="preserve">Minnesota Law Review</w:t>
      </w:r>
      <w:r>
        <w:t xml:space="preserve"> </w:t>
      </w:r>
      <w:r>
        <w:t xml:space="preserve">97 (1): 24.</w:t>
      </w:r>
    </w:p>
    <w:bookmarkEnd w:id="237"/>
    <w:bookmarkStart w:id="239" w:name="ref-Boulianne2018"/>
    <w:p>
      <w:pPr>
        <w:pStyle w:val="Bibliography"/>
      </w:pPr>
      <w:r>
        <w:t xml:space="preserve">Boulianne, Shelley. 2018. “Twenty Years of Digital Media Effects on Civic and Political Participation.”</w:t>
      </w:r>
      <w:r>
        <w:t xml:space="preserve"> </w:t>
      </w:r>
      <w:r>
        <w:rPr>
          <w:i/>
        </w:rPr>
        <w:t xml:space="preserve">Communication Research</w:t>
      </w:r>
      <w:r>
        <w:t xml:space="preserve">, October, 009365021880818.</w:t>
      </w:r>
      <w:r>
        <w:t xml:space="preserve"> </w:t>
      </w:r>
      <w:hyperlink r:id="rId238">
        <w:r>
          <w:rPr>
            <w:rStyle w:val="Hyperlink"/>
          </w:rPr>
          <w:t xml:space="preserve">https://doi.org/10.1177/0093650218808186</w:t>
        </w:r>
      </w:hyperlink>
      <w:r>
        <w:t xml:space="preserve">.</w:t>
      </w:r>
    </w:p>
    <w:bookmarkEnd w:id="239"/>
    <w:bookmarkStart w:id="241" w:name="ref-Bullard1993"/>
    <w:p>
      <w:pPr>
        <w:pStyle w:val="Bibliography"/>
      </w:pPr>
      <w:r>
        <w:t xml:space="preserve">Bullard, Robert D. 1993.</w:t>
      </w:r>
      <w:r>
        <w:t xml:space="preserve"> </w:t>
      </w:r>
      <w:r>
        <w:rPr>
          <w:i/>
        </w:rPr>
        <w:t xml:space="preserve">Confronting environmental racism: voices from the grassroots</w:t>
      </w:r>
      <w:r>
        <w:t xml:space="preserve">. Boston Mass.: South End Press.</w:t>
      </w:r>
      <w:r>
        <w:t xml:space="preserve"> </w:t>
      </w:r>
      <w:hyperlink r:id="rId240">
        <w:r>
          <w:rPr>
            <w:rStyle w:val="Hyperlink"/>
          </w:rPr>
          <w:t xml:space="preserve">http://www.worldcat.org/title/confronting-environmental-racism-voices-from-the-grassroots/oclc/26351432</w:t>
        </w:r>
      </w:hyperlink>
      <w:r>
        <w:t xml:space="preserve">.</w:t>
      </w:r>
    </w:p>
    <w:bookmarkEnd w:id="241"/>
    <w:bookmarkStart w:id="243" w:name="ref-Burstein2020"/>
    <w:p>
      <w:pPr>
        <w:pStyle w:val="Bibliography"/>
      </w:pPr>
      <w:r>
        <w:t xml:space="preserve">Burstein, Paul. 2020. “Why Do Lobbying, Protest, and Other Forms of Advocacy Often Fail to Affect Policy? Some Possible Explanations.”</w:t>
      </w:r>
      <w:r>
        <w:t xml:space="preserve"> </w:t>
      </w:r>
      <w:r>
        <w:rPr>
          <w:i/>
        </w:rPr>
        <w:t xml:space="preserve">APSA Preprints</w:t>
      </w:r>
      <w:r>
        <w:t xml:space="preserve">.</w:t>
      </w:r>
      <w:r>
        <w:t xml:space="preserve"> </w:t>
      </w:r>
      <w:hyperlink r:id="rId242">
        <w:r>
          <w:rPr>
            <w:rStyle w:val="Hyperlink"/>
          </w:rPr>
          <w:t xml:space="preserve">https://doi.org/10.33774/apsa-2020-k78wc</w:t>
        </w:r>
      </w:hyperlink>
      <w:r>
        <w:t xml:space="preserve">.</w:t>
      </w:r>
    </w:p>
    <w:bookmarkEnd w:id="243"/>
    <w:bookmarkStart w:id="245" w:name="ref-Carmines1989"/>
    <w:p>
      <w:pPr>
        <w:pStyle w:val="Bibliography"/>
      </w:pPr>
      <w:r>
        <w:t xml:space="preserve">Carmines, Edward G., and James A. Stimson. 1989.</w:t>
      </w:r>
      <w:r>
        <w:t xml:space="preserve"> </w:t>
      </w:r>
      <w:r>
        <w:rPr>
          <w:i/>
        </w:rPr>
        <w:t xml:space="preserve">Issue Evolution: Race and the Transformation of American Politics</w:t>
      </w:r>
      <w:r>
        <w:t xml:space="preserve">. Princeton University Press.</w:t>
      </w:r>
      <w:r>
        <w:t xml:space="preserve"> </w:t>
      </w:r>
      <w:hyperlink r:id="rId244">
        <w:r>
          <w:rPr>
            <w:rStyle w:val="Hyperlink"/>
          </w:rPr>
          <w:t xml:space="preserve">http://press.princeton.edu/titles/4385.html http://web.stanford.edu/class/polisci177a/Notes.Week2.pdf</w:t>
        </w:r>
      </w:hyperlink>
      <w:r>
        <w:t xml:space="preserve">.</w:t>
      </w:r>
    </w:p>
    <w:bookmarkEnd w:id="245"/>
    <w:bookmarkStart w:id="247" w:name="ref-CarpenterPetitions"/>
    <w:p>
      <w:pPr>
        <w:pStyle w:val="Bibliography"/>
      </w:pPr>
      <w:r>
        <w:t xml:space="preserve">Carpenter, Daniel. n.d. “The Petition as a Recruitment Device: Evidence from the Abolitionists’ Congressional Campaign.”</w:t>
      </w:r>
      <w:r>
        <w:t xml:space="preserve"> </w:t>
      </w:r>
      <w:hyperlink r:id="rId246">
        <w:r>
          <w:rPr>
            <w:rStyle w:val="Hyperlink"/>
          </w:rPr>
          <w:t xml:space="preserve">https://petitions.radcliffe.harvard.edu/files/petitions/files/petition-recruit-20040112.pdf</w:t>
        </w:r>
      </w:hyperlink>
      <w:r>
        <w:t xml:space="preserve">.</w:t>
      </w:r>
    </w:p>
    <w:bookmarkEnd w:id="247"/>
    <w:bookmarkStart w:id="249" w:name="ref-Carpenter2020"/>
    <w:p>
      <w:pPr>
        <w:pStyle w:val="Bibliography"/>
      </w:pPr>
      <w:r>
        <w:t xml:space="preserve">Carpenter, Daniel, Devin Judge-Lord, Brian Libgober, and Steven Rashin. 2020. “Data and Methods for Analyzing Special Interest Influence in Rulemaking.”</w:t>
      </w:r>
      <w:r>
        <w:t xml:space="preserve"> </w:t>
      </w:r>
      <w:r>
        <w:rPr>
          <w:i/>
        </w:rPr>
        <w:t xml:space="preserve">Interest Groups &amp; Advocacy</w:t>
      </w:r>
      <w:r>
        <w:t xml:space="preserve"> </w:t>
      </w:r>
      <w:r>
        <w:t xml:space="preserve">9.</w:t>
      </w:r>
      <w:r>
        <w:t xml:space="preserve"> </w:t>
      </w:r>
      <w:hyperlink r:id="rId248">
        <w:r>
          <w:rPr>
            <w:rStyle w:val="Hyperlink"/>
          </w:rPr>
          <w:t xml:space="preserve">https://doi.org/10.1057/s41309-020-00094-w</w:t>
        </w:r>
      </w:hyperlink>
      <w:r>
        <w:t xml:space="preserve">.</w:t>
      </w:r>
    </w:p>
    <w:bookmarkEnd w:id="249"/>
    <w:bookmarkStart w:id="251" w:name="ref-Carpenter2014b"/>
    <w:p>
      <w:pPr>
        <w:pStyle w:val="Bibliography"/>
      </w:pPr>
      <w:r>
        <w:t xml:space="preserve">Carpenter, Daniel, and Colin D. Moore. 2014. “When Canvassers Became Activists: Antislavery Petitioning and the Political Mobilization of American Women.”</w:t>
      </w:r>
      <w:r>
        <w:t xml:space="preserve"> </w:t>
      </w:r>
      <w:r>
        <w:rPr>
          <w:i/>
        </w:rPr>
        <w:t xml:space="preserve">American Political Science Review</w:t>
      </w:r>
      <w:r>
        <w:t xml:space="preserve"> </w:t>
      </w:r>
      <w:r>
        <w:t xml:space="preserve">108 (03): 479–98.</w:t>
      </w:r>
      <w:r>
        <w:t xml:space="preserve"> </w:t>
      </w:r>
      <w:hyperlink r:id="rId250">
        <w:r>
          <w:rPr>
            <w:rStyle w:val="Hyperlink"/>
          </w:rPr>
          <w:t xml:space="preserve">https://doi.org/10.1017/S000305541400029X</w:t>
        </w:r>
      </w:hyperlink>
      <w:r>
        <w:t xml:space="preserve">.</w:t>
      </w:r>
    </w:p>
    <w:bookmarkEnd w:id="251"/>
    <w:bookmarkStart w:id="252" w:name="ref-Carpenter2001"/>
    <w:p>
      <w:pPr>
        <w:pStyle w:val="Bibliography"/>
      </w:pPr>
      <w:r>
        <w:t xml:space="preserve">Carpenter, Daniel P. 2001.</w:t>
      </w:r>
      <w:r>
        <w:t xml:space="preserve"> </w:t>
      </w:r>
      <w:r>
        <w:rPr>
          <w:i/>
        </w:rPr>
        <w:t xml:space="preserve">The Forging of Bureaucratic Autonomy: Reputations, Networks, and Policy Innovation in Executive Agencies, 1862-1928</w:t>
      </w:r>
      <w:r>
        <w:t xml:space="preserve">. Princeton University Press.</w:t>
      </w:r>
    </w:p>
    <w:bookmarkEnd w:id="252"/>
    <w:bookmarkStart w:id="253" w:name="ref-Casas2017"/>
    <w:p>
      <w:pPr>
        <w:pStyle w:val="Bibliography"/>
      </w:pPr>
      <w:r>
        <w:t xml:space="preserve">Casas, Andreu, Matthew J Denny, and John Wilkerson. 2017. “Legislative Hitchhikers: Re-envisioning Legislative Productivity and Bill Sponsorship Success.”</w:t>
      </w:r>
    </w:p>
    <w:bookmarkEnd w:id="253"/>
    <w:bookmarkStart w:id="255" w:name="ref-CBECAL2017"/>
    <w:p>
      <w:pPr>
        <w:pStyle w:val="Bibliography"/>
      </w:pPr>
      <w:r>
        <w:t xml:space="preserve">CBECAL. 2017. “Communities for a Better Environment.”</w:t>
      </w:r>
      <w:r>
        <w:t xml:space="preserve"> </w:t>
      </w:r>
      <w:hyperlink r:id="rId254">
        <w:r>
          <w:rPr>
            <w:rStyle w:val="Hyperlink"/>
          </w:rPr>
          <w:t xml:space="preserve">http://www.cbecal.org/</w:t>
        </w:r>
      </w:hyperlink>
      <w:r>
        <w:t xml:space="preserve">.</w:t>
      </w:r>
    </w:p>
    <w:bookmarkEnd w:id="255"/>
    <w:bookmarkStart w:id="257" w:name="ref-Coglianese2001"/>
    <w:p>
      <w:pPr>
        <w:pStyle w:val="Bibliography"/>
      </w:pPr>
      <w:r>
        <w:t xml:space="preserve">Coglianese, Cary. 2001. “Social Movements, Law, and Society: The Institutionalization of the Environmental Movement.”</w:t>
      </w:r>
      <w:r>
        <w:t xml:space="preserve"> </w:t>
      </w:r>
      <w:r>
        <w:rPr>
          <w:i/>
        </w:rPr>
        <w:t xml:space="preserve">University of Pennsylvania Law Review</w:t>
      </w:r>
      <w:r>
        <w:t xml:space="preserve"> </w:t>
      </w:r>
      <w:r>
        <w:t xml:space="preserve">51.</w:t>
      </w:r>
      <w:r>
        <w:t xml:space="preserve"> </w:t>
      </w:r>
      <w:hyperlink r:id="rId256">
        <w:r>
          <w:rPr>
            <w:rStyle w:val="Hyperlink"/>
          </w:rPr>
          <w:t xml:space="preserve">http://scholarship.law.upenn.edu/faculty{\_}scholarship</w:t>
        </w:r>
      </w:hyperlink>
      <w:r>
        <w:t xml:space="preserve">.</w:t>
      </w:r>
    </w:p>
    <w:bookmarkEnd w:id="257"/>
    <w:bookmarkStart w:id="259" w:name="ref-Coglianese2006"/>
    <w:p>
      <w:pPr>
        <w:pStyle w:val="Bibliography"/>
      </w:pPr>
      <w:r>
        <w:t xml:space="preserve">———. 2006. “Citizen Participation in Rulemaking: Past, Present, and Future.”</w:t>
      </w:r>
      <w:r>
        <w:t xml:space="preserve"> </w:t>
      </w:r>
      <w:r>
        <w:rPr>
          <w:i/>
        </w:rPr>
        <w:t xml:space="preserve">Duke Law Journal</w:t>
      </w:r>
      <w:r>
        <w:t xml:space="preserve"> </w:t>
      </w:r>
      <w:r>
        <w:t xml:space="preserve">55 (5): 943–68.</w:t>
      </w:r>
      <w:r>
        <w:t xml:space="preserve"> </w:t>
      </w:r>
      <w:hyperlink r:id="rId258">
        <w:r>
          <w:rPr>
            <w:rStyle w:val="Hyperlink"/>
          </w:rPr>
          <w:t xml:space="preserve">https://www.jstor.org/stable/pdf/40040532.pdf?refreqid=excelsior%3A3eeeeaa9f2da6db1832f107aa771d14f</w:t>
        </w:r>
      </w:hyperlink>
      <w:r>
        <w:t xml:space="preserve">.</w:t>
      </w:r>
    </w:p>
    <w:bookmarkEnd w:id="259"/>
    <w:bookmarkStart w:id="260" w:name="ref-Cohen2008"/>
    <w:p>
      <w:pPr>
        <w:pStyle w:val="Bibliography"/>
      </w:pPr>
      <w:r>
        <w:t xml:space="preserve">Cohen, Marty, David Karol, Hans Noel, and John Zaller. 2008.</w:t>
      </w:r>
      <w:r>
        <w:t xml:space="preserve"> </w:t>
      </w:r>
      <w:r>
        <w:rPr>
          <w:i/>
        </w:rPr>
        <w:t xml:space="preserve">The Party Decides: Presidential Nominations Before and After Reform</w:t>
      </w:r>
      <w:r>
        <w:t xml:space="preserve">. Chicago: University of Chicago Press.</w:t>
      </w:r>
    </w:p>
    <w:bookmarkEnd w:id="260"/>
    <w:bookmarkStart w:id="262" w:name="ref-Converse1964"/>
    <w:p>
      <w:pPr>
        <w:pStyle w:val="Bibliography"/>
      </w:pPr>
      <w:r>
        <w:t xml:space="preserve">Converse, Philip E. 1964.</w:t>
      </w:r>
      <w:r>
        <w:t xml:space="preserve"> </w:t>
      </w:r>
      <w:r>
        <w:rPr>
          <w:i/>
        </w:rPr>
        <w:t xml:space="preserve">The nature of belief systems in mass publics</w:t>
      </w:r>
      <w:r>
        <w:t xml:space="preserve">.</w:t>
      </w:r>
      <w:r>
        <w:t xml:space="preserve"> </w:t>
      </w:r>
      <w:hyperlink r:id="rId261">
        <w:r>
          <w:rPr>
            <w:rStyle w:val="Hyperlink"/>
          </w:rPr>
          <w:t xml:space="preserve">https://doi.org/10.1080/08913810608443650</w:t>
        </w:r>
      </w:hyperlink>
      <w:r>
        <w:t xml:space="preserve">.</w:t>
      </w:r>
    </w:p>
    <w:bookmarkEnd w:id="262"/>
    <w:bookmarkStart w:id="264" w:name="ref-Cook2017"/>
    <w:p>
      <w:pPr>
        <w:pStyle w:val="Bibliography"/>
      </w:pPr>
      <w:r>
        <w:t xml:space="preserve">Cook, Jeffrey J. 2017. “Setting the record straight: interest group influence on climate policy at the Environmental Protection Agency.” PhD thesis, Colorado State University.</w:t>
      </w:r>
      <w:r>
        <w:t xml:space="preserve"> </w:t>
      </w:r>
      <w:hyperlink r:id="rId263">
        <w:r>
          <w:rPr>
            <w:rStyle w:val="Hyperlink"/>
          </w:rPr>
          <w:t xml:space="preserve">https://mountainscholar.org/bitstream/handle/10217/181399/Cook{\_}colostate{\_}0053A14127.pdf?sequence=1</w:t>
        </w:r>
      </w:hyperlink>
      <w:r>
        <w:t xml:space="preserve">.</w:t>
      </w:r>
    </w:p>
    <w:bookmarkEnd w:id="264"/>
    <w:bookmarkStart w:id="265" w:name="ref-Cox2005"/>
    <w:p>
      <w:pPr>
        <w:pStyle w:val="Bibliography"/>
      </w:pPr>
      <w:r>
        <w:t xml:space="preserve">Cox, Gary W., and Mathew Daniel McCubbins. 2005.</w:t>
      </w:r>
      <w:r>
        <w:t xml:space="preserve"> </w:t>
      </w:r>
      <w:r>
        <w:rPr>
          <w:i/>
        </w:rPr>
        <w:t xml:space="preserve">Setting the Agenda: Responsible Party Government in the U.S. House of Representatives</w:t>
      </w:r>
      <w:r>
        <w:t xml:space="preserve">. Cambridge [England] ; New York, N.Y.: Cambridge University Press.</w:t>
      </w:r>
    </w:p>
    <w:bookmarkEnd w:id="265"/>
    <w:bookmarkStart w:id="267" w:name="ref-Croley2003"/>
    <w:p>
      <w:pPr>
        <w:pStyle w:val="Bibliography"/>
      </w:pPr>
      <w:r>
        <w:t xml:space="preserve">Croley, Steven. 2003. “White House Review of Agency Rulemaking: An Empirical Investigation.”</w:t>
      </w:r>
      <w:r>
        <w:t xml:space="preserve"> </w:t>
      </w:r>
      <w:r>
        <w:rPr>
          <w:i/>
        </w:rPr>
        <w:t xml:space="preserve">Harvard Law Review</w:t>
      </w:r>
      <w:r>
        <w:t xml:space="preserve"> </w:t>
      </w:r>
      <w:r>
        <w:t xml:space="preserve">70 (3): 821–35.</w:t>
      </w:r>
      <w:r>
        <w:t xml:space="preserve"> </w:t>
      </w:r>
      <w:hyperlink r:id="rId266">
        <w:r>
          <w:rPr>
            <w:rStyle w:val="Hyperlink"/>
          </w:rPr>
          <w:t xml:space="preserve">http://chicagounbound.uchicago.edu/cgi/viewcontent.cgi?article=5219{\&amp;}context=uclrev</w:t>
        </w:r>
      </w:hyperlink>
      <w:r>
        <w:t xml:space="preserve">.</w:t>
      </w:r>
    </w:p>
    <w:bookmarkEnd w:id="267"/>
    <w:bookmarkStart w:id="269" w:name="ref-Crow2015"/>
    <w:p>
      <w:pPr>
        <w:pStyle w:val="Bibliography"/>
      </w:pPr>
      <w:r>
        <w:t xml:space="preserve">Crow, Deserai A., Elizabeth A. Albright, and Elizabeth Koebele. 2015. “Evaluating Informational Inputs in Rulemaking Processes: A Cross-Case Analysis.”</w:t>
      </w:r>
      <w:r>
        <w:t xml:space="preserve"> </w:t>
      </w:r>
      <w:r>
        <w:rPr>
          <w:i/>
        </w:rPr>
        <w:t xml:space="preserve">Administration &amp; Society</w:t>
      </w:r>
      <w:r>
        <w:t xml:space="preserve"> </w:t>
      </w:r>
      <w:r>
        <w:t xml:space="preserve">49 (9): 1318–45.</w:t>
      </w:r>
      <w:r>
        <w:t xml:space="preserve"> </w:t>
      </w:r>
      <w:hyperlink r:id="rId268">
        <w:r>
          <w:rPr>
            <w:rStyle w:val="Hyperlink"/>
          </w:rPr>
          <w:t xml:space="preserve">https://doi.org/10.1177/0095399715581040</w:t>
        </w:r>
      </w:hyperlink>
      <w:r>
        <w:t xml:space="preserve">.</w:t>
      </w:r>
    </w:p>
    <w:bookmarkEnd w:id="269"/>
    <w:bookmarkStart w:id="271" w:name="ref-Cuellar2005"/>
    <w:p>
      <w:pPr>
        <w:pStyle w:val="Bibliography"/>
      </w:pPr>
      <w:r>
        <w:t xml:space="preserve">Cuéllar, Mariano-Florentino. 2005. “Rethinking Regulatory Democracy.”</w:t>
      </w:r>
      <w:r>
        <w:t xml:space="preserve"> </w:t>
      </w:r>
      <w:r>
        <w:rPr>
          <w:i/>
        </w:rPr>
        <w:t xml:space="preserve">Administrative Law Review</w:t>
      </w:r>
      <w:r>
        <w:t xml:space="preserve"> </w:t>
      </w:r>
      <w:r>
        <w:t xml:space="preserve">57 (2).</w:t>
      </w:r>
      <w:r>
        <w:t xml:space="preserve"> </w:t>
      </w:r>
      <w:hyperlink r:id="rId270">
        <w:r>
          <w:rPr>
            <w:rStyle w:val="Hyperlink"/>
          </w:rPr>
          <w:t xml:space="preserve">https://about.jstor.org/terms https://papers.ssrn.com/sol3/papers.cfm?abstract{\_}id=595181{\&amp;}download=yes</w:t>
        </w:r>
      </w:hyperlink>
      <w:r>
        <w:t xml:space="preserve">.</w:t>
      </w:r>
    </w:p>
    <w:bookmarkEnd w:id="271"/>
    <w:bookmarkStart w:id="273" w:name="ref-Cuellar2014"/>
    <w:p>
      <w:pPr>
        <w:pStyle w:val="Bibliography"/>
      </w:pPr>
      <w:r>
        <w:t xml:space="preserve">———. 2014. “Administrative War.”</w:t>
      </w:r>
      <w:r>
        <w:t xml:space="preserve"> </w:t>
      </w:r>
      <w:r>
        <w:rPr>
          <w:i/>
        </w:rPr>
        <w:t xml:space="preserve">George Washington Law Review</w:t>
      </w:r>
      <w:r>
        <w:t xml:space="preserve"> </w:t>
      </w:r>
      <w:r>
        <w:t xml:space="preserve">82 (1343).</w:t>
      </w:r>
      <w:r>
        <w:t xml:space="preserve"> </w:t>
      </w:r>
      <w:hyperlink r:id="rId272">
        <w:r>
          <w:rPr>
            <w:rStyle w:val="Hyperlink"/>
          </w:rPr>
          <w:t xml:space="preserve">http://law.wisc.edu/ils/2017speakerfiles/supplemental{\_}reading--administrative{\_}war.pdf</w:t>
        </w:r>
      </w:hyperlink>
      <w:r>
        <w:t xml:space="preserve">.</w:t>
      </w:r>
    </w:p>
    <w:bookmarkEnd w:id="273"/>
    <w:bookmarkStart w:id="275" w:name="ref-Dahl1989"/>
    <w:p>
      <w:pPr>
        <w:pStyle w:val="Bibliography"/>
      </w:pPr>
      <w:r>
        <w:t xml:space="preserve">Dahl, Robert A. 1989.</w:t>
      </w:r>
      <w:r>
        <w:t xml:space="preserve"> </w:t>
      </w:r>
      <w:r>
        <w:rPr>
          <w:i/>
        </w:rPr>
        <w:t xml:space="preserve">Democracy and its critics</w:t>
      </w:r>
      <w:r>
        <w:t xml:space="preserve">. Yale University Press.</w:t>
      </w:r>
      <w:r>
        <w:t xml:space="preserve"> </w:t>
      </w:r>
      <w:hyperlink r:id="rId274">
        <w:r>
          <w:rPr>
            <w:rStyle w:val="Hyperlink"/>
          </w:rPr>
          <w:t xml:space="preserve">https://books.google.com/books/about/Democracy{\_}and{\_}Its{\_}Critics.html?id=l1RQngEACAAJ</w:t>
        </w:r>
      </w:hyperlink>
      <w:r>
        <w:t xml:space="preserve">.</w:t>
      </w:r>
    </w:p>
    <w:bookmarkEnd w:id="275"/>
    <w:bookmarkStart w:id="277" w:name="ref-DiSalvo2012"/>
    <w:p>
      <w:pPr>
        <w:pStyle w:val="Bibliography"/>
      </w:pPr>
      <w:r>
        <w:t xml:space="preserve">DiSalvo, Daniel. 2012.</w:t>
      </w:r>
      <w:r>
        <w:t xml:space="preserve"> </w:t>
      </w:r>
      <w:r>
        <w:rPr>
          <w:i/>
        </w:rPr>
        <w:t xml:space="preserve">Engines of Change: Party Factions in American Politics, 1868-2010</w:t>
      </w:r>
      <w:r>
        <w:t xml:space="preserve">.</w:t>
      </w:r>
      <w:r>
        <w:t xml:space="preserve"> </w:t>
      </w:r>
      <w:hyperlink r:id="rId276">
        <w:r>
          <w:rPr>
            <w:rStyle w:val="Hyperlink"/>
          </w:rPr>
          <w:t xml:space="preserve">https://doi.org/10.1093/acprof:oso/9780199891702.001.0001</w:t>
        </w:r>
      </w:hyperlink>
      <w:r>
        <w:t xml:space="preserve">.</w:t>
      </w:r>
    </w:p>
    <w:bookmarkEnd w:id="277"/>
    <w:bookmarkStart w:id="279" w:name="ref-Dunleavy1991"/>
    <w:p>
      <w:pPr>
        <w:pStyle w:val="Bibliography"/>
      </w:pPr>
      <w:r>
        <w:t xml:space="preserve">Dunleavy, Patrick. 1991.</w:t>
      </w:r>
      <w:r>
        <w:t xml:space="preserve"> </w:t>
      </w:r>
      <w:r>
        <w:rPr>
          <w:i/>
        </w:rPr>
        <w:t xml:space="preserve">Democracy, Bureaucracy and Public Choice: Economic explanations in political science</w:t>
      </w:r>
      <w:r>
        <w:t xml:space="preserve">. Routledge.</w:t>
      </w:r>
      <w:r>
        <w:t xml:space="preserve"> </w:t>
      </w:r>
      <w:hyperlink r:id="rId278">
        <w:r>
          <w:rPr>
            <w:rStyle w:val="Hyperlink"/>
          </w:rPr>
          <w:t xml:space="preserve">https://books.google.com/books/about/Democracy{\_}Bureaucracy{\_}and{\_}Public{\_}Choice.html?id=dGu4AwAAQBAJ</w:t>
        </w:r>
      </w:hyperlink>
      <w:r>
        <w:t xml:space="preserve">.</w:t>
      </w:r>
    </w:p>
    <w:bookmarkEnd w:id="279"/>
    <w:bookmarkStart w:id="281" w:name="ref-Dur2013"/>
    <w:p>
      <w:pPr>
        <w:pStyle w:val="Bibliography"/>
      </w:pPr>
      <w:r>
        <w:t xml:space="preserve">Dür, Andreas, and Gemma Mateo. 2013. “Gaining access or going public? Interest group strategies in five European countries.”</w:t>
      </w:r>
      <w:r>
        <w:t xml:space="preserve"> </w:t>
      </w:r>
      <w:r>
        <w:rPr>
          <w:i/>
        </w:rPr>
        <w:t xml:space="preserve">European Journal of Political Research</w:t>
      </w:r>
      <w:r>
        <w:t xml:space="preserve"> </w:t>
      </w:r>
      <w:r>
        <w:t xml:space="preserve">52 (5): 660–86.</w:t>
      </w:r>
      <w:r>
        <w:t xml:space="preserve"> </w:t>
      </w:r>
      <w:hyperlink r:id="rId280">
        <w:r>
          <w:rPr>
            <w:rStyle w:val="Hyperlink"/>
          </w:rPr>
          <w:t xml:space="preserve">https://doi.org/10.1111/1475-6765.12012</w:t>
        </w:r>
      </w:hyperlink>
      <w:r>
        <w:t xml:space="preserve">.</w:t>
      </w:r>
    </w:p>
    <w:bookmarkEnd w:id="281"/>
    <w:bookmarkStart w:id="283" w:name="ref-Earthjustice2017"/>
    <w:p>
      <w:pPr>
        <w:pStyle w:val="Bibliography"/>
      </w:pPr>
      <w:r>
        <w:t xml:space="preserve">Earthjustice. 2017. “Our Work.”</w:t>
      </w:r>
      <w:r>
        <w:t xml:space="preserve"> </w:t>
      </w:r>
      <w:hyperlink r:id="rId282">
        <w:r>
          <w:rPr>
            <w:rStyle w:val="Hyperlink"/>
          </w:rPr>
          <w:t xml:space="preserve">https://earthjustice.org/our{\_}work</w:t>
        </w:r>
      </w:hyperlink>
      <w:r>
        <w:t xml:space="preserve">.</w:t>
      </w:r>
    </w:p>
    <w:bookmarkEnd w:id="283"/>
    <w:bookmarkStart w:id="285" w:name="ref-Epstein1994"/>
    <w:p>
      <w:pPr>
        <w:pStyle w:val="Bibliography"/>
      </w:pPr>
      <w:r>
        <w:t xml:space="preserve">Epstein, David, and Sharyn O’Halloran. 1994. “Administrative Procedures, Information, and Agency Discretion.”</w:t>
      </w:r>
      <w:r>
        <w:t xml:space="preserve"> </w:t>
      </w:r>
      <w:r>
        <w:rPr>
          <w:i/>
        </w:rPr>
        <w:t xml:space="preserve">American Journal of Political Science</w:t>
      </w:r>
      <w:r>
        <w:t xml:space="preserve"> </w:t>
      </w:r>
      <w:r>
        <w:t xml:space="preserve">38 (3): 697.</w:t>
      </w:r>
      <w:r>
        <w:t xml:space="preserve"> </w:t>
      </w:r>
      <w:hyperlink r:id="rId284">
        <w:r>
          <w:rPr>
            <w:rStyle w:val="Hyperlink"/>
          </w:rPr>
          <w:t xml:space="preserve">https://doi.org/10.2307/2111603</w:t>
        </w:r>
      </w:hyperlink>
      <w:r>
        <w:t xml:space="preserve">.</w:t>
      </w:r>
    </w:p>
    <w:bookmarkEnd w:id="285"/>
    <w:bookmarkStart w:id="287" w:name="ref-Epstein2014"/>
    <w:p>
      <w:pPr>
        <w:pStyle w:val="Bibliography"/>
      </w:pPr>
      <w:r>
        <w:t xml:space="preserve">Epstein, Dmitry, Josiah Heidt, and Cynthia R Farina. 2014. “The Value of Words: Narrative as Evidence in Policymaking.”</w:t>
      </w:r>
      <w:r>
        <w:t xml:space="preserve"> </w:t>
      </w:r>
      <w:r>
        <w:rPr>
          <w:i/>
        </w:rPr>
        <w:t xml:space="preserve">Evidence &amp; Policy</w:t>
      </w:r>
      <w:r>
        <w:t xml:space="preserve"> </w:t>
      </w:r>
      <w:r>
        <w:t xml:space="preserve">10 (2): 243–58.</w:t>
      </w:r>
      <w:r>
        <w:t xml:space="preserve"> </w:t>
      </w:r>
      <w:hyperlink r:id="rId286">
        <w:r>
          <w:rPr>
            <w:rStyle w:val="Hyperlink"/>
          </w:rPr>
          <w:t xml:space="preserve">https://doi.org/10.1332/174426514X13990325021128</w:t>
        </w:r>
      </w:hyperlink>
      <w:r>
        <w:t xml:space="preserve">.</w:t>
      </w:r>
    </w:p>
    <w:bookmarkEnd w:id="287"/>
    <w:bookmarkStart w:id="289" w:name="ref-Farhang2016"/>
    <w:p>
      <w:pPr>
        <w:pStyle w:val="Bibliography"/>
      </w:pPr>
      <w:r>
        <w:t xml:space="preserve">Farhang, Sean, and Miranda Yaver. 2016. “Divided Government and the Fragmentation of American Law.”</w:t>
      </w:r>
      <w:r>
        <w:t xml:space="preserve"> </w:t>
      </w:r>
      <w:r>
        <w:rPr>
          <w:i/>
        </w:rPr>
        <w:t xml:space="preserve">American Journal of Political Science</w:t>
      </w:r>
      <w:r>
        <w:t xml:space="preserve"> </w:t>
      </w:r>
      <w:r>
        <w:t xml:space="preserve">60 (2): 401–17.</w:t>
      </w:r>
      <w:r>
        <w:t xml:space="preserve"> </w:t>
      </w:r>
      <w:hyperlink r:id="rId288">
        <w:r>
          <w:rPr>
            <w:rStyle w:val="Hyperlink"/>
          </w:rPr>
          <w:t xml:space="preserve">https://doi.org/10.1111/ajps.12188</w:t>
        </w:r>
      </w:hyperlink>
      <w:r>
        <w:t xml:space="preserve">.</w:t>
      </w:r>
    </w:p>
    <w:bookmarkEnd w:id="289"/>
    <w:bookmarkStart w:id="291" w:name="ref-Farina2018"/>
    <w:p>
      <w:pPr>
        <w:pStyle w:val="Bibliography"/>
      </w:pPr>
      <w:r>
        <w:t xml:space="preserve">Farina, Cynthia R. 2018. “Comments on ACUS Proposed Recommendations on Public Engagement in Rulemaking.” Administrative Conference of the United States.</w:t>
      </w:r>
      <w:r>
        <w:t xml:space="preserve"> </w:t>
      </w:r>
      <w:hyperlink r:id="rId290">
        <w:r>
          <w:rPr>
            <w:rStyle w:val="Hyperlink"/>
          </w:rPr>
          <w:t xml:space="preserve">https://www.acus.gov/sites/default/files/documents/Public Engagement Draft Recommendation 9-10-18 Cynthia Farina Comments.pdf</w:t>
        </w:r>
      </w:hyperlink>
      <w:r>
        <w:t xml:space="preserve">.</w:t>
      </w:r>
    </w:p>
    <w:bookmarkEnd w:id="291"/>
    <w:bookmarkStart w:id="293" w:name="ref-Farina2012"/>
    <w:p>
      <w:pPr>
        <w:pStyle w:val="Bibliography"/>
      </w:pPr>
      <w:r>
        <w:t xml:space="preserve">Farina, Cynthia R., Dmitry Epstein, Josiah Heidt, and Mary J. Newhart. 2012. “Knowledge in the People: Rethinking "Value" in Public Rulemaking Participation.”</w:t>
      </w:r>
      <w:r>
        <w:t xml:space="preserve"> </w:t>
      </w:r>
      <w:r>
        <w:rPr>
          <w:i/>
        </w:rPr>
        <w:t xml:space="preserve">Cornell E-Rulemaking Initiative Publications</w:t>
      </w:r>
      <w:r>
        <w:t xml:space="preserve">.</w:t>
      </w:r>
      <w:r>
        <w:t xml:space="preserve"> </w:t>
      </w:r>
      <w:hyperlink r:id="rId292">
        <w:r>
          <w:rPr>
            <w:rStyle w:val="Hyperlink"/>
          </w:rPr>
          <w:t xml:space="preserve">http://scholarship.law.cornell.edu/cerihttp://scholarship.law.cornell.edu/ceri/1</w:t>
        </w:r>
      </w:hyperlink>
      <w:r>
        <w:t xml:space="preserve">.</w:t>
      </w:r>
    </w:p>
    <w:bookmarkEnd w:id="293"/>
    <w:bookmarkStart w:id="295" w:name="ref-Farina2011"/>
    <w:p>
      <w:pPr>
        <w:pStyle w:val="Bibliography"/>
      </w:pPr>
      <w:r>
        <w:t xml:space="preserve">Farina, Cynthia R., Mary Newhart, Claire Cardie, and Dan Cosley. 2011. “Rulemaking 2.0.”</w:t>
      </w:r>
      <w:r>
        <w:t xml:space="preserve"> </w:t>
      </w:r>
      <w:r>
        <w:rPr>
          <w:i/>
        </w:rPr>
        <w:t xml:space="preserve">University of Miami Law Review</w:t>
      </w:r>
      <w:r>
        <w:t xml:space="preserve"> </w:t>
      </w:r>
      <w:r>
        <w:t xml:space="preserve">65 (2).</w:t>
      </w:r>
      <w:r>
        <w:t xml:space="preserve"> </w:t>
      </w:r>
      <w:hyperlink r:id="rId294">
        <w:r>
          <w:rPr>
            <w:rStyle w:val="Hyperlink"/>
          </w:rPr>
          <w:t xml:space="preserve">https://papers.ssrn.com/sol3/papers.cfm?abstract{\_}id=1702491</w:t>
        </w:r>
      </w:hyperlink>
      <w:r>
        <w:t xml:space="preserve">.</w:t>
      </w:r>
    </w:p>
    <w:bookmarkEnd w:id="295"/>
    <w:bookmarkStart w:id="297" w:name="ref-Farina2014"/>
    <w:p>
      <w:pPr>
        <w:pStyle w:val="Bibliography"/>
      </w:pPr>
      <w:r>
        <w:t xml:space="preserve">Farina, Cynthia R, Mary J Newhart, and Josiah Heidt. 2014. “Rulemaking vs. Democracy: Judging and Nudging Public Participation That Counts.”</w:t>
      </w:r>
      <w:r>
        <w:t xml:space="preserve"> </w:t>
      </w:r>
      <w:hyperlink r:id="rId296">
        <w:r>
          <w:rPr>
            <w:rStyle w:val="Hyperlink"/>
          </w:rPr>
          <w:t xml:space="preserve">http://scholarship.law.cornell.edu/cerihttp://scholarship.law.cornell.edu/ceri/17</w:t>
        </w:r>
      </w:hyperlink>
      <w:r>
        <w:t xml:space="preserve">.</w:t>
      </w:r>
    </w:p>
    <w:bookmarkEnd w:id="297"/>
    <w:bookmarkStart w:id="299" w:name="ref-Feinstein2021"/>
    <w:p>
      <w:pPr>
        <w:pStyle w:val="Bibliography"/>
      </w:pPr>
      <w:r>
        <w:t xml:space="preserve">Feinstein, Brian D. 2021. “Identity-conscious Administrative Law.”</w:t>
      </w:r>
      <w:r>
        <w:t xml:space="preserve"> </w:t>
      </w:r>
      <w:hyperlink r:id="rId298">
        <w:r>
          <w:rPr>
            <w:rStyle w:val="Hyperlink"/>
          </w:rPr>
          <w:t xml:space="preserve">https://ssrn.com/abstract=3787704</w:t>
        </w:r>
      </w:hyperlink>
      <w:r>
        <w:t xml:space="preserve">.</w:t>
      </w:r>
    </w:p>
    <w:bookmarkEnd w:id="299"/>
    <w:bookmarkStart w:id="301" w:name="ref-Furlong1997"/>
    <w:p>
      <w:pPr>
        <w:pStyle w:val="Bibliography"/>
      </w:pPr>
      <w:r>
        <w:t xml:space="preserve">Furlong, Scott R. 1997. “Interest Group Influence on Rule Making.”</w:t>
      </w:r>
      <w:r>
        <w:t xml:space="preserve"> </w:t>
      </w:r>
      <w:r>
        <w:rPr>
          <w:i/>
        </w:rPr>
        <w:t xml:space="preserve">Administration &amp; Society</w:t>
      </w:r>
      <w:r>
        <w:t xml:space="preserve"> </w:t>
      </w:r>
      <w:r>
        <w:t xml:space="preserve">29 (3): 325–47.</w:t>
      </w:r>
      <w:r>
        <w:t xml:space="preserve"> </w:t>
      </w:r>
      <w:hyperlink r:id="rId300">
        <w:r>
          <w:rPr>
            <w:rStyle w:val="Hyperlink"/>
          </w:rPr>
          <w:t xml:space="preserve">https://doi.org/10.1177/009539979702900304</w:t>
        </w:r>
      </w:hyperlink>
      <w:r>
        <w:t xml:space="preserve">.</w:t>
      </w:r>
    </w:p>
    <w:bookmarkEnd w:id="301"/>
    <w:bookmarkStart w:id="303" w:name="ref-Furlong1998"/>
    <w:p>
      <w:pPr>
        <w:pStyle w:val="Bibliography"/>
      </w:pPr>
      <w:r>
        <w:t xml:space="preserve">———. 1998. “Political Influence on the Bureaucracy: The Bureaucracy Speaks.”</w:t>
      </w:r>
      <w:r>
        <w:t xml:space="preserve"> </w:t>
      </w:r>
      <w:r>
        <w:rPr>
          <w:i/>
        </w:rPr>
        <w:t xml:space="preserve">Journal of Public Administration Research and Theory</w:t>
      </w:r>
      <w:r>
        <w:t xml:space="preserve"> </w:t>
      </w:r>
      <w:r>
        <w:t xml:space="preserve">8 (1): 39–65.</w:t>
      </w:r>
      <w:r>
        <w:t xml:space="preserve"> </w:t>
      </w:r>
      <w:hyperlink r:id="rId302">
        <w:r>
          <w:rPr>
            <w:rStyle w:val="Hyperlink"/>
          </w:rPr>
          <w:t xml:space="preserve">https://doi.org/10.1093/oxfordjournals.jpart.a024373</w:t>
        </w:r>
      </w:hyperlink>
      <w:r>
        <w:t xml:space="preserve">.</w:t>
      </w:r>
    </w:p>
    <w:bookmarkEnd w:id="303"/>
    <w:bookmarkStart w:id="305" w:name="ref-Furlong2005"/>
    <w:p>
      <w:pPr>
        <w:pStyle w:val="Bibliography"/>
      </w:pPr>
      <w:r>
        <w:t xml:space="preserve">Furlong, Scott. R., and Cornelius M. Kerwin. 2005. “Interest Group Participation in Rule Making: A Decade of Change.”</w:t>
      </w:r>
      <w:r>
        <w:t xml:space="preserve"> </w:t>
      </w:r>
      <w:r>
        <w:rPr>
          <w:i/>
        </w:rPr>
        <w:t xml:space="preserve">Journal of Public Administration Research and Theory</w:t>
      </w:r>
      <w:r>
        <w:t xml:space="preserve"> </w:t>
      </w:r>
      <w:r>
        <w:t xml:space="preserve">15 (3): 353–70.</w:t>
      </w:r>
      <w:r>
        <w:t xml:space="preserve"> </w:t>
      </w:r>
      <w:hyperlink r:id="rId304">
        <w:r>
          <w:rPr>
            <w:rStyle w:val="Hyperlink"/>
          </w:rPr>
          <w:t xml:space="preserve">https://doi.org/10.1093/jopart/mui022</w:t>
        </w:r>
      </w:hyperlink>
      <w:r>
        <w:t xml:space="preserve">.</w:t>
      </w:r>
    </w:p>
    <w:bookmarkEnd w:id="305"/>
    <w:bookmarkStart w:id="307" w:name="ref-Gailmard2017"/>
    <w:p>
      <w:pPr>
        <w:pStyle w:val="Bibliography"/>
      </w:pPr>
      <w:r>
        <w:t xml:space="preserve">Gailmard, Sean, and John W Patty. 2017. “Participation, process and policy: the informational value of politicised judicial review.”</w:t>
      </w:r>
      <w:r>
        <w:t xml:space="preserve"> </w:t>
      </w:r>
      <w:r>
        <w:rPr>
          <w:i/>
        </w:rPr>
        <w:t xml:space="preserve">Journal of Public Policy</w:t>
      </w:r>
      <w:r>
        <w:t xml:space="preserve"> </w:t>
      </w:r>
      <w:r>
        <w:t xml:space="preserve">37 (3): 233–60.</w:t>
      </w:r>
      <w:r>
        <w:t xml:space="preserve"> </w:t>
      </w:r>
      <w:hyperlink r:id="rId306">
        <w:r>
          <w:rPr>
            <w:rStyle w:val="Hyperlink"/>
          </w:rPr>
          <w:t xml:space="preserve">https://doi.org/10.1017/S0143814X16000106</w:t>
        </w:r>
      </w:hyperlink>
      <w:r>
        <w:t xml:space="preserve">.</w:t>
      </w:r>
    </w:p>
    <w:bookmarkEnd w:id="307"/>
    <w:bookmarkStart w:id="308" w:name="ref-Gellhorn1972"/>
    <w:p>
      <w:pPr>
        <w:pStyle w:val="Bibliography"/>
      </w:pPr>
      <w:r>
        <w:t xml:space="preserve">Gellhorn, Ernest. 1972. “Public Participation in Administrative Proceedings.”</w:t>
      </w:r>
      <w:r>
        <w:t xml:space="preserve"> </w:t>
      </w:r>
      <w:r>
        <w:rPr>
          <w:i/>
        </w:rPr>
        <w:t xml:space="preserve">Yale Law Journal</w:t>
      </w:r>
      <w:r>
        <w:t xml:space="preserve"> </w:t>
      </w:r>
      <w:r>
        <w:t xml:space="preserve">81: 359.</w:t>
      </w:r>
    </w:p>
    <w:bookmarkEnd w:id="308"/>
    <w:bookmarkStart w:id="310" w:name="ref-Gerring1998"/>
    <w:p>
      <w:pPr>
        <w:pStyle w:val="Bibliography"/>
      </w:pPr>
      <w:r>
        <w:t xml:space="preserve">Gerring, John. 1998.</w:t>
      </w:r>
      <w:r>
        <w:t xml:space="preserve"> </w:t>
      </w:r>
      <w:r>
        <w:rPr>
          <w:i/>
        </w:rPr>
        <w:t xml:space="preserve">Party ideologies in America, 1828-1996</w:t>
      </w:r>
      <w:r>
        <w:t xml:space="preserve">. Cambridge University Press.</w:t>
      </w:r>
      <w:r>
        <w:t xml:space="preserve"> </w:t>
      </w:r>
      <w:hyperlink r:id="rId309">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10"/>
    <w:bookmarkStart w:id="312" w:name="ref-Gilens2014"/>
    <w:p>
      <w:pPr>
        <w:pStyle w:val="Bibliography"/>
      </w:pPr>
      <w:r>
        <w:t xml:space="preserve">Gilens, Martin, and Benjamin I. Page. 2014. “Testing Theories of American Politics: Elites, Interest Groups, and Average Citizens.”</w:t>
      </w:r>
      <w:r>
        <w:t xml:space="preserve"> </w:t>
      </w:r>
      <w:r>
        <w:rPr>
          <w:i/>
        </w:rPr>
        <w:t xml:space="preserve">Perspectives on Politics</w:t>
      </w:r>
      <w:r>
        <w:t xml:space="preserve"> </w:t>
      </w:r>
      <w:r>
        <w:t xml:space="preserve">12 (03): 564–81.</w:t>
      </w:r>
      <w:r>
        <w:t xml:space="preserve"> </w:t>
      </w:r>
      <w:hyperlink r:id="rId311">
        <w:r>
          <w:rPr>
            <w:rStyle w:val="Hyperlink"/>
          </w:rPr>
          <w:t xml:space="preserve">https://doi.org/10.1017/S1537592714001595</w:t>
        </w:r>
      </w:hyperlink>
      <w:r>
        <w:t xml:space="preserve">.</w:t>
      </w:r>
    </w:p>
    <w:bookmarkEnd w:id="312"/>
    <w:bookmarkStart w:id="314" w:name="ref-Gillion2013"/>
    <w:p>
      <w:pPr>
        <w:pStyle w:val="Bibliography"/>
      </w:pPr>
      <w:r>
        <w:t xml:space="preserve">Gillion, Daniel Q. 2013.</w:t>
      </w:r>
      <w:r>
        <w:t xml:space="preserve"> </w:t>
      </w:r>
      <w:r>
        <w:rPr>
          <w:i/>
        </w:rPr>
        <w:t xml:space="preserve">The political power of protest: minority activism and shifts in public policy</w:t>
      </w:r>
      <w:r>
        <w:t xml:space="preserve">. Cambridge, MA: Cambridge University Press.</w:t>
      </w:r>
      <w:r>
        <w:t xml:space="preserve"> </w:t>
      </w:r>
      <w:hyperlink r:id="rId313">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14"/>
    <w:bookmarkStart w:id="315" w:name="ref-Golden1998"/>
    <w:p>
      <w:pPr>
        <w:pStyle w:val="Bibliography"/>
      </w:pPr>
      <w:r>
        <w:t xml:space="preserve">Golden, Marissa Martino. 1998. “Interest Groups in the Rule-Making Process: Who Participates? Whose Voices Get Heard?”</w:t>
      </w:r>
      <w:r>
        <w:t xml:space="preserve"> </w:t>
      </w:r>
      <w:r>
        <w:rPr>
          <w:i/>
        </w:rPr>
        <w:t xml:space="preserve">Journal of Public Administration Research and Theory</w:t>
      </w:r>
      <w:r>
        <w:t xml:space="preserve"> </w:t>
      </w:r>
      <w:r>
        <w:t xml:space="preserve">8 (2): 245–70.</w:t>
      </w:r>
    </w:p>
    <w:bookmarkEnd w:id="315"/>
    <w:bookmarkStart w:id="317" w:name="ref-Gordon2018"/>
    <w:p>
      <w:pPr>
        <w:pStyle w:val="Bibliography"/>
      </w:pPr>
      <w:r>
        <w:t xml:space="preserve">Gordon, Sanford C. Gordon, and Steven Rashin. 2018. “Citizen Participation in Policymaking:Evidence from Medicare Fee Schedule Revisions.”</w:t>
      </w:r>
      <w:r>
        <w:t xml:space="preserve"> </w:t>
      </w:r>
      <w:hyperlink r:id="rId316">
        <w:r>
          <w:rPr>
            <w:rStyle w:val="Hyperlink"/>
          </w:rPr>
          <w:t xml:space="preserve">https://www.dropbox.com/s/6ydopca7mx8ugqt/Gordon-Rashin-Private-Influence-10-24.pdf?dl=0</w:t>
        </w:r>
      </w:hyperlink>
      <w:r>
        <w:t xml:space="preserve">.</w:t>
      </w:r>
    </w:p>
    <w:bookmarkEnd w:id="317"/>
    <w:bookmarkStart w:id="318" w:name="ref-Hacker2003"/>
    <w:p>
      <w:pPr>
        <w:pStyle w:val="Bibliography"/>
      </w:pPr>
      <w:r>
        <w:t xml:space="preserve">Hacker, Jacob. 2003. “Privatizing Risk without Privatizing Benefits: Path Dependence, Policy Drift, and Welfare-State Reform in the United States.” In</w:t>
      </w:r>
      <w:r>
        <w:t xml:space="preserve"> </w:t>
      </w:r>
      <w:r>
        <w:rPr>
          <w:i/>
        </w:rPr>
        <w:t xml:space="preserve">Continuity and Discontinuity in Institutional Analys</w:t>
      </w:r>
      <w:r>
        <w:t xml:space="preserve">, edited by Wolfgang Streek and Kathleen Thelen.</w:t>
      </w:r>
    </w:p>
    <w:bookmarkEnd w:id="318"/>
    <w:bookmarkStart w:id="320" w:name="ref-Haeder2015"/>
    <w:p>
      <w:pPr>
        <w:pStyle w:val="Bibliography"/>
      </w:pPr>
      <w:r>
        <w:t xml:space="preserve">Haeder, Simon F., and Susan Webb Yackee. 2015. “Influence and the Administrative Process: Lobbying the U.S. President’s Office of Management and Budget.”</w:t>
      </w:r>
      <w:r>
        <w:t xml:space="preserve"> </w:t>
      </w:r>
      <w:r>
        <w:rPr>
          <w:i/>
        </w:rPr>
        <w:t xml:space="preserve">American Political Science Review</w:t>
      </w:r>
      <w:r>
        <w:t xml:space="preserve"> </w:t>
      </w:r>
      <w:r>
        <w:t xml:space="preserve">109 (03): 507–22.</w:t>
      </w:r>
      <w:r>
        <w:t xml:space="preserve"> </w:t>
      </w:r>
      <w:hyperlink r:id="rId319">
        <w:r>
          <w:rPr>
            <w:rStyle w:val="Hyperlink"/>
          </w:rPr>
          <w:t xml:space="preserve">https://doi.org/10.1017/S0003055415000246</w:t>
        </w:r>
      </w:hyperlink>
      <w:r>
        <w:t xml:space="preserve">.</w:t>
      </w:r>
    </w:p>
    <w:bookmarkEnd w:id="320"/>
    <w:bookmarkStart w:id="321" w:name="ref-Hertel-Fernandez2019"/>
    <w:p>
      <w:pPr>
        <w:pStyle w:val="Bibliography"/>
      </w:pPr>
      <w:r>
        <w:t xml:space="preserve">Hertel-Fernandez, Alexander. 2019.</w:t>
      </w:r>
      <w:r>
        <w:t xml:space="preserve"> </w:t>
      </w:r>
      <w:r>
        <w:rPr>
          <w:i/>
        </w:rPr>
        <w:t xml:space="preserve">State Capture: How Conservative Activists, Big Businesses, and Wealthy Donors Reshaped the American States—and the Nation</w:t>
      </w:r>
      <w:r>
        <w:t xml:space="preserve">. Oxford University Press.</w:t>
      </w:r>
    </w:p>
    <w:bookmarkEnd w:id="321"/>
    <w:bookmarkStart w:id="323" w:name="ref-Herz2016"/>
    <w:p>
      <w:pPr>
        <w:pStyle w:val="Bibliography"/>
      </w:pPr>
      <w:r>
        <w:t xml:space="preserve">Herz, Michael. 2016. “E-Rulemaking’s Democratic Transformation: Anticipated, Actual, and Potential.”</w:t>
      </w:r>
      <w:r>
        <w:t xml:space="preserve"> </w:t>
      </w:r>
      <w:r>
        <w:rPr>
          <w:i/>
        </w:rPr>
        <w:t xml:space="preserve">Revue Internationale Des Gouvernements Ouverts</w:t>
      </w:r>
      <w:r>
        <w:t xml:space="preserve"> </w:t>
      </w:r>
      <w:r>
        <w:t xml:space="preserve">3 (December): 195–208.</w:t>
      </w:r>
      <w:r>
        <w:t xml:space="preserve"> </w:t>
      </w:r>
      <w:hyperlink r:id="rId322">
        <w:r>
          <w:rPr>
            <w:rStyle w:val="Hyperlink"/>
          </w:rPr>
          <w:t xml:space="preserve">http://ojs.imodev.org/index.php/RIGO/article/view/62/154{\#}{\_}ftn6</w:t>
        </w:r>
      </w:hyperlink>
      <w:r>
        <w:t xml:space="preserve">.</w:t>
      </w:r>
    </w:p>
    <w:bookmarkEnd w:id="323"/>
    <w:bookmarkStart w:id="325" w:name="ref-Hobson2004"/>
    <w:p>
      <w:pPr>
        <w:pStyle w:val="Bibliography"/>
      </w:pPr>
      <w:r>
        <w:t xml:space="preserve">Hobson, Chris M. 2004. “Comment submitted by Chris M. Hobson, Southern Company.”</w:t>
      </w:r>
      <w:r>
        <w:t xml:space="preserve"> </w:t>
      </w:r>
      <w:hyperlink r:id="rId324">
        <w:r>
          <w:rPr>
            <w:rStyle w:val="Hyperlink"/>
          </w:rPr>
          <w:t xml:space="preserve">https://www.regulations.gov/document?D=EPA-HQ-OAR-2004-0018-0211</w:t>
        </w:r>
      </w:hyperlink>
      <w:r>
        <w:t xml:space="preserve">.</w:t>
      </w:r>
    </w:p>
    <w:bookmarkEnd w:id="325"/>
    <w:bookmarkStart w:id="327" w:name="ref-Hojnacki2012"/>
    <w:p>
      <w:pPr>
        <w:pStyle w:val="Bibliography"/>
      </w:pPr>
      <w:r>
        <w:t xml:space="preserve">Hojnacki, Marie, David C. Kimball, Frank R. Baumgartner, Jeffrey M. Berry, and Beth L. Leech. 2012. “Studying Organizational Advocacy and Influence: Reexamining Interest Group Research.”</w:t>
      </w:r>
      <w:r>
        <w:t xml:space="preserve"> </w:t>
      </w:r>
      <w:r>
        <w:rPr>
          <w:i/>
        </w:rPr>
        <w:t xml:space="preserve">Annual Review of Political Science</w:t>
      </w:r>
      <w:r>
        <w:t xml:space="preserve"> </w:t>
      </w:r>
      <w:r>
        <w:t xml:space="preserve">15 (1): 379–99.</w:t>
      </w:r>
      <w:r>
        <w:t xml:space="preserve"> </w:t>
      </w:r>
      <w:hyperlink r:id="rId326">
        <w:r>
          <w:rPr>
            <w:rStyle w:val="Hyperlink"/>
          </w:rPr>
          <w:t xml:space="preserve">https://doi.org/10.1146/annurev-polisci-070910-104051</w:t>
        </w:r>
      </w:hyperlink>
      <w:r>
        <w:t xml:space="preserve">.</w:t>
      </w:r>
    </w:p>
    <w:bookmarkEnd w:id="327"/>
    <w:bookmarkStart w:id="329" w:name="ref-Hutchings2003"/>
    <w:p>
      <w:pPr>
        <w:pStyle w:val="Bibliography"/>
      </w:pPr>
      <w:r>
        <w:t xml:space="preserve">Hutchings, Vincent L. 2003.</w:t>
      </w:r>
      <w:r>
        <w:t xml:space="preserve"> </w:t>
      </w:r>
      <w:r>
        <w:rPr>
          <w:i/>
        </w:rPr>
        <w:t xml:space="preserve">Public opinion and democratic accountability: how citizens learn about politics</w:t>
      </w:r>
      <w:r>
        <w:t xml:space="preserve">. Princeton University Press.</w:t>
      </w:r>
      <w:r>
        <w:t xml:space="preserve"> </w:t>
      </w:r>
      <w:hyperlink r:id="rId328">
        <w:r>
          <w:rPr>
            <w:rStyle w:val="Hyperlink"/>
          </w:rPr>
          <w:t xml:space="preserve">https://press.princeton.edu/titles/7656.html</w:t>
        </w:r>
      </w:hyperlink>
      <w:r>
        <w:t xml:space="preserve">.</w:t>
      </w:r>
    </w:p>
    <w:bookmarkEnd w:id="329"/>
    <w:bookmarkStart w:id="331" w:name="ref-Jacobs2005"/>
    <w:p>
      <w:pPr>
        <w:pStyle w:val="Bibliography"/>
      </w:pPr>
      <w:r>
        <w:t xml:space="preserve">Jacobs, L. R., and T. Skocpol. 2005.</w:t>
      </w:r>
      <w:r>
        <w:t xml:space="preserve"> </w:t>
      </w:r>
      <w:r>
        <w:rPr>
          <w:i/>
        </w:rPr>
        <w:t xml:space="preserve">Inequality and American Democracy: What We Know and What We Need to Learn</w:t>
      </w:r>
      <w:r>
        <w:t xml:space="preserve">. Book Collections on Project Muse. Russell Sage Foundation.</w:t>
      </w:r>
      <w:r>
        <w:t xml:space="preserve"> </w:t>
      </w:r>
      <w:hyperlink r:id="rId330">
        <w:r>
          <w:rPr>
            <w:rStyle w:val="Hyperlink"/>
          </w:rPr>
          <w:t xml:space="preserve">https://books.google.com/books?id=8PIWAwAAQBAJ</w:t>
        </w:r>
      </w:hyperlink>
      <w:r>
        <w:t xml:space="preserve">.</w:t>
      </w:r>
    </w:p>
    <w:bookmarkEnd w:id="331"/>
    <w:bookmarkStart w:id="333" w:name="ref-Johnson1998"/>
    <w:p>
      <w:pPr>
        <w:pStyle w:val="Bibliography"/>
      </w:pPr>
      <w:r>
        <w:t xml:space="preserve">Johnson, Stephen M. 1998. “The Internet Changes Everything: Revolutionizing public participation and access to government information through the internet.”</w:t>
      </w:r>
      <w:r>
        <w:t xml:space="preserve"> </w:t>
      </w:r>
      <w:r>
        <w:rPr>
          <w:i/>
        </w:rPr>
        <w:t xml:space="preserve">Administrative Law Review</w:t>
      </w:r>
      <w:r>
        <w:t xml:space="preserve"> </w:t>
      </w:r>
      <w:r>
        <w:t xml:space="preserve">50 (2): 277–337.</w:t>
      </w:r>
      <w:r>
        <w:t xml:space="preserve"> </w:t>
      </w:r>
      <w:hyperlink r:id="rId332">
        <w:r>
          <w:rPr>
            <w:rStyle w:val="Hyperlink"/>
          </w:rPr>
          <w:t xml:space="preserve">https://about.jstor.org/terms</w:t>
        </w:r>
      </w:hyperlink>
      <w:r>
        <w:t xml:space="preserve">.</w:t>
      </w:r>
    </w:p>
    <w:bookmarkEnd w:id="333"/>
    <w:bookmarkStart w:id="335" w:name="ref-Johnson2013"/>
    <w:p>
      <w:pPr>
        <w:pStyle w:val="Bibliography"/>
      </w:pPr>
      <w:r>
        <w:t xml:space="preserve">———. 2013. “Beyond the Usual Suspects: ACUS, Rulemaking 2.0, and a Vision for Broader, More Informed, and More Transparent Rulemaking.”</w:t>
      </w:r>
      <w:r>
        <w:t xml:space="preserve"> </w:t>
      </w:r>
      <w:r>
        <w:rPr>
          <w:i/>
        </w:rPr>
        <w:t xml:space="preserve">Administrative Law Review</w:t>
      </w:r>
      <w:r>
        <w:t xml:space="preserve">.</w:t>
      </w:r>
      <w:r>
        <w:t xml:space="preserve"> </w:t>
      </w:r>
      <w:hyperlink r:id="rId334">
        <w:r>
          <w:rPr>
            <w:rStyle w:val="Hyperlink"/>
          </w:rPr>
          <w:t xml:space="preserve">http://www.administrativelawreview.org/wp-content/uploads/2014/04/Beyond-the-Usual-Suspects-ACUS-Rulemaking-2-and-a-Vision-for-Broader-More-Informed-and-More-Transparent-Rulemaking.pdf</w:t>
        </w:r>
      </w:hyperlink>
      <w:r>
        <w:t xml:space="preserve">.</w:t>
      </w:r>
    </w:p>
    <w:bookmarkEnd w:id="335"/>
    <w:bookmarkStart w:id="336" w:name="ref-judgelord2016MPSA"/>
    <w:p>
      <w:pPr>
        <w:pStyle w:val="Bibliography"/>
      </w:pPr>
      <w:r>
        <w:t xml:space="preserve">Judge-Lord, Devin. 2016. “Why Courts Defer to Administrative Agency Judgement.” In. Midwest Political Science Association Annual Conference.</w:t>
      </w:r>
    </w:p>
    <w:bookmarkEnd w:id="336"/>
    <w:bookmarkStart w:id="337" w:name="ref-Judge-Lord2017"/>
    <w:p>
      <w:pPr>
        <w:pStyle w:val="Bibliography"/>
      </w:pPr>
      <w:r>
        <w:t xml:space="preserve">———. 2017. “Measuring Change and Influence in Budget Texts.” In. American Political Science Association Annual Conference.</w:t>
      </w:r>
    </w:p>
    <w:bookmarkEnd w:id="337"/>
    <w:bookmarkStart w:id="338" w:name="ref-Judge-Lord2019"/>
    <w:p>
      <w:pPr>
        <w:pStyle w:val="Bibliography"/>
      </w:pPr>
      <w:r>
        <w:t xml:space="preserve">———. 2019a. “Why Do Agencies (Sometimes) Get so Much Mail?” In. Southern Political Science Association Annual Conference.</w:t>
      </w:r>
    </w:p>
    <w:bookmarkEnd w:id="338"/>
    <w:bookmarkStart w:id="339" w:name="ref-judgelord2019SPSA"/>
    <w:p>
      <w:pPr>
        <w:pStyle w:val="Bibliography"/>
      </w:pPr>
      <w:r>
        <w:t xml:space="preserve">———. 2019b. “Why Do Agencies (Sometimes) Get so Much Mail? Lobbying Coalitions, Mass Comments, and Political Information in Bureaucratic Policymaking.” In. Southern Political Science Association Annual Conference.</w:t>
      </w:r>
    </w:p>
    <w:bookmarkEnd w:id="339"/>
    <w:bookmarkStart w:id="341" w:name="ref-Kernell2007"/>
    <w:p>
      <w:pPr>
        <w:pStyle w:val="Bibliography"/>
      </w:pPr>
      <w:r>
        <w:t xml:space="preserve">Kernell, Samuel. 2007.</w:t>
      </w:r>
      <w:r>
        <w:t xml:space="preserve"> </w:t>
      </w:r>
      <w:r>
        <w:rPr>
          <w:i/>
        </w:rPr>
        <w:t xml:space="preserve">Going public: new strategies of presidential leadership</w:t>
      </w:r>
      <w:r>
        <w:t xml:space="preserve">. Fourth edi. CQ Press.</w:t>
      </w:r>
      <w:r>
        <w:t xml:space="preserve"> </w:t>
      </w:r>
      <w:hyperlink r:id="rId340">
        <w:r>
          <w:rPr>
            <w:rStyle w:val="Hyperlink"/>
          </w:rPr>
          <w:t xml:space="preserve">http://www.worldcat.org/title/going-public-new-strategies-of-presidential-leadership/oclc/1035368647</w:t>
        </w:r>
      </w:hyperlink>
      <w:r>
        <w:t xml:space="preserve">.</w:t>
      </w:r>
    </w:p>
    <w:bookmarkEnd w:id="341"/>
    <w:bookmarkStart w:id="343" w:name="ref-Kerwin2011"/>
    <w:p>
      <w:pPr>
        <w:pStyle w:val="Bibliography"/>
      </w:pPr>
      <w:r>
        <w:t xml:space="preserve">Kerwin, Cornelius M., and Scott R. Furlong. 2011.</w:t>
      </w:r>
      <w:r>
        <w:t xml:space="preserve"> </w:t>
      </w:r>
      <w:r>
        <w:rPr>
          <w:i/>
        </w:rPr>
        <w:t xml:space="preserve">Rulemaking: How Government Agencies Write Law and Make Policy</w:t>
      </w:r>
      <w:r>
        <w:t xml:space="preserve">. 4th ed. CQ Press.</w:t>
      </w:r>
      <w:r>
        <w:t xml:space="preserve"> </w:t>
      </w:r>
      <w:hyperlink r:id="rId342">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343"/>
    <w:bookmarkStart w:id="345" w:name="ref-Key1961"/>
    <w:p>
      <w:pPr>
        <w:pStyle w:val="Bibliography"/>
      </w:pPr>
      <w:r>
        <w:t xml:space="preserve">Key, V. O. 1961.</w:t>
      </w:r>
      <w:r>
        <w:t xml:space="preserve"> </w:t>
      </w:r>
      <w:r>
        <w:rPr>
          <w:i/>
        </w:rPr>
        <w:t xml:space="preserve">Public Opinion and American Democracy</w:t>
      </w:r>
      <w:r>
        <w:t xml:space="preserve">. New York: Alfred A. Knopf.</w:t>
      </w:r>
      <w:r>
        <w:t xml:space="preserve"> </w:t>
      </w:r>
      <w:hyperlink r:id="rId344">
        <w:r>
          <w:rPr>
            <w:rStyle w:val="Hyperlink"/>
          </w:rPr>
          <w:t xml:space="preserve">http://www.worldcat.org/title/public-opinion-and-american-democracy/oclc/480228689?referer=di{\&amp;}ht=edition</w:t>
        </w:r>
      </w:hyperlink>
      <w:r>
        <w:t xml:space="preserve">.</w:t>
      </w:r>
    </w:p>
    <w:bookmarkEnd w:id="345"/>
    <w:bookmarkStart w:id="347" w:name="ref-Kollman1998"/>
    <w:p>
      <w:pPr>
        <w:pStyle w:val="Bibliography"/>
      </w:pPr>
      <w:r>
        <w:t xml:space="preserve">Kollman, Ken. 1998.</w:t>
      </w:r>
      <w:r>
        <w:t xml:space="preserve"> </w:t>
      </w:r>
      <w:r>
        <w:rPr>
          <w:i/>
        </w:rPr>
        <w:t xml:space="preserve">Outside lobbying : public opinion and interest group strategies</w:t>
      </w:r>
      <w:r>
        <w:t xml:space="preserve">. Princeton University Press.</w:t>
      </w:r>
      <w:r>
        <w:t xml:space="preserve"> </w:t>
      </w:r>
      <w:hyperlink r:id="rId346">
        <w:r>
          <w:rPr>
            <w:rStyle w:val="Hyperlink"/>
          </w:rPr>
          <w:t xml:space="preserve">https://press.princeton.edu/titles/6254.html</w:t>
        </w:r>
      </w:hyperlink>
      <w:r>
        <w:t xml:space="preserve">.</w:t>
      </w:r>
    </w:p>
    <w:bookmarkEnd w:id="347"/>
    <w:bookmarkStart w:id="348" w:name="ref-Leech2010"/>
    <w:p>
      <w:pPr>
        <w:pStyle w:val="Bibliography"/>
      </w:pPr>
      <w:r>
        <w:t xml:space="preserve">Leech, Beth. 2010. “Lobbying and Influence.” In</w:t>
      </w:r>
      <w:r>
        <w:t xml:space="preserve"> </w:t>
      </w:r>
      <w:r>
        <w:rPr>
          <w:i/>
        </w:rPr>
        <w:t xml:space="preserve">The Oxford Handbook of American Political Parties and Interest Groups</w:t>
      </w:r>
      <w:r>
        <w:t xml:space="preserve">, edited by Sandy L. Maisel, Jeffrey M. Berry, and George C. Edwards, 696–719. Oxford University Press.</w:t>
      </w:r>
    </w:p>
    <w:bookmarkEnd w:id="348"/>
    <w:bookmarkStart w:id="350" w:name="ref-Libgober2018"/>
    <w:p>
      <w:pPr>
        <w:pStyle w:val="Bibliography"/>
      </w:pPr>
      <w:r>
        <w:t xml:space="preserve">Libgober, Brian. 2018. “What biased rulemaking looks like.”</w:t>
      </w:r>
      <w:r>
        <w:t xml:space="preserve"> </w:t>
      </w:r>
      <w:hyperlink r:id="rId349">
        <w:r>
          <w:rPr>
            <w:rStyle w:val="Hyperlink"/>
          </w:rPr>
          <w:t xml:space="preserve">https://libgober.files.wordpress.com/2018/09/what-biased-rulemaking-looks-like.pdf</w:t>
        </w:r>
      </w:hyperlink>
      <w:r>
        <w:t xml:space="preserve">.</w:t>
      </w:r>
    </w:p>
    <w:bookmarkEnd w:id="350"/>
    <w:bookmarkStart w:id="352" w:name="ref-LibgoberCarpenter2018"/>
    <w:p>
      <w:pPr>
        <w:pStyle w:val="Bibliography"/>
      </w:pPr>
      <w:r>
        <w:t xml:space="preserve">Libgober, Brian, and Daniel Carpenter. 2018. “Lobbying with Lawyers: Financial Market Evidence for Banks’ Influence on Rulemaking.”</w:t>
      </w:r>
      <w:r>
        <w:t xml:space="preserve"> </w:t>
      </w:r>
      <w:hyperlink r:id="rId351">
        <w:r>
          <w:rPr>
            <w:rStyle w:val="Hyperlink"/>
          </w:rPr>
          <w:t xml:space="preserve">http://equitablegrowth.org/working</w:t>
        </w:r>
      </w:hyperlink>
      <w:r>
        <w:t xml:space="preserve">.</w:t>
      </w:r>
    </w:p>
    <w:bookmarkEnd w:id="352"/>
    <w:bookmarkStart w:id="353" w:name="ref-Lowery2013"/>
    <w:p>
      <w:pPr>
        <w:pStyle w:val="Bibliography"/>
      </w:pPr>
      <w:r>
        <w:t xml:space="preserve">Lowery, David. 2013. “Lobbying Influence: Meaning, Measurement, and Missing.”</w:t>
      </w:r>
      <w:r>
        <w:t xml:space="preserve"> </w:t>
      </w:r>
      <w:r>
        <w:rPr>
          <w:i/>
        </w:rPr>
        <w:t xml:space="preserve">Interest Groups &amp; Advocacy</w:t>
      </w:r>
      <w:r>
        <w:t xml:space="preserve"> </w:t>
      </w:r>
      <w:r>
        <w:t xml:space="preserve">2 (1): 1–26.</w:t>
      </w:r>
    </w:p>
    <w:bookmarkEnd w:id="353"/>
    <w:bookmarkStart w:id="355" w:name="ref-Lowi1964"/>
    <w:p>
      <w:pPr>
        <w:pStyle w:val="Bibliography"/>
      </w:pPr>
      <w:r>
        <w:t xml:space="preserve">Lowi, Theodore J. 1964. “American Business, Public Policy, Case-Studies, and Political Theory.”</w:t>
      </w:r>
      <w:r>
        <w:t xml:space="preserve"> </w:t>
      </w:r>
      <w:r>
        <w:rPr>
          <w:i/>
        </w:rPr>
        <w:t xml:space="preserve">World Politics</w:t>
      </w:r>
      <w:r>
        <w:t xml:space="preserve"> </w:t>
      </w:r>
      <w:r>
        <w:t xml:space="preserve">16 (4): 677–715.</w:t>
      </w:r>
      <w:r>
        <w:t xml:space="preserve"> </w:t>
      </w:r>
      <w:hyperlink r:id="rId354">
        <w:r>
          <w:rPr>
            <w:rStyle w:val="Hyperlink"/>
          </w:rPr>
          <w:t xml:space="preserve">https://doi.org/10.2307/2009452</w:t>
        </w:r>
      </w:hyperlink>
      <w:r>
        <w:t xml:space="preserve">.</w:t>
      </w:r>
    </w:p>
    <w:bookmarkEnd w:id="355"/>
    <w:bookmarkStart w:id="356" w:name="ref-Lowi2015"/>
    <w:p>
      <w:pPr>
        <w:pStyle w:val="Bibliography"/>
      </w:pPr>
      <w:r>
        <w:t xml:space="preserve">Lowi, T. J., and N. K. Nicholson. 2015.</w:t>
      </w:r>
      <w:r>
        <w:t xml:space="preserve"> </w:t>
      </w:r>
      <w:r>
        <w:rPr>
          <w:i/>
        </w:rPr>
        <w:t xml:space="preserve">Arenas of Power: Reflections on Politics and Policy</w:t>
      </w:r>
      <w:r>
        <w:t xml:space="preserve">. Taylor &amp; Francis.</w:t>
      </w:r>
    </w:p>
    <w:bookmarkEnd w:id="356"/>
    <w:bookmarkStart w:id="357" w:name="ref-Mahoney2007"/>
    <w:p>
      <w:pPr>
        <w:pStyle w:val="Bibliography"/>
      </w:pPr>
      <w:r>
        <w:t xml:space="preserve">Mahoney, Christine. 2007. “The Role of Interest Groups in Fostering Citizen Engagement: The Determinants of Outside Lobbying.” In</w:t>
      </w:r>
      <w:r>
        <w:t xml:space="preserve"> </w:t>
      </w:r>
      <w:r>
        <w:rPr>
          <w:i/>
        </w:rPr>
        <w:t xml:space="preserve">Politics Beyond the State: Actors and Policies in Complex Institutional Settings</w:t>
      </w:r>
      <w:r>
        <w:t xml:space="preserve">, edited by Kris Deschouwer and M. Theo Jans. ASP.</w:t>
      </w:r>
    </w:p>
    <w:bookmarkEnd w:id="357"/>
    <w:bookmarkStart w:id="359" w:name="ref-Malecha2012"/>
    <w:p>
      <w:pPr>
        <w:pStyle w:val="Bibliography"/>
      </w:pPr>
      <w:r>
        <w:t xml:space="preserve">Malecha, Gary Lee, and Daniel J. Reagan. 2012.</w:t>
      </w:r>
      <w:r>
        <w:t xml:space="preserve"> </w:t>
      </w:r>
      <w:r>
        <w:rPr>
          <w:i/>
        </w:rPr>
        <w:t xml:space="preserve">The public Congress: Congressional deliberation in a new media age</w:t>
      </w:r>
      <w:r>
        <w:t xml:space="preserve">. Routledge.</w:t>
      </w:r>
      <w:r>
        <w:t xml:space="preserve"> </w:t>
      </w:r>
      <w:hyperlink r:id="rId358">
        <w:r>
          <w:rPr>
            <w:rStyle w:val="Hyperlink"/>
          </w:rPr>
          <w:t xml:space="preserve">https://books.google.com/books/about/The{\_}Public{\_}Congress.html?id=yD9OYgEACAAJ</w:t>
        </w:r>
      </w:hyperlink>
      <w:r>
        <w:t xml:space="preserve">.</w:t>
      </w:r>
    </w:p>
    <w:bookmarkEnd w:id="359"/>
    <w:bookmarkStart w:id="361" w:name="ref-Mansbridge2003"/>
    <w:p>
      <w:pPr>
        <w:pStyle w:val="Bibliography"/>
      </w:pPr>
      <w:r>
        <w:t xml:space="preserve">Mansbridge, Jane. 2003. “Rethinking Representation.”</w:t>
      </w:r>
      <w:r>
        <w:t xml:space="preserve"> </w:t>
      </w:r>
      <w:r>
        <w:rPr>
          <w:i/>
        </w:rPr>
        <w:t xml:space="preserve">American Political Science Review</w:t>
      </w:r>
      <w:r>
        <w:t xml:space="preserve"> </w:t>
      </w:r>
      <w:r>
        <w:t xml:space="preserve">97 (4).</w:t>
      </w:r>
      <w:r>
        <w:t xml:space="preserve"> </w:t>
      </w:r>
      <w:hyperlink r:id="rId360">
        <w:r>
          <w:rPr>
            <w:rStyle w:val="Hyperlink"/>
          </w:rPr>
          <w:t xml:space="preserve">http://eurogender.eige.europa.eu/sites/default/files/3593021.pdf</w:t>
        </w:r>
      </w:hyperlink>
      <w:r>
        <w:t xml:space="preserve">.</w:t>
      </w:r>
    </w:p>
    <w:bookmarkEnd w:id="361"/>
    <w:bookmarkStart w:id="363" w:name="ref-Mansbridge1992"/>
    <w:p>
      <w:pPr>
        <w:pStyle w:val="Bibliography"/>
      </w:pPr>
      <w:r>
        <w:t xml:space="preserve">Mansbridge, Jane J. 1992. “A Deliberative Theory of Interest Representation.” In</w:t>
      </w:r>
      <w:r>
        <w:t xml:space="preserve"> </w:t>
      </w:r>
      <w:r>
        <w:rPr>
          <w:i/>
        </w:rPr>
        <w:t xml:space="preserve">The Politics of Interests: Interest Groups Transformed.</w:t>
      </w:r>
      <w:r>
        <w:t xml:space="preserve">, edited by Mark P. Petracca, 448. Routledge.</w:t>
      </w:r>
      <w:r>
        <w:t xml:space="preserve"> </w:t>
      </w:r>
      <w:hyperlink r:id="rId362">
        <w:r>
          <w:rPr>
            <w:rStyle w:val="Hyperlink"/>
          </w:rPr>
          <w:t xml:space="preserve">https://books.google.com/books/about/The{\_}Politics{\_}Of{\_}Interests.html?id=BtJMDwAAQBAJ</w:t>
        </w:r>
      </w:hyperlink>
      <w:r>
        <w:t xml:space="preserve">.</w:t>
      </w:r>
    </w:p>
    <w:bookmarkEnd w:id="363"/>
    <w:bookmarkStart w:id="365" w:name="ref-Mayhew2000"/>
    <w:p>
      <w:pPr>
        <w:pStyle w:val="Bibliography"/>
      </w:pPr>
      <w:r>
        <w:t xml:space="preserve">Mayhew, David R. 2000. “Electoral Realignments.”</w:t>
      </w:r>
      <w:r>
        <w:t xml:space="preserve"> </w:t>
      </w:r>
      <w:r>
        <w:rPr>
          <w:i/>
        </w:rPr>
        <w:t xml:space="preserve">Annual Review of Political Science</w:t>
      </w:r>
      <w:r>
        <w:t xml:space="preserve"> </w:t>
      </w:r>
      <w:r>
        <w:t xml:space="preserve">3 (1): 449–74.</w:t>
      </w:r>
      <w:r>
        <w:t xml:space="preserve"> </w:t>
      </w:r>
      <w:hyperlink r:id="rId364">
        <w:r>
          <w:rPr>
            <w:rStyle w:val="Hyperlink"/>
          </w:rPr>
          <w:t xml:space="preserve">https://doi.org/10.1146/annurev.polisci.3.1.449</w:t>
        </w:r>
      </w:hyperlink>
      <w:r>
        <w:t xml:space="preserve">.</w:t>
      </w:r>
    </w:p>
    <w:bookmarkEnd w:id="365"/>
    <w:bookmarkStart w:id="367" w:name="ref-Mcadam2017"/>
    <w:p>
      <w:pPr>
        <w:pStyle w:val="Bibliography"/>
      </w:pPr>
      <w:r>
        <w:t xml:space="preserve">Mcadam, Doug. 2017. “Social Movement Theory and the Prospects for Climate Change Activism in the United States.”</w:t>
      </w:r>
      <w:r>
        <w:t xml:space="preserve"> </w:t>
      </w:r>
      <w:r>
        <w:rPr>
          <w:i/>
        </w:rPr>
        <w:t xml:space="preserve">Annual Review of Political Science</w:t>
      </w:r>
      <w:r>
        <w:t xml:space="preserve"> </w:t>
      </w:r>
      <w:r>
        <w:t xml:space="preserve">20: 189–2008.</w:t>
      </w:r>
      <w:r>
        <w:t xml:space="preserve"> </w:t>
      </w:r>
      <w:hyperlink r:id="rId366">
        <w:r>
          <w:rPr>
            <w:rStyle w:val="Hyperlink"/>
          </w:rPr>
          <w:t xml:space="preserve">https://doi.org/10.1146/annurev-polisci-052615</w:t>
        </w:r>
      </w:hyperlink>
      <w:r>
        <w:t xml:space="preserve">.</w:t>
      </w:r>
    </w:p>
    <w:bookmarkEnd w:id="367"/>
    <w:bookmarkStart w:id="369" w:name="ref-McCubbins1987"/>
    <w:p>
      <w:pPr>
        <w:pStyle w:val="Bibliography"/>
      </w:pPr>
      <w:r>
        <w:t xml:space="preserve">McCubbins, Mathew D., Roger G. Noll, and Barry R. Weingast. 1987. “Administrative Procedures as Instruments of Political Control.”</w:t>
      </w:r>
      <w:r>
        <w:t xml:space="preserve"> </w:t>
      </w:r>
      <w:r>
        <w:rPr>
          <w:i/>
        </w:rPr>
        <w:t xml:space="preserve">Journal of Law, Economics, &amp; Organization</w:t>
      </w:r>
      <w:r>
        <w:t xml:space="preserve"> </w:t>
      </w:r>
      <w:r>
        <w:t xml:space="preserve">3 (2): 243–77.</w:t>
      </w:r>
      <w:r>
        <w:t xml:space="preserve"> </w:t>
      </w:r>
      <w:hyperlink r:id="rId368">
        <w:r>
          <w:rPr>
            <w:rStyle w:val="Hyperlink"/>
          </w:rPr>
          <w:t xml:space="preserve">https://doi.org/10.1093</w:t>
        </w:r>
      </w:hyperlink>
      <w:r>
        <w:t xml:space="preserve">.</w:t>
      </w:r>
    </w:p>
    <w:bookmarkEnd w:id="369"/>
    <w:bookmarkStart w:id="370" w:name="ref-Mccubbins1984"/>
    <w:p>
      <w:pPr>
        <w:pStyle w:val="Bibliography"/>
      </w:pPr>
      <w:r>
        <w:t xml:space="preserve">Mccubbins, Mathew D, and Thomas Schwartz. 1984. “Congressional Oversight Overlooked: Police Patrols versus Fire Alarms.”</w:t>
      </w:r>
      <w:r>
        <w:t xml:space="preserve"> </w:t>
      </w:r>
      <w:r>
        <w:rPr>
          <w:i/>
        </w:rPr>
        <w:t xml:space="preserve">American Journal of Political Science</w:t>
      </w:r>
      <w:r>
        <w:t xml:space="preserve"> </w:t>
      </w:r>
      <w:r>
        <w:t xml:space="preserve">28 (1): 165–79.</w:t>
      </w:r>
    </w:p>
    <w:bookmarkEnd w:id="370"/>
    <w:bookmarkStart w:id="372" w:name="ref-Mendelson2011"/>
    <w:p>
      <w:pPr>
        <w:pStyle w:val="Bibliography"/>
      </w:pPr>
      <w:r>
        <w:t xml:space="preserve">Mendelson, Nina A. 2011. “Foreword: Rulemaking, Democracy, and Torrents of E-Mail.”</w:t>
      </w:r>
      <w:r>
        <w:t xml:space="preserve"> </w:t>
      </w:r>
      <w:r>
        <w:rPr>
          <w:i/>
        </w:rPr>
        <w:t xml:space="preserve">George Washington Law Review</w:t>
      </w:r>
      <w:r>
        <w:t xml:space="preserve"> </w:t>
      </w:r>
      <w:r>
        <w:t xml:space="preserve">79: 101.</w:t>
      </w:r>
      <w:r>
        <w:t xml:space="preserve"> </w:t>
      </w:r>
      <w:hyperlink r:id="rId371">
        <w:r>
          <w:rPr>
            <w:rStyle w:val="Hyperlink"/>
          </w:rPr>
          <w:t xml:space="preserve">https://papers.ssrn.com/sol3/papers.cfm?abstract{\_}id=1860193</w:t>
        </w:r>
      </w:hyperlink>
      <w:r>
        <w:t xml:space="preserve">.</w:t>
      </w:r>
    </w:p>
    <w:bookmarkEnd w:id="372"/>
    <w:bookmarkStart w:id="374" w:name="ref-Metzger2010"/>
    <w:p>
      <w:pPr>
        <w:pStyle w:val="Bibliography"/>
      </w:pPr>
      <w:r>
        <w:t xml:space="preserve">Metzger, Gillian E. 2010. “Ordinary Administrative Law as Constitutional Common Law.”</w:t>
      </w:r>
      <w:r>
        <w:t xml:space="preserve"> </w:t>
      </w:r>
      <w:r>
        <w:rPr>
          <w:i/>
        </w:rPr>
        <w:t xml:space="preserve">Columbia Law Review</w:t>
      </w:r>
      <w:r>
        <w:t xml:space="preserve"> </w:t>
      </w:r>
      <w:r>
        <w:t xml:space="preserve">110: 479.</w:t>
      </w:r>
      <w:r>
        <w:t xml:space="preserve"> </w:t>
      </w:r>
      <w:hyperlink r:id="rId373">
        <w:r>
          <w:rPr>
            <w:rStyle w:val="Hyperlink"/>
          </w:rPr>
          <w:t xml:space="preserve">https://doi.org/10.2139/ssrn.1486272</w:t>
        </w:r>
      </w:hyperlink>
      <w:r>
        <w:t xml:space="preserve">.</w:t>
      </w:r>
    </w:p>
    <w:bookmarkEnd w:id="374"/>
    <w:bookmarkStart w:id="376" w:name="ref-Meyer2004"/>
    <w:p>
      <w:pPr>
        <w:pStyle w:val="Bibliography"/>
      </w:pPr>
      <w:r>
        <w:t xml:space="preserve">Meyer, David S. 2004. “Protest and Political Opportunities.”</w:t>
      </w:r>
      <w:r>
        <w:t xml:space="preserve"> </w:t>
      </w:r>
      <w:r>
        <w:rPr>
          <w:i/>
        </w:rPr>
        <w:t xml:space="preserve">Annual Review of Sociology</w:t>
      </w:r>
      <w:r>
        <w:t xml:space="preserve"> </w:t>
      </w:r>
      <w:r>
        <w:t xml:space="preserve">30 (1): 125–45.</w:t>
      </w:r>
      <w:r>
        <w:t xml:space="preserve"> </w:t>
      </w:r>
      <w:hyperlink r:id="rId375">
        <w:r>
          <w:rPr>
            <w:rStyle w:val="Hyperlink"/>
          </w:rPr>
          <w:t xml:space="preserve">https://doi.org/10.1146/annurev.soc.30.012703.110545</w:t>
        </w:r>
      </w:hyperlink>
      <w:r>
        <w:t xml:space="preserve">.</w:t>
      </w:r>
    </w:p>
    <w:bookmarkEnd w:id="376"/>
    <w:bookmarkStart w:id="378" w:name="ref-Michaels2015"/>
    <w:p>
      <w:pPr>
        <w:pStyle w:val="Bibliography"/>
      </w:pPr>
      <w:r>
        <w:t xml:space="preserve">Michaels, Jon D. 2015. “An Enduring, Evolving Separation of Powers.”</w:t>
      </w:r>
      <w:r>
        <w:t xml:space="preserve"> </w:t>
      </w:r>
      <w:r>
        <w:rPr>
          <w:i/>
        </w:rPr>
        <w:t xml:space="preserve">Columbia Law Review</w:t>
      </w:r>
      <w:r>
        <w:t xml:space="preserve"> </w:t>
      </w:r>
      <w:r>
        <w:t xml:space="preserve">115 (April): 515.</w:t>
      </w:r>
      <w:r>
        <w:t xml:space="preserve"> </w:t>
      </w:r>
      <w:hyperlink r:id="rId377">
        <w:r>
          <w:rPr>
            <w:rStyle w:val="Hyperlink"/>
          </w:rPr>
          <w:t xml:space="preserve">https://papers.ssrn.com/sol3/papers.cfm?abstract{\_}id=2444396</w:t>
        </w:r>
      </w:hyperlink>
      <w:r>
        <w:t xml:space="preserve">.</w:t>
      </w:r>
    </w:p>
    <w:bookmarkEnd w:id="378"/>
    <w:bookmarkStart w:id="379" w:name="ref-Mildenberger2020"/>
    <w:p>
      <w:pPr>
        <w:pStyle w:val="Bibliography"/>
      </w:pPr>
      <w:r>
        <w:t xml:space="preserve">Mildenberger, Matto. 2020.</w:t>
      </w:r>
      <w:r>
        <w:t xml:space="preserve"> </w:t>
      </w:r>
      <w:r>
        <w:rPr>
          <w:i/>
        </w:rPr>
        <w:t xml:space="preserve">Carbon Captured: How Business and Labor Control Climate Politics</w:t>
      </w:r>
      <w:r>
        <w:t xml:space="preserve">. Cambridge, MA: MIT Press.</w:t>
      </w:r>
    </w:p>
    <w:bookmarkEnd w:id="379"/>
    <w:bookmarkStart w:id="381" w:name="ref-Moore2017"/>
    <w:p>
      <w:pPr>
        <w:pStyle w:val="Bibliography"/>
      </w:pPr>
      <w:r>
        <w:t xml:space="preserve">Moore, Emily H. 2017. “Public Participation in Rulemaking.”</w:t>
      </w:r>
      <w:r>
        <w:t xml:space="preserve"> </w:t>
      </w:r>
      <w:hyperlink r:id="rId380">
        <w:r>
          <w:rPr>
            <w:rStyle w:val="Hyperlink"/>
          </w:rPr>
          <w:t xml:space="preserve">{https://graduate.artsci.wustl.edu/emilymoore/}</w:t>
        </w:r>
      </w:hyperlink>
      <w:r>
        <w:t xml:space="preserve">.</w:t>
      </w:r>
    </w:p>
    <w:bookmarkEnd w:id="381"/>
    <w:bookmarkStart w:id="383" w:name="ref-Moore2018"/>
    <w:p>
      <w:pPr>
        <w:pStyle w:val="Bibliography"/>
      </w:pPr>
      <w:r>
        <w:t xml:space="preserve">Moore, Emily H. 2018. “Polarization, Excepted Appointments, and the Administrative Presidency.”</w:t>
      </w:r>
      <w:r>
        <w:t xml:space="preserve"> </w:t>
      </w:r>
      <w:r>
        <w:rPr>
          <w:i/>
        </w:rPr>
        <w:t xml:space="preserve">Presidential Studies Quarterly</w:t>
      </w:r>
      <w:r>
        <w:t xml:space="preserve"> </w:t>
      </w:r>
      <w:r>
        <w:t xml:space="preserve">48 (1): 72–92.</w:t>
      </w:r>
      <w:r>
        <w:t xml:space="preserve"> </w:t>
      </w:r>
      <w:hyperlink r:id="rId382">
        <w:r>
          <w:rPr>
            <w:rStyle w:val="Hyperlink"/>
          </w:rPr>
          <w:t xml:space="preserve">https://doi.org/10.1111/psq.12417</w:t>
        </w:r>
      </w:hyperlink>
      <w:r>
        <w:t xml:space="preserve">.</w:t>
      </w:r>
    </w:p>
    <w:bookmarkEnd w:id="383"/>
    <w:bookmarkStart w:id="385" w:name="ref-Nelson2012"/>
    <w:p>
      <w:pPr>
        <w:pStyle w:val="Bibliography"/>
      </w:pPr>
      <w:r>
        <w:t xml:space="preserve">Nelson, David, and Susan Webb Yackee. 2012. “Lobbying Coalitions and Government Policy Change: An Analysis of Federal Agency.”</w:t>
      </w:r>
      <w:r>
        <w:t xml:space="preserve"> </w:t>
      </w:r>
      <w:r>
        <w:rPr>
          <w:i/>
        </w:rPr>
        <w:t xml:space="preserve">The Journal of Politics</w:t>
      </w:r>
      <w:r>
        <w:t xml:space="preserve"> </w:t>
      </w:r>
      <w:r>
        <w:t xml:space="preserve">74 (2): 339–53.</w:t>
      </w:r>
      <w:r>
        <w:t xml:space="preserve"> </w:t>
      </w:r>
      <w:hyperlink r:id="rId384">
        <w:r>
          <w:rPr>
            <w:rStyle w:val="Hyperlink"/>
          </w:rPr>
          <w:t xml:space="preserve">https://doi.org/10.1017/s0022381611001599</w:t>
        </w:r>
      </w:hyperlink>
      <w:r>
        <w:t xml:space="preserve">.</w:t>
      </w:r>
    </w:p>
    <w:bookmarkEnd w:id="385"/>
    <w:bookmarkStart w:id="387" w:name="ref-Nou2016"/>
    <w:p>
      <w:pPr>
        <w:pStyle w:val="Bibliography"/>
      </w:pPr>
      <w:r>
        <w:t xml:space="preserve">Nou, Jennifer, and Edward H Stiglitz. 2016. “Strategic Rulemaking Disclosure.”</w:t>
      </w:r>
      <w:r>
        <w:t xml:space="preserve"> </w:t>
      </w:r>
      <w:r>
        <w:rPr>
          <w:i/>
        </w:rPr>
        <w:t xml:space="preserve">Southern California Law Review</w:t>
      </w:r>
      <w:r>
        <w:t xml:space="preserve"> </w:t>
      </w:r>
      <w:r>
        <w:t xml:space="preserve">89.</w:t>
      </w:r>
      <w:r>
        <w:t xml:space="preserve"> </w:t>
      </w:r>
      <w:hyperlink r:id="rId386">
        <w:r>
          <w:rPr>
            <w:rStyle w:val="Hyperlink"/>
          </w:rPr>
          <w:t xml:space="preserve">http://scholarship.law.cornell.edu/facpub</w:t>
        </w:r>
      </w:hyperlink>
      <w:r>
        <w:t xml:space="preserve">.</w:t>
      </w:r>
    </w:p>
    <w:bookmarkEnd w:id="387"/>
    <w:bookmarkStart w:id="388" w:name="ref-Noveck2004"/>
    <w:p>
      <w:pPr>
        <w:pStyle w:val="Bibliography"/>
      </w:pPr>
      <w:r>
        <w:t xml:space="preserve">Noveck, Beth Simone. 2004. “Public Participation in Electronic Rulemaking: Electronic Democracy or Notice-and-Spam?”</w:t>
      </w:r>
    </w:p>
    <w:bookmarkEnd w:id="388"/>
    <w:bookmarkStart w:id="390" w:name="ref-Noveck2005"/>
    <w:p>
      <w:pPr>
        <w:pStyle w:val="Bibliography"/>
      </w:pPr>
      <w:r>
        <w:t xml:space="preserve">———. 2005. “The Future of Citizen Participation in the Electronic State.”</w:t>
      </w:r>
      <w:r>
        <w:t xml:space="preserve"> </w:t>
      </w:r>
      <w:r>
        <w:rPr>
          <w:i/>
        </w:rPr>
        <w:t xml:space="preserve">I/S: A Journal of Law and Policy</w:t>
      </w:r>
      <w:r>
        <w:t xml:space="preserve"> </w:t>
      </w:r>
      <w:r>
        <w:t xml:space="preserve">1 (1).</w:t>
      </w:r>
      <w:r>
        <w:t xml:space="preserve"> </w:t>
      </w:r>
      <w:hyperlink r:id="rId389">
        <w:r>
          <w:rPr>
            <w:rStyle w:val="Hyperlink"/>
          </w:rPr>
          <w:t xml:space="preserve">http://www.cei.org</w:t>
        </w:r>
      </w:hyperlink>
      <w:r>
        <w:t xml:space="preserve">.</w:t>
      </w:r>
    </w:p>
    <w:bookmarkEnd w:id="390"/>
    <w:bookmarkStart w:id="392" w:name="ref-Noveck2009"/>
    <w:p>
      <w:pPr>
        <w:pStyle w:val="Bibliography"/>
      </w:pPr>
      <w:r>
        <w:t xml:space="preserve">———. 2009.</w:t>
      </w:r>
      <w:r>
        <w:t xml:space="preserve"> </w:t>
      </w:r>
      <w:r>
        <w:rPr>
          <w:i/>
        </w:rPr>
        <w:t xml:space="preserve">Wiki Government: How technology can make government better, democracy stronger, and citizens more powerful</w:t>
      </w:r>
      <w:r>
        <w:t xml:space="preserve">. Brookings Institution Press.</w:t>
      </w:r>
      <w:r>
        <w:t xml:space="preserve"> </w:t>
      </w:r>
      <w:hyperlink r:id="rId391">
        <w:r>
          <w:rPr>
            <w:rStyle w:val="Hyperlink"/>
          </w:rPr>
          <w:t xml:space="preserve">https://books.google.com/books?id=bmSmcDo3kPoC{\&amp;}dq=info:3Iw8O7WHdEEJ:scholar.google.com{\&amp;}lr={\&amp;}source=gbs{\_}navlinks{\_}s</w:t>
        </w:r>
      </w:hyperlink>
      <w:r>
        <w:t xml:space="preserve">.</w:t>
      </w:r>
    </w:p>
    <w:bookmarkEnd w:id="392"/>
    <w:bookmarkStart w:id="394" w:name="ref-Potter2014dis"/>
    <w:p>
      <w:pPr>
        <w:pStyle w:val="Bibliography"/>
      </w:pPr>
      <w:r>
        <w:t xml:space="preserve">Potter, Rachel Augustine. 2014. “Writing the Rules of the Game: The Strategic Logic of Agency Rulemaking.” PhD thesis, University of Michigan.</w:t>
      </w:r>
      <w:r>
        <w:t xml:space="preserve"> </w:t>
      </w:r>
      <w:hyperlink r:id="rId393">
        <w:r>
          <w:rPr>
            <w:rStyle w:val="Hyperlink"/>
          </w:rPr>
          <w:t xml:space="preserve">https://core.ac.uk/download/pdf/73940560.pdf</w:t>
        </w:r>
      </w:hyperlink>
      <w:r>
        <w:t xml:space="preserve">.</w:t>
      </w:r>
    </w:p>
    <w:bookmarkEnd w:id="394"/>
    <w:bookmarkStart w:id="396" w:name="ref-Potter2017"/>
    <w:p>
      <w:pPr>
        <w:pStyle w:val="Bibliography"/>
      </w:pPr>
      <w:r>
        <w:t xml:space="preserve">———. 2017a. “More than Spam? Lobbying the EPA Through Public Comment Campaigns.” Brookings Series on Regulatory Process and Perspective.</w:t>
      </w:r>
      <w:r>
        <w:t xml:space="preserve"> </w:t>
      </w:r>
      <w:hyperlink r:id="rId395">
        <w:r>
          <w:rPr>
            <w:rStyle w:val="Hyperlink"/>
          </w:rPr>
          <w:t xml:space="preserve">https://www.brookings.edu/research/more-than-spam-lobbying-the-epa-through-public-comment-campaigns/</w:t>
        </w:r>
      </w:hyperlink>
      <w:r>
        <w:t xml:space="preserve">.</w:t>
      </w:r>
    </w:p>
    <w:bookmarkEnd w:id="396"/>
    <w:bookmarkStart w:id="398" w:name="ref-Potter2016"/>
    <w:p>
      <w:pPr>
        <w:pStyle w:val="Bibliography"/>
      </w:pPr>
      <w:r>
        <w:t xml:space="preserve">———. 2017b. “Slow-Rolling, Fast-Tracking, and the Pace of Bureaucratic Decisions in Rulemaking.”</w:t>
      </w:r>
      <w:r>
        <w:t xml:space="preserve"> </w:t>
      </w:r>
      <w:r>
        <w:rPr>
          <w:i/>
        </w:rPr>
        <w:t xml:space="preserve">Journal of Politics</w:t>
      </w:r>
      <w:r>
        <w:t xml:space="preserve"> </w:t>
      </w:r>
      <w:r>
        <w:t xml:space="preserve">79 (3): 841–55.</w:t>
      </w:r>
      <w:r>
        <w:t xml:space="preserve"> </w:t>
      </w:r>
      <w:hyperlink r:id="rId397">
        <w:r>
          <w:rPr>
            <w:rStyle w:val="Hyperlink"/>
          </w:rPr>
          <w:t xml:space="preserve">https://doi.org/10.2139/ssrn.2759117</w:t>
        </w:r>
      </w:hyperlink>
      <w:r>
        <w:t xml:space="preserve">.</w:t>
      </w:r>
    </w:p>
    <w:bookmarkEnd w:id="398"/>
    <w:bookmarkStart w:id="400" w:name="ref-Potter2019"/>
    <w:p>
      <w:pPr>
        <w:pStyle w:val="Bibliography"/>
      </w:pPr>
      <w:r>
        <w:t xml:space="preserve">Potter, Rachel Augustine, Andrew Rudalevige, Sharece Thrower, and Adam L. Warber. 2019. “Continuity Trumps Change: The First Year of Trump’s Administrative Presidency.”</w:t>
      </w:r>
      <w:r>
        <w:t xml:space="preserve"> </w:t>
      </w:r>
      <w:r>
        <w:rPr>
          <w:i/>
        </w:rPr>
        <w:t xml:space="preserve">PS: Political Science &amp; Politics</w:t>
      </w:r>
      <w:r>
        <w:t xml:space="preserve">, May, 1–7.</w:t>
      </w:r>
      <w:r>
        <w:t xml:space="preserve"> </w:t>
      </w:r>
      <w:hyperlink r:id="rId399">
        <w:r>
          <w:rPr>
            <w:rStyle w:val="Hyperlink"/>
          </w:rPr>
          <w:t xml:space="preserve">https://doi.org/10.1017/S1049096519000520</w:t>
        </w:r>
      </w:hyperlink>
      <w:r>
        <w:t xml:space="preserve">.</w:t>
      </w:r>
    </w:p>
    <w:bookmarkEnd w:id="400"/>
    <w:bookmarkStart w:id="402" w:name="ref-Rauch2016"/>
    <w:p>
      <w:pPr>
        <w:pStyle w:val="Bibliography"/>
      </w:pPr>
      <w:r>
        <w:t xml:space="preserve">Rauch, Daniel E. 2016. “Two-Track E-Commenting.”</w:t>
      </w:r>
      <w:r>
        <w:t xml:space="preserve"> </w:t>
      </w:r>
      <w:r>
        <w:rPr>
          <w:i/>
        </w:rPr>
        <w:t xml:space="preserve">Yale Journal on Regulation</w:t>
      </w:r>
      <w:r>
        <w:t xml:space="preserve"> </w:t>
      </w:r>
      <w:r>
        <w:t xml:space="preserve">33 (1).</w:t>
      </w:r>
      <w:r>
        <w:t xml:space="preserve"> </w:t>
      </w:r>
      <w:hyperlink r:id="rId401">
        <w:r>
          <w:rPr>
            <w:rStyle w:val="Hyperlink"/>
          </w:rPr>
          <w:t xml:space="preserve">http://digitalcommons.law.yale.edu/yjreg</w:t>
        </w:r>
      </w:hyperlink>
      <w:r>
        <w:t xml:space="preserve">.</w:t>
      </w:r>
    </w:p>
    <w:bookmarkEnd w:id="402"/>
    <w:bookmarkStart w:id="404" w:name="ref-Reich1966"/>
    <w:p>
      <w:pPr>
        <w:pStyle w:val="Bibliography"/>
      </w:pPr>
      <w:r>
        <w:t xml:space="preserve">Reich, Charles A. 1966. “The Law of the Planned Society.” Vol. 75.</w:t>
      </w:r>
      <w:r>
        <w:t xml:space="preserve"> </w:t>
      </w:r>
      <w:hyperlink r:id="rId403">
        <w:r>
          <w:rPr>
            <w:rStyle w:val="Hyperlink"/>
          </w:rPr>
          <w:t xml:space="preserve">http://digitalcommons.law.yale.edu/fss{\_}papers</w:t>
        </w:r>
      </w:hyperlink>
      <w:r>
        <w:t xml:space="preserve">.</w:t>
      </w:r>
    </w:p>
    <w:bookmarkEnd w:id="404"/>
    <w:bookmarkStart w:id="405" w:name="ref-Rochon1993"/>
    <w:p>
      <w:pPr>
        <w:pStyle w:val="Bibliography"/>
      </w:pPr>
      <w:r>
        <w:t xml:space="preserve">Rochon, Thomas R, and Daniel A Mazmanian. 1993. “Social Movements and the Policy Process.”</w:t>
      </w:r>
      <w:r>
        <w:t xml:space="preserve"> </w:t>
      </w:r>
      <w:r>
        <w:rPr>
          <w:i/>
        </w:rPr>
        <w:t xml:space="preserve">The Annals of the American Academy of Political and Social Science</w:t>
      </w:r>
      <w:r>
        <w:t xml:space="preserve"> </w:t>
      </w:r>
      <w:r>
        <w:t xml:space="preserve">528 (July): 75–87.</w:t>
      </w:r>
    </w:p>
    <w:bookmarkEnd w:id="405"/>
    <w:bookmarkStart w:id="406" w:name="ref-Rosenbloom2003"/>
    <w:p>
      <w:pPr>
        <w:pStyle w:val="Bibliography"/>
      </w:pPr>
      <w:r>
        <w:t xml:space="preserve">Rosenbloom, David H. 2003.</w:t>
      </w:r>
      <w:r>
        <w:t xml:space="preserve"> </w:t>
      </w:r>
      <w:r>
        <w:rPr>
          <w:i/>
        </w:rPr>
        <w:t xml:space="preserve">Administrative law for public managers</w:t>
      </w:r>
      <w:r>
        <w:t xml:space="preserve">. Westview Press.</w:t>
      </w:r>
    </w:p>
    <w:bookmarkEnd w:id="406"/>
    <w:bookmarkStart w:id="408" w:name="ref-Rossi1997"/>
    <w:p>
      <w:pPr>
        <w:pStyle w:val="Bibliography"/>
      </w:pPr>
      <w:r>
        <w:t xml:space="preserve">Rossi, Jim. 1997. “Participation Run Amok: The Costs of Mass Participation for Deliberative Agency Decisionmaking.”</w:t>
      </w:r>
      <w:r>
        <w:t xml:space="preserve"> </w:t>
      </w:r>
      <w:r>
        <w:rPr>
          <w:i/>
        </w:rPr>
        <w:t xml:space="preserve">Northwestern Law Review</w:t>
      </w:r>
      <w:r>
        <w:t xml:space="preserve"> </w:t>
      </w:r>
      <w:r>
        <w:t xml:space="preserve">92 (1).</w:t>
      </w:r>
      <w:r>
        <w:t xml:space="preserve"> </w:t>
      </w:r>
      <w:hyperlink r:id="rId407">
        <w:r>
          <w:rPr>
            <w:rStyle w:val="Hyperlink"/>
          </w:rPr>
          <w:t xml:space="preserve">https://papers.ssrn.com/sol3/papers.cfm?abstract{\_}id=571127</w:t>
        </w:r>
      </w:hyperlink>
      <w:r>
        <w:t xml:space="preserve">.</w:t>
      </w:r>
    </w:p>
    <w:bookmarkEnd w:id="408"/>
    <w:bookmarkStart w:id="410" w:name="ref-SantAmbrogio2018"/>
    <w:p>
      <w:pPr>
        <w:pStyle w:val="Bibliography"/>
      </w:pPr>
      <w:r>
        <w:t xml:space="preserve">Sant’Ambrogio, Michael, and Glen Staszewski. 2018. “Public Engagement in Agency Rulemaking.” Administrative Conference of the United States.</w:t>
      </w:r>
      <w:r>
        <w:t xml:space="preserve"> </w:t>
      </w:r>
      <w:hyperlink r:id="rId409">
        <w:r>
          <w:rPr>
            <w:rStyle w:val="Hyperlink"/>
          </w:rPr>
          <w:t xml:space="preserve">https://www.acus.gov/report/public-engagement-rulemaking-draft-report</w:t>
        </w:r>
      </w:hyperlink>
      <w:r>
        <w:t xml:space="preserve">.</w:t>
      </w:r>
    </w:p>
    <w:bookmarkEnd w:id="410"/>
    <w:bookmarkStart w:id="412" w:name="ref-Schattschneider1942"/>
    <w:p>
      <w:pPr>
        <w:pStyle w:val="Bibliography"/>
      </w:pPr>
      <w:r>
        <w:t xml:space="preserve">Schattschneider, Elmer. 1942.</w:t>
      </w:r>
      <w:r>
        <w:t xml:space="preserve"> </w:t>
      </w:r>
      <w:r>
        <w:rPr>
          <w:i/>
        </w:rPr>
        <w:t xml:space="preserve">Party Government</w:t>
      </w:r>
      <w:r>
        <w:t xml:space="preserve">.</w:t>
      </w:r>
      <w:r>
        <w:t xml:space="preserve"> </w:t>
      </w:r>
      <w:hyperlink r:id="rId411">
        <w:r>
          <w:rPr>
            <w:rStyle w:val="Hyperlink"/>
          </w:rPr>
          <w:t xml:space="preserve">https://doi.org/10.2307/1949637</w:t>
        </w:r>
      </w:hyperlink>
      <w:r>
        <w:t xml:space="preserve">.</w:t>
      </w:r>
    </w:p>
    <w:bookmarkEnd w:id="412"/>
    <w:bookmarkStart w:id="414" w:name="ref-Schattschneider1975"/>
    <w:p>
      <w:pPr>
        <w:pStyle w:val="Bibliography"/>
      </w:pPr>
      <w:r>
        <w:t xml:space="preserve">Schattschneider, Elmer E. 1975.</w:t>
      </w:r>
      <w:r>
        <w:t xml:space="preserve"> </w:t>
      </w:r>
      <w:r>
        <w:rPr>
          <w:i/>
        </w:rPr>
        <w:t xml:space="preserve">The Semisovereign People: A Realist’s Wiew of Democracy in America</w:t>
      </w:r>
      <w:r>
        <w:t xml:space="preserve">. Revised. Dryden Press.</w:t>
      </w:r>
      <w:r>
        <w:t xml:space="preserve"> </w:t>
      </w:r>
      <w:hyperlink r:id="rId413">
        <w:r>
          <w:rPr>
            <w:rStyle w:val="Hyperlink"/>
          </w:rPr>
          <w:t xml:space="preserve">http://wikisum.com/w/Schattschneider:{\_}The{\_}semisovereign{\_}people https://books.google.com/books/about/The{\_}semisovereign{\_}people.html?id=GXdHAAAAMAAJ</w:t>
        </w:r>
      </w:hyperlink>
      <w:r>
        <w:t xml:space="preserve">.</w:t>
      </w:r>
    </w:p>
    <w:bookmarkEnd w:id="414"/>
    <w:bookmarkStart w:id="415" w:name="ref-Schlozman2015"/>
    <w:p>
      <w:pPr>
        <w:pStyle w:val="Bibliography"/>
      </w:pPr>
      <w:r>
        <w:t xml:space="preserve">Schlozman, Daniel. 2015.</w:t>
      </w:r>
      <w:r>
        <w:t xml:space="preserve"> </w:t>
      </w:r>
      <w:r>
        <w:rPr>
          <w:i/>
        </w:rPr>
        <w:t xml:space="preserve">When movements anchor parties: electoral alignments in American history</w:t>
      </w:r>
      <w:r>
        <w:t xml:space="preserve">. Princeton University Press.</w:t>
      </w:r>
    </w:p>
    <w:bookmarkEnd w:id="415"/>
    <w:bookmarkStart w:id="416" w:name="ref-Schlozman2012"/>
    <w:p>
      <w:pPr>
        <w:pStyle w:val="Bibliography"/>
      </w:pPr>
      <w:r>
        <w:t xml:space="preserve">Schlozman, Kay Lehman, Sidney. Verba, and Henry E. Brady. 2012.</w:t>
      </w:r>
      <w:r>
        <w:t xml:space="preserve"> </w:t>
      </w:r>
      <w:r>
        <w:rPr>
          <w:i/>
        </w:rPr>
        <w:t xml:space="preserve">The Unheavenly Chorus: Unequal Political Voice and the Broken Promise of American Democracy</w:t>
      </w:r>
      <w:r>
        <w:t xml:space="preserve">. Princeton University Press.</w:t>
      </w:r>
    </w:p>
    <w:bookmarkEnd w:id="416"/>
    <w:bookmarkStart w:id="418" w:name="ref-Seifter2016UCLA"/>
    <w:p>
      <w:pPr>
        <w:pStyle w:val="Bibliography"/>
      </w:pPr>
      <w:r>
        <w:t xml:space="preserve">Seifter, Miriam. 2016. “Second-Order Participation in Administrative Law.”</w:t>
      </w:r>
      <w:r>
        <w:t xml:space="preserve"> </w:t>
      </w:r>
      <w:r>
        <w:rPr>
          <w:i/>
        </w:rPr>
        <w:t xml:space="preserve">UCLA Law Review</w:t>
      </w:r>
      <w:r>
        <w:t xml:space="preserve"> </w:t>
      </w:r>
      <w:r>
        <w:t xml:space="preserve">63 (1300).</w:t>
      </w:r>
      <w:r>
        <w:t xml:space="preserve"> </w:t>
      </w:r>
      <w:hyperlink r:id="rId417">
        <w:r>
          <w:rPr>
            <w:rStyle w:val="Hyperlink"/>
          </w:rPr>
          <w:t xml:space="preserve">https://papers.ssrn.com/sol3/papers.cfm?abstract{\_}id=2662504</w:t>
        </w:r>
      </w:hyperlink>
      <w:r>
        <w:t xml:space="preserve">.</w:t>
      </w:r>
    </w:p>
    <w:bookmarkEnd w:id="418"/>
    <w:bookmarkStart w:id="420" w:name="ref-Selin2015"/>
    <w:p>
      <w:pPr>
        <w:pStyle w:val="Bibliography"/>
      </w:pPr>
      <w:r>
        <w:t xml:space="preserve">Selin, Jennifer L. 2015. “What Makes an Agency Independent?”</w:t>
      </w:r>
      <w:r>
        <w:t xml:space="preserve"> </w:t>
      </w:r>
      <w:r>
        <w:rPr>
          <w:i/>
        </w:rPr>
        <w:t xml:space="preserve">American Journal of Political Science</w:t>
      </w:r>
      <w:r>
        <w:t xml:space="preserve"> </w:t>
      </w:r>
      <w:r>
        <w:t xml:space="preserve">59 (4): 971–87.</w:t>
      </w:r>
      <w:r>
        <w:t xml:space="preserve"> </w:t>
      </w:r>
      <w:hyperlink r:id="rId419">
        <w:r>
          <w:rPr>
            <w:rStyle w:val="Hyperlink"/>
          </w:rPr>
          <w:t xml:space="preserve">https://doi.org/10.1111/ajps.12161</w:t>
        </w:r>
      </w:hyperlink>
      <w:r>
        <w:t xml:space="preserve">.</w:t>
      </w:r>
    </w:p>
    <w:bookmarkEnd w:id="420"/>
    <w:bookmarkStart w:id="422" w:name="ref-Shapiro2008b"/>
    <w:p>
      <w:pPr>
        <w:pStyle w:val="Bibliography"/>
      </w:pPr>
      <w:r>
        <w:t xml:space="preserve">Shapiro, Stuart. 2008. “Does the amount of participation matter? Public comments, agency responses and the time to finalize a regulation.”</w:t>
      </w:r>
      <w:r>
        <w:t xml:space="preserve"> </w:t>
      </w:r>
      <w:r>
        <w:rPr>
          <w:i/>
        </w:rPr>
        <w:t xml:space="preserve">Policy Sciences</w:t>
      </w:r>
      <w:r>
        <w:t xml:space="preserve"> </w:t>
      </w:r>
      <w:r>
        <w:t xml:space="preserve">41 (1): 33–49.</w:t>
      </w:r>
      <w:r>
        <w:t xml:space="preserve"> </w:t>
      </w:r>
      <w:hyperlink r:id="rId421">
        <w:r>
          <w:rPr>
            <w:rStyle w:val="Hyperlink"/>
          </w:rPr>
          <w:t xml:space="preserve">https://doi.org/10.1007/s11077-007-9051-x</w:t>
        </w:r>
      </w:hyperlink>
      <w:r>
        <w:t xml:space="preserve">.</w:t>
      </w:r>
    </w:p>
    <w:bookmarkEnd w:id="422"/>
    <w:bookmarkStart w:id="423" w:name="ref-Skocpol2003"/>
    <w:p>
      <w:pPr>
        <w:pStyle w:val="Bibliography"/>
      </w:pPr>
      <w:r>
        <w:t xml:space="preserve">Skocpol, Theda. 2003.</w:t>
      </w:r>
      <w:r>
        <w:t xml:space="preserve"> </w:t>
      </w:r>
      <w:r>
        <w:rPr>
          <w:i/>
        </w:rPr>
        <w:t xml:space="preserve">Diminished Democracy: From membership to management in American civic life</w:t>
      </w:r>
      <w:r>
        <w:t xml:space="preserve">. University of Oklahoma Press.</w:t>
      </w:r>
    </w:p>
    <w:bookmarkEnd w:id="423"/>
    <w:bookmarkStart w:id="424" w:name="ref-Skocpol2013"/>
    <w:p>
      <w:pPr>
        <w:pStyle w:val="Bibliography"/>
      </w:pPr>
      <w:r>
        <w:t xml:space="preserve">———. 2013. “Naming the Problem: What It Will Take to Counter Extremism and Engage Americans in the Fight Against Global Warming.”</w:t>
      </w:r>
    </w:p>
    <w:bookmarkEnd w:id="424"/>
    <w:bookmarkStart w:id="425" w:name="ref-Skocpol2016"/>
    <w:p>
      <w:pPr>
        <w:pStyle w:val="Bibliography"/>
      </w:pPr>
      <w:r>
        <w:t xml:space="preserve">Skocpol, Theda, and Vanessa Williamson. 2016.</w:t>
      </w:r>
      <w:r>
        <w:t xml:space="preserve"> </w:t>
      </w:r>
      <w:r>
        <w:rPr>
          <w:i/>
        </w:rPr>
        <w:t xml:space="preserve">The Tea Party and the Remaking of Republican Conservatism</w:t>
      </w:r>
      <w:r>
        <w:t xml:space="preserve">. Oxford University Press.</w:t>
      </w:r>
    </w:p>
    <w:bookmarkEnd w:id="425"/>
    <w:bookmarkStart w:id="427" w:name="ref-Soss2007"/>
    <w:p>
      <w:pPr>
        <w:pStyle w:val="Bibliography"/>
      </w:pPr>
      <w:r>
        <w:t xml:space="preserve">Soss, Joe, Jacob S Hacker, and Suzanne Mettler. 2007.</w:t>
      </w:r>
      <w:r>
        <w:t xml:space="preserve"> </w:t>
      </w:r>
      <w:r>
        <w:rPr>
          <w:i/>
        </w:rPr>
        <w:t xml:space="preserve">Remaking America : democracy and public policy in an age of inequality</w:t>
      </w:r>
      <w:r>
        <w:t xml:space="preserve">. New York: Russell Sage Foundation.</w:t>
      </w:r>
      <w:r>
        <w:t xml:space="preserve"> </w:t>
      </w:r>
      <w:hyperlink r:id="rId426">
        <w:r>
          <w:rPr>
            <w:rStyle w:val="Hyperlink"/>
          </w:rPr>
          <w:t xml:space="preserve">http://www.loc.gov/catdir/toc/ecip0716/2007015183.html</w:t>
        </w:r>
      </w:hyperlink>
      <w:r>
        <w:t xml:space="preserve">.</w:t>
      </w:r>
    </w:p>
    <w:bookmarkEnd w:id="427"/>
    <w:bookmarkStart w:id="429" w:name="ref-Sunstein2001"/>
    <w:p>
      <w:pPr>
        <w:pStyle w:val="Bibliography"/>
      </w:pPr>
      <w:r>
        <w:t xml:space="preserve">Sunstein, Cass R. 2001.</w:t>
      </w:r>
      <w:r>
        <w:t xml:space="preserve"> </w:t>
      </w:r>
      <w:r>
        <w:rPr>
          <w:i/>
        </w:rPr>
        <w:t xml:space="preserve">Republic.com</w:t>
      </w:r>
      <w:r>
        <w:t xml:space="preserve">. Princeton University Press.</w:t>
      </w:r>
      <w:r>
        <w:t xml:space="preserve"> </w:t>
      </w:r>
      <w:hyperlink r:id="rId428">
        <w:r>
          <w:rPr>
            <w:rStyle w:val="Hyperlink"/>
          </w:rPr>
          <w:t xml:space="preserve">https://books.google.com/books/about/Republic{\_}com.html?id=O7AG9TxDJdgC</w:t>
        </w:r>
      </w:hyperlink>
      <w:r>
        <w:t xml:space="preserve">.</w:t>
      </w:r>
    </w:p>
    <w:bookmarkEnd w:id="429"/>
    <w:bookmarkStart w:id="431" w:name="ref-Verba1987"/>
    <w:p>
      <w:pPr>
        <w:pStyle w:val="Bibliography"/>
      </w:pPr>
      <w:r>
        <w:t xml:space="preserve">Verba, Sidney., and Norman H. Nie. 1987.</w:t>
      </w:r>
      <w:r>
        <w:t xml:space="preserve"> </w:t>
      </w:r>
      <w:r>
        <w:rPr>
          <w:i/>
        </w:rPr>
        <w:t xml:space="preserve">Participation in America: Political Democracy and Social Equality</w:t>
      </w:r>
      <w:r>
        <w:t xml:space="preserve">. University of Chicago Press.</w:t>
      </w:r>
      <w:r>
        <w:t xml:space="preserve"> </w:t>
      </w:r>
      <w:hyperlink r:id="rId430">
        <w:r>
          <w:rPr>
            <w:rStyle w:val="Hyperlink"/>
          </w:rPr>
          <w:t xml:space="preserve">https://books.google.com/books?id=9K5fdvfmGREC{\&amp;}dq=verba+and+nie+participation+in+america{\&amp;}lr={\&amp;}source=gbs{\_}navlinks{\_}s</w:t>
        </w:r>
      </w:hyperlink>
      <w:r>
        <w:t xml:space="preserve">.</w:t>
      </w:r>
    </w:p>
    <w:bookmarkEnd w:id="431"/>
    <w:bookmarkStart w:id="433" w:name="ref-Wagner2010"/>
    <w:p>
      <w:pPr>
        <w:pStyle w:val="Bibliography"/>
      </w:pPr>
      <w:r>
        <w:t xml:space="preserve">Wagner, Wendy E. 2010. “Administrative Law, Filter Failure, and Information Capture” 59: 1321.</w:t>
      </w:r>
      <w:r>
        <w:t xml:space="preserve"> </w:t>
      </w:r>
      <w:hyperlink r:id="rId432">
        <w:r>
          <w:rPr>
            <w:rStyle w:val="Hyperlink"/>
          </w:rPr>
          <w:t xml:space="preserve">https://scholarship.law.duke.edu/cgi/viewcontent.cgi?referer=https://www.google.com/{\&amp;}httpsredir=1{\&amp;}article=1463{\&amp;}context=dlj</w:t>
        </w:r>
      </w:hyperlink>
      <w:r>
        <w:t xml:space="preserve">.</w:t>
      </w:r>
    </w:p>
    <w:bookmarkEnd w:id="433"/>
    <w:bookmarkStart w:id="435" w:name="ref-Wagner2011"/>
    <w:p>
      <w:pPr>
        <w:pStyle w:val="Bibliography"/>
      </w:pPr>
      <w:r>
        <w:t xml:space="preserve">Wagner, Wendy E., Katherine Y. Barnes, and Lisa Peters. 2011. “Rulemaking in the Shade: An Empirical Study of EPA’s Air Toxic Regulations.”</w:t>
      </w:r>
      <w:r>
        <w:t xml:space="preserve"> </w:t>
      </w:r>
      <w:r>
        <w:rPr>
          <w:i/>
        </w:rPr>
        <w:t xml:space="preserve">Administrative Law Review</w:t>
      </w:r>
      <w:r>
        <w:t xml:space="preserve"> </w:t>
      </w:r>
      <w:r>
        <w:t xml:space="preserve">63 (1): 99–158.</w:t>
      </w:r>
      <w:r>
        <w:t xml:space="preserve"> </w:t>
      </w:r>
      <w:hyperlink r:id="rId434">
        <w:r>
          <w:rPr>
            <w:rStyle w:val="Hyperlink"/>
          </w:rPr>
          <w:t xml:space="preserve">https://papers.ssrn.com/sol3/papers.cfm?abstract{\_}id=1531243</w:t>
        </w:r>
      </w:hyperlink>
      <w:r>
        <w:t xml:space="preserve">.</w:t>
      </w:r>
    </w:p>
    <w:bookmarkEnd w:id="435"/>
    <w:bookmarkStart w:id="436" w:name="ref-Wagner2017"/>
    <w:p>
      <w:pPr>
        <w:pStyle w:val="Bibliography"/>
      </w:pPr>
      <w:r>
        <w:t xml:space="preserve">Wagner, Wendy, William West, Thomas Mcgarity, and Lisa Peters. 2017. “Dynamic Rulemaking.”</w:t>
      </w:r>
      <w:r>
        <w:t xml:space="preserve"> </w:t>
      </w:r>
      <w:r>
        <w:rPr>
          <w:i/>
        </w:rPr>
        <w:t xml:space="preserve">N.Y.U. Law Review</w:t>
      </w:r>
      <w:r>
        <w:t xml:space="preserve"> </w:t>
      </w:r>
      <w:r>
        <w:t xml:space="preserve">21 (183): 92–2017.</w:t>
      </w:r>
    </w:p>
    <w:bookmarkEnd w:id="436"/>
    <w:bookmarkStart w:id="438" w:name="ref-Walker1991"/>
    <w:p>
      <w:pPr>
        <w:pStyle w:val="Bibliography"/>
      </w:pPr>
      <w:r>
        <w:t xml:space="preserve">Walker, Jack L. 1991.</w:t>
      </w:r>
      <w:r>
        <w:t xml:space="preserve"> </w:t>
      </w:r>
      <w:r>
        <w:rPr>
          <w:i/>
        </w:rPr>
        <w:t xml:space="preserve">Mobilizing interest groups in America: patrons, professions, and social movements</w:t>
      </w:r>
      <w:r>
        <w:t xml:space="preserve">. University of Michigan Press.</w:t>
      </w:r>
      <w:r>
        <w:t xml:space="preserve"> </w:t>
      </w:r>
      <w:hyperlink r:id="rId437">
        <w:r>
          <w:rPr>
            <w:rStyle w:val="Hyperlink"/>
          </w:rPr>
          <w:t xml:space="preserve">https://books.google.com/books?id=36bgO4FaOEoC{\&amp;}lr={\&amp;}source=gbs{\_}navlinks{\_}s</w:t>
        </w:r>
      </w:hyperlink>
      <w:r>
        <w:t xml:space="preserve">.</w:t>
      </w:r>
    </w:p>
    <w:bookmarkEnd w:id="438"/>
    <w:bookmarkStart w:id="440" w:name="ref-Walters2019"/>
    <w:p>
      <w:pPr>
        <w:pStyle w:val="Bibliography"/>
      </w:pPr>
      <w:r>
        <w:t xml:space="preserve">Walters, Daniel E. 2019. “Capturing Regulatory Agendas?: An Empirical Study of Industry Use of Rulemaking Petitions.”</w:t>
      </w:r>
      <w:r>
        <w:t xml:space="preserve"> </w:t>
      </w:r>
      <w:r>
        <w:rPr>
          <w:i/>
        </w:rPr>
        <w:t xml:space="preserve">Harvard Environmental Law Review</w:t>
      </w:r>
      <w:r>
        <w:t xml:space="preserve"> </w:t>
      </w:r>
      <w:r>
        <w:t xml:space="preserve">49.</w:t>
      </w:r>
      <w:r>
        <w:t xml:space="preserve"> </w:t>
      </w:r>
      <w:hyperlink r:id="rId439">
        <w:r>
          <w:rPr>
            <w:rStyle w:val="Hyperlink"/>
          </w:rPr>
          <w:t xml:space="preserve">http://scholarship.law.upenn.edu/faculty{\_}scholarshiphttp://scholarship.law.upenn.edu/faculty{\_}scholarship/1969</w:t>
        </w:r>
      </w:hyperlink>
      <w:r>
        <w:t xml:space="preserve">.</w:t>
      </w:r>
    </w:p>
    <w:bookmarkEnd w:id="440"/>
    <w:bookmarkStart w:id="442" w:name="ref-WEACT2017"/>
    <w:p>
      <w:pPr>
        <w:pStyle w:val="Bibliography"/>
      </w:pPr>
      <w:r>
        <w:t xml:space="preserve">WEACT. 2017. “WE ACT for Environmental Justice: Empowering Communities to Power Change.”</w:t>
      </w:r>
      <w:r>
        <w:t xml:space="preserve"> </w:t>
      </w:r>
      <w:hyperlink r:id="rId441">
        <w:r>
          <w:rPr>
            <w:rStyle w:val="Hyperlink"/>
          </w:rPr>
          <w:t xml:space="preserve">https://www.weact.org/</w:t>
        </w:r>
      </w:hyperlink>
      <w:r>
        <w:t xml:space="preserve">.</w:t>
      </w:r>
    </w:p>
    <w:bookmarkEnd w:id="442"/>
    <w:bookmarkStart w:id="444" w:name="ref-West2009"/>
    <w:p>
      <w:pPr>
        <w:pStyle w:val="Bibliography"/>
      </w:pPr>
      <w:r>
        <w:t xml:space="preserve">West, William F. 2009. “Inside the Black Box.”</w:t>
      </w:r>
      <w:r>
        <w:t xml:space="preserve"> </w:t>
      </w:r>
      <w:r>
        <w:rPr>
          <w:i/>
        </w:rPr>
        <w:t xml:space="preserve">Administration &amp; Society</w:t>
      </w:r>
      <w:r>
        <w:t xml:space="preserve"> </w:t>
      </w:r>
      <w:r>
        <w:t xml:space="preserve">41 (5): 576–99.</w:t>
      </w:r>
      <w:r>
        <w:t xml:space="preserve"> </w:t>
      </w:r>
      <w:hyperlink r:id="rId443">
        <w:r>
          <w:rPr>
            <w:rStyle w:val="Hyperlink"/>
          </w:rPr>
          <w:t xml:space="preserve">https://doi.org/10.1177/0095399709339013</w:t>
        </w:r>
      </w:hyperlink>
      <w:r>
        <w:t xml:space="preserve">.</w:t>
      </w:r>
    </w:p>
    <w:bookmarkEnd w:id="444"/>
    <w:bookmarkStart w:id="446" w:name="ref-West2013"/>
    <w:p>
      <w:pPr>
        <w:pStyle w:val="Bibliography"/>
      </w:pPr>
      <w:r>
        <w:t xml:space="preserve">West, William F., and Connor Raso. 2013. “Who Shapes the Rulemaking Agenda? Implications for Bureaucratic Responsiveness and Bureaucratic Control.”</w:t>
      </w:r>
      <w:r>
        <w:t xml:space="preserve"> </w:t>
      </w:r>
      <w:r>
        <w:rPr>
          <w:i/>
        </w:rPr>
        <w:t xml:space="preserve">Journal of Public Administration Research and Theory</w:t>
      </w:r>
      <w:r>
        <w:t xml:space="preserve"> </w:t>
      </w:r>
      <w:r>
        <w:t xml:space="preserve">23 (3): 495–519.</w:t>
      </w:r>
      <w:r>
        <w:t xml:space="preserve"> </w:t>
      </w:r>
      <w:hyperlink r:id="rId445">
        <w:r>
          <w:rPr>
            <w:rStyle w:val="Hyperlink"/>
          </w:rPr>
          <w:t xml:space="preserve">https://doi.org/10.1093/jopart/mus028</w:t>
        </w:r>
      </w:hyperlink>
      <w:r>
        <w:t xml:space="preserve">.</w:t>
      </w:r>
    </w:p>
    <w:bookmarkEnd w:id="446"/>
    <w:bookmarkStart w:id="448" w:name="ref-White2018"/>
    <w:p>
      <w:pPr>
        <w:pStyle w:val="Bibliography"/>
      </w:pPr>
      <w:r>
        <w:t xml:space="preserve">White, Adam J. 2018. “Comments on ACUS Proposed Recommendations on Public Engagement in Rulemaking.” Administrative Conference of the United States.</w:t>
      </w:r>
      <w:r>
        <w:t xml:space="preserve"> </w:t>
      </w:r>
      <w:hyperlink r:id="rId447">
        <w:r>
          <w:rPr>
            <w:rStyle w:val="Hyperlink"/>
          </w:rPr>
          <w:t xml:space="preserve">https://www.acus.gov/sites/default/files/documents/Public Engagement Draft Recommendation 9-10-18 Adam White Comments.pdf</w:t>
        </w:r>
      </w:hyperlink>
      <w:r>
        <w:t xml:space="preserve">.</w:t>
      </w:r>
    </w:p>
    <w:bookmarkEnd w:id="448"/>
    <w:bookmarkStart w:id="450" w:name="ref-Woods2018"/>
    <w:p>
      <w:pPr>
        <w:pStyle w:val="Bibliography"/>
      </w:pPr>
      <w:r>
        <w:t xml:space="preserve">Woods, Neal D. 2018. “Regulatory Analysis Procedures and Political Influence on Bureaucratic Policymaking.”</w:t>
      </w:r>
      <w:r>
        <w:t xml:space="preserve"> </w:t>
      </w:r>
      <w:r>
        <w:rPr>
          <w:i/>
        </w:rPr>
        <w:t xml:space="preserve">Regulation &amp; Governance</w:t>
      </w:r>
      <w:r>
        <w:t xml:space="preserve"> </w:t>
      </w:r>
      <w:r>
        <w:t xml:space="preserve">12 (2): 299–313.</w:t>
      </w:r>
      <w:r>
        <w:t xml:space="preserve"> </w:t>
      </w:r>
      <w:hyperlink r:id="rId449">
        <w:r>
          <w:rPr>
            <w:rStyle w:val="Hyperlink"/>
          </w:rPr>
          <w:t xml:space="preserve">https://doi.org/10.1111/rego.12139</w:t>
        </w:r>
      </w:hyperlink>
      <w:r>
        <w:t xml:space="preserve">.</w:t>
      </w:r>
    </w:p>
    <w:bookmarkEnd w:id="450"/>
    <w:bookmarkStart w:id="452" w:name="ref-Yackee2006JOP"/>
    <w:p>
      <w:pPr>
        <w:pStyle w:val="Bibliography"/>
      </w:pPr>
      <w:r>
        <w:t xml:space="preserve">Yackee, Jason Webb, and Susan Webb Yackee. 2006. “A Bias Towards Business? Assessing Interest Group Influence on the U.S. Bureaucracy.”</w:t>
      </w:r>
      <w:r>
        <w:t xml:space="preserve"> </w:t>
      </w:r>
      <w:r>
        <w:rPr>
          <w:i/>
        </w:rPr>
        <w:t xml:space="preserve">Journal of Politics</w:t>
      </w:r>
      <w:r>
        <w:t xml:space="preserve"> </w:t>
      </w:r>
      <w:r>
        <w:t xml:space="preserve">68 (1): 128–39.</w:t>
      </w:r>
      <w:r>
        <w:t xml:space="preserve"> </w:t>
      </w:r>
      <w:hyperlink r:id="rId451">
        <w:r>
          <w:rPr>
            <w:rStyle w:val="Hyperlink"/>
          </w:rPr>
          <w:t xml:space="preserve">https://doi.org/10.1111/j.1468-2508.2006.00375.x</w:t>
        </w:r>
      </w:hyperlink>
      <w:r>
        <w:t xml:space="preserve">.</w:t>
      </w:r>
    </w:p>
    <w:bookmarkEnd w:id="452"/>
    <w:bookmarkStart w:id="454" w:name="ref-Yackee2009RegGov"/>
    <w:p>
      <w:pPr>
        <w:pStyle w:val="Bibliography"/>
      </w:pPr>
      <w:r>
        <w:t xml:space="preserve">———. 2009a. “Divided government and US federal rulemaking.”</w:t>
      </w:r>
      <w:r>
        <w:t xml:space="preserve"> </w:t>
      </w:r>
      <w:r>
        <w:rPr>
          <w:i/>
        </w:rPr>
        <w:t xml:space="preserve">Regulation &amp; Governance</w:t>
      </w:r>
      <w:r>
        <w:t xml:space="preserve"> </w:t>
      </w:r>
      <w:r>
        <w:t xml:space="preserve">3 (2): 128–44.</w:t>
      </w:r>
      <w:r>
        <w:t xml:space="preserve"> </w:t>
      </w:r>
      <w:hyperlink r:id="rId453">
        <w:r>
          <w:rPr>
            <w:rStyle w:val="Hyperlink"/>
          </w:rPr>
          <w:t xml:space="preserve">https://doi.org/10.1111/j.1748-5991.2009.01051.x</w:t>
        </w:r>
      </w:hyperlink>
      <w:r>
        <w:t xml:space="preserve">.</w:t>
      </w:r>
    </w:p>
    <w:bookmarkEnd w:id="454"/>
    <w:bookmarkStart w:id="455" w:name="ref-Yackee2009bush"/>
    <w:p>
      <w:pPr>
        <w:pStyle w:val="Bibliography"/>
      </w:pPr>
      <w:r>
        <w:t xml:space="preserve">———. 2009b. “Is the Bush Bureaucracy Any Different? A Macro-Empirical Examination of Notice and Comment Rulemaking under "43".” In</w:t>
      </w:r>
      <w:r>
        <w:t xml:space="preserve"> </w:t>
      </w:r>
      <w:r>
        <w:rPr>
          <w:i/>
        </w:rPr>
        <w:t xml:space="preserve">President George W. Bush’s Influence over Bureaucracy and Policy.</w:t>
      </w:r>
      <w:r>
        <w:t xml:space="preserve">, edited by C Provost and P Teske, 41–59. Palgrave Macmillan.</w:t>
      </w:r>
    </w:p>
    <w:bookmarkEnd w:id="455"/>
    <w:bookmarkStart w:id="457" w:name="ref-Yackee2006JPART"/>
    <w:p>
      <w:pPr>
        <w:pStyle w:val="Bibliography"/>
      </w:pPr>
      <w:r>
        <w:t xml:space="preserve">Yackee, Susan Webb. 2006. “Sweet-talking the fourth branch: The influence of interest group comments on federal agency rulemaking.”</w:t>
      </w:r>
      <w:r>
        <w:t xml:space="preserve"> </w:t>
      </w:r>
      <w:r>
        <w:rPr>
          <w:i/>
        </w:rPr>
        <w:t xml:space="preserve">Journal of Public Administration Research and Theory</w:t>
      </w:r>
      <w:r>
        <w:t xml:space="preserve"> </w:t>
      </w:r>
      <w:r>
        <w:t xml:space="preserve">16 (1): 103–24.</w:t>
      </w:r>
      <w:r>
        <w:t xml:space="preserve"> </w:t>
      </w:r>
      <w:hyperlink r:id="rId456">
        <w:r>
          <w:rPr>
            <w:rStyle w:val="Hyperlink"/>
          </w:rPr>
          <w:t xml:space="preserve">https://doi.org/10.1093/jopart/mui042</w:t>
        </w:r>
      </w:hyperlink>
      <w:r>
        <w:t xml:space="preserve">.</w:t>
      </w:r>
    </w:p>
    <w:bookmarkEnd w:id="457"/>
    <w:bookmarkStart w:id="459" w:name="ref-Yackee2012"/>
    <w:p>
      <w:pPr>
        <w:pStyle w:val="Bibliography"/>
      </w:pPr>
      <w:r>
        <w:t xml:space="preserve">———. 2012. “The Politics of Ex Parte Lobbying: Pre-Proposal Agenda Building and Blocking during Agency Rulemaking.”</w:t>
      </w:r>
      <w:r>
        <w:t xml:space="preserve"> </w:t>
      </w:r>
      <w:r>
        <w:rPr>
          <w:i/>
        </w:rPr>
        <w:t xml:space="preserve">Journal of Public Administration Research and Theory</w:t>
      </w:r>
      <w:r>
        <w:t xml:space="preserve"> </w:t>
      </w:r>
      <w:r>
        <w:t xml:space="preserve">22 (2): 373–93.</w:t>
      </w:r>
      <w:r>
        <w:t xml:space="preserve"> </w:t>
      </w:r>
      <w:hyperlink r:id="rId458">
        <w:r>
          <w:rPr>
            <w:rStyle w:val="Hyperlink"/>
          </w:rPr>
          <w:t xml:space="preserve">https://doi.org/10.1093/jopart/mur061</w:t>
        </w:r>
      </w:hyperlink>
      <w:r>
        <w:t xml:space="preserve">.</w:t>
      </w:r>
    </w:p>
    <w:bookmarkEnd w:id="459"/>
    <w:bookmarkStart w:id="461" w:name="ref-Yackee2015JPART"/>
    <w:p>
      <w:pPr>
        <w:pStyle w:val="Bibliography"/>
      </w:pPr>
      <w:r>
        <w:t xml:space="preserve">———. 2015. “Participant Voice in the Bureaucratic Policymaking Process.”</w:t>
      </w:r>
      <w:r>
        <w:t xml:space="preserve"> </w:t>
      </w:r>
      <w:r>
        <w:rPr>
          <w:i/>
        </w:rPr>
        <w:t xml:space="preserve">Journal of Public Administration Research and Theory</w:t>
      </w:r>
      <w:r>
        <w:t xml:space="preserve"> </w:t>
      </w:r>
      <w:r>
        <w:t xml:space="preserve">25 (2): 427–49.</w:t>
      </w:r>
      <w:r>
        <w:t xml:space="preserve"> </w:t>
      </w:r>
      <w:hyperlink r:id="rId460">
        <w:r>
          <w:rPr>
            <w:rStyle w:val="Hyperlink"/>
          </w:rPr>
          <w:t xml:space="preserve">https://doi.org/10.1093/jopart/muu007</w:t>
        </w:r>
      </w:hyperlink>
      <w:r>
        <w:t xml:space="preserve">.</w:t>
      </w:r>
    </w:p>
    <w:bookmarkEnd w:id="461"/>
    <w:bookmarkStart w:id="463" w:name="ref-Yackee2019"/>
    <w:p>
      <w:pPr>
        <w:pStyle w:val="Bibliography"/>
      </w:pPr>
      <w:r>
        <w:t xml:space="preserve">———. 2019. “The Politics of Rulemaking in the United States.”</w:t>
      </w:r>
      <w:r>
        <w:t xml:space="preserve"> </w:t>
      </w:r>
      <w:r>
        <w:rPr>
          <w:i/>
        </w:rPr>
        <w:t xml:space="preserve">Annual Review of Political Science</w:t>
      </w:r>
      <w:r>
        <w:t xml:space="preserve"> </w:t>
      </w:r>
      <w:r>
        <w:t xml:space="preserve">22 (1).</w:t>
      </w:r>
      <w:r>
        <w:t xml:space="preserve"> </w:t>
      </w:r>
      <w:hyperlink r:id="rId462">
        <w:r>
          <w:rPr>
            <w:rStyle w:val="Hyperlink"/>
          </w:rPr>
          <w:t xml:space="preserve">https://doi.org/10.1146/annurev-polisci-050817-092302</w:t>
        </w:r>
      </w:hyperlink>
      <w:r>
        <w:t xml:space="preserve">.</w:t>
      </w:r>
    </w:p>
    <w:bookmarkEnd w:id="463"/>
    <w:bookmarkEnd w:id="4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r>
        <w:t xml:space="preserve">Dahl (</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3">
    <w:p>
      <w:pPr>
        <w:pStyle w:val="FootnoteText"/>
      </w:pPr>
      <w:r>
        <w:rPr>
          <w:rStyle w:val="FootnoteReference"/>
        </w:rPr>
        <w:footnoteRef/>
      </w:r>
      <w:r>
        <w:t xml:space="preserve"> </w:t>
      </w:r>
      <w:r>
        <w:t xml:space="preserve">As I show elsewhere</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w:t>
      </w:r>
      <w:r>
        <w:t xml:space="preserve">,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p>
  </w:footnote>
  <w:footnote w:id="24">
    <w:p>
      <w:pPr>
        <w:pStyle w:val="FootnoteText"/>
      </w:pPr>
      <w:r>
        <w:rPr>
          <w:rStyle w:val="FootnoteReference"/>
        </w:rPr>
        <w:footnoteRef/>
      </w:r>
      <w:r>
        <w:t xml:space="preserve"> </w:t>
      </w: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r>
        <w:t xml:space="preserve">Sant’Ambrogio and Staszewski (</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Potter</w:t>
      </w:r>
      <w:r>
        <w:t xml:space="preserve"> </w:t>
      </w:r>
      <w:hyperlink w:anchor="ref-Potter2017">
        <w:r>
          <w:rPr>
            <w:rStyle w:val="Hyperlink"/>
          </w:rPr>
          <w:t xml:space="preserve">2017</w:t>
        </w:r>
      </w:hyperlink>
      <w:hyperlink w:anchor="ref-Potter2017">
        <w:r>
          <w:rPr>
            <w:rStyle w:val="Hyperlink"/>
          </w:rPr>
          <w:t xml:space="preserve">a</w:t>
        </w:r>
      </w:hyperlink>
      <w:r>
        <w:t xml:space="preserve">; Balla et al.</w:t>
      </w:r>
      <w:r>
        <w:t xml:space="preserve"> </w:t>
      </w:r>
      <w:hyperlink w:anchor="ref-Balla2018">
        <w:r>
          <w:rPr>
            <w:rStyle w:val="Hyperlink"/>
          </w:rPr>
          <w:t xml:space="preserve">2018</w:t>
        </w:r>
      </w:hyperlink>
      <w:r>
        <w:t xml:space="preserve">)</w:t>
      </w:r>
      <w:r>
        <w:t xml:space="preserve">.</w:t>
      </w:r>
      <w:r>
        <w:t xml:space="preserve"> </w:t>
      </w:r>
      <w:r>
        <w:t xml:space="preserve">Cuéllar (</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footnote>
  <w:footnote w:id="26">
    <w:p>
      <w:pPr>
        <w:pStyle w:val="FootnoteText"/>
      </w:pPr>
      <w:r>
        <w:rPr>
          <w:rStyle w:val="FootnoteReference"/>
        </w:rPr>
        <w:footnoteRef/>
      </w:r>
      <w:r>
        <w:t xml:space="preserve"> </w:t>
      </w:r>
      <w:r>
        <w:t xml:space="preserve">But see insights from</w:t>
      </w:r>
      <w:r>
        <w:t xml:space="preserve"> </w:t>
      </w:r>
      <w:r>
        <w:t xml:space="preserve">Golden (</w:t>
      </w:r>
      <w:hyperlink w:anchor="ref-Golden1998">
        <w:r>
          <w:rPr>
            <w:rStyle w:val="Hyperlink"/>
          </w:rPr>
          <w:t xml:space="preserve">1998</w:t>
        </w:r>
      </w:hyperlink>
      <w:r>
        <w:t xml:space="preserve">)</w:t>
      </w:r>
      <w:r>
        <w:t xml:space="preserve">,</w:t>
      </w:r>
      <w:r>
        <w:t xml:space="preserve"> </w:t>
      </w:r>
      <w:r>
        <w:t xml:space="preserve">Nelson and Yackee (</w:t>
      </w:r>
      <w:hyperlink w:anchor="ref-Nelson2012">
        <w:r>
          <w:rPr>
            <w:rStyle w:val="Hyperlink"/>
          </w:rPr>
          <w:t xml:space="preserve">2012</w:t>
        </w:r>
      </w:hyperlink>
      <w:r>
        <w:t xml:space="preserve">)</w:t>
      </w:r>
      <w:r>
        <w:t xml:space="preserve">,</w:t>
      </w:r>
      <w:r>
        <w:t xml:space="preserve"> </w:t>
      </w:r>
      <w:r>
        <w:t xml:space="preserve">Rauch (</w:t>
      </w:r>
      <w:hyperlink w:anchor="ref-Rauch2016">
        <w:r>
          <w:rPr>
            <w:rStyle w:val="Hyperlink"/>
          </w:rPr>
          <w:t xml:space="preserve">2016</w:t>
        </w:r>
      </w:hyperlink>
      <w:r>
        <w:t xml:space="preserve">)</w:t>
      </w:r>
      <w:r>
        <w:t xml:space="preserve">, and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on political information,</w:t>
      </w:r>
      <w:r>
        <w:t xml:space="preserve"> </w:t>
      </w:r>
      <w:r>
        <w:t xml:space="preserve">Cuéllar (</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r>
        <w:t xml:space="preserve">Reich (</w:t>
      </w:r>
      <w:hyperlink w:anchor="ref-Reich1966">
        <w:r>
          <w:rPr>
            <w:rStyle w:val="Hyperlink"/>
          </w:rPr>
          <w:t xml:space="preserve">1966</w:t>
        </w:r>
      </w:hyperlink>
      <w:r>
        <w:t xml:space="preserve">)</w:t>
      </w:r>
      <w:r>
        <w:t xml:space="preserve"> </w:t>
      </w:r>
      <w:r>
        <w:t xml:space="preserve">and</w:t>
      </w:r>
      <w:r>
        <w:t xml:space="preserve"> </w:t>
      </w:r>
      <w:r>
        <w:t xml:space="preserve">Seifter (</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35">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44">
    <w:p>
      <w:pPr>
        <w:pStyle w:val="FootnoteText"/>
      </w:pPr>
      <w:r>
        <w:rPr>
          <w:rStyle w:val="FootnoteReference"/>
        </w:rPr>
        <w:footnoteRef/>
      </w:r>
      <w:r>
        <w:t xml:space="preserve"> </w:t>
      </w:r>
      <w:r>
        <w:t xml:space="preserve">Future research could search for additional activity using keywords in rule abstracts.</w:t>
      </w:r>
    </w:p>
  </w:footnote>
  <w:footnote w:id="51">
    <w:p>
      <w:pPr>
        <w:pStyle w:val="FootnoteText"/>
      </w:pPr>
      <w:r>
        <w:rPr>
          <w:rStyle w:val="FootnoteReference"/>
        </w:rPr>
        <w:footnoteRef/>
      </w:r>
      <w:r>
        <w:t xml:space="preserve"> </w:t>
      </w:r>
      <w:r>
        <w:t xml:space="preserve">On learning, see</w:t>
      </w:r>
      <w:r>
        <w:t xml:space="preserve"> </w:t>
      </w:r>
      <w:r>
        <w:t xml:space="preserve">Kerwin and Furlong (</w:t>
      </w:r>
      <w:hyperlink w:anchor="ref-Kerwin2011">
        <w:r>
          <w:rPr>
            <w:rStyle w:val="Hyperlink"/>
          </w:rPr>
          <w:t xml:space="preserve">2011</w:t>
        </w:r>
      </w:hyperlink>
      <w:r>
        <w:t xml:space="preserve">)</w:t>
      </w:r>
      <w:r>
        <w:t xml:space="preserve"> </w:t>
      </w:r>
      <w:r>
        <w:t xml:space="preserve">and empirical studies by</w:t>
      </w:r>
      <w:r>
        <w:t xml:space="preserve"> </w:t>
      </w:r>
      <w:r>
        <w:t xml:space="preserve">Yackee (</w:t>
      </w:r>
      <w:hyperlink w:anchor="ref-Yackee2012">
        <w:r>
          <w:rPr>
            <w:rStyle w:val="Hyperlink"/>
          </w:rPr>
          <w:t xml:space="preserve">2012</w:t>
        </w:r>
      </w:hyperlink>
      <w:r>
        <w:t xml:space="preserve">)</w:t>
      </w:r>
      <w:r>
        <w:t xml:space="preserve">,</w:t>
      </w:r>
      <w:r>
        <w:t xml:space="preserve"> </w:t>
      </w:r>
      <w:r>
        <w:t xml:space="preserve">Cook (</w:t>
      </w:r>
      <w:hyperlink w:anchor="ref-Cook2017">
        <w:r>
          <w:rPr>
            <w:rStyle w:val="Hyperlink"/>
          </w:rPr>
          <w:t xml:space="preserve">2017</w:t>
        </w:r>
      </w:hyperlink>
      <w:r>
        <w:t xml:space="preserve">)</w:t>
      </w:r>
      <w:r>
        <w:t xml:space="preserve">,</w:t>
      </w:r>
      <w:r>
        <w:t xml:space="preserve"> </w:t>
      </w:r>
      <w:r>
        <w:t xml:space="preserve">Gordon and Rashin (</w:t>
      </w:r>
      <w:hyperlink w:anchor="ref-Gordon2018">
        <w:r>
          <w:rPr>
            <w:rStyle w:val="Hyperlink"/>
          </w:rPr>
          <w:t xml:space="preserve">2018</w:t>
        </w:r>
      </w:hyperlink>
      <w:r>
        <w:t xml:space="preserve">)</w:t>
      </w:r>
      <w:r>
        <w:t xml:space="preserve">, and</w:t>
      </w:r>
      <w:r>
        <w:t xml:space="preserve"> </w:t>
      </w:r>
      <w:r>
        <w:t xml:space="preserve">Walters (</w:t>
      </w:r>
      <w:hyperlink w:anchor="ref-Walters2019">
        <w:r>
          <w:rPr>
            <w:rStyle w:val="Hyperlink"/>
          </w:rPr>
          <w:t xml:space="preserve">2019</w:t>
        </w:r>
      </w:hyperlink>
      <w:r>
        <w:t xml:space="preserve">)</w:t>
      </w:r>
      <w:r>
        <w:t xml:space="preserve">. See</w:t>
      </w:r>
      <w:r>
        <w:t xml:space="preserve"> </w:t>
      </w:r>
      <w:r>
        <w:t xml:space="preserve">Gailmard and Patty (</w:t>
      </w:r>
      <w:hyperlink w:anchor="ref-Gailmard2017">
        <w:r>
          <w:rPr>
            <w:rStyle w:val="Hyperlink"/>
          </w:rPr>
          <w:t xml:space="preserve">2017</w:t>
        </w:r>
      </w:hyperlink>
      <w:r>
        <w:t xml:space="preserve">)</w:t>
      </w:r>
      <w:r>
        <w:t xml:space="preserve"> </w:t>
      </w:r>
      <w:r>
        <w:t xml:space="preserve">and</w:t>
      </w:r>
      <w:r>
        <w:t xml:space="preserve"> </w:t>
      </w:r>
      <w:r>
        <w:t xml:space="preserve">Libgober (</w:t>
      </w:r>
      <w:hyperlink w:anchor="ref-Libgober2018">
        <w:r>
          <w:rPr>
            <w:rStyle w:val="Hyperlink"/>
          </w:rPr>
          <w:t xml:space="preserve">2018</w:t>
        </w:r>
      </w:hyperlink>
      <w:r>
        <w:t xml:space="preserve">)</w:t>
      </w:r>
      <w:r>
        <w:t xml:space="preserve"> </w:t>
      </w:r>
      <w:r>
        <w:t xml:space="preserve">for information-based models where comments reveal information to the agency.</w:t>
      </w:r>
      <w:r>
        <w:t xml:space="preserve"> </w:t>
      </w:r>
      <w:r>
        <w:t xml:space="preserve">On accountability to elected officials, see</w:t>
      </w:r>
      <w:r>
        <w:t xml:space="preserve"> </w:t>
      </w:r>
      <w:r>
        <w:t xml:space="preserve">Furlong (</w:t>
      </w:r>
      <w:hyperlink w:anchor="ref-Furlong1997">
        <w:r>
          <w:rPr>
            <w:rStyle w:val="Hyperlink"/>
          </w:rPr>
          <w:t xml:space="preserve">1997</w:t>
        </w:r>
      </w:hyperlink>
      <w:r>
        <w:t xml:space="preserve">)</w:t>
      </w:r>
      <w:r>
        <w:t xml:space="preserve">,</w:t>
      </w:r>
      <w:r>
        <w:t xml:space="preserve"> </w:t>
      </w:r>
      <w:r>
        <w:t xml:space="preserve">Nou and Stiglitz (</w:t>
      </w:r>
      <w:hyperlink w:anchor="ref-Nou2016">
        <w:r>
          <w:rPr>
            <w:rStyle w:val="Hyperlink"/>
          </w:rPr>
          <w:t xml:space="preserve">2016</w:t>
        </w:r>
      </w:hyperlink>
      <w:r>
        <w:t xml:space="preserve">)</w:t>
      </w:r>
      <w:r>
        <w:t xml:space="preserve">,</w:t>
      </w:r>
      <w:r>
        <w:t xml:space="preserve"> </w:t>
      </w:r>
      <w:r>
        <w:t xml:space="preserve">Potter (</w:t>
      </w:r>
      <w:hyperlink w:anchor="ref-Potter2016">
        <w:r>
          <w:rPr>
            <w:rStyle w:val="Hyperlink"/>
          </w:rPr>
          <w:t xml:space="preserve">2017</w:t>
        </w:r>
      </w:hyperlink>
      <w:hyperlink w:anchor="ref-Potter2016">
        <w:r>
          <w:rPr>
            <w:rStyle w:val="Hyperlink"/>
          </w:rPr>
          <w:t xml:space="preserve">b</w:t>
        </w:r>
      </w:hyperlink>
      <w:r>
        <w:t xml:space="preserve">)</w:t>
      </w:r>
      <w:r>
        <w:t xml:space="preserve">,</w:t>
      </w:r>
      <w:r>
        <w:t xml:space="preserve"> </w:t>
      </w:r>
      <w:r>
        <w:t xml:space="preserve">Woods (</w:t>
      </w:r>
      <w:hyperlink w:anchor="ref-Woods2018">
        <w:r>
          <w:rPr>
            <w:rStyle w:val="Hyperlink"/>
          </w:rPr>
          <w:t xml:space="preserve">2018</w:t>
        </w:r>
      </w:hyperlink>
      <w:r>
        <w:t xml:space="preserve">)</w:t>
      </w:r>
      <w:r>
        <w:t xml:space="preserve">, and</w:t>
      </w:r>
      <w:r>
        <w:t xml:space="preserve"> </w:t>
      </w:r>
      <w:r>
        <w:t xml:space="preserve">J. W. Yackee and Yackee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w:t>
      </w:r>
      <w:r>
        <w:t xml:space="preserve"> </w:t>
      </w:r>
      <w:r>
        <w:t xml:space="preserve">Potter (</w:t>
      </w:r>
      <w:hyperlink w:anchor="ref-Potter2014dis">
        <w:r>
          <w:rPr>
            <w:rStyle w:val="Hyperlink"/>
          </w:rPr>
          <w:t xml:space="preserve">2014</w:t>
        </w:r>
      </w:hyperlink>
      <w:r>
        <w:t xml:space="preserve">)</w:t>
      </w:r>
      <w:r>
        <w:t xml:space="preserve"> </w:t>
      </w:r>
      <w:r>
        <w:t xml:space="preserve">develops a signaling model where agencies propose and principals veto rules depending, in part, on their beliefs about interest group preferences.</w:t>
      </w:r>
      <w:r>
        <w:t xml:space="preserve"> </w:t>
      </w:r>
      <w:r>
        <w:t xml:space="preserve">On interest-group balancing, see</w:t>
      </w:r>
      <w:r>
        <w:t xml:space="preserve"> </w:t>
      </w:r>
      <w:r>
        <w:t xml:space="preserve">J. W. Yackee and Yackee (</w:t>
      </w:r>
      <w:hyperlink w:anchor="ref-Yackee2006JOP">
        <w:r>
          <w:rPr>
            <w:rStyle w:val="Hyperlink"/>
          </w:rPr>
          <w:t xml:space="preserve">2006</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A key assumption of Libgober’s (2018) model is that</w:t>
      </w:r>
      <w:r>
        <w:t xml:space="preserve"> </w:t>
      </w:r>
      <w:r>
        <w:t xml:space="preserve">bureaucrats have a distribution of preferences over interest group</w:t>
      </w:r>
      <w:r>
        <w:t xml:space="preserve"> </w:t>
      </w:r>
      <w:r>
        <w:t xml:space="preserve">positions, about which they are uncertain unless groups reveal their</w:t>
      </w:r>
      <w:r>
        <w:t xml:space="preserve"> </w:t>
      </w:r>
      <w:r>
        <w:t xml:space="preserve">preferences through commenting.</w:t>
      </w:r>
    </w:p>
  </w:footnote>
  <w:footnote w:id="52">
    <w:p>
      <w:pPr>
        <w:pStyle w:val="FootnoteText"/>
      </w:pPr>
      <w:r>
        <w:rPr>
          <w:rStyle w:val="FootnoteReference"/>
        </w:rPr>
        <w:footnoteRef/>
      </w:r>
      <w:r>
        <w:t xml:space="preserve"> </w:t>
      </w:r>
      <w:r>
        <w:t xml:space="preserve">Some of the most contentious recent public controversies involve</w:t>
      </w:r>
      <w:r>
        <w:t xml:space="preserve"> </w:t>
      </w:r>
      <w:r>
        <w:t xml:space="preserve">bureaucratic policymaking. For example, along with 50 thousand</w:t>
      </w:r>
      <w:r>
        <w:t xml:space="preserve"> </w:t>
      </w:r>
      <w:r>
        <w:t xml:space="preserve">protesters in Washington D.C., the State Department Received 1.2</w:t>
      </w:r>
      <w:r>
        <w:t xml:space="preserve"> </w:t>
      </w:r>
      <w:r>
        <w:t xml:space="preserve">million comments on the Environmental Impact Statement for the</w:t>
      </w:r>
      <w:r>
        <w:t xml:space="preserve"> </w:t>
      </w:r>
      <w:r>
        <w:t xml:space="preserve">Keystone Pipeline. Similarly, along with the thousands of protesters</w:t>
      </w:r>
      <w:r>
        <w:t xml:space="preserve"> </w:t>
      </w:r>
      <w:r>
        <w:t xml:space="preserve">supporting the Standing Rock Sioux protest to the Dakota Access</w:t>
      </w:r>
      <w:r>
        <w:t xml:space="preserve"> </w:t>
      </w:r>
      <w:r>
        <w:t xml:space="preserve">Pipeline, the Army Corps of Engineers received hundreds of thousands</w:t>
      </w:r>
      <w:r>
        <w:t xml:space="preserve"> </w:t>
      </w:r>
      <w:r>
        <w:t xml:space="preserve">of comments. Alongside protest actions that included shutting down</w:t>
      </w:r>
      <w:r>
        <w:t xml:space="preserve"> </w:t>
      </w:r>
      <w:r>
        <w:t xml:space="preserve">many websites, the Federal Communications Commission’s open internet</w:t>
      </w:r>
      <w:r>
        <w:t xml:space="preserve"> </w:t>
      </w:r>
      <w:r>
        <w:t xml:space="preserve">rule received 22 million comments. While some of these comments</w:t>
      </w:r>
      <w:r>
        <w:t xml:space="preserve"> </w:t>
      </w:r>
      <w:r>
        <w:t xml:space="preserve">appear to be fake, the scale of public engagement is remarkable</w:t>
      </w:r>
      <w:r>
        <w:t xml:space="preserve"> </w:t>
      </w:r>
      <w:r>
        <w:t xml:space="preserve">given how little attention political scientists have paid to it.</w:t>
      </w:r>
      <w:r>
        <w:t xml:space="preserve"> </w:t>
      </w:r>
      <w:r>
        <w:t xml:space="preserve">Fake public comments also raise the question of why an organization</w:t>
      </w:r>
      <w:r>
        <w:t xml:space="preserve"> </w:t>
      </w:r>
      <w:r>
        <w:t xml:space="preserve">would bother to generate fake public input if it did not matter, as</w:t>
      </w:r>
      <w:r>
        <w:t xml:space="preserve"> </w:t>
      </w:r>
      <w:r>
        <w:t xml:space="preserve">its omission from theories of bureaucratic policymaking would seem</w:t>
      </w:r>
      <w:r>
        <w:t xml:space="preserve"> </w:t>
      </w:r>
      <w:r>
        <w:t xml:space="preserve">to imply.</w:t>
      </w:r>
    </w:p>
  </w:footnote>
  <w:footnote w:id="53">
    <w:p>
      <w:pPr>
        <w:pStyle w:val="FootnoteText"/>
      </w:pPr>
      <w:r>
        <w:rPr>
          <w:rStyle w:val="FootnoteReference"/>
        </w:rPr>
        <w:footnoteRef/>
      </w:r>
      <w:r>
        <w:t xml:space="preserve"> </w:t>
      </w:r>
      <w:r>
        <w:t xml:space="preserve">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w:t>
      </w:r>
    </w:p>
  </w:footnote>
  <w:footnote w:id="54">
    <w:p>
      <w:pPr>
        <w:pStyle w:val="FootnoteText"/>
      </w:pPr>
      <w:r>
        <w:rPr>
          <w:rStyle w:val="FootnoteReference"/>
        </w:rPr>
        <w:footnoteRef/>
      </w:r>
      <w:r>
        <w:t xml:space="preserve"> </w:t>
      </w:r>
      <w:r>
        <w:t xml:space="preserve">I focus on public comments in rulemaking, but the theories and</w:t>
      </w:r>
      <w:r>
        <w:t xml:space="preserve"> </w:t>
      </w:r>
      <w:r>
        <w:t xml:space="preserve">methods here may also apply to other kinds of political engagement</w:t>
      </w:r>
      <w:r>
        <w:t xml:space="preserve"> </w:t>
      </w:r>
      <w:r>
        <w:t xml:space="preserve">such as through social media or protests as well as to other</w:t>
      </w:r>
      <w:r>
        <w:t xml:space="preserve"> </w:t>
      </w:r>
      <w:r>
        <w:t xml:space="preserve">political decisions, including state-level rulemaking. Social media</w:t>
      </w:r>
      <w:r>
        <w:t xml:space="preserve"> </w:t>
      </w:r>
      <w:r>
        <w:t xml:space="preserve">engagement may be especially important if agencies implement the</w:t>
      </w:r>
      <w:r>
        <w:t xml:space="preserve"> </w:t>
      </w:r>
      <w:r>
        <w:t xml:space="preserve">recommendations of</w:t>
      </w:r>
      <w:r>
        <w:t xml:space="preserve"> </w:t>
      </w:r>
      <w:r>
        <w:t xml:space="preserve">ACUS (</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58">
    <w:p>
      <w:pPr>
        <w:pStyle w:val="FootnoteText"/>
      </w:pPr>
      <w:r>
        <w:rPr>
          <w:rStyle w:val="FootnoteReference"/>
        </w:rPr>
        <w:footnoteRef/>
      </w:r>
      <w:r>
        <w:t xml:space="preserve"> </w:t>
      </w:r>
      <w:r>
        <w:t xml:space="preserve">At least for agencies participating in regulations.gov. See</w:t>
      </w:r>
      <w:r>
        <w:t xml:space="preserve"> </w:t>
      </w:r>
      <w:r>
        <w:t xml:space="preserve">sections</w:t>
      </w:r>
      <w:r>
        <w:t xml:space="preserve"> </w:t>
      </w:r>
      <w:r>
        <w:t xml:space="preserve">2.5</w:t>
      </w:r>
      <w:r>
        <w:t xml:space="preserve"> </w:t>
      </w:r>
      <w:r>
        <w:t xml:space="preserve">and</w:t>
      </w:r>
      <w:r>
        <w:t xml:space="preserve"> </w:t>
      </w:r>
      <w:r>
        <w:t xml:space="preserve">2.6</w:t>
      </w:r>
      <w:r>
        <w:t xml:space="preserve"> </w:t>
      </w:r>
      <w:r>
        <w:t xml:space="preserve">for my definition and methods for identifying mass comments.</w:t>
      </w:r>
    </w:p>
  </w:footnote>
  <w:footnote w:id="59">
    <w:p>
      <w:pPr>
        <w:pStyle w:val="FootnoteText"/>
      </w:pPr>
      <w:r>
        <w:rPr>
          <w:rStyle w:val="FootnoteReference"/>
        </w:rPr>
        <w:footnoteRef/>
      </w:r>
      <w:r>
        <w:t xml:space="preserve"> </w:t>
      </w:r>
      <w:r>
        <w:t xml:space="preserve">If we define</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 </w:t>
      </w:r>
      <w:r>
        <w:t xml:space="preserve">(Verba and Nie</w:t>
      </w:r>
      <w:r>
        <w:t xml:space="preserve"> </w:t>
      </w:r>
      <w:hyperlink w:anchor="ref-Verba1987">
        <w:r>
          <w:rPr>
            <w:rStyle w:val="Hyperlink"/>
          </w:rPr>
          <w:t xml:space="preserve">1987</w:t>
        </w:r>
      </w:hyperlink>
      <w:r>
        <w:t xml:space="preserve">, 2)</w:t>
      </w:r>
      <w:r>
        <w:t xml:space="preserve">, signing a petition or form comment counts. However, some consider true</w:t>
      </w:r>
      <w:r>
        <w:t xml:space="preserve"> </w:t>
      </w:r>
      <w:r>
        <w:t xml:space="preserve">participation to be deliberative, which mass comment campaigns are not.</w:t>
      </w:r>
      <w:r>
        <w:t xml:space="preserve"> </w:t>
      </w:r>
      <w:r>
        <w:t xml:space="preserve">Other criteria posed by normative theorists that participation should be</w:t>
      </w:r>
      <w:r>
        <w:t xml:space="preserve">”</w:t>
      </w:r>
      <w:r>
        <w:t xml:space="preserve">genuine,"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may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(Shapiro</w:t>
      </w:r>
      <w:r>
        <w:t xml:space="preserve"> </w:t>
      </w:r>
      <w:hyperlink w:anchor="ref-Shapiro2008b">
        <w:r>
          <w:rPr>
            <w:rStyle w:val="Hyperlink"/>
          </w:rPr>
          <w:t xml:space="preserve">2008</w:t>
        </w:r>
      </w:hyperlink>
      <w:r>
        <w:t xml:space="preserve">)</w:t>
      </w:r>
      <w:r>
        <w:t xml:space="preserve">.</w:t>
      </w:r>
    </w:p>
  </w:footnote>
  <w:footnote w:id="6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65">
    <w:p>
      <w:pPr>
        <w:pStyle w:val="FootnoteText"/>
      </w:pPr>
      <w:r>
        <w:rPr>
          <w:rStyle w:val="FootnoteReference"/>
        </w:rPr>
        <w:footnoteRef/>
      </w:r>
      <w:r>
        <w:t xml:space="preserve"> </w:t>
      </w:r>
      <w:r>
        <w:t xml:space="preserve">Public support can be faked or inflated using</w:t>
      </w:r>
      <w:r>
        <w:t xml:space="preserve"> </w:t>
      </w:r>
      <w:r>
        <w:t xml:space="preserve">“</w:t>
      </w:r>
      <w:r>
        <w:t xml:space="preserve">astroturf</w:t>
      </w:r>
      <w:r>
        <w:t xml:space="preserve">”</w:t>
      </w:r>
      <w:r>
        <w:t xml:space="preserve"> </w:t>
      </w:r>
      <w:r>
        <w:t xml:space="preserve">tactics, but such campaigns have observably different patterns of engagement.</w:t>
      </w:r>
    </w:p>
  </w:footnote>
  <w:footnote w:id="67">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69">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72">
    <w:p>
      <w:pPr>
        <w:pStyle w:val="FootnoteText"/>
      </w:pPr>
      <w:r>
        <w:rPr>
          <w:rStyle w:val="FootnoteReference"/>
        </w:rPr>
        <w:footnoteRef/>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It is used by Presidents</w:t>
      </w:r>
      <w:r>
        <w:t xml:space="preserve"> </w:t>
      </w:r>
      <w:r>
        <w:t xml:space="preserve">(Kernell</w:t>
      </w:r>
      <w:r>
        <w:t xml:space="preserve"> </w:t>
      </w:r>
      <w:hyperlink w:anchor="ref-Kernell2007">
        <w:r>
          <w:rPr>
            <w:rStyle w:val="Hyperlink"/>
          </w:rPr>
          <w:t xml:space="preserve">2007</w:t>
        </w:r>
      </w:hyperlink>
      <w:r>
        <w:t xml:space="preserve">)</w:t>
      </w:r>
      <w:r>
        <w:t xml:space="preserve">, Members of Congress</w:t>
      </w:r>
      <w:r>
        <w:t xml:space="preserve"> </w:t>
      </w:r>
      <w:r>
        <w:t xml:space="preserve">(Malecha and Reagan</w:t>
      </w:r>
      <w:r>
        <w:t xml:space="preserve"> </w:t>
      </w:r>
      <w:hyperlink w:anchor="ref-Malecha2012">
        <w:r>
          <w:rPr>
            <w:rStyle w:val="Hyperlink"/>
          </w:rPr>
          <w:t xml:space="preserve">2012</w:t>
        </w:r>
      </w:hyperlink>
      <w:r>
        <w:t xml:space="preserve">)</w:t>
      </w:r>
      <w:r>
        <w:t xml:space="preserve">, interest groups</w:t>
      </w:r>
      <w:r>
        <w:t xml:space="preserve"> </w:t>
      </w:r>
      <w:r>
        <w:t xml:space="preserve">(Walker</w:t>
      </w:r>
      <w:r>
        <w:t xml:space="preserve"> </w:t>
      </w:r>
      <w:hyperlink w:anchor="ref-Walker1991">
        <w:r>
          <w:rPr>
            <w:rStyle w:val="Hyperlink"/>
          </w:rPr>
          <w:t xml:space="preserve">1991</w:t>
        </w:r>
      </w:hyperlink>
      <w:r>
        <w:t xml:space="preserve">; Dür and Mateo</w:t>
      </w:r>
      <w:r>
        <w:t xml:space="preserve"> </w:t>
      </w:r>
      <w:hyperlink w:anchor="ref-Dur2013">
        <w:r>
          <w:rPr>
            <w:rStyle w:val="Hyperlink"/>
          </w:rPr>
          <w:t xml:space="preserve">2013</w:t>
        </w:r>
      </w:hyperlink>
      <w:r>
        <w:t xml:space="preserve">)</w:t>
      </w:r>
      <w:r>
        <w:t xml:space="preserve">, Lawyers, and Judges (Davis 2011). For</w:t>
      </w:r>
      <w:r>
        <w:t xml:space="preserve"> </w:t>
      </w:r>
      <w:r>
        <w:t xml:space="preserve">example, organizations may use phone banks, targeting strategies,</w:t>
      </w:r>
      <w:r>
        <w:t xml:space="preserve"> </w:t>
      </w:r>
      <w:r>
        <w:t xml:space="preserve">and direct-mail techniques to drum-up and channel public support</w:t>
      </w:r>
      <w:r>
        <w:t xml:space="preserve"> </w:t>
      </w:r>
      <w:r>
        <w:t xml:space="preserve">(Cooper 1985).</w:t>
      </w:r>
    </w:p>
  </w:footnote>
  <w:footnote w:id="73">
    <w:p>
      <w:pPr>
        <w:pStyle w:val="FootnoteText"/>
      </w:pPr>
      <w:r>
        <w:rPr>
          <w:rStyle w:val="FootnoteReference"/>
        </w:rPr>
        <w:footnoteRef/>
      </w:r>
      <w:r>
        <w:t xml:space="preserve"> </w:t>
      </w:r>
      <w:r>
        <w:t xml:space="preserve">This strategy is likely to be used by those disadvantaged (those</w:t>
      </w:r>
      <w:r>
        <w:t xml:space="preserve"> </w:t>
      </w:r>
      <w:r>
        <w:t xml:space="preserve">Schattschneider (</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p>
  </w:footnote>
  <w:footnote w:id="74">
    <w:p>
      <w:pPr>
        <w:pStyle w:val="FootnoteText"/>
      </w:pPr>
      <w:r>
        <w:rPr>
          <w:rStyle w:val="FootnoteReference"/>
        </w:rPr>
        <w:footnoteRef/>
      </w:r>
      <w:r>
        <w:t xml:space="preserve"> </w:t>
      </w:r>
      <w:r>
        <w:t xml:space="preserve">For example, the level of consensus among interest groups</w:t>
      </w:r>
      <w:r>
        <w:t xml:space="preserve"> </w:t>
      </w:r>
      <w:r>
        <w:t xml:space="preserve">(Golden</w:t>
      </w:r>
      <w:r>
        <w:t xml:space="preserve"> </w:t>
      </w:r>
      <w:hyperlink w:anchor="ref-Golden1998">
        <w:r>
          <w:rPr>
            <w:rStyle w:val="Hyperlink"/>
          </w:rPr>
          <w:t xml:space="preserve">1998</w:t>
        </w:r>
      </w:hyperlink>
      <w:r>
        <w:t xml:space="preserve">; S. W. Yackee</w:t>
      </w:r>
      <w:r>
        <w:t xml:space="preserve"> </w:t>
      </w:r>
      <w:hyperlink w:anchor="ref-Yackee2006JPART">
        <w:r>
          <w:rPr>
            <w:rStyle w:val="Hyperlink"/>
          </w:rPr>
          <w:t xml:space="preserve">2006</w:t>
        </w:r>
      </w:hyperlink>
      <w:r>
        <w:t xml:space="preserve">)</w:t>
      </w:r>
      <w:r>
        <w:t xml:space="preserve">, especially business unity</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predicts policy change, though it is</w:t>
      </w:r>
      <w:r>
        <w:t xml:space="preserve"> </w:t>
      </w:r>
      <w:r>
        <w:t xml:space="preserve">not clear if this is a result of strategic calculation, a perceived</w:t>
      </w:r>
      <w:r>
        <w:t xml:space="preserve"> </w:t>
      </w:r>
      <w:r>
        <w:t xml:space="preserve">obligation due to the normative power of consensus (e.g., following</w:t>
      </w:r>
      <w:r>
        <w:t xml:space="preserve"> </w:t>
      </w:r>
      <w:r>
        <w:t xml:space="preserve">a majoritarian logic</w:t>
      </w:r>
      <w:r>
        <w:t xml:space="preserve"> </w:t>
      </w:r>
      <w:r>
        <w:t xml:space="preserve">(Mendelson</w:t>
      </w:r>
      <w:r>
        <w:t xml:space="preserve"> </w:t>
      </w:r>
      <w:hyperlink w:anchor="ref-Mendelson2011">
        <w:r>
          <w:rPr>
            <w:rStyle w:val="Hyperlink"/>
          </w:rPr>
          <w:t xml:space="preserve">2011</w:t>
        </w:r>
      </w:hyperlink>
      <w:r>
        <w:t xml:space="preserve">)</w:t>
      </w:r>
      <w:r>
        <w:t xml:space="preserve">), or simply that unified</w:t>
      </w:r>
      <w:r>
        <w:t xml:space="preserve"> </w:t>
      </w:r>
      <w:r>
        <w:t xml:space="preserve">demands are easier to process than opposing demands.</w:t>
      </w:r>
    </w:p>
  </w:footnote>
  <w:footnote w:id="77">
    <w:p>
      <w:pPr>
        <w:pStyle w:val="FootnoteText"/>
      </w:pPr>
      <w:r>
        <w:rPr>
          <w:rStyle w:val="FootnoteReference"/>
        </w:rPr>
        <w:footnoteRef/>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similarly 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r>
        <w:t xml:space="preserve">Berry (</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While some public</w:t>
      </w:r>
      <w:r>
        <w:t xml:space="preserve"> </w:t>
      </w:r>
      <w:r>
        <w:t xml:space="preserve">interest groups focus on conservative or progressive cultural</w:t>
      </w:r>
      <w:r>
        <w:t xml:space="preserve"> </w:t>
      </w:r>
      <w:r>
        <w:t xml:space="preserve">issues, like religious education, immigration, or endangered</w:t>
      </w:r>
      <w:r>
        <w:t xml:space="preserve"> </w:t>
      </w:r>
      <w:r>
        <w:t xml:space="preserve">species, many are more focused on the public provision or protection</w:t>
      </w:r>
      <w:r>
        <w:t xml:space="preserve"> </w:t>
      </w:r>
      <w:r>
        <w:t xml:space="preserve">of public goods such as national parks, consumer product safety</w:t>
      </w:r>
      <w:r>
        <w:t xml:space="preserve"> </w:t>
      </w:r>
      <w:r>
        <w:t xml:space="preserve">standards, air quality, drinking water, and public safety.</w:t>
      </w:r>
      <w:r>
        <w:t xml:space="preserve"> </w:t>
      </w:r>
      <w:r>
        <w:t xml:space="preserve">One exception may be types of membership organizations that are both</w:t>
      </w:r>
      <w:r>
        <w:t xml:space="preserve"> </w:t>
      </w:r>
      <w:r>
        <w:t xml:space="preserve">broad and often focused on material outcomes for their members such</w:t>
      </w:r>
      <w:r>
        <w:t xml:space="preserve"> </w:t>
      </w:r>
      <w:r>
        <w:t xml:space="preserve">as labor unions.</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w:t>
      </w:r>
      <w:r>
        <w:t xml:space="preserve"> </w:t>
      </w:r>
      <w:r>
        <w:t xml:space="preserve">groups lobby. If a union lobbies alongside businesses (see</w:t>
      </w:r>
      <w:r>
        <w:t xml:space="preserve"> </w:t>
      </w:r>
      <w:r>
        <w:t xml:space="preserve">Mildenberger (</w:t>
      </w:r>
      <w:hyperlink w:anchor="ref-Mildenberger2020">
        <w:r>
          <w:rPr>
            <w:rStyle w:val="Hyperlink"/>
          </w:rPr>
          <w:t xml:space="preserve">2020</w:t>
        </w:r>
      </w:hyperlink>
      <w:r>
        <w:t xml:space="preserve">)</w:t>
      </w:r>
      <w:r>
        <w:t xml:space="preserve">), I classify</w:t>
      </w:r>
      <w:r>
        <w:t xml:space="preserve"> </w:t>
      </w:r>
      <w:r>
        <w:t xml:space="preserve">this as a private interest-driven coalition. If a union lobbies with</w:t>
      </w:r>
      <w:r>
        <w:t xml:space="preserve"> </w:t>
      </w:r>
      <w:r>
        <w:t xml:space="preserve">public interest groups on public health or safety issues, I classify</w:t>
      </w:r>
      <w:r>
        <w:t xml:space="preserve"> </w:t>
      </w:r>
      <w:r>
        <w:t xml:space="preserve">this as a public interest.</w:t>
      </w:r>
    </w:p>
  </w:footnote>
  <w:footnote w:id="79">
    <w:p>
      <w:pPr>
        <w:pStyle w:val="FootnoteText"/>
      </w:pPr>
      <w:r>
        <w:rPr>
          <w:rStyle w:val="FootnoteReference"/>
        </w:rPr>
        <w:footnoteRef/>
      </w:r>
      <w:r>
        <w:t xml:space="preserve"> </w:t>
      </w:r>
      <w:r>
        <w:t xml:space="preserve">It is possible that some people in this latter category engage</w:t>
      </w:r>
      <w:r>
        <w:t xml:space="preserve"> </w:t>
      </w:r>
      <w:r>
        <w:t xml:space="preserve">purely on their own initiative, but any impact they have likely</w:t>
      </w:r>
      <w:r>
        <w:t xml:space="preserve"> </w:t>
      </w:r>
      <w:r>
        <w:t xml:space="preserve">comes from their alignment with a coalition. Furthermore, as I show</w:t>
      </w:r>
      <w:r>
        <w:t xml:space="preserve"> </w:t>
      </w:r>
      <w:r>
        <w:t xml:space="preserve">below, wholly original comments are rare.</w:t>
      </w:r>
    </w:p>
  </w:footnote>
  <w:footnote w:id="87">
    <w:p>
      <w:pPr>
        <w:pStyle w:val="FootnoteText"/>
      </w:pPr>
      <w:r>
        <w:rPr>
          <w:rStyle w:val="FootnoteReference"/>
        </w:rPr>
        <w:footnoteRef/>
      </w:r>
      <w:r>
        <w:t xml:space="preserve"> </w:t>
      </w:r>
      <w:r>
        <w:t xml:space="preserve">For more about this method and comparisons with related partial matching methods such as the Smith-Waterman algorithm, see</w:t>
      </w:r>
      <w:r>
        <w:t xml:space="preserve"> </w:t>
      </w:r>
      <w:r>
        <w:t xml:space="preserve">Casas, Denny, and Wilkerson (</w:t>
      </w:r>
      <w:hyperlink w:anchor="ref-Casas2017">
        <w:r>
          <w:rPr>
            <w:rStyle w:val="Hyperlink"/>
          </w:rPr>
          <w:t xml:space="preserve">2017</w:t>
        </w:r>
      </w:hyperlink>
      <w:r>
        <w:t xml:space="preserve">)</w:t>
      </w:r>
      <w:r>
        <w:t xml:space="preserve"> </w:t>
      </w:r>
      <w:r>
        <w:t xml:space="preserve">and</w:t>
      </w:r>
      <w:r>
        <w:t xml:space="preserve"> </w:t>
      </w:r>
      <w:r>
        <w:t xml:space="preserve">Judge-Lord (</w:t>
      </w:r>
      <w:hyperlink w:anchor="ref-Judge-Lord2017">
        <w:r>
          <w:rPr>
            <w:rStyle w:val="Hyperlink"/>
          </w:rPr>
          <w:t xml:space="preserve">2017</w:t>
        </w:r>
      </w:hyperlink>
      <w:r>
        <w:t xml:space="preserve">)</w:t>
      </w:r>
      <w:r>
        <w:t xml:space="preserve">.</w:t>
      </w:r>
    </w:p>
  </w:footnote>
  <w:footnote w:id="110">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hyperlink w:anchor="fig:sierra">
        <m:oMathPara>
          <m:oMathParaPr>
            <m:jc m:val="center"/>
          </m:oMathParaPr>
          <m:oMath>
            <m:r>
              <m:t>f</m:t>
            </m:r>
            <m:r>
              <m:t>i</m:t>
            </m:r>
            <m:r>
              <m:t>g</m:t>
            </m:r>
            <m:r>
              <m:t>:</m:t>
            </m:r>
            <m:r>
              <m:t>s</m:t>
            </m:r>
            <m:r>
              <m:t>i</m:t>
            </m:r>
            <m:r>
              <m:t>e</m:t>
            </m:r>
            <m:r>
              <m:t>r</m:t>
            </m:r>
            <m:r>
              <m:t>r</m:t>
            </m:r>
            <m:r>
              <m:t>a</m:t>
            </m:r>
          </m:oMath>
        </m:oMathPara>
      </w:hyperlink>
      <w:r>
        <w:t xml:space="preserve">, shows that the Sierra Club requires zip</w:t>
      </w:r>
      <w:r>
        <w:t xml:space="preserve"> </w:t>
      </w:r>
      <w:r>
        <w:t xml:space="preserve">code information from commenters, so mass-mobilizers may often send</w:t>
      </w:r>
      <w:r>
        <w:t xml:space="preserve"> </w:t>
      </w:r>
      <w:r>
        <w:t xml:space="preserve">such information to elected officials.</w:t>
      </w:r>
    </w:p>
  </w:footnote>
  <w:footnote w:id="113">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14">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15">
    <w:p>
      <w:pPr>
        <w:pStyle w:val="FootnoteText"/>
      </w:pPr>
      <w:r>
        <w:rPr>
          <w:rStyle w:val="FootnoteReference"/>
        </w:rPr>
        <w:footnoteRef/>
      </w:r>
      <w:r>
        <w:t xml:space="preserve"> </w:t>
      </w:r>
      <w:r>
        <w:t xml:space="preserve">For more on policy area coding, see</w:t>
      </w:r>
      <w:r>
        <w:t xml:space="preserve"> </w:t>
      </w:r>
      <w:hyperlink r:id="rId116">
        <w:r>
          <w:rPr>
            <w:rStyle w:val="Hyperlink"/>
          </w:rPr>
          <w:t xml:space="preserve">“</w:t>
        </w:r>
        <w:r>
          <w:rPr>
            <w:rStyle w:val="Hyperlink"/>
          </w:rPr>
          <w:t xml:space="preserve">Trends in U.S. Executive-branch Policymaking 1980-2016</w:t>
        </w:r>
        <w:r>
          <w:rPr>
            <w:rStyle w:val="Hyperlink"/>
          </w:rPr>
          <w:t xml:space="preserve">”</w:t>
        </w:r>
      </w:hyperlink>
      <w:r>
        <w:t xml:space="preserve"> </w:t>
      </w:r>
      <w:r>
        <w:t xml:space="preserve">in Chapter 1.</w:t>
      </w:r>
    </w:p>
  </w:footnote>
  <w:footnote w:id="117">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19">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20">
        <w:r>
          <w:rPr>
            <w:rStyle w:val="Hyperlink"/>
          </w:rPr>
          <w:t xml:space="preserve">here</w:t>
        </w:r>
      </w:hyperlink>
      <w:r>
        <w:t xml:space="preserve">. See examples of coded cases</w:t>
      </w:r>
      <w:r>
        <w:t xml:space="preserve"> </w:t>
      </w:r>
      <w:hyperlink r:id="rId121">
        <w:r>
          <w:rPr>
            <w:rStyle w:val="Hyperlink"/>
          </w:rPr>
          <w:t xml:space="preserve">here</w:t>
        </w:r>
      </w:hyperlink>
      <w:r>
        <w:t xml:space="preserve">.</w:t>
      </w:r>
    </w:p>
  </w:footnote>
  <w:footnote w:id="122">
    <w:p>
      <w:pPr>
        <w:pStyle w:val="FootnoteText"/>
      </w:pPr>
      <w:r>
        <w:rPr>
          <w:rStyle w:val="FootnoteReference"/>
        </w:rPr>
        <w:footnoteRef/>
      </w:r>
      <w:r>
        <w:t xml:space="preserve"> </w:t>
      </w:r>
      <w:r>
        <w:t xml:space="preserve">For the subset of rules with five or more organizational comments, I create a more sophisticated measure of word frequency similarity by averaging the absolute value of differences in topic proportions</w:t>
      </w:r>
      <w:r>
        <w:t xml:space="preserve"> </w:t>
      </w:r>
      <m:oMath>
        <m:r>
          <m:t>θ</m:t>
        </m:r>
      </m:oMath>
      <w:r>
        <w:t xml:space="preserve"> </w:t>
      </w:r>
      <w:r>
        <w:t xml:space="preserve">between the comment and new rule text across 45 LDA models of all organizational comments estimated with 5 through 50 topics, normalized by the number of topics</w:t>
      </w:r>
      <w:r>
        <w:t xml:space="preserve"> </w:t>
      </w:r>
      <m:oMath>
        <m:sSub>
          <m:e>
            <m:r>
              <m:t>k</m:t>
            </m:r>
          </m:e>
          <m:sub>
            <m:r>
              <m:t>n</m:t>
            </m:r>
          </m:sub>
        </m:sSub>
      </m:oMath>
      <w:r>
        <w:t xml:space="preserve"> </w:t>
      </w:r>
      <w:r>
        <w:t xml:space="preserve">and the number of models such that</w:t>
      </w:r>
      <w:r>
        <w:t xml:space="preserve"> </w:t>
      </w:r>
      <m:oMath>
        <m:sSub>
          <m:e>
            <m:r>
              <m:t>y</m:t>
            </m:r>
          </m:e>
          <m:sub>
            <m:r>
              <m:t>i</m:t>
            </m:r>
          </m:sub>
        </m:sSub>
      </m:oMath>
      <w:r>
        <w:t xml:space="preserve"> </w:t>
      </w:r>
      <w:r>
        <w:t xml:space="preserve">falls between 0 (completely different estimated topic proportions) and 1 (exactly the same topic proportions),</w:t>
      </w:r>
      <w:r>
        <w:t xml:space="preserve"> </w:t>
      </w:r>
      <m:oMath>
        <m:sSub>
          <m:e>
            <m:r>
              <m:t>y</m:t>
            </m:r>
          </m:e>
          <m:sub>
            <m:r>
              <m:t>i</m:t>
            </m:r>
          </m:sub>
        </m:sSub>
        <m:r>
          <m:t>=</m:t>
        </m:r>
        <m:nary>
          <m:naryPr>
            <m:chr m:val="∑"/>
            <m:limLoc m:val="undOvr"/>
            <m:subHide m:val="0"/>
            <m:supHide m:val="0"/>
          </m:naryPr>
          <m:sub>
            <m:r>
              <m:t>5</m:t>
            </m:r>
          </m:sub>
          <m:sup>
            <m:r>
              <m:t>n</m:t>
            </m:r>
            <m:r>
              <m:t>=</m:t>
            </m:r>
            <m:r>
              <m:t>50</m:t>
            </m:r>
          </m:sup>
          <m:e>
            <m:r>
              <m:t>(</m:t>
            </m:r>
          </m:e>
        </m:nary>
        <m:f>
          <m:fPr>
            <m:type m:val="bar"/>
          </m:fPr>
          <m:num>
            <m:r>
              <m:t>∑</m:t>
            </m:r>
            <m:r>
              <m:t>|</m:t>
            </m:r>
            <m:sSub>
              <m:e>
                <m:r>
                  <m:t>θ</m:t>
                </m:r>
              </m:e>
              <m:sub>
                <m:r>
                  <m:t>r</m:t>
                </m:r>
                <m:r>
                  <m:t>u</m:t>
                </m:r>
                <m:r>
                  <m:t>l</m:t>
                </m:r>
                <m:r>
                  <m:t>e</m:t>
                </m:r>
                <m:r>
                  <m:t> </m:t>
                </m:r>
                <m:r>
                  <m:t>c</m:t>
                </m:r>
                <m:r>
                  <m:t>h</m:t>
                </m:r>
                <m:r>
                  <m:t>a</m:t>
                </m:r>
                <m:r>
                  <m:t>n</m:t>
                </m:r>
                <m:r>
                  <m:t>g</m:t>
                </m:r>
                <m:sSub>
                  <m:e>
                    <m:r>
                      <m:t>e</m:t>
                    </m:r>
                  </m:e>
                  <m:sub>
                    <m:r>
                      <m:t>i</m:t>
                    </m:r>
                  </m:sub>
                </m:sSub>
                <m:r>
                  <m:t>|</m:t>
                </m:r>
                <m:r>
                  <m:t>k</m:t>
                </m:r>
                <m:r>
                  <m:t>=</m:t>
                </m:r>
                <m:r>
                  <m:t>n</m:t>
                </m:r>
              </m:sub>
            </m:sSub>
            <m:r>
              <m:t>−</m:t>
            </m:r>
            <m:sSub>
              <m:e>
                <m:r>
                  <m:t>θ</m:t>
                </m:r>
              </m:e>
              <m:sub>
                <m:r>
                  <m:t>c</m:t>
                </m:r>
                <m:r>
                  <m:t>o</m:t>
                </m:r>
                <m:r>
                  <m:t>m</m:t>
                </m:r>
                <m:r>
                  <m:t>m</m:t>
                </m:r>
                <m:r>
                  <m:t>e</m:t>
                </m:r>
                <m:r>
                  <m:t>n</m:t>
                </m:r>
                <m:sSub>
                  <m:e>
                    <m:r>
                      <m:t>t</m:t>
                    </m:r>
                  </m:e>
                  <m:sub>
                    <m:r>
                      <m:t>i</m:t>
                    </m:r>
                  </m:sub>
                </m:sSub>
                <m:r>
                  <m:t>|</m:t>
                </m:r>
                <m:r>
                  <m:t>k</m:t>
                </m:r>
                <m:r>
                  <m:t>=</m:t>
                </m:r>
                <m:r>
                  <m:t>n</m:t>
                </m:r>
              </m:sub>
            </m:sSub>
            <m:r>
              <m:t>|</m:t>
            </m:r>
          </m:num>
          <m:den>
            <m:r>
              <m:t>n</m:t>
            </m:r>
          </m:den>
        </m:f>
        <m:r>
          <m:t>)</m:t>
        </m:r>
        <m:r>
          <m:t>*</m:t>
        </m:r>
        <m:f>
          <m:fPr>
            <m:type m:val="bar"/>
          </m:fPr>
          <m:num>
            <m:r>
              <m:t>1</m:t>
            </m:r>
          </m:num>
          <m:den>
            <m:r>
              <m:t>45</m:t>
            </m:r>
          </m:den>
        </m:f>
      </m:oMath>
      <w:r>
        <w:t xml:space="preserve">. For more on these methods of measuring textual similarity, see</w:t>
      </w:r>
      <w:r>
        <w:t xml:space="preserve"> </w:t>
      </w:r>
      <w:hyperlink r:id="rId123">
        <w:r>
          <w:rPr>
            <w:rStyle w:val="Hyperlink"/>
          </w:rPr>
          <w:t xml:space="preserve">“</w:t>
        </w:r>
        <w:r>
          <w:rPr>
            <w:rStyle w:val="Hyperlink"/>
          </w:rPr>
          <w:t xml:space="preserve">Measuring Change and Influence in Budget Texts</w:t>
        </w:r>
        <w:r>
          <w:rPr>
            <w:rStyle w:val="Hyperlink"/>
          </w:rPr>
          <w:t xml:space="preserve">”</w:t>
        </w:r>
      </w:hyperlink>
      <w:r>
        <w:t xml:space="preserve">.</w:t>
      </w:r>
    </w:p>
  </w:footnote>
  <w:footnote w:id="126">
    <w:p>
      <w:pPr>
        <w:pStyle w:val="FootnoteText"/>
      </w:pPr>
      <w:r>
        <w:rPr>
          <w:rStyle w:val="FootnoteReference"/>
        </w:rPr>
        <w:footnoteRef/>
      </w:r>
      <w:r>
        <w:t xml:space="preserve"> </w:t>
      </w:r>
      <w:r>
        <w:t xml:space="preserve">For more on how I identify types of organizations and coalitions, see</w:t>
      </w:r>
      <w:r>
        <w:t xml:space="preserve"> </w:t>
      </w:r>
      <w:hyperlink r:id="rId48">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28">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30">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32">
    <w:p>
      <w:pPr>
        <w:pStyle w:val="FootnoteText"/>
      </w:pPr>
      <w:r>
        <w:rPr>
          <w:rStyle w:val="FootnoteReference"/>
        </w:rPr>
        <w:footnoteRef/>
      </w:r>
      <w:r>
        <w:t xml:space="preserve"> </w:t>
      </w:r>
      <w:r>
        <w:t xml:space="preserve">See</w:t>
      </w:r>
      <w:r>
        <w:t xml:space="preserve"> </w:t>
      </w:r>
      <w:hyperlink r:id="rId133">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163">
    <w:p>
      <w:pPr>
        <w:pStyle w:val="FootnoteText"/>
      </w:pPr>
      <w:r>
        <w:rPr>
          <w:rStyle w:val="FootnoteReference"/>
        </w:rPr>
        <w:footnoteRef/>
      </w:r>
      <w:r>
        <w:t xml:space="preserve"> </w:t>
      </w:r>
      <w:r>
        <w:t xml:space="preserve"> </w:t>
      </w:r>
      <w:r>
        <w:t xml:space="preserve">As shown in</w:t>
      </w:r>
      <w:r>
        <w:t xml:space="preserve"> </w:t>
      </w:r>
      <w:r>
        <w:t xml:space="preserve">Judge-Lord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171">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176">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185">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192">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
        </w:rPr>
        <w:t xml:space="preserve">any</w:t>
      </w:r>
      <w:r>
        <w:t xml:space="preserve"> </w:t>
      </w:r>
      <w:r>
        <w:t xml:space="preserve">proposed to</w:t>
      </w:r>
      <w:r>
        <w:t xml:space="preserve"> </w:t>
      </w:r>
      <w:r>
        <w:rPr>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
        </w:rPr>
        <w:t xml:space="preserve">every</w:t>
      </w:r>
      <w:r>
        <w:t xml:space="preserve"> </w:t>
      </w:r>
      <w:r>
        <w:t xml:space="preserve">version of the rule.</w:t>
      </w:r>
    </w:p>
  </w:footnote>
  <w:footnote w:id="193">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(Judge-Lord</w:t>
      </w:r>
      <w:r>
        <w:t xml:space="preserve"> </w:t>
      </w:r>
      <w:hyperlink w:anchor="ref-Judge-Lord2017">
        <w:r>
          <w:rPr>
            <w:rStyle w:val="Hyperlink"/>
          </w:rPr>
          <w:t xml:space="preserve">2017</w:t>
        </w:r>
      </w:hyperlink>
      <w:r>
        <w:t xml:space="preserve">)</w:t>
      </w:r>
      <w:r>
        <w:t xml:space="preserve">, could be useful in future work.</w:t>
      </w:r>
    </w:p>
  </w:footnote>
  <w:footnote w:id="197">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57" Target="media/rId57.pdf" /><Relationship Type="http://schemas.openxmlformats.org/officeDocument/2006/relationships/image" Id="rId181" Target="media/rId181.png" /><Relationship Type="http://schemas.openxmlformats.org/officeDocument/2006/relationships/image" Id="rId179" Target="media/rId179.png" /><Relationship Type="http://schemas.openxmlformats.org/officeDocument/2006/relationships/image" Id="rId178" Target="media/rId178.png" /><Relationship Type="http://schemas.openxmlformats.org/officeDocument/2006/relationships/image" Id="rId177" Target="media/rId177.png" /><Relationship Type="http://schemas.openxmlformats.org/officeDocument/2006/relationships/image" Id="rId200" Target="media/rId200.png" /><Relationship Type="http://schemas.openxmlformats.org/officeDocument/2006/relationships/image" Id="rId199" Target="media/rId199.png" /><Relationship Type="http://schemas.openxmlformats.org/officeDocument/2006/relationships/image" Id="rId198" Target="media/rId198.png" /><Relationship Type="http://schemas.openxmlformats.org/officeDocument/2006/relationships/image" Id="rId204" Target="media/rId204.png" /><Relationship Type="http://schemas.openxmlformats.org/officeDocument/2006/relationships/image" Id="rId203" Target="media/rId203.png" /><Relationship Type="http://schemas.openxmlformats.org/officeDocument/2006/relationships/image" Id="rId88" Target="media/rId88.png" /><Relationship Type="http://schemas.openxmlformats.org/officeDocument/2006/relationships/image" Id="rId186" Target="media/rId186.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75" Target="media/rId75.jpg" /><Relationship Type="http://schemas.openxmlformats.org/officeDocument/2006/relationships/image" Id="rId37" Target="media/rId37.png" /><Relationship Type="http://schemas.openxmlformats.org/officeDocument/2006/relationships/image" Id="rId95" Target="media/rId95.png" /><Relationship Type="http://schemas.openxmlformats.org/officeDocument/2006/relationships/image" Id="rId84" Target="media/rId84.png" /><Relationship Type="http://schemas.openxmlformats.org/officeDocument/2006/relationships/image" Id="rId137" Target="media/rId137.png" /><Relationship Type="http://schemas.openxmlformats.org/officeDocument/2006/relationships/image" Id="rId106" Target="media/rId106.png" /><Relationship Type="http://schemas.openxmlformats.org/officeDocument/2006/relationships/image" Id="rId136" Target="media/rId136.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52" Target="media/rId152.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53" Target="media/rId153.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55" Target="media/rId155.png" /><Relationship Type="http://schemas.openxmlformats.org/officeDocument/2006/relationships/image" Id="rId147" Target="media/rId147.png" /><Relationship Type="http://schemas.openxmlformats.org/officeDocument/2006/relationships/hyperlink" Id="rId380" Target="%7Bhttps://graduate.artsci.wustl.edu/emilymoore/%7D" TargetMode="External" /><Relationship Type="http://schemas.openxmlformats.org/officeDocument/2006/relationships/hyperlink" Id="rId266" Target="http://chicagounbound.uchicago.edu/cgi/viewcontent.cgi?article=5219%7B\&amp;%7Dcontext=uclrev" TargetMode="External" /><Relationship Type="http://schemas.openxmlformats.org/officeDocument/2006/relationships/hyperlink" Id="rId403" Target="http://digitalcommons.law.yale.edu/fss%7B\_%7Dpapers" TargetMode="External" /><Relationship Type="http://schemas.openxmlformats.org/officeDocument/2006/relationships/hyperlink" Id="rId401" Target="http://digitalcommons.law.yale.edu/yjreg" TargetMode="External" /><Relationship Type="http://schemas.openxmlformats.org/officeDocument/2006/relationships/hyperlink" Id="rId351" Target="http://equitablegrowth.org/working" TargetMode="External" /><Relationship Type="http://schemas.openxmlformats.org/officeDocument/2006/relationships/hyperlink" Id="rId360" Target="http://eurogender.eige.europa.eu/sites/default/files/3593021.pdf" TargetMode="External" /><Relationship Type="http://schemas.openxmlformats.org/officeDocument/2006/relationships/hyperlink" Id="rId272" Target="http://law.wisc.edu/ils/2017speakerfiles/supplemental%7B\_%7Dreading--administrative%7B\_%7Dwar.pdf" TargetMode="External" /><Relationship Type="http://schemas.openxmlformats.org/officeDocument/2006/relationships/hyperlink" Id="rId322" Target="http://ojs.imodev.org/index.php/RIGO/article/view/62/154%7B\#%7D%7B\_%7Dftn6" TargetMode="External" /><Relationship Type="http://schemas.openxmlformats.org/officeDocument/2006/relationships/hyperlink" Id="rId244" Target="http://press.princeton.edu/titles/4385.html%20http://web.stanford.edu/class/polisci177a/Notes.Week2.pdf" TargetMode="External" /><Relationship Type="http://schemas.openxmlformats.org/officeDocument/2006/relationships/hyperlink" Id="rId292" Target="http://scholarship.law.cornell.edu/cerihttp://scholarship.law.cornell.edu/ceri/1" TargetMode="External" /><Relationship Type="http://schemas.openxmlformats.org/officeDocument/2006/relationships/hyperlink" Id="rId296" Target="http://scholarship.law.cornell.edu/cerihttp://scholarship.law.cornell.edu/ceri/17" TargetMode="External" /><Relationship Type="http://schemas.openxmlformats.org/officeDocument/2006/relationships/hyperlink" Id="rId386" Target="http://scholarship.law.cornell.edu/facpub" TargetMode="External" /><Relationship Type="http://schemas.openxmlformats.org/officeDocument/2006/relationships/hyperlink" Id="rId256" Target="http://scholarship.law.upenn.edu/faculty%7B\_%7Dscholarship" TargetMode="External" /><Relationship Type="http://schemas.openxmlformats.org/officeDocument/2006/relationships/hyperlink" Id="rId439" Target="http://scholarship.law.upenn.edu/faculty%7B\_%7Dscholarshiphttp://scholarship.law.upenn.edu/faculty%7B\_%7Dscholarship/1969" TargetMode="External" /><Relationship Type="http://schemas.openxmlformats.org/officeDocument/2006/relationships/hyperlink" Id="rId413" Target="http://wikisum.com/w/Schattschneider:%7B\_%7DThe%7B\_%7Dsemisovereign%7B\_%7Dpeople%20https://books.google.com/books/about/The%7B\_%7Dsemisovereign%7B\_%7Dpeople.html?id=GXdHAAAAMAAJ" TargetMode="External" /><Relationship Type="http://schemas.openxmlformats.org/officeDocument/2006/relationships/hyperlink" Id="rId334" Target="http://www.administrativelawreview.org/wp-content/uploads/2014/04/Beyond-the-Usual-Suspects-ACUS-Rulemaking-2-and-a-Vision-for-Broader-More-Informed-and-More-Transparent-Rulemaking.pdf" TargetMode="External" /><Relationship Type="http://schemas.openxmlformats.org/officeDocument/2006/relationships/hyperlink" Id="rId309"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254" Target="http://www.cbecal.org/" TargetMode="External" /><Relationship Type="http://schemas.openxmlformats.org/officeDocument/2006/relationships/hyperlink" Id="rId389" Target="http://www.cei.org" TargetMode="External" /><Relationship Type="http://schemas.openxmlformats.org/officeDocument/2006/relationships/hyperlink" Id="rId426" Target="http://www.loc.gov/catdir/toc/ecip0716/2007015183.html" TargetMode="External" /><Relationship Type="http://schemas.openxmlformats.org/officeDocument/2006/relationships/hyperlink" Id="rId240" Target="http://www.worldcat.org/title/confronting-environmental-racism-voices-from-the-grassroots/oclc/26351432" TargetMode="External" /><Relationship Type="http://schemas.openxmlformats.org/officeDocument/2006/relationships/hyperlink" Id="rId340" Target="http://www.worldcat.org/title/going-public-new-strategies-of-presidential-leadership/oclc/1035368647" TargetMode="External" /><Relationship Type="http://schemas.openxmlformats.org/officeDocument/2006/relationships/hyperlink" Id="rId344" Target="http://www.worldcat.org/title/public-opinion-and-american-democracy/oclc/480228689?referer=di%7B\&amp;%7Dht=edition" TargetMode="External" /><Relationship Type="http://schemas.openxmlformats.org/officeDocument/2006/relationships/hyperlink" Id="rId332" Target="https://about.jstor.org/terms" TargetMode="External" /><Relationship Type="http://schemas.openxmlformats.org/officeDocument/2006/relationships/hyperlink" Id="rId270" Target="https://about.jstor.org/terms%20https://papers.ssrn.com/sol3/papers.cfm?abstract%7B\_%7Did=595181%7B\&amp;%7Ddownload=yes" TargetMode="External" /><Relationship Type="http://schemas.openxmlformats.org/officeDocument/2006/relationships/hyperlink" Id="rId278" Target="https://books.google.com/books/about/Democracy%7B\_%7DBureaucracy%7B\_%7Dand%7B\_%7DPublic%7B\_%7DChoice.html?id=dGu4AwAAQBAJ" TargetMode="External" /><Relationship Type="http://schemas.openxmlformats.org/officeDocument/2006/relationships/hyperlink" Id="rId274" Target="https://books.google.com/books/about/Democracy%7B\_%7Dand%7B\_%7DIts%7B\_%7DCritics.html?id=l1RQngEACAAJ" TargetMode="External" /><Relationship Type="http://schemas.openxmlformats.org/officeDocument/2006/relationships/hyperlink" Id="rId428" Target="https://books.google.com/books/about/Republic%7B\_%7Dcom.html?id=O7AG9TxDJdgC" TargetMode="External" /><Relationship Type="http://schemas.openxmlformats.org/officeDocument/2006/relationships/hyperlink" Id="rId362" Target="https://books.google.com/books/about/The%7B\_%7DPolitics%7B\_%7DOf%7B\_%7DInterests.html?id=BtJMDwAAQBAJ" TargetMode="External" /><Relationship Type="http://schemas.openxmlformats.org/officeDocument/2006/relationships/hyperlink" Id="rId358" Target="https://books.google.com/books/about/The%7B\_%7DPublic%7B\_%7DCongress.html?id=yD9OYgEACAAJ" TargetMode="External" /><Relationship Type="http://schemas.openxmlformats.org/officeDocument/2006/relationships/hyperlink" Id="rId313"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342"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437" Target="https://books.google.com/books?id=36bgO4FaOEoC%7B\&amp;%7Dlr=%7B\&amp;%7Dsource=gbs%7B\_%7Dnavlinks%7B\_%7Ds" TargetMode="External" /><Relationship Type="http://schemas.openxmlformats.org/officeDocument/2006/relationships/hyperlink" Id="rId330" Target="https://books.google.com/books?id=8PIWAwAAQBAJ" TargetMode="External" /><Relationship Type="http://schemas.openxmlformats.org/officeDocument/2006/relationships/hyperlink" Id="rId430" Target="https://books.google.com/books?id=9K5fdvfmGREC%7B\&amp;%7Ddq=verba+and+nie+participation+in+america%7B\&amp;%7Dlr=%7B\&amp;%7Dsource=gbs%7B\_%7Dnavlinks%7B\_%7Ds" TargetMode="External" /><Relationship Type="http://schemas.openxmlformats.org/officeDocument/2006/relationships/hyperlink" Id="rId391" Target="https://books.google.com/books?id=bmSmcDo3kPoC%7B\&amp;%7Ddq=info:3Iw8O7WHdEEJ:scholar.google.com%7B\&amp;%7Dlr=%7B\&amp;%7Dsource=gbs%7B\_%7Dnavlinks%7B\_%7Ds" TargetMode="External" /><Relationship Type="http://schemas.openxmlformats.org/officeDocument/2006/relationships/hyperlink" Id="rId393" Target="https://core.ac.uk/download/pdf/73940560.pdf" TargetMode="External" /><Relationship Type="http://schemas.openxmlformats.org/officeDocument/2006/relationships/hyperlink" Id="rId120" Target="https://docs.google.com/document/d/1o1hi0z9O-G9xsgkspOFG2VWzh0wQKjiezzoVpItaCxU/edit?usp=sharing" TargetMode="External" /><Relationship Type="http://schemas.openxmlformats.org/officeDocument/2006/relationships/hyperlink" Id="rId421" Target="https://doi.org/10.1007/s11077-007-9051-x" TargetMode="External" /><Relationship Type="http://schemas.openxmlformats.org/officeDocument/2006/relationships/hyperlink" Id="rId250" Target="https://doi.org/10.1017/S000305541400029X" TargetMode="External" /><Relationship Type="http://schemas.openxmlformats.org/officeDocument/2006/relationships/hyperlink" Id="rId319" Target="https://doi.org/10.1017/S0003055415000246" TargetMode="External" /><Relationship Type="http://schemas.openxmlformats.org/officeDocument/2006/relationships/hyperlink" Id="rId306" Target="https://doi.org/10.1017/S0143814X16000106" TargetMode="External" /><Relationship Type="http://schemas.openxmlformats.org/officeDocument/2006/relationships/hyperlink" Id="rId399" Target="https://doi.org/10.1017/S1049096519000520" TargetMode="External" /><Relationship Type="http://schemas.openxmlformats.org/officeDocument/2006/relationships/hyperlink" Id="rId311" Target="https://doi.org/10.1017/S1537592714001595" TargetMode="External" /><Relationship Type="http://schemas.openxmlformats.org/officeDocument/2006/relationships/hyperlink" Id="rId384" Target="https://doi.org/10.1017/s0022381611001599" TargetMode="External" /><Relationship Type="http://schemas.openxmlformats.org/officeDocument/2006/relationships/hyperlink" Id="rId248" Target="https://doi.org/10.1057/s41309-020-00094-w" TargetMode="External" /><Relationship Type="http://schemas.openxmlformats.org/officeDocument/2006/relationships/hyperlink" Id="rId261" Target="https://doi.org/10.1080/08913810608443650" TargetMode="External" /><Relationship Type="http://schemas.openxmlformats.org/officeDocument/2006/relationships/hyperlink" Id="rId368" Target="https://doi.org/10.1093" TargetMode="External" /><Relationship Type="http://schemas.openxmlformats.org/officeDocument/2006/relationships/hyperlink" Id="rId276" Target="https://doi.org/10.1093/acprof:oso/9780199891702.001.0001" TargetMode="External" /><Relationship Type="http://schemas.openxmlformats.org/officeDocument/2006/relationships/hyperlink" Id="rId304" Target="https://doi.org/10.1093/jopart/mui022" TargetMode="External" /><Relationship Type="http://schemas.openxmlformats.org/officeDocument/2006/relationships/hyperlink" Id="rId456" Target="https://doi.org/10.1093/jopart/mui042" TargetMode="External" /><Relationship Type="http://schemas.openxmlformats.org/officeDocument/2006/relationships/hyperlink" Id="rId458" Target="https://doi.org/10.1093/jopart/mur061" TargetMode="External" /><Relationship Type="http://schemas.openxmlformats.org/officeDocument/2006/relationships/hyperlink" Id="rId445" Target="https://doi.org/10.1093/jopart/mus028" TargetMode="External" /><Relationship Type="http://schemas.openxmlformats.org/officeDocument/2006/relationships/hyperlink" Id="rId460" Target="https://doi.org/10.1093/jopart/muu007" TargetMode="External" /><Relationship Type="http://schemas.openxmlformats.org/officeDocument/2006/relationships/hyperlink" Id="rId302" Target="https://doi.org/10.1093/oxfordjournals.jpart.a024373" TargetMode="External" /><Relationship Type="http://schemas.openxmlformats.org/officeDocument/2006/relationships/hyperlink" Id="rId280" Target="https://doi.org/10.1111/1475-6765.12012" TargetMode="External" /><Relationship Type="http://schemas.openxmlformats.org/officeDocument/2006/relationships/hyperlink" Id="rId419" Target="https://doi.org/10.1111/ajps.12161" TargetMode="External" /><Relationship Type="http://schemas.openxmlformats.org/officeDocument/2006/relationships/hyperlink" Id="rId288" Target="https://doi.org/10.1111/ajps.12188" TargetMode="External" /><Relationship Type="http://schemas.openxmlformats.org/officeDocument/2006/relationships/hyperlink" Id="rId451" Target="https://doi.org/10.1111/j.1468-2508.2006.00375.x" TargetMode="External" /><Relationship Type="http://schemas.openxmlformats.org/officeDocument/2006/relationships/hyperlink" Id="rId453" Target="https://doi.org/10.1111/j.1748-5991.2009.01051.x" TargetMode="External" /><Relationship Type="http://schemas.openxmlformats.org/officeDocument/2006/relationships/hyperlink" Id="rId382" Target="https://doi.org/10.1111/psq.12417" TargetMode="External" /><Relationship Type="http://schemas.openxmlformats.org/officeDocument/2006/relationships/hyperlink" Id="rId449" Target="https://doi.org/10.1111/rego.12139" TargetMode="External" /><Relationship Type="http://schemas.openxmlformats.org/officeDocument/2006/relationships/hyperlink" Id="rId462" Target="https://doi.org/10.1146/annurev-polisci-050817-092302" TargetMode="External" /><Relationship Type="http://schemas.openxmlformats.org/officeDocument/2006/relationships/hyperlink" Id="rId366" Target="https://doi.org/10.1146/annurev-polisci-052615" TargetMode="External" /><Relationship Type="http://schemas.openxmlformats.org/officeDocument/2006/relationships/hyperlink" Id="rId326" Target="https://doi.org/10.1146/annurev-polisci-070910-104051" TargetMode="External" /><Relationship Type="http://schemas.openxmlformats.org/officeDocument/2006/relationships/hyperlink" Id="rId364" Target="https://doi.org/10.1146/annurev.polisci.3.1.449" TargetMode="External" /><Relationship Type="http://schemas.openxmlformats.org/officeDocument/2006/relationships/hyperlink" Id="rId226" Target="https://doi.org/10.1146/annurev.soc.30.012703.110542" TargetMode="External" /><Relationship Type="http://schemas.openxmlformats.org/officeDocument/2006/relationships/hyperlink" Id="rId375" Target="https://doi.org/10.1146/annurev.soc.30.012703.110545" TargetMode="External" /><Relationship Type="http://schemas.openxmlformats.org/officeDocument/2006/relationships/hyperlink" Id="rId238" Target="https://doi.org/10.1177/0093650218808186" TargetMode="External" /><Relationship Type="http://schemas.openxmlformats.org/officeDocument/2006/relationships/hyperlink" Id="rId443" Target="https://doi.org/10.1177/0095399709339013" TargetMode="External" /><Relationship Type="http://schemas.openxmlformats.org/officeDocument/2006/relationships/hyperlink" Id="rId268" Target="https://doi.org/10.1177/0095399715581040" TargetMode="External" /><Relationship Type="http://schemas.openxmlformats.org/officeDocument/2006/relationships/hyperlink" Id="rId300" Target="https://doi.org/10.1177/009539979702900304" TargetMode="External" /><Relationship Type="http://schemas.openxmlformats.org/officeDocument/2006/relationships/hyperlink" Id="rId286" Target="https://doi.org/10.1332/174426514X13990325021128" TargetMode="External" /><Relationship Type="http://schemas.openxmlformats.org/officeDocument/2006/relationships/hyperlink" Id="rId233" Target="https://doi.org/10.1515/9781400822485" TargetMode="External" /><Relationship Type="http://schemas.openxmlformats.org/officeDocument/2006/relationships/hyperlink" Id="rId373" Target="https://doi.org/10.2139/ssrn.1486272" TargetMode="External" /><Relationship Type="http://schemas.openxmlformats.org/officeDocument/2006/relationships/hyperlink" Id="rId397" Target="https://doi.org/10.2139/ssrn.2759117" TargetMode="External" /><Relationship Type="http://schemas.openxmlformats.org/officeDocument/2006/relationships/hyperlink" Id="rId411" Target="https://doi.org/10.2307/1949637" TargetMode="External" /><Relationship Type="http://schemas.openxmlformats.org/officeDocument/2006/relationships/hyperlink" Id="rId354" Target="https://doi.org/10.2307/2009452" TargetMode="External" /><Relationship Type="http://schemas.openxmlformats.org/officeDocument/2006/relationships/hyperlink" Id="rId284" Target="https://doi.org/10.2307/2111603" TargetMode="External" /><Relationship Type="http://schemas.openxmlformats.org/officeDocument/2006/relationships/hyperlink" Id="rId230" Target="https://doi.org/10.2307/2585488" TargetMode="External" /><Relationship Type="http://schemas.openxmlformats.org/officeDocument/2006/relationships/hyperlink" Id="rId242" Target="https://doi.org/10.33774/apsa-2020-k78wc" TargetMode="External" /><Relationship Type="http://schemas.openxmlformats.org/officeDocument/2006/relationships/hyperlink" Id="rId282" Target="https://earthjustice.org/our%7B\_%7Dwork" TargetMode="External" /><Relationship Type="http://schemas.openxmlformats.org/officeDocument/2006/relationships/hyperlink" Id="rId99" Target="https://github.com/judgelord/dissertation/blob/master/04-influence/preanalysis.pdf" TargetMode="External" /><Relationship Type="http://schemas.openxmlformats.org/officeDocument/2006/relationships/hyperlink" Id="rId123" Target="https://judgelord.github.io/budgets/JudgeLordAPSA2017.pdf" TargetMode="External" /><Relationship Type="http://schemas.openxmlformats.org/officeDocument/2006/relationships/hyperlink" Id="rId116" Target="https://judgelord.github.io/dissertation/MacroRulemaking.pdf" TargetMode="External" /><Relationship Type="http://schemas.openxmlformats.org/officeDocument/2006/relationships/hyperlink" Id="rId20" Target="https://judgelord.github.io/dissertation/ej-appendix#TODO" TargetMode="External" /><Relationship Type="http://schemas.openxmlformats.org/officeDocument/2006/relationships/hyperlink" Id="rId121" Target="https://judgelord.github.io/dissertation/influence_coding_examples.pdf" TargetMode="External" /><Relationship Type="http://schemas.openxmlformats.org/officeDocument/2006/relationships/hyperlink" Id="rId133" Target="https://judgelord.github.io/dissertation/preanalysis.pdf" TargetMode="External" /><Relationship Type="http://schemas.openxmlformats.org/officeDocument/2006/relationships/hyperlink" Id="rId114" Target="https://judgelord.github.io/dissertation/whyMail.pdf" TargetMode="External" /><Relationship Type="http://schemas.openxmlformats.org/officeDocument/2006/relationships/hyperlink" Id="rId159" Target="https://judgelord.github.io/research/ej/" TargetMode="External" /><Relationship Type="http://schemas.openxmlformats.org/officeDocument/2006/relationships/hyperlink" Id="rId48" Target="https://judgelord.github.io/research/whymail/" TargetMode="External" /><Relationship Type="http://schemas.openxmlformats.org/officeDocument/2006/relationships/hyperlink" Id="rId349" Target="https://libgober.files.wordpress.com/2018/09/what-biased-rulemaking-looks-like.pdf" TargetMode="External" /><Relationship Type="http://schemas.openxmlformats.org/officeDocument/2006/relationships/hyperlink" Id="rId263" Target="https://mountainscholar.org/bitstream/handle/10217/181399/Cook%7B\_%7Dcolostate%7B\_%7D0053A14127.pdf?sequence=1" TargetMode="External" /><Relationship Type="http://schemas.openxmlformats.org/officeDocument/2006/relationships/hyperlink" Id="rId434" Target="https://papers.ssrn.com/sol3/papers.cfm?abstract%7B\_%7Did=1531243" TargetMode="External" /><Relationship Type="http://schemas.openxmlformats.org/officeDocument/2006/relationships/hyperlink" Id="rId294" Target="https://papers.ssrn.com/sol3/papers.cfm?abstract%7B\_%7Did=1702491" TargetMode="External" /><Relationship Type="http://schemas.openxmlformats.org/officeDocument/2006/relationships/hyperlink" Id="rId371" Target="https://papers.ssrn.com/sol3/papers.cfm?abstract%7B\_%7Did=1860193" TargetMode="External" /><Relationship Type="http://schemas.openxmlformats.org/officeDocument/2006/relationships/hyperlink" Id="rId377" Target="https://papers.ssrn.com/sol3/papers.cfm?abstract%7B\_%7Did=2444396" TargetMode="External" /><Relationship Type="http://schemas.openxmlformats.org/officeDocument/2006/relationships/hyperlink" Id="rId417" Target="https://papers.ssrn.com/sol3/papers.cfm?abstract%7B\_%7Did=2662504" TargetMode="External" /><Relationship Type="http://schemas.openxmlformats.org/officeDocument/2006/relationships/hyperlink" Id="rId407" Target="https://papers.ssrn.com/sol3/papers.cfm?abstract%7B\_%7Did=571127" TargetMode="External" /><Relationship Type="http://schemas.openxmlformats.org/officeDocument/2006/relationships/hyperlink" Id="rId246" Target="https://petitions.radcliffe.harvard.edu/files/petitions/files/petition-recruit-20040112.pdf" TargetMode="External" /><Relationship Type="http://schemas.openxmlformats.org/officeDocument/2006/relationships/hyperlink" Id="rId346" Target="https://press.princeton.edu/titles/6254.html" TargetMode="External" /><Relationship Type="http://schemas.openxmlformats.org/officeDocument/2006/relationships/hyperlink" Id="rId328" Target="https://press.princeton.edu/titles/7656.html" TargetMode="External" /><Relationship Type="http://schemas.openxmlformats.org/officeDocument/2006/relationships/hyperlink" Id="rId432" Target="https://scholarship.law.duke.edu/cgi/viewcontent.cgi?referer=https://www.google.com/%7B\&amp;%7Dhttpsredir=1%7B\&amp;%7Darticle=1463%7B\&amp;%7Dcontext=dlj" TargetMode="External" /><Relationship Type="http://schemas.openxmlformats.org/officeDocument/2006/relationships/hyperlink" Id="rId298" Target="https://ssrn.com/abstract=3787704" TargetMode="External" /><Relationship Type="http://schemas.openxmlformats.org/officeDocument/2006/relationships/hyperlink" Id="rId409" Target="https://www.acus.gov/report/public-engagement-rulemaking-draft-report" TargetMode="External" /><Relationship Type="http://schemas.openxmlformats.org/officeDocument/2006/relationships/hyperlink" Id="rId224" Target="https://www.acus.gov/sites/default/files/documents/ACUS%20Recommendations%20Packet.pdf" TargetMode="External" /><Relationship Type="http://schemas.openxmlformats.org/officeDocument/2006/relationships/hyperlink" Id="rId447" Target="https://www.acus.gov/sites/default/files/documents/Public%20Engagement%20Draft%20Recommendation%209-10-18%20Adam%20White%20Comments.pdf" TargetMode="External" /><Relationship Type="http://schemas.openxmlformats.org/officeDocument/2006/relationships/hyperlink" Id="rId290" Target="https://www.acus.gov/sites/default/files/documents/Public%20Engagement%20Draft%20Recommendation%209-10-18%20Cynthia%20Farina%20Comments.pdf" TargetMode="External" /><Relationship Type="http://schemas.openxmlformats.org/officeDocument/2006/relationships/hyperlink" Id="rId235" Target="https://www.brookings.edu/book/the-new-liberalism/" TargetMode="External" /><Relationship Type="http://schemas.openxmlformats.org/officeDocument/2006/relationships/hyperlink" Id="rId395" Target="https://www.brookings.edu/research/more-than-spam-lobbying-the-epa-through-public-comment-campaigns/" TargetMode="External" /><Relationship Type="http://schemas.openxmlformats.org/officeDocument/2006/relationships/hyperlink" Id="rId316" Target="https://www.dropbox.com/s/6ydopca7mx8ugqt/Gordon-Rashin-Private-Influence-10-24.pdf?dl=0" TargetMode="External" /><Relationship Type="http://schemas.openxmlformats.org/officeDocument/2006/relationships/hyperlink" Id="rId258" Target="https://www.jstor.org/stable/pdf/40040532.pdf?refreqid=excelsior%3A3eeeeaa9f2da6db1832f107aa771d14f" TargetMode="External" /><Relationship Type="http://schemas.openxmlformats.org/officeDocument/2006/relationships/hyperlink" Id="rId324" Target="https://www.regulations.gov/document?D=EPA-HQ-OAR-2004-0018-0211" TargetMode="External" /><Relationship Type="http://schemas.openxmlformats.org/officeDocument/2006/relationships/hyperlink" Id="rId441" Target="https://www.weact.org/" TargetMode="External" /><Relationship Type="http://schemas.openxmlformats.org/officeDocument/2006/relationships/hyperlink" Id="rId215" Target="https://www.wsj.com/articles/many-comments-critical-of-fiduciary-rule-are-fake-1514370601" TargetMode="External" /><Relationship Type="http://schemas.openxmlformats.org/officeDocument/2006/relationships/hyperlink" Id="rId228" Target="https://yalebooks.yale.edu/book/9780300025927/congress-and-bureaucracy" TargetMode="External" /></Relationships>
</file>

<file path=word/_rels/footnotes.xml.rels><?xml version="1.0" encoding="UTF-8"?>
<Relationships xmlns="http://schemas.openxmlformats.org/package/2006/relationships"><Relationship Type="http://schemas.openxmlformats.org/officeDocument/2006/relationships/hyperlink" Id="rId380" Target="%7Bhttps://graduate.artsci.wustl.edu/emilymoore/%7D" TargetMode="External" /><Relationship Type="http://schemas.openxmlformats.org/officeDocument/2006/relationships/hyperlink" Id="rId266" Target="http://chicagounbound.uchicago.edu/cgi/viewcontent.cgi?article=5219%7B\&amp;%7Dcontext=uclrev" TargetMode="External" /><Relationship Type="http://schemas.openxmlformats.org/officeDocument/2006/relationships/hyperlink" Id="rId403" Target="http://digitalcommons.law.yale.edu/fss%7B\_%7Dpapers" TargetMode="External" /><Relationship Type="http://schemas.openxmlformats.org/officeDocument/2006/relationships/hyperlink" Id="rId401" Target="http://digitalcommons.law.yale.edu/yjreg" TargetMode="External" /><Relationship Type="http://schemas.openxmlformats.org/officeDocument/2006/relationships/hyperlink" Id="rId351" Target="http://equitablegrowth.org/working" TargetMode="External" /><Relationship Type="http://schemas.openxmlformats.org/officeDocument/2006/relationships/hyperlink" Id="rId360" Target="http://eurogender.eige.europa.eu/sites/default/files/3593021.pdf" TargetMode="External" /><Relationship Type="http://schemas.openxmlformats.org/officeDocument/2006/relationships/hyperlink" Id="rId272" Target="http://law.wisc.edu/ils/2017speakerfiles/supplemental%7B\_%7Dreading--administrative%7B\_%7Dwar.pdf" TargetMode="External" /><Relationship Type="http://schemas.openxmlformats.org/officeDocument/2006/relationships/hyperlink" Id="rId322" Target="http://ojs.imodev.org/index.php/RIGO/article/view/62/154%7B\#%7D%7B\_%7Dftn6" TargetMode="External" /><Relationship Type="http://schemas.openxmlformats.org/officeDocument/2006/relationships/hyperlink" Id="rId244" Target="http://press.princeton.edu/titles/4385.html%20http://web.stanford.edu/class/polisci177a/Notes.Week2.pdf" TargetMode="External" /><Relationship Type="http://schemas.openxmlformats.org/officeDocument/2006/relationships/hyperlink" Id="rId292" Target="http://scholarship.law.cornell.edu/cerihttp://scholarship.law.cornell.edu/ceri/1" TargetMode="External" /><Relationship Type="http://schemas.openxmlformats.org/officeDocument/2006/relationships/hyperlink" Id="rId296" Target="http://scholarship.law.cornell.edu/cerihttp://scholarship.law.cornell.edu/ceri/17" TargetMode="External" /><Relationship Type="http://schemas.openxmlformats.org/officeDocument/2006/relationships/hyperlink" Id="rId386" Target="http://scholarship.law.cornell.edu/facpub" TargetMode="External" /><Relationship Type="http://schemas.openxmlformats.org/officeDocument/2006/relationships/hyperlink" Id="rId256" Target="http://scholarship.law.upenn.edu/faculty%7B\_%7Dscholarship" TargetMode="External" /><Relationship Type="http://schemas.openxmlformats.org/officeDocument/2006/relationships/hyperlink" Id="rId439" Target="http://scholarship.law.upenn.edu/faculty%7B\_%7Dscholarshiphttp://scholarship.law.upenn.edu/faculty%7B\_%7Dscholarship/1969" TargetMode="External" /><Relationship Type="http://schemas.openxmlformats.org/officeDocument/2006/relationships/hyperlink" Id="rId413" Target="http://wikisum.com/w/Schattschneider:%7B\_%7DThe%7B\_%7Dsemisovereign%7B\_%7Dpeople%20https://books.google.com/books/about/The%7B\_%7Dsemisovereign%7B\_%7Dpeople.html?id=GXdHAAAAMAAJ" TargetMode="External" /><Relationship Type="http://schemas.openxmlformats.org/officeDocument/2006/relationships/hyperlink" Id="rId334" Target="http://www.administrativelawreview.org/wp-content/uploads/2014/04/Beyond-the-Usual-Suspects-ACUS-Rulemaking-2-and-a-Vision-for-Broader-More-Informed-and-More-Transparent-Rulemaking.pdf" TargetMode="External" /><Relationship Type="http://schemas.openxmlformats.org/officeDocument/2006/relationships/hyperlink" Id="rId309"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254" Target="http://www.cbecal.org/" TargetMode="External" /><Relationship Type="http://schemas.openxmlformats.org/officeDocument/2006/relationships/hyperlink" Id="rId389" Target="http://www.cei.org" TargetMode="External" /><Relationship Type="http://schemas.openxmlformats.org/officeDocument/2006/relationships/hyperlink" Id="rId426" Target="http://www.loc.gov/catdir/toc/ecip0716/2007015183.html" TargetMode="External" /><Relationship Type="http://schemas.openxmlformats.org/officeDocument/2006/relationships/hyperlink" Id="rId240" Target="http://www.worldcat.org/title/confronting-environmental-racism-voices-from-the-grassroots/oclc/26351432" TargetMode="External" /><Relationship Type="http://schemas.openxmlformats.org/officeDocument/2006/relationships/hyperlink" Id="rId340" Target="http://www.worldcat.org/title/going-public-new-strategies-of-presidential-leadership/oclc/1035368647" TargetMode="External" /><Relationship Type="http://schemas.openxmlformats.org/officeDocument/2006/relationships/hyperlink" Id="rId344" Target="http://www.worldcat.org/title/public-opinion-and-american-democracy/oclc/480228689?referer=di%7B\&amp;%7Dht=edition" TargetMode="External" /><Relationship Type="http://schemas.openxmlformats.org/officeDocument/2006/relationships/hyperlink" Id="rId332" Target="https://about.jstor.org/terms" TargetMode="External" /><Relationship Type="http://schemas.openxmlformats.org/officeDocument/2006/relationships/hyperlink" Id="rId270" Target="https://about.jstor.org/terms%20https://papers.ssrn.com/sol3/papers.cfm?abstract%7B\_%7Did=595181%7B\&amp;%7Ddownload=yes" TargetMode="External" /><Relationship Type="http://schemas.openxmlformats.org/officeDocument/2006/relationships/hyperlink" Id="rId278" Target="https://books.google.com/books/about/Democracy%7B\_%7DBureaucracy%7B\_%7Dand%7B\_%7DPublic%7B\_%7DChoice.html?id=dGu4AwAAQBAJ" TargetMode="External" /><Relationship Type="http://schemas.openxmlformats.org/officeDocument/2006/relationships/hyperlink" Id="rId274" Target="https://books.google.com/books/about/Democracy%7B\_%7Dand%7B\_%7DIts%7B\_%7DCritics.html?id=l1RQngEACAAJ" TargetMode="External" /><Relationship Type="http://schemas.openxmlformats.org/officeDocument/2006/relationships/hyperlink" Id="rId428" Target="https://books.google.com/books/about/Republic%7B\_%7Dcom.html?id=O7AG9TxDJdgC" TargetMode="External" /><Relationship Type="http://schemas.openxmlformats.org/officeDocument/2006/relationships/hyperlink" Id="rId362" Target="https://books.google.com/books/about/The%7B\_%7DPolitics%7B\_%7DOf%7B\_%7DInterests.html?id=BtJMDwAAQBAJ" TargetMode="External" /><Relationship Type="http://schemas.openxmlformats.org/officeDocument/2006/relationships/hyperlink" Id="rId358" Target="https://books.google.com/books/about/The%7B\_%7DPublic%7B\_%7DCongress.html?id=yD9OYgEACAAJ" TargetMode="External" /><Relationship Type="http://schemas.openxmlformats.org/officeDocument/2006/relationships/hyperlink" Id="rId313"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342"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437" Target="https://books.google.com/books?id=36bgO4FaOEoC%7B\&amp;%7Dlr=%7B\&amp;%7Dsource=gbs%7B\_%7Dnavlinks%7B\_%7Ds" TargetMode="External" /><Relationship Type="http://schemas.openxmlformats.org/officeDocument/2006/relationships/hyperlink" Id="rId330" Target="https://books.google.com/books?id=8PIWAwAAQBAJ" TargetMode="External" /><Relationship Type="http://schemas.openxmlformats.org/officeDocument/2006/relationships/hyperlink" Id="rId430" Target="https://books.google.com/books?id=9K5fdvfmGREC%7B\&amp;%7Ddq=verba+and+nie+participation+in+america%7B\&amp;%7Dlr=%7B\&amp;%7Dsource=gbs%7B\_%7Dnavlinks%7B\_%7Ds" TargetMode="External" /><Relationship Type="http://schemas.openxmlformats.org/officeDocument/2006/relationships/hyperlink" Id="rId391" Target="https://books.google.com/books?id=bmSmcDo3kPoC%7B\&amp;%7Ddq=info:3Iw8O7WHdEEJ:scholar.google.com%7B\&amp;%7Dlr=%7B\&amp;%7Dsource=gbs%7B\_%7Dnavlinks%7B\_%7Ds" TargetMode="External" /><Relationship Type="http://schemas.openxmlformats.org/officeDocument/2006/relationships/hyperlink" Id="rId393" Target="https://core.ac.uk/download/pdf/73940560.pdf" TargetMode="External" /><Relationship Type="http://schemas.openxmlformats.org/officeDocument/2006/relationships/hyperlink" Id="rId120" Target="https://docs.google.com/document/d/1o1hi0z9O-G9xsgkspOFG2VWzh0wQKjiezzoVpItaCxU/edit?usp=sharing" TargetMode="External" /><Relationship Type="http://schemas.openxmlformats.org/officeDocument/2006/relationships/hyperlink" Id="rId421" Target="https://doi.org/10.1007/s11077-007-9051-x" TargetMode="External" /><Relationship Type="http://schemas.openxmlformats.org/officeDocument/2006/relationships/hyperlink" Id="rId250" Target="https://doi.org/10.1017/S000305541400029X" TargetMode="External" /><Relationship Type="http://schemas.openxmlformats.org/officeDocument/2006/relationships/hyperlink" Id="rId319" Target="https://doi.org/10.1017/S0003055415000246" TargetMode="External" /><Relationship Type="http://schemas.openxmlformats.org/officeDocument/2006/relationships/hyperlink" Id="rId306" Target="https://doi.org/10.1017/S0143814X16000106" TargetMode="External" /><Relationship Type="http://schemas.openxmlformats.org/officeDocument/2006/relationships/hyperlink" Id="rId399" Target="https://doi.org/10.1017/S1049096519000520" TargetMode="External" /><Relationship Type="http://schemas.openxmlformats.org/officeDocument/2006/relationships/hyperlink" Id="rId311" Target="https://doi.org/10.1017/S1537592714001595" TargetMode="External" /><Relationship Type="http://schemas.openxmlformats.org/officeDocument/2006/relationships/hyperlink" Id="rId384" Target="https://doi.org/10.1017/s0022381611001599" TargetMode="External" /><Relationship Type="http://schemas.openxmlformats.org/officeDocument/2006/relationships/hyperlink" Id="rId248" Target="https://doi.org/10.1057/s41309-020-00094-w" TargetMode="External" /><Relationship Type="http://schemas.openxmlformats.org/officeDocument/2006/relationships/hyperlink" Id="rId261" Target="https://doi.org/10.1080/08913810608443650" TargetMode="External" /><Relationship Type="http://schemas.openxmlformats.org/officeDocument/2006/relationships/hyperlink" Id="rId368" Target="https://doi.org/10.1093" TargetMode="External" /><Relationship Type="http://schemas.openxmlformats.org/officeDocument/2006/relationships/hyperlink" Id="rId276" Target="https://doi.org/10.1093/acprof:oso/9780199891702.001.0001" TargetMode="External" /><Relationship Type="http://schemas.openxmlformats.org/officeDocument/2006/relationships/hyperlink" Id="rId304" Target="https://doi.org/10.1093/jopart/mui022" TargetMode="External" /><Relationship Type="http://schemas.openxmlformats.org/officeDocument/2006/relationships/hyperlink" Id="rId456" Target="https://doi.org/10.1093/jopart/mui042" TargetMode="External" /><Relationship Type="http://schemas.openxmlformats.org/officeDocument/2006/relationships/hyperlink" Id="rId458" Target="https://doi.org/10.1093/jopart/mur061" TargetMode="External" /><Relationship Type="http://schemas.openxmlformats.org/officeDocument/2006/relationships/hyperlink" Id="rId445" Target="https://doi.org/10.1093/jopart/mus028" TargetMode="External" /><Relationship Type="http://schemas.openxmlformats.org/officeDocument/2006/relationships/hyperlink" Id="rId460" Target="https://doi.org/10.1093/jopart/muu007" TargetMode="External" /><Relationship Type="http://schemas.openxmlformats.org/officeDocument/2006/relationships/hyperlink" Id="rId302" Target="https://doi.org/10.1093/oxfordjournals.jpart.a024373" TargetMode="External" /><Relationship Type="http://schemas.openxmlformats.org/officeDocument/2006/relationships/hyperlink" Id="rId280" Target="https://doi.org/10.1111/1475-6765.12012" TargetMode="External" /><Relationship Type="http://schemas.openxmlformats.org/officeDocument/2006/relationships/hyperlink" Id="rId419" Target="https://doi.org/10.1111/ajps.12161" TargetMode="External" /><Relationship Type="http://schemas.openxmlformats.org/officeDocument/2006/relationships/hyperlink" Id="rId288" Target="https://doi.org/10.1111/ajps.12188" TargetMode="External" /><Relationship Type="http://schemas.openxmlformats.org/officeDocument/2006/relationships/hyperlink" Id="rId451" Target="https://doi.org/10.1111/j.1468-2508.2006.00375.x" TargetMode="External" /><Relationship Type="http://schemas.openxmlformats.org/officeDocument/2006/relationships/hyperlink" Id="rId453" Target="https://doi.org/10.1111/j.1748-5991.2009.01051.x" TargetMode="External" /><Relationship Type="http://schemas.openxmlformats.org/officeDocument/2006/relationships/hyperlink" Id="rId382" Target="https://doi.org/10.1111/psq.12417" TargetMode="External" /><Relationship Type="http://schemas.openxmlformats.org/officeDocument/2006/relationships/hyperlink" Id="rId449" Target="https://doi.org/10.1111/rego.12139" TargetMode="External" /><Relationship Type="http://schemas.openxmlformats.org/officeDocument/2006/relationships/hyperlink" Id="rId462" Target="https://doi.org/10.1146/annurev-polisci-050817-092302" TargetMode="External" /><Relationship Type="http://schemas.openxmlformats.org/officeDocument/2006/relationships/hyperlink" Id="rId366" Target="https://doi.org/10.1146/annurev-polisci-052615" TargetMode="External" /><Relationship Type="http://schemas.openxmlformats.org/officeDocument/2006/relationships/hyperlink" Id="rId326" Target="https://doi.org/10.1146/annurev-polisci-070910-104051" TargetMode="External" /><Relationship Type="http://schemas.openxmlformats.org/officeDocument/2006/relationships/hyperlink" Id="rId364" Target="https://doi.org/10.1146/annurev.polisci.3.1.449" TargetMode="External" /><Relationship Type="http://schemas.openxmlformats.org/officeDocument/2006/relationships/hyperlink" Id="rId226" Target="https://doi.org/10.1146/annurev.soc.30.012703.110542" TargetMode="External" /><Relationship Type="http://schemas.openxmlformats.org/officeDocument/2006/relationships/hyperlink" Id="rId375" Target="https://doi.org/10.1146/annurev.soc.30.012703.110545" TargetMode="External" /><Relationship Type="http://schemas.openxmlformats.org/officeDocument/2006/relationships/hyperlink" Id="rId238" Target="https://doi.org/10.1177/0093650218808186" TargetMode="External" /><Relationship Type="http://schemas.openxmlformats.org/officeDocument/2006/relationships/hyperlink" Id="rId443" Target="https://doi.org/10.1177/0095399709339013" TargetMode="External" /><Relationship Type="http://schemas.openxmlformats.org/officeDocument/2006/relationships/hyperlink" Id="rId268" Target="https://doi.org/10.1177/0095399715581040" TargetMode="External" /><Relationship Type="http://schemas.openxmlformats.org/officeDocument/2006/relationships/hyperlink" Id="rId300" Target="https://doi.org/10.1177/009539979702900304" TargetMode="External" /><Relationship Type="http://schemas.openxmlformats.org/officeDocument/2006/relationships/hyperlink" Id="rId286" Target="https://doi.org/10.1332/174426514X13990325021128" TargetMode="External" /><Relationship Type="http://schemas.openxmlformats.org/officeDocument/2006/relationships/hyperlink" Id="rId233" Target="https://doi.org/10.1515/9781400822485" TargetMode="External" /><Relationship Type="http://schemas.openxmlformats.org/officeDocument/2006/relationships/hyperlink" Id="rId373" Target="https://doi.org/10.2139/ssrn.1486272" TargetMode="External" /><Relationship Type="http://schemas.openxmlformats.org/officeDocument/2006/relationships/hyperlink" Id="rId397" Target="https://doi.org/10.2139/ssrn.2759117" TargetMode="External" /><Relationship Type="http://schemas.openxmlformats.org/officeDocument/2006/relationships/hyperlink" Id="rId411" Target="https://doi.org/10.2307/1949637" TargetMode="External" /><Relationship Type="http://schemas.openxmlformats.org/officeDocument/2006/relationships/hyperlink" Id="rId354" Target="https://doi.org/10.2307/2009452" TargetMode="External" /><Relationship Type="http://schemas.openxmlformats.org/officeDocument/2006/relationships/hyperlink" Id="rId284" Target="https://doi.org/10.2307/2111603" TargetMode="External" /><Relationship Type="http://schemas.openxmlformats.org/officeDocument/2006/relationships/hyperlink" Id="rId230" Target="https://doi.org/10.2307/2585488" TargetMode="External" /><Relationship Type="http://schemas.openxmlformats.org/officeDocument/2006/relationships/hyperlink" Id="rId242" Target="https://doi.org/10.33774/apsa-2020-k78wc" TargetMode="External" /><Relationship Type="http://schemas.openxmlformats.org/officeDocument/2006/relationships/hyperlink" Id="rId282" Target="https://earthjustice.org/our%7B\_%7Dwork" TargetMode="External" /><Relationship Type="http://schemas.openxmlformats.org/officeDocument/2006/relationships/hyperlink" Id="rId99" Target="https://github.com/judgelord/dissertation/blob/master/04-influence/preanalysis.pdf" TargetMode="External" /><Relationship Type="http://schemas.openxmlformats.org/officeDocument/2006/relationships/hyperlink" Id="rId123" Target="https://judgelord.github.io/budgets/JudgeLordAPSA2017.pdf" TargetMode="External" /><Relationship Type="http://schemas.openxmlformats.org/officeDocument/2006/relationships/hyperlink" Id="rId116" Target="https://judgelord.github.io/dissertation/MacroRulemaking.pdf" TargetMode="External" /><Relationship Type="http://schemas.openxmlformats.org/officeDocument/2006/relationships/hyperlink" Id="rId20" Target="https://judgelord.github.io/dissertation/ej-appendix#TODO" TargetMode="External" /><Relationship Type="http://schemas.openxmlformats.org/officeDocument/2006/relationships/hyperlink" Id="rId121" Target="https://judgelord.github.io/dissertation/influence_coding_examples.pdf" TargetMode="External" /><Relationship Type="http://schemas.openxmlformats.org/officeDocument/2006/relationships/hyperlink" Id="rId133" Target="https://judgelord.github.io/dissertation/preanalysis.pdf" TargetMode="External" /><Relationship Type="http://schemas.openxmlformats.org/officeDocument/2006/relationships/hyperlink" Id="rId114" Target="https://judgelord.github.io/dissertation/whyMail.pdf" TargetMode="External" /><Relationship Type="http://schemas.openxmlformats.org/officeDocument/2006/relationships/hyperlink" Id="rId159" Target="https://judgelord.github.io/research/ej/" TargetMode="External" /><Relationship Type="http://schemas.openxmlformats.org/officeDocument/2006/relationships/hyperlink" Id="rId48" Target="https://judgelord.github.io/research/whymail/" TargetMode="External" /><Relationship Type="http://schemas.openxmlformats.org/officeDocument/2006/relationships/hyperlink" Id="rId349" Target="https://libgober.files.wordpress.com/2018/09/what-biased-rulemaking-looks-like.pdf" TargetMode="External" /><Relationship Type="http://schemas.openxmlformats.org/officeDocument/2006/relationships/hyperlink" Id="rId263" Target="https://mountainscholar.org/bitstream/handle/10217/181399/Cook%7B\_%7Dcolostate%7B\_%7D0053A14127.pdf?sequence=1" TargetMode="External" /><Relationship Type="http://schemas.openxmlformats.org/officeDocument/2006/relationships/hyperlink" Id="rId434" Target="https://papers.ssrn.com/sol3/papers.cfm?abstract%7B\_%7Did=1531243" TargetMode="External" /><Relationship Type="http://schemas.openxmlformats.org/officeDocument/2006/relationships/hyperlink" Id="rId294" Target="https://papers.ssrn.com/sol3/papers.cfm?abstract%7B\_%7Did=1702491" TargetMode="External" /><Relationship Type="http://schemas.openxmlformats.org/officeDocument/2006/relationships/hyperlink" Id="rId371" Target="https://papers.ssrn.com/sol3/papers.cfm?abstract%7B\_%7Did=1860193" TargetMode="External" /><Relationship Type="http://schemas.openxmlformats.org/officeDocument/2006/relationships/hyperlink" Id="rId377" Target="https://papers.ssrn.com/sol3/papers.cfm?abstract%7B\_%7Did=2444396" TargetMode="External" /><Relationship Type="http://schemas.openxmlformats.org/officeDocument/2006/relationships/hyperlink" Id="rId417" Target="https://papers.ssrn.com/sol3/papers.cfm?abstract%7B\_%7Did=2662504" TargetMode="External" /><Relationship Type="http://schemas.openxmlformats.org/officeDocument/2006/relationships/hyperlink" Id="rId407" Target="https://papers.ssrn.com/sol3/papers.cfm?abstract%7B\_%7Did=571127" TargetMode="External" /><Relationship Type="http://schemas.openxmlformats.org/officeDocument/2006/relationships/hyperlink" Id="rId246" Target="https://petitions.radcliffe.harvard.edu/files/petitions/files/petition-recruit-20040112.pdf" TargetMode="External" /><Relationship Type="http://schemas.openxmlformats.org/officeDocument/2006/relationships/hyperlink" Id="rId346" Target="https://press.princeton.edu/titles/6254.html" TargetMode="External" /><Relationship Type="http://schemas.openxmlformats.org/officeDocument/2006/relationships/hyperlink" Id="rId328" Target="https://press.princeton.edu/titles/7656.html" TargetMode="External" /><Relationship Type="http://schemas.openxmlformats.org/officeDocument/2006/relationships/hyperlink" Id="rId432" Target="https://scholarship.law.duke.edu/cgi/viewcontent.cgi?referer=https://www.google.com/%7B\&amp;%7Dhttpsredir=1%7B\&amp;%7Darticle=1463%7B\&amp;%7Dcontext=dlj" TargetMode="External" /><Relationship Type="http://schemas.openxmlformats.org/officeDocument/2006/relationships/hyperlink" Id="rId298" Target="https://ssrn.com/abstract=3787704" TargetMode="External" /><Relationship Type="http://schemas.openxmlformats.org/officeDocument/2006/relationships/hyperlink" Id="rId409" Target="https://www.acus.gov/report/public-engagement-rulemaking-draft-report" TargetMode="External" /><Relationship Type="http://schemas.openxmlformats.org/officeDocument/2006/relationships/hyperlink" Id="rId224" Target="https://www.acus.gov/sites/default/files/documents/ACUS%20Recommendations%20Packet.pdf" TargetMode="External" /><Relationship Type="http://schemas.openxmlformats.org/officeDocument/2006/relationships/hyperlink" Id="rId447" Target="https://www.acus.gov/sites/default/files/documents/Public%20Engagement%20Draft%20Recommendation%209-10-18%20Adam%20White%20Comments.pdf" TargetMode="External" /><Relationship Type="http://schemas.openxmlformats.org/officeDocument/2006/relationships/hyperlink" Id="rId290" Target="https://www.acus.gov/sites/default/files/documents/Public%20Engagement%20Draft%20Recommendation%209-10-18%20Cynthia%20Farina%20Comments.pdf" TargetMode="External" /><Relationship Type="http://schemas.openxmlformats.org/officeDocument/2006/relationships/hyperlink" Id="rId235" Target="https://www.brookings.edu/book/the-new-liberalism/" TargetMode="External" /><Relationship Type="http://schemas.openxmlformats.org/officeDocument/2006/relationships/hyperlink" Id="rId395" Target="https://www.brookings.edu/research/more-than-spam-lobbying-the-epa-through-public-comment-campaigns/" TargetMode="External" /><Relationship Type="http://schemas.openxmlformats.org/officeDocument/2006/relationships/hyperlink" Id="rId316" Target="https://www.dropbox.com/s/6ydopca7mx8ugqt/Gordon-Rashin-Private-Influence-10-24.pdf?dl=0" TargetMode="External" /><Relationship Type="http://schemas.openxmlformats.org/officeDocument/2006/relationships/hyperlink" Id="rId258" Target="https://www.jstor.org/stable/pdf/40040532.pdf?refreqid=excelsior%3A3eeeeaa9f2da6db1832f107aa771d14f" TargetMode="External" /><Relationship Type="http://schemas.openxmlformats.org/officeDocument/2006/relationships/hyperlink" Id="rId324" Target="https://www.regulations.gov/document?D=EPA-HQ-OAR-2004-0018-0211" TargetMode="External" /><Relationship Type="http://schemas.openxmlformats.org/officeDocument/2006/relationships/hyperlink" Id="rId441" Target="https://www.weact.org/" TargetMode="External" /><Relationship Type="http://schemas.openxmlformats.org/officeDocument/2006/relationships/hyperlink" Id="rId215" Target="https://www.wsj.com/articles/many-comments-critical-of-fiduciary-rule-are-fake-1514370601" TargetMode="External" /><Relationship Type="http://schemas.openxmlformats.org/officeDocument/2006/relationships/hyperlink" Id="rId228" Target="https://yalebooks.yale.edu/book/9780300025927/congress-and-bureaucrac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2021-04-15T23:00:50Z</dcterms:created>
  <dcterms:modified xsi:type="dcterms:W3CDTF">2021-04-15T23:00:50Z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2021-04-15</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