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1.png" ContentType="image/png"/>
  <Override PartName="/word/media/rId63.png" ContentType="image/png"/>
  <Override PartName="/word/media/rId66.png" ContentType="image/png"/>
  <Override PartName="/word/media/rId27.png" ContentType="image/png"/>
  <Override PartName="/word/media/rId44.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Iterative</w:t>
      </w:r>
      <w:r>
        <w:t xml:space="preserve"> </w:t>
      </w:r>
      <w:r>
        <w:t xml:space="preserve">Hand-Coding</w:t>
      </w:r>
      <w:r>
        <w:t xml:space="preserve"> </w:t>
      </w:r>
      <w:r>
        <w:t xml:space="preserve">and</w:t>
      </w:r>
      <w:r>
        <w:t xml:space="preserve"> </w:t>
      </w:r>
      <w:r>
        <w:t xml:space="preserve">Computational</w:t>
      </w:r>
      <w:r>
        <w:t xml:space="preserve"> </w:t>
      </w:r>
      <w:r>
        <w:t xml:space="preserve">Text</w:t>
      </w:r>
      <w:r>
        <w:t xml:space="preserve"> </w:t>
      </w:r>
      <w:r>
        <w:t xml:space="preserve">Analysis:</w:t>
      </w:r>
      <w:r>
        <w:t xml:space="preserve"> </w:t>
      </w:r>
      <w:r>
        <w:t xml:space="preserve">Application</w:t>
      </w:r>
      <w:r>
        <w:t xml:space="preserve"> </w:t>
      </w:r>
      <w:r>
        <w:t xml:space="preserve">to</w:t>
      </w:r>
      <w:r>
        <w:t xml:space="preserve"> </w:t>
      </w:r>
      <w:r>
        <w:t xml:space="preserve">Assessing</w:t>
      </w:r>
      <w:r>
        <w:t xml:space="preserve"> </w:t>
      </w:r>
      <w:r>
        <w:t xml:space="preserve">the</w:t>
      </w:r>
      <w:r>
        <w:t xml:space="preserve"> </w:t>
      </w:r>
      <w:r>
        <w:t xml:space="preserve">Effects</w:t>
      </w:r>
      <w:r>
        <w:t xml:space="preserve"> </w:t>
      </w:r>
      <w:r>
        <w:t xml:space="preserve">of</w:t>
      </w:r>
      <w:r>
        <w:t xml:space="preserve"> </w:t>
      </w:r>
      <w:r>
        <w:t xml:space="preserve">Public</w:t>
      </w:r>
      <w:r>
        <w:t xml:space="preserve"> </w:t>
      </w:r>
      <w:r>
        <w:t xml:space="preserve">Pressure</w:t>
      </w:r>
      <w:r>
        <w:t xml:space="preserve"> </w:t>
      </w:r>
      <w:r>
        <w:t xml:space="preserve">on</w:t>
      </w:r>
      <w:r>
        <w:t xml:space="preserve"> </w:t>
      </w:r>
      <w:r>
        <w:t xml:space="preserve">Policy</w:t>
      </w:r>
    </w:p>
    <w:p>
      <w:pPr>
        <w:pStyle w:val="Abstract"/>
      </w:pPr>
      <w:r>
        <w:t xml:space="preserve">This</w:t>
      </w:r>
      <w:r>
        <w:t xml:space="preserve"> </w:t>
      </w:r>
      <w:r>
        <w:t xml:space="preserve">paper</w:t>
      </w:r>
      <w:r>
        <w:t xml:space="preserve"> </w:t>
      </w:r>
      <w:r>
        <w:t xml:space="preserve">describes</w:t>
      </w:r>
      <w:r>
        <w:t xml:space="preserve"> </w:t>
      </w:r>
      <w:r>
        <w:t xml:space="preserve">methods</w:t>
      </w:r>
      <w:r>
        <w:t xml:space="preserve"> </w:t>
      </w:r>
      <w:r>
        <w:t xml:space="preserve">for</w:t>
      </w:r>
      <w:r>
        <w:t xml:space="preserve"> </w:t>
      </w:r>
      <w:r>
        <w:t xml:space="preserve">integrating</w:t>
      </w:r>
      <w:r>
        <w:t xml:space="preserve"> </w:t>
      </w:r>
      <w:r>
        <w:t xml:space="preserve">human</w:t>
      </w:r>
      <w:r>
        <w:t xml:space="preserve"> </w:t>
      </w:r>
      <w:r>
        <w:t xml:space="preserve">coding</w:t>
      </w:r>
      <w:r>
        <w:t xml:space="preserve"> </w:t>
      </w:r>
      <w:r>
        <w:t xml:space="preserve">of</w:t>
      </w:r>
      <w:r>
        <w:t xml:space="preserve"> </w:t>
      </w:r>
      <w:r>
        <w:t xml:space="preserve">texts</w:t>
      </w:r>
      <w:r>
        <w:t xml:space="preserve"> </w:t>
      </w:r>
      <w:r>
        <w:t xml:space="preserve">with</w:t>
      </w:r>
      <w:r>
        <w:t xml:space="preserve"> </w:t>
      </w:r>
      <w:r>
        <w:t xml:space="preserve">computational</w:t>
      </w:r>
      <w:r>
        <w:t xml:space="preserve"> </w:t>
      </w:r>
      <w:r>
        <w:t xml:space="preserve">text</w:t>
      </w:r>
      <w:r>
        <w:t xml:space="preserve"> </w:t>
      </w:r>
      <w:r>
        <w:t xml:space="preserve">analysis</w:t>
      </w:r>
      <w:r>
        <w:t xml:space="preserve"> </w:t>
      </w:r>
      <w:r>
        <w:t xml:space="preserve">and</w:t>
      </w:r>
      <w:r>
        <w:t xml:space="preserve"> </w:t>
      </w:r>
      <w:r>
        <w:t xml:space="preserve">preprocessing</w:t>
      </w:r>
      <w:r>
        <w:t xml:space="preserve"> </w:t>
      </w:r>
      <w:r>
        <w:t xml:space="preserve">to</w:t>
      </w:r>
      <w:r>
        <w:t xml:space="preserve"> </w:t>
      </w:r>
      <w:r>
        <w:t xml:space="preserve">increase</w:t>
      </w:r>
      <w:r>
        <w:t xml:space="preserve"> </w:t>
      </w:r>
      <w:r>
        <w:t xml:space="preserve">the</w:t>
      </w:r>
      <w:r>
        <w:t xml:space="preserve"> </w:t>
      </w:r>
      <w:r>
        <w:t xml:space="preserve">inferential</w:t>
      </w:r>
      <w:r>
        <w:t xml:space="preserve"> </w:t>
      </w:r>
      <w:r>
        <w:t xml:space="preserve">power</w:t>
      </w:r>
      <w:r>
        <w:t xml:space="preserve"> </w:t>
      </w:r>
      <w:r>
        <w:t xml:space="preserve">of</w:t>
      </w:r>
      <w:r>
        <w:t xml:space="preserve"> </w:t>
      </w:r>
      <w:r>
        <w:t xml:space="preserve">hand-coding</w:t>
      </w:r>
      <w:r>
        <w:t xml:space="preserve"> </w:t>
      </w:r>
      <w:r>
        <w:t xml:space="preserve">by</w:t>
      </w:r>
      <w:r>
        <w:t xml:space="preserve"> </w:t>
      </w:r>
      <w:r>
        <w:t xml:space="preserve">several</w:t>
      </w:r>
      <w:r>
        <w:t xml:space="preserve"> </w:t>
      </w:r>
      <w:r>
        <w:t xml:space="preserve">orders</w:t>
      </w:r>
      <w:r>
        <w:t xml:space="preserve"> </w:t>
      </w:r>
      <w:r>
        <w:t xml:space="preserve">of</w:t>
      </w:r>
      <w:r>
        <w:t xml:space="preserve"> </w:t>
      </w:r>
      <w:r>
        <w:t xml:space="preserve">magnitude.</w:t>
      </w:r>
      <w:r>
        <w:t xml:space="preserve"> </w:t>
      </w:r>
      <w:r>
        <w:t xml:space="preserve">Computational</w:t>
      </w:r>
      <w:r>
        <w:t xml:space="preserve"> </w:t>
      </w:r>
      <w:r>
        <w:t xml:space="preserve">text</w:t>
      </w:r>
      <w:r>
        <w:t xml:space="preserve"> </w:t>
      </w:r>
      <w:r>
        <w:t xml:space="preserve">analysis</w:t>
      </w:r>
      <w:r>
        <w:t xml:space="preserve"> </w:t>
      </w:r>
      <w:r>
        <w:t xml:space="preserve">tools</w:t>
      </w:r>
      <w:r>
        <w:t xml:space="preserve"> </w:t>
      </w:r>
      <w:r>
        <w:t xml:space="preserve">can</w:t>
      </w:r>
      <w:r>
        <w:t xml:space="preserve"> </w:t>
      </w:r>
      <w:r>
        <w:t xml:space="preserve">strategically</w:t>
      </w:r>
      <w:r>
        <w:t xml:space="preserve"> </w:t>
      </w:r>
      <w:r>
        <w:t xml:space="preserve">select</w:t>
      </w:r>
      <w:r>
        <w:t xml:space="preserve"> </w:t>
      </w:r>
      <w:r>
        <w:t xml:space="preserve">texts</w:t>
      </w:r>
      <w:r>
        <w:t xml:space="preserve"> </w:t>
      </w:r>
      <w:r>
        <w:t xml:space="preserve">for</w:t>
      </w:r>
      <w:r>
        <w:t xml:space="preserve"> </w:t>
      </w:r>
      <w:r>
        <w:t xml:space="preserve">human</w:t>
      </w:r>
      <w:r>
        <w:t xml:space="preserve"> </w:t>
      </w:r>
      <w:r>
        <w:t xml:space="preserve">coders,</w:t>
      </w:r>
      <w:r>
        <w:t xml:space="preserve"> </w:t>
      </w:r>
      <w:r>
        <w:t xml:space="preserve">including</w:t>
      </w:r>
      <w:r>
        <w:t xml:space="preserve"> </w:t>
      </w:r>
      <w:r>
        <w:t xml:space="preserve">texts</w:t>
      </w:r>
      <w:r>
        <w:t xml:space="preserve"> </w:t>
      </w:r>
      <w:r>
        <w:t xml:space="preserve">representing</w:t>
      </w:r>
      <w:r>
        <w:t xml:space="preserve"> </w:t>
      </w:r>
      <w:r>
        <w:t xml:space="preserve">larger</w:t>
      </w:r>
      <w:r>
        <w:t xml:space="preserve"> </w:t>
      </w:r>
      <w:r>
        <w:t xml:space="preserve">samples</w:t>
      </w:r>
      <w:r>
        <w:t xml:space="preserve"> </w:t>
      </w:r>
      <w:r>
        <w:t xml:space="preserve">and</w:t>
      </w:r>
      <w:r>
        <w:t xml:space="preserve"> </w:t>
      </w:r>
      <w:r>
        <w:t xml:space="preserve">outlier</w:t>
      </w:r>
      <w:r>
        <w:t xml:space="preserve"> </w:t>
      </w:r>
      <w:r>
        <w:t xml:space="preserve">texts</w:t>
      </w:r>
      <w:r>
        <w:t xml:space="preserve"> </w:t>
      </w:r>
      <w:r>
        <w:t xml:space="preserve">of</w:t>
      </w:r>
      <w:r>
        <w:t xml:space="preserve"> </w:t>
      </w:r>
      <w:r>
        <w:t xml:space="preserve">high</w:t>
      </w:r>
      <w:r>
        <w:t xml:space="preserve"> </w:t>
      </w:r>
      <w:r>
        <w:t xml:space="preserve">inferential</w:t>
      </w:r>
      <w:r>
        <w:t xml:space="preserve"> </w:t>
      </w:r>
      <w:r>
        <w:t xml:space="preserve">value.</w:t>
      </w:r>
      <w:r>
        <w:t xml:space="preserve"> </w:t>
      </w:r>
      <w:r>
        <w:t xml:space="preserve">Preprocessing</w:t>
      </w:r>
      <w:r>
        <w:t xml:space="preserve"> </w:t>
      </w:r>
      <w:r>
        <w:t xml:space="preserve">documents</w:t>
      </w:r>
      <w:r>
        <w:t xml:space="preserve"> </w:t>
      </w:r>
      <w:r>
        <w:t xml:space="preserve">can</w:t>
      </w:r>
      <w:r>
        <w:t xml:space="preserve"> </w:t>
      </w:r>
      <w:r>
        <w:t xml:space="preserve">speed</w:t>
      </w:r>
      <w:r>
        <w:t xml:space="preserve"> </w:t>
      </w:r>
      <w:r>
        <w:t xml:space="preserve">hand-coding</w:t>
      </w:r>
      <w:r>
        <w:t xml:space="preserve"> </w:t>
      </w:r>
      <w:r>
        <w:t xml:space="preserve">by</w:t>
      </w:r>
      <w:r>
        <w:t xml:space="preserve"> </w:t>
      </w:r>
      <w:r>
        <w:t xml:space="preserve">extracting</w:t>
      </w:r>
      <w:r>
        <w:t xml:space="preserve"> </w:t>
      </w:r>
      <w:r>
        <w:t xml:space="preserve">key</w:t>
      </w:r>
      <w:r>
        <w:t xml:space="preserve"> </w:t>
      </w:r>
      <w:r>
        <w:t xml:space="preserve">features</w:t>
      </w:r>
      <w:r>
        <w:t xml:space="preserve"> </w:t>
      </w:r>
      <w:r>
        <w:t xml:space="preserve">like</w:t>
      </w:r>
      <w:r>
        <w:t xml:space="preserve"> </w:t>
      </w:r>
      <w:r>
        <w:t xml:space="preserve">named</w:t>
      </w:r>
      <w:r>
        <w:t xml:space="preserve"> </w:t>
      </w:r>
      <w:r>
        <w:t xml:space="preserve">entities.</w:t>
      </w:r>
      <w:r>
        <w:t xml:space="preserve"> </w:t>
      </w:r>
      <w:r>
        <w:t xml:space="preserve">Moreover,</w:t>
      </w:r>
      <w:r>
        <w:t xml:space="preserve"> </w:t>
      </w:r>
      <w:r>
        <w:t xml:space="preserve">hand-coding</w:t>
      </w:r>
      <w:r>
        <w:t xml:space="preserve"> </w:t>
      </w:r>
      <w:r>
        <w:t xml:space="preserve">and</w:t>
      </w:r>
      <w:r>
        <w:t xml:space="preserve"> </w:t>
      </w:r>
      <w:r>
        <w:t xml:space="preserve">text</w:t>
      </w:r>
      <w:r>
        <w:t xml:space="preserve"> </w:t>
      </w:r>
      <w:r>
        <w:t xml:space="preserve">analysis</w:t>
      </w:r>
      <w:r>
        <w:t xml:space="preserve"> </w:t>
      </w:r>
      <w:r>
        <w:t xml:space="preserve">tools</w:t>
      </w:r>
      <w:r>
        <w:t xml:space="preserve"> </w:t>
      </w:r>
      <w:r>
        <w:t xml:space="preserve">are</w:t>
      </w:r>
      <w:r>
        <w:t xml:space="preserve"> </w:t>
      </w:r>
      <w:r>
        <w:t xml:space="preserve">more</w:t>
      </w:r>
      <w:r>
        <w:t xml:space="preserve"> </w:t>
      </w:r>
      <w:r>
        <w:t xml:space="preserve">powerful</w:t>
      </w:r>
      <w:r>
        <w:t xml:space="preserve"> </w:t>
      </w:r>
      <w:r>
        <w:t xml:space="preserve">when</w:t>
      </w:r>
      <w:r>
        <w:t xml:space="preserve"> </w:t>
      </w:r>
      <w:r>
        <w:t xml:space="preserve">combined</w:t>
      </w:r>
      <w:r>
        <w:t xml:space="preserve"> </w:t>
      </w:r>
      <w:r>
        <w:t xml:space="preserve">in</w:t>
      </w:r>
      <w:r>
        <w:t xml:space="preserve"> </w:t>
      </w:r>
      <w:r>
        <w:t xml:space="preserve">an</w:t>
      </w:r>
      <w:r>
        <w:t xml:space="preserve"> </w:t>
      </w:r>
      <w:r>
        <w:t xml:space="preserve">interactive</w:t>
      </w:r>
      <w:r>
        <w:t xml:space="preserve"> </w:t>
      </w:r>
      <w:r>
        <w:t xml:space="preserve">workflow.</w:t>
      </w:r>
      <w:r>
        <w:t xml:space="preserve"> </w:t>
      </w:r>
      <w:r>
        <w:t xml:space="preserve">Applying</w:t>
      </w:r>
      <w:r>
        <w:t xml:space="preserve"> </w:t>
      </w:r>
      <w:r>
        <w:t xml:space="preserve">this</w:t>
      </w:r>
      <w:r>
        <w:t xml:space="preserve"> </w:t>
      </w:r>
      <w:r>
        <w:t xml:space="preserve">method</w:t>
      </w:r>
      <w:r>
        <w:t xml:space="preserve"> </w:t>
      </w:r>
      <w:r>
        <w:t xml:space="preserve">to</w:t>
      </w:r>
      <w:r>
        <w:t xml:space="preserve"> </w:t>
      </w:r>
      <w:r>
        <w:t xml:space="preserve">public</w:t>
      </w:r>
      <w:r>
        <w:t xml:space="preserve"> </w:t>
      </w:r>
      <w:r>
        <w:t xml:space="preserve">comments</w:t>
      </w:r>
      <w:r>
        <w:t xml:space="preserve"> </w:t>
      </w:r>
      <w:r>
        <w:t xml:space="preserve">on</w:t>
      </w:r>
      <w:r>
        <w:t xml:space="preserve"> </w:t>
      </w:r>
      <w:r>
        <w:t xml:space="preserve">U.S.</w:t>
      </w:r>
      <w:r>
        <w:t xml:space="preserve"> </w:t>
      </w:r>
      <w:r>
        <w:t xml:space="preserve">Federal</w:t>
      </w:r>
      <w:r>
        <w:t xml:space="preserve"> </w:t>
      </w:r>
      <w:r>
        <w:t xml:space="preserve">Agency</w:t>
      </w:r>
      <w:r>
        <w:t xml:space="preserve"> </w:t>
      </w:r>
      <w:r>
        <w:t xml:space="preserve">regulations,</w:t>
      </w:r>
      <w:r>
        <w:t xml:space="preserve"> </w:t>
      </w:r>
      <w:r>
        <w:t xml:space="preserve">a</w:t>
      </w:r>
      <w:r>
        <w:t xml:space="preserve"> </w:t>
      </w:r>
      <w:r>
        <w:t xml:space="preserve">hand-coded</w:t>
      </w:r>
      <w:r>
        <w:t xml:space="preserve"> </w:t>
      </w:r>
      <w:r>
        <w:t xml:space="preserve">sample</w:t>
      </w:r>
      <w:r>
        <w:t xml:space="preserve"> </w:t>
      </w:r>
      <w:r>
        <w:t xml:space="preserve">of</w:t>
      </w:r>
      <w:r>
        <w:t xml:space="preserve"> </w:t>
      </w:r>
      <w:r>
        <w:t xml:space="preserve">10,894</w:t>
      </w:r>
      <w:r>
        <w:t xml:space="preserve"> </w:t>
      </w:r>
      <w:r>
        <w:t xml:space="preserve">hand-coded</w:t>
      </w:r>
      <w:r>
        <w:t xml:space="preserve"> </w:t>
      </w:r>
      <w:r>
        <w:t xml:space="preserve">comments</w:t>
      </w:r>
      <w:r>
        <w:t xml:space="preserve"> </w:t>
      </w:r>
      <w:r>
        <w:t xml:space="preserve">yields</w:t>
      </w:r>
      <w:r>
        <w:t xml:space="preserve"> </w:t>
      </w:r>
      <w:r>
        <w:t xml:space="preserve">equally</w:t>
      </w:r>
      <w:r>
        <w:t xml:space="preserve"> </w:t>
      </w:r>
      <w:r>
        <w:t xml:space="preserve">valid</w:t>
      </w:r>
      <w:r>
        <w:t xml:space="preserve"> </w:t>
      </w:r>
      <w:r>
        <w:t xml:space="preserve">inferences</w:t>
      </w:r>
      <w:r>
        <w:t xml:space="preserve"> </w:t>
      </w:r>
      <w:r>
        <w:t xml:space="preserve">for</w:t>
      </w:r>
      <w:r>
        <w:t xml:space="preserve"> </w:t>
      </w:r>
      <w:r>
        <w:t xml:space="preserve">over</w:t>
      </w:r>
      <w:r>
        <w:t xml:space="preserve"> </w:t>
      </w:r>
      <w:r>
        <w:t xml:space="preserve">41</w:t>
      </w:r>
      <w:r>
        <w:t xml:space="preserve"> </w:t>
      </w:r>
      <w:r>
        <w:t xml:space="preserve">million</w:t>
      </w:r>
      <w:r>
        <w:t xml:space="preserve"> </w:t>
      </w:r>
      <w:r>
        <w:t xml:space="preserve">comments</w:t>
      </w:r>
      <w:r>
        <w:t xml:space="preserve"> </w:t>
      </w:r>
      <w:r>
        <w:t xml:space="preserve">regarding</w:t>
      </w:r>
      <w:r>
        <w:t xml:space="preserve"> </w:t>
      </w:r>
      <w:r>
        <w:t xml:space="preserve">the</w:t>
      </w:r>
      <w:r>
        <w:t xml:space="preserve"> </w:t>
      </w:r>
      <w:r>
        <w:t xml:space="preserve">organizations</w:t>
      </w:r>
      <w:r>
        <w:t xml:space="preserve"> </w:t>
      </w:r>
      <w:r>
        <w:t xml:space="preserve">that</w:t>
      </w:r>
      <w:r>
        <w:t xml:space="preserve"> </w:t>
      </w:r>
      <w:r>
        <w:t xml:space="preserve">mobilized</w:t>
      </w:r>
      <w:r>
        <w:t xml:space="preserve"> </w:t>
      </w:r>
      <w:r>
        <w:t xml:space="preserve">them</w:t>
      </w:r>
      <w:r>
        <w:t xml:space="preserve"> </w:t>
      </w:r>
      <w:r>
        <w:t xml:space="preserve">and</w:t>
      </w:r>
      <w:r>
        <w:t xml:space="preserve"> </w:t>
      </w:r>
      <w:r>
        <w:t xml:space="preserve">the</w:t>
      </w:r>
      <w:r>
        <w:t xml:space="preserve"> </w:t>
      </w:r>
      <w:r>
        <w:t xml:space="preserve">extent</w:t>
      </w:r>
      <w:r>
        <w:t xml:space="preserve"> </w:t>
      </w:r>
      <w:r>
        <w:t xml:space="preserve">to</w:t>
      </w:r>
      <w:r>
        <w:t xml:space="preserve"> </w:t>
      </w:r>
      <w:r>
        <w:t xml:space="preserve">which</w:t>
      </w:r>
      <w:r>
        <w:t xml:space="preserve"> </w:t>
      </w:r>
      <w:r>
        <w:t xml:space="preserve">policy</w:t>
      </w:r>
      <w:r>
        <w:t xml:space="preserve"> </w:t>
      </w:r>
      <w:r>
        <w:t xml:space="preserve">changed</w:t>
      </w:r>
      <w:r>
        <w:t xml:space="preserve"> </w:t>
      </w:r>
      <w:r>
        <w:t xml:space="preserve">in</w:t>
      </w:r>
      <w:r>
        <w:t xml:space="preserve"> </w:t>
      </w:r>
      <w:r>
        <w:t xml:space="preserve">the</w:t>
      </w:r>
      <w:r>
        <w:t xml:space="preserve"> </w:t>
      </w:r>
      <w:r>
        <w:t xml:space="preserve">direction</w:t>
      </w:r>
      <w:r>
        <w:t xml:space="preserve"> </w:t>
      </w:r>
      <w:r>
        <w:t xml:space="preserve">they</w:t>
      </w:r>
      <w:r>
        <w:t xml:space="preserve"> </w:t>
      </w:r>
      <w:r>
        <w:t xml:space="preserve">sought.</w:t>
      </w:r>
      <w:r>
        <w:t xml:space="preserve"> </w:t>
      </w:r>
      <w:r>
        <w:t xml:space="preserve">This</w:t>
      </w:r>
      <w:r>
        <w:t xml:space="preserve"> </w:t>
      </w:r>
      <w:r>
        <w:t xml:space="preserve">large</w:t>
      </w:r>
      <w:r>
        <w:t xml:space="preserve"> </w:t>
      </w:r>
      <w:r>
        <w:t xml:space="preserve">sample</w:t>
      </w:r>
      <w:r>
        <w:t xml:space="preserve"> </w:t>
      </w:r>
      <w:r>
        <w:t xml:space="preserve">of</w:t>
      </w:r>
      <w:r>
        <w:t xml:space="preserve"> </w:t>
      </w:r>
      <w:r>
        <w:t xml:space="preserve">as-good-as-hand-coded</w:t>
      </w:r>
      <w:r>
        <w:t xml:space="preserve"> </w:t>
      </w:r>
      <w:r>
        <w:t xml:space="preserve">documents</w:t>
      </w:r>
      <w:r>
        <w:t xml:space="preserve"> </w:t>
      </w:r>
      <w:r>
        <w:t xml:space="preserve">enables</w:t>
      </w:r>
      <w:r>
        <w:t xml:space="preserve"> </w:t>
      </w:r>
      <w:r>
        <w:t xml:space="preserve">new</w:t>
      </w:r>
      <w:r>
        <w:t xml:space="preserve"> </w:t>
      </w:r>
      <w:r>
        <w:t xml:space="preserve">analyses</w:t>
      </w:r>
      <w:r>
        <w:t xml:space="preserve"> </w:t>
      </w:r>
      <w:r>
        <w:t xml:space="preserve">of</w:t>
      </w:r>
      <w:r>
        <w:t xml:space="preserve"> </w:t>
      </w:r>
      <w:r>
        <w:t xml:space="preserve">the</w:t>
      </w:r>
      <w:r>
        <w:t xml:space="preserve"> </w:t>
      </w:r>
      <w:r>
        <w:t xml:space="preserve">relationships</w:t>
      </w:r>
      <w:r>
        <w:t xml:space="preserve"> </w:t>
      </w:r>
      <w:r>
        <w:t xml:space="preserve">between</w:t>
      </w:r>
      <w:r>
        <w:t xml:space="preserve"> </w:t>
      </w:r>
      <w:r>
        <w:t xml:space="preserve">lobbying</w:t>
      </w:r>
      <w:r>
        <w:t xml:space="preserve"> </w:t>
      </w:r>
      <w:r>
        <w:t xml:space="preserve">coalitions,</w:t>
      </w:r>
      <w:r>
        <w:t xml:space="preserve"> </w:t>
      </w:r>
      <w:r>
        <w:t xml:space="preserve">social</w:t>
      </w:r>
      <w:r>
        <w:t xml:space="preserve"> </w:t>
      </w:r>
      <w:r>
        <w:t xml:space="preserve">movements,</w:t>
      </w:r>
      <w:r>
        <w:t xml:space="preserve"> </w:t>
      </w:r>
      <w:r>
        <w:t xml:space="preserve">and</w:t>
      </w:r>
      <w:r>
        <w:t xml:space="preserve"> </w:t>
      </w:r>
      <w:r>
        <w:t xml:space="preserve">policy</w:t>
      </w:r>
      <w:r>
        <w:t xml:space="preserve"> </w:t>
      </w:r>
      <w:r>
        <w:t xml:space="preserve">change.</w:t>
      </w:r>
      <w:r>
        <w:t xml:space="preserve"> </w:t>
      </w:r>
      <w:r>
        <w:t xml:space="preserve">For</w:t>
      </w:r>
      <w:r>
        <w:t xml:space="preserve"> </w:t>
      </w:r>
      <w:r>
        <w:t xml:space="preserve">example,</w:t>
      </w:r>
      <w:r>
        <w:t xml:space="preserve"> </w:t>
      </w:r>
      <w:r>
        <w:t xml:space="preserve">I</w:t>
      </w:r>
      <w:r>
        <w:t xml:space="preserve"> </w:t>
      </w:r>
      <w:r>
        <w:t xml:space="preserve">find</w:t>
      </w:r>
      <w:r>
        <w:t xml:space="preserve"> </w:t>
      </w:r>
      <w:r>
        <w:t xml:space="preserve">that</w:t>
      </w:r>
      <w:r>
        <w:t xml:space="preserve"> </w:t>
      </w:r>
      <w:r>
        <w:t xml:space="preserve">public</w:t>
      </w:r>
      <w:r>
        <w:t xml:space="preserve"> </w:t>
      </w:r>
      <w:r>
        <w:t xml:space="preserve">pressure</w:t>
      </w:r>
      <w:r>
        <w:t xml:space="preserve"> </w:t>
      </w:r>
      <w:r>
        <w:t xml:space="preserve">to</w:t>
      </w:r>
      <w:r>
        <w:t xml:space="preserve"> </w:t>
      </w:r>
      <w:r>
        <w:t xml:space="preserve">address</w:t>
      </w:r>
      <w:r>
        <w:t xml:space="preserve"> </w:t>
      </w:r>
      <w:r>
        <w:t xml:space="preserve">climate</w:t>
      </w:r>
      <w:r>
        <w:t xml:space="preserve"> </w:t>
      </w:r>
      <w:r>
        <w:t xml:space="preserve">change</w:t>
      </w:r>
      <w:r>
        <w:t xml:space="preserve"> </w:t>
      </w:r>
      <w:r>
        <w:t xml:space="preserve">and</w:t>
      </w:r>
      <w:r>
        <w:t xml:space="preserve"> </w:t>
      </w:r>
      <w:r>
        <w:t xml:space="preserve">environmental</w:t>
      </w:r>
      <w:r>
        <w:t xml:space="preserve"> </w:t>
      </w:r>
      <w:r>
        <w:t xml:space="preserve">justice</w:t>
      </w:r>
      <w:r>
        <w:t xml:space="preserve"> </w:t>
      </w:r>
      <w:r>
        <w:t xml:space="preserve">movements</w:t>
      </w:r>
      <w:r>
        <w:t xml:space="preserve"> </w:t>
      </w:r>
      <w:r>
        <w:t xml:space="preserve">has</w:t>
      </w:r>
      <w:r>
        <w:t xml:space="preserve"> </w:t>
      </w:r>
      <w:r>
        <w:t xml:space="preserve">large</w:t>
      </w:r>
      <w:r>
        <w:t xml:space="preserve"> </w:t>
      </w:r>
      <w:r>
        <w:t xml:space="preserve">effects</w:t>
      </w:r>
      <w:r>
        <w:t xml:space="preserve"> </w:t>
      </w:r>
      <w:r>
        <w:t xml:space="preserve">on</w:t>
      </w:r>
      <w:r>
        <w:t xml:space="preserve"> </w:t>
      </w:r>
      <w:r>
        <w:t xml:space="preserve">policy</w:t>
      </w:r>
      <w:r>
        <w:t xml:space="preserve"> </w:t>
      </w:r>
      <w:r>
        <w:t xml:space="preserve">documents,</w:t>
      </w:r>
      <w:r>
        <w:t xml:space="preserve"> </w:t>
      </w:r>
      <w:r>
        <w:t xml:space="preserve">but</w:t>
      </w:r>
      <w:r>
        <w:t xml:space="preserve"> </w:t>
      </w:r>
      <w:r>
        <w:t xml:space="preserve">a</w:t>
      </w:r>
      <w:r>
        <w:t xml:space="preserve"> </w:t>
      </w:r>
      <w:r>
        <w:t xml:space="preserve">small</w:t>
      </w:r>
      <w:r>
        <w:t xml:space="preserve"> </w:t>
      </w:r>
      <w:r>
        <w:t xml:space="preserve">number</w:t>
      </w:r>
      <w:r>
        <w:t xml:space="preserve"> </w:t>
      </w:r>
      <w:r>
        <w:t xml:space="preserve">of</w:t>
      </w:r>
      <w:r>
        <w:t xml:space="preserve"> </w:t>
      </w:r>
      <w:r>
        <w:t xml:space="preserve">national</w:t>
      </w:r>
      <w:r>
        <w:t xml:space="preserve"> </w:t>
      </w:r>
      <w:r>
        <w:t xml:space="preserve">advocacy</w:t>
      </w:r>
      <w:r>
        <w:t xml:space="preserve"> </w:t>
      </w:r>
      <w:r>
        <w:t xml:space="preserve">organizations</w:t>
      </w:r>
      <w:r>
        <w:t xml:space="preserve"> </w:t>
      </w:r>
      <w:r>
        <w:t xml:space="preserve">dominate</w:t>
      </w:r>
      <w:r>
        <w:t xml:space="preserve"> </w:t>
      </w:r>
      <w:r>
        <w:t xml:space="preserve">lobbying</w:t>
      </w:r>
      <w:r>
        <w:t xml:space="preserve"> </w:t>
      </w:r>
      <w:r>
        <w:t xml:space="preserve">coalitions.</w:t>
      </w:r>
      <w:r>
        <w:t xml:space="preserve"> </w:t>
      </w:r>
      <w:r>
        <w:t xml:space="preserve">When</w:t>
      </w:r>
      <w:r>
        <w:t xml:space="preserve"> </w:t>
      </w:r>
      <w:r>
        <w:t xml:space="preserve">tribal</w:t>
      </w:r>
      <w:r>
        <w:t xml:space="preserve"> </w:t>
      </w:r>
      <w:r>
        <w:t xml:space="preserve">governments</w:t>
      </w:r>
      <w:r>
        <w:t xml:space="preserve"> </w:t>
      </w:r>
      <w:r>
        <w:t xml:space="preserve">or</w:t>
      </w:r>
      <w:r>
        <w:t xml:space="preserve"> </w:t>
      </w:r>
      <w:r>
        <w:t xml:space="preserve">local</w:t>
      </w:r>
      <w:r>
        <w:t xml:space="preserve"> </w:t>
      </w:r>
      <w:r>
        <w:t xml:space="preserve">groups</w:t>
      </w:r>
      <w:r>
        <w:t xml:space="preserve"> </w:t>
      </w:r>
      <w:r>
        <w:t xml:space="preserve">lobby</w:t>
      </w:r>
      <w:r>
        <w:t xml:space="preserve"> </w:t>
      </w:r>
      <w:r>
        <w:t xml:space="preserve">without</w:t>
      </w:r>
      <w:r>
        <w:t xml:space="preserve"> </w:t>
      </w:r>
      <w:r>
        <w:t xml:space="preserve">the</w:t>
      </w:r>
      <w:r>
        <w:t xml:space="preserve"> </w:t>
      </w:r>
      <w:r>
        <w:t xml:space="preserve">support</w:t>
      </w:r>
      <w:r>
        <w:t xml:space="preserve"> </w:t>
      </w:r>
      <w:r>
        <w:t xml:space="preserve">of</w:t>
      </w:r>
      <w:r>
        <w:t xml:space="preserve"> </w:t>
      </w:r>
      <w:r>
        <w:t xml:space="preserve">national</w:t>
      </w:r>
      <w:r>
        <w:t xml:space="preserve"> </w:t>
      </w:r>
      <w:r>
        <w:t xml:space="preserve">advocacy</w:t>
      </w:r>
      <w:r>
        <w:t xml:space="preserve"> </w:t>
      </w:r>
      <w:r>
        <w:t xml:space="preserve">groups,</w:t>
      </w:r>
      <w:r>
        <w:t xml:space="preserve"> </w:t>
      </w:r>
      <w:r>
        <w:t xml:space="preserve">policymakers</w:t>
      </w:r>
      <w:r>
        <w:t xml:space="preserve"> </w:t>
      </w:r>
      <w:r>
        <w:t xml:space="preserve">typically</w:t>
      </w:r>
      <w:r>
        <w:t xml:space="preserve"> </w:t>
      </w:r>
      <w:r>
        <w:t xml:space="preserve">ignore</w:t>
      </w:r>
      <w:r>
        <w:t xml:space="preserve"> </w:t>
      </w:r>
      <w:r>
        <w:t xml:space="preserve">them.</w:t>
      </w:r>
    </w:p>
    <w:bookmarkStart w:id="25" w:name="introduction"/>
    <w:p>
      <w:pPr>
        <w:pStyle w:val="Heading1"/>
      </w:pPr>
      <w:r>
        <w:rPr>
          <w:rStyle w:val="SectionNumber"/>
        </w:rPr>
        <w:t xml:space="preserve">1</w:t>
      </w:r>
      <w:r>
        <w:tab/>
      </w:r>
      <w:r>
        <w:t xml:space="preserve">Introduction</w:t>
      </w:r>
    </w:p>
    <w:bookmarkStart w:id="20" w:name="why-an-iterative-workflow"/>
    <w:p>
      <w:pPr>
        <w:pStyle w:val="Heading2"/>
      </w:pPr>
      <w:r>
        <w:rPr>
          <w:rStyle w:val="SectionNumber"/>
        </w:rPr>
        <w:t xml:space="preserve">1.1</w:t>
      </w:r>
      <w:r>
        <w:tab/>
      </w:r>
      <w:r>
        <w:t xml:space="preserve">Why an iterative workflow?</w:t>
      </w:r>
    </w:p>
    <w:p>
      <w:pPr>
        <w:pStyle w:val="FirstParagraph"/>
      </w:pPr>
      <w:r>
        <w:t xml:space="preserve">TODO</w:t>
      </w:r>
    </w:p>
    <w:bookmarkEnd w:id="20"/>
    <w:bookmarkStart w:id="21" w:name="rulemaking-data"/>
    <w:p>
      <w:pPr>
        <w:pStyle w:val="Heading2"/>
      </w:pPr>
      <w:r>
        <w:rPr>
          <w:rStyle w:val="SectionNumber"/>
        </w:rPr>
        <w:t xml:space="preserve">1.2</w:t>
      </w:r>
      <w:r>
        <w:tab/>
      </w:r>
      <w:r>
        <w:t xml:space="preserve">Rulemaking Data</w:t>
      </w:r>
    </w:p>
    <w:p>
      <w:pPr>
        <w:pStyle w:val="FirstParagraph"/>
      </w:pPr>
      <w:r>
        <w:t xml:space="preserve">Agency rules and regulations are where the rubber hits the road for both legislation and presidential agendas</w:t>
      </w:r>
      <w:r>
        <w:t xml:space="preserve"> </w:t>
      </w:r>
      <w:r>
        <w:t xml:space="preserve">(</w:t>
      </w:r>
      <w:hyperlink w:anchor="ref-Yackee2009bush">
        <w:r>
          <w:rPr>
            <w:rStyle w:val="Hyperlink"/>
          </w:rPr>
          <w:t xml:space="preserve">Yackee and Yackee 2009</w:t>
        </w:r>
      </w:hyperlink>
      <w:r>
        <w:t xml:space="preserve">)</w:t>
      </w:r>
      <w:r>
        <w:t xml:space="preserve">. Ninety percent of U.S. law is now written by agencies rather than Congress</w:t>
      </w:r>
      <w:r>
        <w:t xml:space="preserve"> </w:t>
      </w:r>
      <w:r>
        <w:t xml:space="preserve">(</w:t>
      </w:r>
      <w:hyperlink w:anchor="ref-West2013">
        <w:r>
          <w:rPr>
            <w:rStyle w:val="Hyperlink"/>
          </w:rPr>
          <w:t xml:space="preserve">West and Raso 2013</w:t>
        </w:r>
      </w:hyperlink>
      <w:r>
        <w:t xml:space="preserve">)</w:t>
      </w:r>
      <w:r>
        <w:t xml:space="preserve">. Legally binding regulations give specific meaning and force to legislation and presidential agendas.</w:t>
      </w:r>
      <w:r>
        <w:t xml:space="preserve"> </w:t>
      </w:r>
      <w:r>
        <w:t xml:space="preserve">The real impact of most new statutes and executive orders is largely unknown until the ink is dry on the agency rules and regulations that implement them.</w:t>
      </w:r>
    </w:p>
    <w:p>
      <w:pPr>
        <w:pStyle w:val="BodyText"/>
      </w:pPr>
      <w:r>
        <w:t xml:space="preserve">As federal policymaking shifted toward the executive branch, so have interest group lobbying and public pressure campaigns.</w:t>
      </w:r>
      <w:r>
        <w:t xml:space="preserve"> </w:t>
      </w:r>
      <w:r>
        <w:t xml:space="preserve">While most federal agency policies receive little public attention, activists occasionally expand the scope of conflict by targeting agency policymaking with letter-writing campaigns, petitions, protests, and mobilizing people to attend hearings, all classic examples of</w:t>
      </w:r>
      <w:r>
        <w:t xml:space="preserve"> </w:t>
      </w:r>
      <w:r>
        <w:t xml:space="preserve">“</w:t>
      </w:r>
      <w:r>
        <w:t xml:space="preserve">civic engagement</w:t>
      </w:r>
      <w:r>
        <w:t xml:space="preserve">”</w:t>
      </w:r>
      <w:r>
        <w:t xml:space="preserve"> </w:t>
      </w:r>
      <w:r>
        <w:t xml:space="preserve">(</w:t>
      </w:r>
      <w:hyperlink w:anchor="ref-Verba1987">
        <w:r>
          <w:rPr>
            <w:rStyle w:val="Hyperlink"/>
          </w:rPr>
          <w:t xml:space="preserve">Verba and Nie 1987</w:t>
        </w:r>
      </w:hyperlink>
      <w:r>
        <w:t xml:space="preserve">)</w:t>
      </w:r>
      <w:r>
        <w:t xml:space="preserve">.</w:t>
      </w:r>
      <w:r>
        <w:t xml:space="preserve"> </w:t>
      </w:r>
      <w:r>
        <w:t xml:space="preserve">Yet, the relationship between the scale of public engagement and policy change remains untested. Indeed, we have much to understand about the causes and effects of public pressure campaigns before we are in a position to ask if they are a mechanism for groups to influence policy. Most critically, we must understand who mobilizes public pressure campaigns and why.</w:t>
      </w:r>
    </w:p>
    <w:p>
      <w:pPr>
        <w:pStyle w:val="BodyText"/>
      </w:pPr>
      <w:r>
        <w:t xml:space="preserve">To examine the relationship between public pressure campaigns and lobbying success, I collected a corpus of over 80 million public comments. 58 million of these comments are on rulemaking dockets. While most prior studies of public pressure campaigns targeting federal agencies focused on the Environmental Protection Agency, my sample of agency rules spans 60 agencies, allowing new insights into the scale and influence of public pressure across agencies.</w:t>
      </w:r>
    </w:p>
    <w:p>
      <w:pPr>
        <w:pStyle w:val="BodyText"/>
      </w:pPr>
      <w:r>
        <w:t xml:space="preserve">From 2005 to 2020, these 60 agencies posted 42,426 rulemaking dockets to regulations.gov for public comments. Only 816 of these rulemaking dockets were targeted by one or more public pressure campaigns, but this small share of rules garnered 99.07 percent (57,837,674) of all comments. Using text analysis tools to strategically select 10,894 comments for hand coding in an iterative process ultimately yields a new dataset of 41,342,776 as-good-as-hand-coded texts.</w:t>
      </w:r>
    </w:p>
    <w:bookmarkEnd w:id="21"/>
    <w:bookmarkStart w:id="23" w:name="methods"/>
    <w:p>
      <w:pPr>
        <w:pStyle w:val="Heading2"/>
      </w:pPr>
      <w:r>
        <w:rPr>
          <w:rStyle w:val="SectionNumber"/>
        </w:rPr>
        <w:t xml:space="preserve">1.3</w:t>
      </w:r>
      <w:r>
        <w:tab/>
      </w:r>
      <w:r>
        <w:t xml:space="preserve">Methods</w:t>
      </w:r>
    </w:p>
    <w:p>
      <w:pPr>
        <w:pStyle w:val="FirstParagraph"/>
      </w:pPr>
      <w:r>
        <w:t xml:space="preserve">First, I develop computational methods to identify lobbying coalitions through text reuse.</w:t>
      </w:r>
      <w:r>
        <w:t xml:space="preserve"> </w:t>
      </w:r>
      <w:r>
        <w:t xml:space="preserve">I leverage an iterative process of computational text analysis and hand-coding to attribute comments to the organizations, campaigns, and broader coalitions that mobilized them. I first identify comments that share text. I find that a 10-word (10-gram) phrase repeated across more than a few comments is either text copied from the proposed policy or language inspired or provided by an organized campaign. Thus, for each comment text, I first remove all 10-word phrases that appear in the proposed rule (including the preamble and call for comments). Then, I identify all comments that share ten-word phrases with 99 or more other comments. Finally, I collapse these form letter comments into one representative document for hand-coding. Text reuse thus allows me to code one sample document that is valid for all commenters using the same form letter.</w:t>
      </w:r>
    </w:p>
    <w:p>
      <w:pPr>
        <w:pStyle w:val="BodyText"/>
      </w:pPr>
      <w:r>
        <w:t xml:space="preserve">Before and during hand-coding, I attempt to identify the organization(s) that submitted or mobilized each comment by extracting the names of organizations and elected officials from the text of each comment. For comments that do not include the name of an organization or elected official, human coders used an internet search on portions of the comment’s text. This often identified the organization that provided the model letter text. As additional organizations were identified by hand, they were added to an entity extraction method based on regex tables, and model text linked to them was added to the clustering method. This was especially helpful for astroturf groups that provide model public comments while obscuring their identity.</w:t>
      </w:r>
      <w:r>
        <w:t xml:space="preserve"> </w:t>
      </w:r>
      <w:r>
        <w:t xml:space="preserve">I thus attribute each comment to both the organization behind it (its author if submitted by the organization or the mobilizing organization for form letters) and the lobbying coalition to which that organization belonged.</w:t>
      </w:r>
    </w:p>
    <w:p>
      <w:pPr>
        <w:pStyle w:val="BodyText"/>
      </w:pPr>
      <w:r>
        <w:t xml:space="preserve">I also identify comments submitted by elected officials, with special attention to members of the U.S. Congress.</w:t>
      </w:r>
      <w:r>
        <w:t xml:space="preserve"> </w:t>
      </w:r>
      <w:r>
        <w:t xml:space="preserve"> </w:t>
      </w:r>
      <w:r>
        <w:t xml:space="preserve">Members of Congress often learn about issues from—and are spurred to act by—public pressure campaigns. Legislators often submit comments from their constituents, either on their own or attached to their own comments. For example, several members of Congress attached mass mail or petitions from their constituents to their comments on the Consumer Financial Protection Bureau’s controversial Payday Loan rule. Public pressure campaigns often seek to influence policy by informing elected officials of their constituents’ demands. Many campaigns collect the zip code of letter-signers so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22">
        <w:r>
          <w:rPr>
            <w:rStyle w:val="Hyperlink"/>
          </w:rPr>
          <w:t xml:space="preserve">EPA-HQ-OAR-2005-0161-2624</w:t>
        </w:r>
      </w:hyperlink>
      <w:r>
        <w:t xml:space="preserve">). When members of Congress comment on agency rules, they are often aware of public pressure campaigns. Many are spurred to engage in bureaucratic policymaking pressure campaigns and their constituents who participate in them.</w:t>
      </w:r>
    </w:p>
    <w:p>
      <w:pPr>
        <w:pStyle w:val="BodyText"/>
      </w:pPr>
      <w:r>
        <w:t xml:space="preserve">To study the influence of organizations and coalitions, I collapse these data to one observation per organization or coalition per proposed rule for analysis. I identify lobbying coalitions both by hand and by textual similarity. Co-signed comments and form-letter comments are always assigned to the same coalition.</w:t>
      </w:r>
      <w:r>
        <w:t xml:space="preserve"> </w:t>
      </w:r>
      <w:r>
        <w:t xml:space="preserve">I then identify the main substantive comment submitted by each organization’s staff or lawyers, which are usually much longer than supporting comments like form letters.</w:t>
      </w:r>
    </w:p>
    <w:p>
      <w:pPr>
        <w:pStyle w:val="BodyText"/>
      </w:pPr>
      <w:r>
        <w:t xml:space="preserve">Comments selected for hand-coding are coded for their level of lobbying success. Hand-coding includes recording the type of organization, the lobbying coalition to which each comment belongs, the type of coalition (primarily public or private interests), their policy demands, and the extent to which the change between the draft and final rule aligned with their demands. The level of alignment between policy demands and policy outcomes is a standard approach for assessing lobbying success with these kinds of observational data.</w:t>
      </w:r>
    </w:p>
    <w:p>
      <w:pPr>
        <w:pStyle w:val="BodyText"/>
      </w:pPr>
      <w:r>
        <w:t xml:space="preserve">My approach to measuring lobbying success starts with policy demands raised in comments. The dimensions of conflict on which I judge lobbying success are those issues identified by commenters. Unlike other studies, the issues I use to assess lobbying success do not come from first reading the policy or any a priori concept of what each policy fight is about. Instead, I read the change between the draft and final rule with an eye for alignment with commenters’ requests (including requests that specific parts of the draft policy do not change.)</w:t>
      </w:r>
      <w:r>
        <w:t xml:space="preserve"> </w:t>
      </w:r>
      <w:r>
        <w:t xml:space="preserve">Using commenter requests to identify the dimensions of the conflict has advantages and disadvantages. Compared to other potential measures of success, it is more likely to focus on things that commenters care about and miss policy issues that other, non-commenting segments of the public might care about.</w:t>
      </w:r>
    </w:p>
    <w:bookmarkEnd w:id="23"/>
    <w:bookmarkStart w:id="24" w:name="findings"/>
    <w:p>
      <w:pPr>
        <w:pStyle w:val="Heading2"/>
      </w:pPr>
      <w:r>
        <w:rPr>
          <w:rStyle w:val="SectionNumber"/>
        </w:rPr>
        <w:t xml:space="preserve">1.4</w:t>
      </w:r>
      <w:r>
        <w:tab/>
      </w:r>
      <w:r>
        <w:t xml:space="preserve">Findings</w:t>
      </w:r>
    </w:p>
    <w:p>
      <w:pPr>
        <w:pStyle w:val="FirstParagraph"/>
      </w:pPr>
      <w:r>
        <w:t xml:space="preserve">These new data reveal who participates in public pressure campaigns and why. I find that pressure campaigns are almost always a conflict expansion tactic used by less-resourced</w:t>
      </w:r>
      <w:r>
        <w:t xml:space="preserve"> </w:t>
      </w:r>
      <w:r>
        <w:t xml:space="preserve">“</w:t>
      </w:r>
      <w:r>
        <w:t xml:space="preserve">grassroots</w:t>
      </w:r>
      <w:r>
        <w:t xml:space="preserve">”</w:t>
      </w:r>
      <w:r>
        <w:t xml:space="preserve"> </w:t>
      </w:r>
      <w:r>
        <w:t xml:space="preserve">groups;</w:t>
      </w:r>
      <w:r>
        <w:t xml:space="preserve"> </w:t>
      </w:r>
      <w:r>
        <w:t xml:space="preserve">“</w:t>
      </w:r>
      <w:r>
        <w:t xml:space="preserve">astroturf</w:t>
      </w:r>
      <w:r>
        <w:t xml:space="preserve">”</w:t>
      </w:r>
      <w:r>
        <w:t xml:space="preserve"> </w:t>
      </w:r>
      <w:r>
        <w:t xml:space="preserve">campaigns are surprisingly rare. However, the resources and capacities required to launch a campaign cause a few larger policy advocacy organizations to dominate. Over 80 percent of public comments were mobilized by just 100 organizations, most of which lobby in the same public interest coalitions. As a result, the public attention that pressure campaigns generate is concentrated on the small portion of policies on which these organizations focus. I also find no evidence of negativity bias in public comments. Instead, most commenters supported draft policies during the Obama administration but opposed those of the Trump administration, reflecting the partisan biases of mobilizing groups.</w:t>
      </w:r>
    </w:p>
    <w:p>
      <w:pPr>
        <w:pStyle w:val="BodyText"/>
      </w:pPr>
      <w:r>
        <w:t xml:space="preserve">Comparing the success of campaigns across agencies, I find that the federal agencies that are most often the targets of public pressure are also the most responsive to public pressure.</w:t>
      </w:r>
      <w:r>
        <w:t xml:space="preserve"> </w:t>
      </w:r>
      <w:r>
        <w:t xml:space="preserve">My hand-coded measure of whether commenters got the policy outcome they sought allows me to assess whether public pressure campaigns increase lobbying success. Finally, I assess potential mechanisms by which mass public engagement may affect policy. I focus on congressional oversight as a mediator in policy influence, i.e., the extent to which public pressure campaigns affect policy indirectly through their effects on legislators’ oversight behaviors. I find that members of Congress are more likely to engage in rulemaking when advocacy groups mobilize public pressure and that lobbying coalitions are more successful when they mobilize more legislators. However, pressure campaigns are related to policy outcomes under very narrow conditions.</w:t>
      </w:r>
      <w:r>
        <w:t xml:space="preserve"> </w:t>
      </w:r>
      <w:r>
        <w:t xml:space="preserve">Lobbying coalitions are more successful when they mobilize more members of Congress, but legislators disproportionately align with private interest (e.g., business-led) coalitions, not the public interest coalitions that run most public pressure campaigns.</w:t>
      </w:r>
    </w:p>
    <w:p>
      <w:pPr>
        <w:pStyle w:val="BodyText"/>
      </w:pPr>
      <w:r>
        <w:t xml:space="preserve">These new data also allow me to assess the discursive effects of the climate and environmental justice movements. I find that agencies are more likely to add language addressing climate change or environmental justice in their final rules when public comments raise concerns about climate change or environmental justice. However, the representation of both movements in federal policymaking is limited to a small number of national advocacy organizations. When less-well-resourced groups raise concerns about climate change or environmental justice, their concerns are almost always ignored.</w:t>
      </w:r>
    </w:p>
    <w:bookmarkEnd w:id="24"/>
    <w:bookmarkEnd w:id="25"/>
    <w:bookmarkStart w:id="26" w:name="X2b919e6bcbe30256111140203ce0a62508b94f8"/>
    <w:p>
      <w:pPr>
        <w:pStyle w:val="Heading1"/>
      </w:pPr>
      <w:r>
        <w:rPr>
          <w:rStyle w:val="SectionNumber"/>
        </w:rPr>
        <w:t xml:space="preserve">2</w:t>
      </w:r>
      <w:r>
        <w:tab/>
      </w:r>
      <w:r>
        <w:t xml:space="preserve">Challenges and Opportunities in Studying Political Texts</w:t>
      </w:r>
    </w:p>
    <w:p>
      <w:pPr>
        <w:pStyle w:val="FirstParagraph"/>
      </w:pPr>
      <w:r>
        <w:t xml:space="preserve">Studying political texts found in the wild presents several methodological challenges. Some of these challenges are shared by other kinds of texts, such as open-ended responses to questions, surveys, and lab experiments, but this paper mainly focuses on texts generated by real-world politics.</w:t>
      </w:r>
    </w:p>
    <w:p>
      <w:pPr>
        <w:pStyle w:val="BodyText"/>
      </w:pPr>
      <w:r>
        <w:t xml:space="preserve">Unlike experimental contexts where the outcome is the difference in words or phrases used across treatment groups, differences in observational texts arise in systematic ways from the political process we aim to study. Open-ended survey responses often reflect rhetoric from media or political campaigns. Texts generated by political campaigns are even more directly linked. For example, letter-writing campaigns targeting government officials almost always provide talking points or letter templates; the processes generating political action simultaneously generate the text that government officials and political scientists observe. Likewise, social media posts and protest signs employ shared slogans and hashtags. Words represent ideas and issue frames by which campaigns aim to affect politics and policy.</w:t>
      </w:r>
    </w:p>
    <w:p>
      <w:pPr>
        <w:pStyle w:val="BodyText"/>
      </w:pPr>
      <w:r>
        <w:t xml:space="preserve">At the same time, because texts are generated in rich political contexts, much is often left unsaid. Slogans, hashtags, vague policy demands, and even petitions often have much more politically-relevant meaning in light of the policy fight for which they were generated. Moreover, individuals may not even be aware of the implicit demands of their words. Respondents may demand that government</w:t>
      </w:r>
      <w:r>
        <w:t xml:space="preserve"> </w:t>
      </w:r>
      <w:r>
        <w:t xml:space="preserve">“</w:t>
      </w:r>
      <w:r>
        <w:t xml:space="preserve">act on climate,</w:t>
      </w:r>
      <w:r>
        <w:t xml:space="preserve">”</w:t>
      </w:r>
      <w:r>
        <w:t xml:space="preserve"> </w:t>
      </w:r>
      <w:r>
        <w:t xml:space="preserve">but whether these words mean regulating power plants, tax credits for electric cars, or using the Defense Production Act to require firms to manufacture heat pumps depends on the political context in which those words were deployed.</w:t>
      </w:r>
    </w:p>
    <w:p>
      <w:pPr>
        <w:pStyle w:val="BodyText"/>
      </w:pPr>
      <w:r>
        <w:t xml:space="preserve">Any study of political texts must be informed by the key observation that politics is organized. Generally, people need to be mobilized to engage in politics.</w:t>
      </w:r>
    </w:p>
    <w:p>
      <w:pPr>
        <w:pStyle w:val="BlockText"/>
      </w:pPr>
      <w:r>
        <w:t xml:space="preserve">TODO: HOW THE ORGANIZATIONAL BASIS OF POLITICS SHAPES HOW WE MUST ANALYZE POLITICAL TEXTS</w:t>
      </w:r>
    </w:p>
    <w:bookmarkEnd w:id="26"/>
    <w:bookmarkStart w:id="30" w:name="hand-coding-dynamic-data"/>
    <w:p>
      <w:pPr>
        <w:pStyle w:val="Heading1"/>
      </w:pPr>
      <w:r>
        <w:rPr>
          <w:rStyle w:val="SectionNumber"/>
        </w:rPr>
        <w:t xml:space="preserve">3</w:t>
      </w:r>
      <w:r>
        <w:tab/>
      </w:r>
      <w:r>
        <w:t xml:space="preserve">Hand-coding Dynamic Data</w:t>
      </w:r>
    </w:p>
    <w:p>
      <w:pPr>
        <w:pStyle w:val="FirstParagraph"/>
      </w:pPr>
      <w:r>
        <w:t xml:space="preserve">Before reviewing specific tools and methods, I briefly address the broader data management system that makes iterative hand-coding and computational text analysis feasible in a team setting.</w:t>
      </w:r>
      <w:r>
        <w:t xml:space="preserve"> </w:t>
      </w:r>
      <w:r>
        <w:t xml:space="preserve">If working alone, a researcher may take an iterative approach without little additional infrastructure. One can generate a document to hand-code, code it, re-run the automated tools, and generate a second document. However, the logistics of a team setting require that computational work and hand-coding happen more or less simultaneously. It is inefficient to distribute one document at a time to coders and make them wait until all coders are done with the first document to re-run the automated tools.</w:t>
      </w:r>
    </w:p>
    <w:p>
      <w:pPr>
        <w:pStyle w:val="BodyText"/>
      </w:pPr>
      <w:r>
        <w:t xml:space="preserve">Here, I focus on a workflow using Google Sheets and Drive, but a similar workflow could be achieved with other, similar software.</w:t>
      </w:r>
      <w:r>
        <w:t xml:space="preserve"> </w:t>
      </w:r>
      <w:r>
        <w:t xml:space="preserve">A key feature of google sheets is that edits are visible to all users simultaneously. There is no need to send updated documents; all team members always have access to the most current version of the data.</w:t>
      </w:r>
      <w:r>
        <w:t xml:space="preserve"> </w:t>
      </w:r>
      <w:r>
        <w:t xml:space="preserve">A second key feature of google sheets is that they can be accessed and edited with the</w:t>
      </w:r>
      <w:r>
        <w:t xml:space="preserve"> </w:t>
      </w:r>
      <w:r>
        <w:rPr>
          <w:rStyle w:val="VerbatimChar"/>
        </w:rPr>
        <w:t xml:space="preserve">googlesheets4</w:t>
      </w:r>
      <w:r>
        <w:t xml:space="preserve"> </w:t>
      </w:r>
      <w:r>
        <w:t xml:space="preserve">R package. A single R script can pull in updates to the data, use hand-coded data to update algorithms (more on this below), generate a computationally improved version of the data, and immediately update the sheet the hand-coder sees with the improved data.</w:t>
      </w:r>
      <w:r>
        <w:t xml:space="preserve"> </w:t>
      </w:r>
      <w:r>
        <w:t xml:space="preserve">Finally, users can include hyperlinks in sheet cells.</w:t>
      </w:r>
      <w:r>
        <w:t xml:space="preserve"> </w:t>
      </w:r>
      <w:r>
        <w:t xml:space="preserve">Hyperlinks are easy to generate automatically and can helpfully point to needed documents.</w:t>
      </w:r>
    </w:p>
    <w:p>
      <w:pPr>
        <w:pStyle w:val="BodyText"/>
      </w:pPr>
      <w:r>
        <w:t xml:space="preserve">For the task of coding comments on draft agency rules, I generated initial spreadsheets for each with between 1 and 737 comments. Where a rule received a small number of comments, the spreadsheet contained all comments on the rule. For rules with thousands or millions of comments, I selected key comments for hand coding as described in Section</w:t>
      </w:r>
      <w:r>
        <w:t xml:space="preserve"> </w:t>
      </w:r>
      <w:r>
        <w:t xml:space="preserve">??</w:t>
      </w:r>
      <w:r>
        <w:t xml:space="preserve">.</w:t>
      </w:r>
    </w:p>
    <w:p>
      <w:pPr>
        <w:pStyle w:val="BlockText"/>
      </w:pPr>
      <w:r>
        <w:t xml:space="preserve">TODO: MORE ON SPREADSHEET STRUCTURE AND WORKFLOW. MAYBE A DIAGRAM?</w:t>
      </w:r>
    </w:p>
    <w:p>
      <w:pPr>
        <w:pStyle w:val="BlockText"/>
      </w:pPr>
      <w:r>
        <w:t xml:space="preserve">NOTE: THIS FIGURE DOES NOT SHOW SEVERAL KEY COLUMNS: I’M NOT SURE HOW TO PRESENT THE WHOLE THING.</w:t>
      </w:r>
    </w:p>
    <w:p>
      <w:pPr>
        <w:pStyle w:val="CaptionedFigure"/>
      </w:pPr>
      <w:r>
        <w:drawing>
          <wp:inline>
            <wp:extent cx="5334000" cy="2613095"/>
            <wp:effectExtent b="0" l="0" r="0" t="0"/>
            <wp:docPr descr="Figure 1.1: Example Coded Comments in a Google Sheet" title="" id="28" name="Picture"/>
            <a:graphic>
              <a:graphicData uri="http://schemas.openxmlformats.org/drawingml/2006/picture">
                <pic:pic>
                  <pic:nvPicPr>
                    <pic:cNvPr descr="/Users/devin/dissertation/docs/figs/datasheet.png" id="29" name="Picture"/>
                    <pic:cNvPicPr>
                      <a:picLocks noChangeArrowheads="1" noChangeAspect="1"/>
                    </pic:cNvPicPr>
                  </pic:nvPicPr>
                  <pic:blipFill>
                    <a:blip r:embed="rId27"/>
                    <a:stretch>
                      <a:fillRect/>
                    </a:stretch>
                  </pic:blipFill>
                  <pic:spPr bwMode="auto">
                    <a:xfrm>
                      <a:off x="0" y="0"/>
                      <a:ext cx="5334000" cy="2613095"/>
                    </a:xfrm>
                    <a:prstGeom prst="rect">
                      <a:avLst/>
                    </a:prstGeom>
                    <a:noFill/>
                    <a:ln w="9525">
                      <a:noFill/>
                      <a:headEnd/>
                      <a:tailEnd/>
                    </a:ln>
                  </pic:spPr>
                </pic:pic>
              </a:graphicData>
            </a:graphic>
          </wp:inline>
        </w:drawing>
      </w:r>
    </w:p>
    <w:p>
      <w:pPr>
        <w:pStyle w:val="ImageCaption"/>
      </w:pPr>
      <w:r>
        <w:t xml:space="preserve">Figure 1.1: Example Coded Comments in a Google Sheet</w:t>
      </w:r>
    </w:p>
    <w:p>
      <w:pPr>
        <w:pStyle w:val="BodyText"/>
      </w:pPr>
      <w:r>
        <w:t xml:space="preserve">A team of 15 coders worked in separate spreadsheets. For training and in order to assess intercoder reliablity, we initially coded the same comments on the same rules. Once calibrated, coders worked on separate rules. As information about organizations, coalitions, and policy demands was recorded, the google drive API allowed it to be pulled in and analyzed in real-time.</w:t>
      </w:r>
    </w:p>
    <w:p>
      <w:pPr>
        <w:pStyle w:val="BodyText"/>
      </w:pPr>
      <w:r>
        <w:t xml:space="preserve">One advantage of real-time analysis was the ability to systematically check for irregularities in coders’ work.</w:t>
      </w:r>
    </w:p>
    <w:p>
      <w:pPr>
        <w:pStyle w:val="BlockText"/>
      </w:pPr>
      <w:r>
        <w:t xml:space="preserve">TODO: MORE ON CODER CHECKS</w:t>
      </w:r>
    </w:p>
    <w:p>
      <w:pPr>
        <w:pStyle w:val="FirstParagraph"/>
      </w:pPr>
      <w:r>
        <w:t xml:space="preserve">Additionally, the new information provided by coders allowed constant updates of algorithms that auto-coded organizations and coalitions, as described in Section</w:t>
      </w:r>
      <w:r>
        <w:t xml:space="preserve"> </w:t>
      </w:r>
      <w:r>
        <w:t xml:space="preserve">??</w:t>
      </w:r>
      <w:r>
        <w:t xml:space="preserve">. Updated auto-coding automatically populated the google sheets, reducing the remaining work for coders.</w:t>
      </w:r>
      <w:r>
        <w:t xml:space="preserve"> </w:t>
      </w:r>
      <w:r>
        <w:t xml:space="preserve">Similarly, information from ongoing coding improved the selection of informative comments, often reducing the number of remaining comments requiring coding, as described in section</w:t>
      </w:r>
      <w:r>
        <w:t xml:space="preserve"> </w:t>
      </w:r>
      <w:r>
        <w:t xml:space="preserve">??</w:t>
      </w:r>
      <w:r>
        <w:t xml:space="preserve">.</w:t>
      </w:r>
    </w:p>
    <w:p>
      <w:pPr>
        <w:pStyle w:val="BlockText"/>
      </w:pPr>
      <w:r>
        <w:t xml:space="preserve">TODO: MORE ON CODER WORKFLOW</w:t>
      </w:r>
    </w:p>
    <w:bookmarkEnd w:id="30"/>
    <w:bookmarkStart w:id="39" w:name="ittereatve-processing"/>
    <w:p>
      <w:pPr>
        <w:pStyle w:val="Heading1"/>
      </w:pPr>
      <w:r>
        <w:rPr>
          <w:rStyle w:val="SectionNumber"/>
        </w:rPr>
        <w:t xml:space="preserve">4</w:t>
      </w:r>
      <w:r>
        <w:tab/>
      </w:r>
      <w:r>
        <w:t xml:space="preserve">Ittereatve Processing</w:t>
      </w:r>
    </w:p>
    <w:p>
      <w:pPr>
        <w:pStyle w:val="FirstParagraph"/>
      </w:pPr>
      <w:r>
        <w:t xml:space="preserve">The computational tasks discussed in this section are typically seen as</w:t>
      </w:r>
      <w:r>
        <w:t xml:space="preserve"> </w:t>
      </w:r>
      <w:r>
        <w:t xml:space="preserve">“</w:t>
      </w:r>
      <w:r>
        <w:t xml:space="preserve">preprocessing</w:t>
      </w:r>
      <w:r>
        <w:t xml:space="preserve">”</w:t>
      </w:r>
      <w:r>
        <w:t xml:space="preserve"> </w:t>
      </w:r>
      <w:r>
        <w:t xml:space="preserve">steps. In this section, I briefly describe several preprocessing steps but focus on steps that can often be done more iteratively.</w:t>
      </w:r>
    </w:p>
    <w:bookmarkStart w:id="35" w:name="Xa9d9c347f937dd0cc89f4b11a9d3bb7a1e463ec"/>
    <w:p>
      <w:pPr>
        <w:pStyle w:val="Heading2"/>
      </w:pPr>
      <w:r>
        <w:rPr>
          <w:rStyle w:val="SectionNumber"/>
        </w:rPr>
        <w:t xml:space="preserve">4.1</w:t>
      </w:r>
      <w:r>
        <w:tab/>
      </w:r>
      <w:r>
        <w:t xml:space="preserve">Preprocessing: digitizing, cleaning, and summarizing</w:t>
      </w:r>
    </w:p>
    <w:p>
      <w:pPr>
        <w:pStyle w:val="FirstParagraph"/>
      </w:pPr>
      <w:r>
        <w:t xml:space="preserve">In many cases, using text data requires that we first extract it from pdf. BLA BLA BLA</w:t>
      </w:r>
    </w:p>
    <w:p>
      <w:pPr>
        <w:pStyle w:val="BodyText"/>
      </w:pPr>
      <w:r>
        <w:t xml:space="preserve">Where documents are longer than a paragraph, hand-coding can often be sped up by providing a computer-generated summary of the document. Relevant summary information depends on the aim of hand-coding.</w:t>
      </w:r>
    </w:p>
    <w:p>
      <w:pPr>
        <w:pStyle w:val="BodyText"/>
      </w:pPr>
      <w:r>
        <w:t xml:space="preserve">For coding public comments, I provided two types of summary information, both using actual sentences in the document.</w:t>
      </w:r>
    </w:p>
    <w:p>
      <w:pPr>
        <w:pStyle w:val="BodyText"/>
      </w:pPr>
      <w:r>
        <w:t xml:space="preserve">First, I provided a three-sentence summary of the document using the</w:t>
      </w:r>
      <w:r>
        <w:t xml:space="preserve"> </w:t>
      </w:r>
      <w:r>
        <w:rPr>
          <w:rStyle w:val="VerbatimChar"/>
        </w:rPr>
        <w:t xml:space="preserve">textrank</w:t>
      </w:r>
      <w:r>
        <w:t xml:space="preserve"> </w:t>
      </w:r>
      <w:r>
        <w:t xml:space="preserve">software to identify the three sentences intended to be representative of the document.</w:t>
      </w:r>
      <w:r>
        <w:rPr>
          <w:rStyle w:val="FootnoteReference"/>
        </w:rPr>
        <w:footnoteReference w:id="31"/>
      </w:r>
      <w:r>
        <w:t xml:space="preserve"> </w:t>
      </w:r>
      <w:r>
        <w:t xml:space="preserve">Indeed federal agencies and their consultants use this same software when creating their own summaries of comments.</w:t>
      </w:r>
      <w:r>
        <w:t xml:space="preserve"> </w:t>
      </w:r>
      <w:r>
        <w:t xml:space="preserve">Summarizing can be useful in several ways. For studying the impact of comments and pressure campaigns on agency rules, summaries of comments can provide codes with information about the commenter’s position, the coalition they belong to, and potentially some of their most important policy demands.</w:t>
      </w:r>
      <w:r>
        <w:t xml:space="preserve"> </w:t>
      </w:r>
      <w:r>
        <w:t xml:space="preserve">Summaries of policy documents can also be helpful. Agency rules average over eighty pages and are full of dense technical jargon. A two-sentence summary of each section can help coders get oriented to the rule and speed up finding the appropriate section to examine in order to assess whether the requested changes to the rule were made</w:t>
      </w:r>
      <w:r>
        <w:rPr>
          <w:rStyle w:val="FootnoteReference"/>
        </w:rPr>
        <w:footnoteReference w:id="33"/>
      </w:r>
    </w:p>
    <w:p>
      <w:pPr>
        <w:pStyle w:val="BodyText"/>
      </w:pPr>
      <w:r>
        <w:t xml:space="preserve">Second, I selected sentences that contained phrases of substantive import. Specifically, I extracted any sentences that contained</w:t>
      </w:r>
      <w:r>
        <w:t xml:space="preserve"> </w:t>
      </w:r>
      <w:r>
        <w:t xml:space="preserve">“</w:t>
      </w:r>
      <w:r>
        <w:t xml:space="preserve">climate change</w:t>
      </w:r>
      <w:r>
        <w:t xml:space="preserve">”</w:t>
      </w:r>
      <w:r>
        <w:t xml:space="preserve"> </w:t>
      </w:r>
      <w:r>
        <w:t xml:space="preserve">or</w:t>
      </w:r>
      <w:r>
        <w:t xml:space="preserve"> </w:t>
      </w:r>
      <w:r>
        <w:t xml:space="preserve">“</w:t>
      </w:r>
      <w:r>
        <w:t xml:space="preserve">environmental justice</w:t>
      </w:r>
      <w:r>
        <w:t xml:space="preserve">”</w:t>
      </w:r>
      <w:r>
        <w:t xml:space="preserve"> </w:t>
      </w:r>
      <w:r>
        <w:t xml:space="preserve">and put them into spreadsheet columns. This aided coders in paying special attention to policy demands related to these issues. It was also necessary for coding tasks specific to these issues. For example, where policy demands related to environmental justice were present, the coders recorded additional information, including whether the environmental justice demands were about local or national issues and whether they were the organization’s primary concern.</w:t>
      </w:r>
    </w:p>
    <w:bookmarkEnd w:id="35"/>
    <w:bookmarkStart w:id="38" w:name="X84b6a303cfe276336c91e5847f69f44f311522e"/>
    <w:p>
      <w:pPr>
        <w:pStyle w:val="Heading2"/>
      </w:pPr>
      <w:r>
        <w:rPr>
          <w:rStyle w:val="SectionNumber"/>
        </w:rPr>
        <w:t xml:space="preserve">4.2</w:t>
      </w:r>
      <w:r>
        <w:tab/>
      </w:r>
      <w:r>
        <w:t xml:space="preserve">Iterative entity tagging with dynamic regex tables</w:t>
      </w:r>
    </w:p>
    <w:p>
      <w:pPr>
        <w:pStyle w:val="FirstParagraph"/>
      </w:pPr>
      <w:r>
        <w:t xml:space="preserve">Through an iterative process of computational text analysis and hand-coding, I attribute comments to the organizations, campaigns, and broader coalitions that mobilized them.</w:t>
      </w:r>
      <w:r>
        <w:t xml:space="preserve"> </w:t>
      </w:r>
      <w:r>
        <w:t xml:space="preserve">I thus attribute each comment to both the organization behind it (its author if submitted by the organization or the mobilizing organization for form letters) and the coalition to which that organization belonged. I also identify comments submitted by elected officials, with special attention to members of the U.S. Congress.</w:t>
      </w:r>
      <w:r>
        <w:t xml:space="preserve"> </w:t>
      </w:r>
      <w:r>
        <w:t xml:space="preserve">This process involves using regular expressions to search comment texts and metadata for possible names. With a team of research assistants, I inspect a sample and link it or add it to a growing list of organizations known to comment. This corpus of known organizations is then included in the next text search.</w:t>
      </w:r>
    </w:p>
    <w:p>
      <w:pPr>
        <w:pStyle w:val="BodyText"/>
      </w:pPr>
      <w:r>
        <w:t xml:space="preserve">With this approach, I identify the organizations responsible for over 40 million comments, including all organizations responsible for mobilizing 100 or more comments with repeated text–either identical or partially unique texts containing shared language.</w:t>
      </w:r>
    </w:p>
    <w:p>
      <w:pPr>
        <w:pStyle w:val="BodyText"/>
      </w:pPr>
      <w:r>
        <w:t xml:space="preserve">NLP tools make entity extraction simple.</w:t>
      </w:r>
      <w:r>
        <w:t xml:space="preserve"> </w:t>
      </w:r>
      <w:r>
        <w:t xml:space="preserve"> </w:t>
      </w:r>
      <w:r>
        <w:t xml:space="preserve">However, political entities go by many aliases, often frustrating the linking of records. Because various datasets of entities are not created with regular expression matching in mind, few provide aliases or variants of names.</w:t>
      </w:r>
      <w:r>
        <w:t xml:space="preserve"> </w:t>
      </w:r>
      <w:r>
        <w:t xml:space="preserve">When datasets include substantial metadata, probabilistic record linking tools may help link imperfect records</w:t>
      </w:r>
      <w:r>
        <w:t xml:space="preserve"> </w:t>
      </w:r>
      <w:r>
        <w:t xml:space="preserve">(e.g.,</w:t>
      </w:r>
      <w:r>
        <w:t xml:space="preserve"> </w:t>
      </w:r>
      <w:hyperlink w:anchor="ref-fastlink">
        <w:r>
          <w:rPr>
            <w:rStyle w:val="Hyperlink"/>
          </w:rPr>
          <w:t xml:space="preserve">Enamorado, Fifield, and Imai 2017</w:t>
        </w:r>
      </w:hyperlink>
      <w:r>
        <w:t xml:space="preserve">)</w:t>
      </w:r>
      <w:r>
        <w:t xml:space="preserve">. However, researchers must often match records on name strings that may differ across datasets. Below, I outline two approaches to this task that can be done iteratively.</w:t>
      </w:r>
    </w:p>
    <w:bookmarkStart w:id="36" w:name="Xbe353314ebd95b24e9ea8fb8476f530da9c5168"/>
    <w:p>
      <w:pPr>
        <w:pStyle w:val="Heading3"/>
      </w:pPr>
      <w:r>
        <w:rPr>
          <w:rStyle w:val="SectionNumber"/>
        </w:rPr>
        <w:t xml:space="preserve">4.2.1</w:t>
      </w:r>
      <w:r>
        <w:tab/>
      </w:r>
      <w:r>
        <w:t xml:space="preserve">Consolidating entity name variants with regex tables</w:t>
      </w:r>
    </w:p>
    <w:p>
      <w:pPr>
        <w:pStyle w:val="FirstParagraph"/>
      </w:pPr>
      <w:r>
        <w:t xml:space="preserve">A regex table is one way to link multiple strings to a single entity. A regex table is a lookup table where one of the two columns is a regular expression. Regex tables are used by Google Tag Manager and other tools where a lookup table aims to capture a many-to-one relationship (e.g., many names for the same entity). For example, the Center for Responsive Politics tracks entities that donate to political campaigns or file lobbying disclosures. These data include the parent company or organization of each entity. For example, union locals are members of a national union, and subsidiary companies are owned by a parent company. A user could generate a regex table from these data by pasting all</w:t>
      </w:r>
      <w:r>
        <w:t xml:space="preserve"> </w:t>
      </w:r>
      <w:r>
        <w:t xml:space="preserve">“</w:t>
      </w:r>
      <w:r>
        <w:t xml:space="preserve">child</w:t>
      </w:r>
      <w:r>
        <w:t xml:space="preserve">”</w:t>
      </w:r>
      <w:r>
        <w:t xml:space="preserve"> </w:t>
      </w:r>
      <w:r>
        <w:t xml:space="preserve">organizations for each parent together with a regex</w:t>
      </w:r>
      <w:r>
        <w:t xml:space="preserve"> </w:t>
      </w:r>
      <w:r>
        <w:t xml:space="preserve">“</w:t>
      </w:r>
      <w:r>
        <w:t xml:space="preserve">or</w:t>
      </w:r>
      <w:r>
        <w:t xml:space="preserve">”</w:t>
      </w:r>
      <w:r>
        <w:t xml:space="preserve"> </w:t>
      </w:r>
      <w:r>
        <w:t xml:space="preserve">separator. Table</w:t>
      </w:r>
      <w:r>
        <w:t xml:space="preserve"> </w:t>
      </w:r>
      <w:r>
        <w:t xml:space="preserve">??</w:t>
      </w:r>
      <w:r>
        <w:t xml:space="preserve"> </w:t>
      </w:r>
      <w:r>
        <w:t xml:space="preserve">shows a regex table created from the Center for Responsive Politics lobbying data for the Teamsters Union (five aliases) and the company 3M (eight aliases).</w:t>
      </w:r>
    </w:p>
    <w:p>
      <w:pPr>
        <w:pStyle w:val="TableCaption"/>
      </w:pPr>
      <w:bookmarkStart w:id="bd98bdd9-dfb5-433e-8998-6c5385f75ba5" w:name="crp"/>
      <w:r>
        <w:rPr>
          <w:bCs/>
          <w:b/>
        </w:rPr>
        <w:t xml:space="preserve">Table 1.1:</w:t>
      </w:r>
      <w:r>
        <w:rPr>
          <w:bCs/>
          <w:b/>
        </w:rPr>
        <w:t xml:space="preserve"> </w:t>
      </w:r>
      <w:bookmarkEnd w:id="bd98bdd9-dfb5-433e-8998-6c5385f75ba5"/>
      <w:r>
        <w:t xml:space="preserve">Regex Table Created from Center For Responsive Politics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3"/>
        <w:gridCol w:w="7146"/>
      </w:tblGrid>
      <w:tr>
        <w:trPr>
          <w:cantSplit/>
          <w:trHeight w:val="32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parentName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pattern</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3M Co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3M Co|3M Cogent|3M Health Information Systems|Ceradyne|Cogent Systems|Hybrivet Systems</w:t>
            </w:r>
          </w:p>
        </w:tc>
      </w:tr>
      <w:tr>
        <w:trPr>
          <w:cantSplit/>
          <w:trHeight w:val="324"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Teamsters Union</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Brotherhood of Locomotive Engineers &amp; Trainmen|Brotherhood of Maint of Way Employ Div|New England Teamsters &amp; Trucking Pension|Teamsters Airline Express Delivery Div|Teamsters Local 357|Teamsters Union|Western Conf of Teamsters Pension Trust</w:t>
            </w:r>
          </w:p>
        </w:tc>
      </w:tr>
    </w:tbl>
    <w:p>
      <w:pPr>
        <w:pStyle w:val="BodyText"/>
      </w:pPr>
      <w:r>
        <w:t xml:space="preserve">The</w:t>
      </w:r>
      <w:r>
        <w:t xml:space="preserve"> </w:t>
      </w:r>
      <w:r>
        <w:rPr>
          <w:rStyle w:val="VerbatimChar"/>
        </w:rPr>
        <w:t xml:space="preserve">legislators</w:t>
      </w:r>
      <w:r>
        <w:t xml:space="preserve"> </w:t>
      </w:r>
      <w:r>
        <w:t xml:space="preserve">R package uses regex tables to identify U.S. legislators in text using various common permutations of legislator names (e.g.,</w:t>
      </w:r>
      <w:r>
        <w:t xml:space="preserve"> </w:t>
      </w:r>
      <w:r>
        <w:t xml:space="preserve">“</w:t>
      </w:r>
      <w:r>
        <w:t xml:space="preserve">Elizabeth Warren, Senator Warren|Warren, Elizabeth). As users provided nicknames, this package expands the regex pattern (e.g.,</w:t>
      </w:r>
      <w:r>
        <w:t xml:space="preserve">”</w:t>
      </w:r>
      <w:r>
        <w:t xml:space="preserve">Liz Warren”). Table</w:t>
      </w:r>
      <w:r>
        <w:t xml:space="preserve"> </w:t>
      </w:r>
      <w:r>
        <w:t xml:space="preserve">1.2</w:t>
      </w:r>
      <w:r>
        <w:t xml:space="preserve"> </w:t>
      </w:r>
      <w:r>
        <w:t xml:space="preserve">shows a regex table for members of the 117th Congress named Elizabeth. The</w:t>
      </w:r>
      <w:r>
        <w:t xml:space="preserve"> </w:t>
      </w:r>
      <w:r>
        <w:rPr>
          <w:rStyle w:val="VerbatimChar"/>
        </w:rPr>
        <w:t xml:space="preserve">legislators</w:t>
      </w:r>
      <w:r>
        <w:t xml:space="preserve"> </w:t>
      </w:r>
      <w:r>
        <w:t xml:space="preserve">package contains a second regex table of common typos, for example, those introduced by ORC (e.g., Senator Varren”) that can be used to replace strings as a preprocessing step that increases the number of legislators successfully matched by the main regex table. Table</w:t>
      </w:r>
      <w:r>
        <w:t xml:space="preserve"> </w:t>
      </w:r>
      <w:r>
        <w:t xml:space="preserve">1.3</w:t>
      </w:r>
      <w:r>
        <w:t xml:space="preserve"> </w:t>
      </w:r>
      <w:r>
        <w:t xml:space="preserve">shows a regex table for common typos or OCR-introduced errors for legislators named Elizabeth. Note that the misspelling</w:t>
      </w:r>
      <w:r>
        <w:t xml:space="preserve"> </w:t>
      </w:r>
      <w:r>
        <w:t xml:space="preserve">“</w:t>
      </w:r>
      <w:r>
        <w:t xml:space="preserve">Elezabeth</w:t>
      </w:r>
      <w:r>
        <w:t xml:space="preserve">”</w:t>
      </w:r>
      <w:r>
        <w:t xml:space="preserve"> </w:t>
      </w:r>
      <w:r>
        <w:t xml:space="preserve">is replaced by</w:t>
      </w:r>
      <w:r>
        <w:t xml:space="preserve"> </w:t>
      </w:r>
      <w:r>
        <w:t xml:space="preserve">“</w:t>
      </w:r>
      <w:r>
        <w:t xml:space="preserve">Elizabeth</w:t>
      </w:r>
      <w:r>
        <w:t xml:space="preserve">”</w:t>
      </w:r>
      <w:r>
        <w:t xml:space="preserve"> </w:t>
      </w:r>
      <w:r>
        <w:t xml:space="preserve">any time it appears in the provided text, potentially increasing matches for both members of Congress named Elizabeth.</w:t>
      </w:r>
    </w:p>
    <w:p>
      <w:pPr>
        <w:pStyle w:val="TableCaption"/>
      </w:pPr>
      <w:bookmarkStart w:id="a1944ad6-3e5a-4978-b0b4-f5ec51db176d" w:name="legislators"/>
      <w:r>
        <w:rPr>
          <w:bCs/>
          <w:b/>
        </w:rPr>
        <w:t xml:space="preserve">Table 1.2:</w:t>
      </w:r>
      <w:r>
        <w:rPr>
          <w:bCs/>
          <w:b/>
        </w:rPr>
        <w:t xml:space="preserve"> </w:t>
      </w:r>
      <w:bookmarkEnd w:id="a1944ad6-3e5a-4978-b0b4-f5ec51db176d"/>
      <w:r>
        <w:t xml:space="preserve">Regex Table from the</w:t>
      </w:r>
      <w:r>
        <w:t xml:space="preserve"> </w:t>
      </w:r>
      <w:r>
        <w:rPr>
          <w:rStyle w:val="VerbatimChar"/>
        </w:rPr>
        <w:t xml:space="preserve">legislators</w:t>
      </w:r>
      <w:r>
        <w:t xml:space="preserve"> </w:t>
      </w:r>
      <w:r>
        <w:t xml:space="preserve">R Packages, Legislators Named Elizabeth in the 117th Congress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65"/>
        <w:gridCol w:w="6448"/>
      </w:tblGrid>
      <w:tr>
        <w:trPr>
          <w:cantSplit/>
          <w:trHeight w:val="3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bioname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pattern</w:t>
            </w:r>
          </w:p>
        </w:tc>
      </w:tr>
      <w:tr>
        <w:trPr>
          <w:cantSplit/>
          <w:trHeight w:val="30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FLETCHER, Elizabeth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elizabeth fletcher|\be fletcher|\bna fletcher|(^|senator |representative )fletcher\b.{1,4}tx|fletcher, elizabeth|fletcher elizabeth|fletcher, e\b|representative fletcher\b.{1,4}tx</w:t>
            </w:r>
          </w:p>
        </w:tc>
      </w:tr>
      <w:tr>
        <w:trPr>
          <w:cantSplit/>
          <w:trHeight w:val="30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WARREN, Elizabeth</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4"/>
                <w:szCs w:val="4"/>
                <w:color w:val="000000"/>
              </w:rPr>
              <w:t xml:space="preserve">elizabeth warren|elizabeth herring|elizabeth ann warren|\be warren|elizabeth a warren|elizabeth herring warren|herring, elizabeth|herring, e\b|liz warren|liz ann warren|liz a warren|\bl warren|liz herring|(^|senator |representative )warren\b.{1,4}ma|warren, liz|warren, elizabeth|warren elizabeth|warren, e\b|warren, l\b|senator warren\b.{1,4}ma|e a warren</w:t>
            </w:r>
          </w:p>
        </w:tc>
      </w:tr>
    </w:tbl>
    <w:p>
      <w:pPr>
        <w:pStyle w:val="TableCaption"/>
      </w:pPr>
      <w:bookmarkStart w:id="3b8900af-6d3b-4b78-9670-18752f500559" w:name="typos"/>
      <w:r>
        <w:rPr>
          <w:bCs/>
          <w:b/>
        </w:rPr>
        <w:t xml:space="preserve">Table 1.3:</w:t>
      </w:r>
      <w:r>
        <w:rPr>
          <w:bCs/>
          <w:b/>
        </w:rPr>
        <w:t xml:space="preserve"> </w:t>
      </w:r>
      <w:bookmarkEnd w:id="3b8900af-6d3b-4b78-9670-18752f500559"/>
      <w:r>
        <w:t xml:space="preserve">Regex Table of Typos from the</w:t>
      </w:r>
      <w:r>
        <w:t xml:space="preserve"> </w:t>
      </w:r>
      <w:r>
        <w:rPr>
          <w:rStyle w:val="VerbatimChar"/>
        </w:rPr>
        <w:t xml:space="preserve">legislators</w:t>
      </w:r>
      <w:r>
        <w:t xml:space="preserve"> </w:t>
      </w:r>
      <w:r>
        <w:t xml:space="preserve">R Packages, Legislators Named Elizabeth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23"/>
        <w:gridCol w:w="2025"/>
      </w:tblGrid>
      <w:tr>
        <w:trPr>
          <w:cantSplit/>
          <w:trHeight w:val="605"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typos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correct</w:t>
            </w:r>
          </w:p>
        </w:tc>
      </w:tr>
      <w:tr>
        <w:trPr>
          <w:cantSplit/>
          <w:trHeight w:val="5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elezabeth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elizabeth</w:t>
            </w:r>
          </w:p>
        </w:tc>
      </w:tr>
      <w:tr>
        <w:trPr>
          <w:cantSplit/>
          <w:trHeight w:val="62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elizabeth( | [a-z]* )etsy($| |,|;)|etsy, elizabeth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elizabeth esty</w:t>
            </w:r>
          </w:p>
        </w:tc>
      </w:tr>
      <w:tr>
        <w:trPr>
          <w:cantSplit/>
          <w:trHeight w:val="626"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elizabeth( | [a-z]* )varren($| |,|;)|varren, elizabeth</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elizabeth warren</w:t>
            </w:r>
          </w:p>
        </w:tc>
      </w:tr>
    </w:tbl>
    <w:p>
      <w:pPr>
        <w:pStyle w:val="BodyText"/>
      </w:pPr>
      <w:r>
        <w:t xml:space="preserve">Initial regex tables can be developed inductively and deductively.</w:t>
      </w:r>
    </w:p>
    <w:p>
      <w:pPr>
        <w:pStyle w:val="BodyText"/>
      </w:pPr>
      <w:r>
        <w:t xml:space="preserve">Building regex tables inductively involves constructing from scratch tables of known entities found in the data. Building regex tables deductively involves using existing databases of organizations (e.g., organizations in the Center for Responsive Politics data) as search patterns. There are advantages and disadvantages to both approaches. Researchers will want to do both when confronting an unknown population of potential entities. When the full population of entities is known (e.g., searching a database of congressional letters for members of Congress), a deductive approach is sufficient.</w:t>
      </w:r>
    </w:p>
    <w:p>
      <w:pPr>
        <w:pStyle w:val="BodyText"/>
      </w:pPr>
      <w:r>
        <w:t xml:space="preserve">Inductively, I started with the metadata field for the comment author’s organization and then used entities from the text when this field was empty or useless (as it was for large sections of these data).</w:t>
      </w:r>
      <w:r>
        <w:br/>
      </w:r>
      <w:r>
        <w:t xml:space="preserve">Where metadata existed for commenting organizations, I first cleaned up strings by removing extra white space prefixes (e.g. </w:t>
      </w:r>
      <w:r>
        <w:t xml:space="preserve">“</w:t>
      </w:r>
      <w:r>
        <w:t xml:space="preserve">.* on behalf of</w:t>
      </w:r>
      <w:r>
        <w:t xml:space="preserve">”</w:t>
      </w:r>
      <w:r>
        <w:t xml:space="preserve">) and suffixes (e.g.,</w:t>
      </w:r>
      <w:r>
        <w:t xml:space="preserve"> </w:t>
      </w:r>
      <w:r>
        <w:t xml:space="preserve">“</w:t>
      </w:r>
      <w:r>
        <w:t xml:space="preserve">, LLC</w:t>
      </w:r>
      <w:r>
        <w:t xml:space="preserve">”</w:t>
      </w:r>
      <w:r>
        <w:t xml:space="preserve">). I then counted the frequency of all the strings appearing in this field. Many of the most frequent strings were aliases for the same organizations. These multiple aliases were the start of the inductive regex table. Using the inductive regex table to replace all strings with known organizations, I began the work of iteratively consolidating the list of most frequent commenters from the top (most frequent) down until every string that appeared more than 100 times was attached to a known organization or coded as useless (e.g.,</w:t>
      </w:r>
      <w:r>
        <w:t xml:space="preserve"> </w:t>
      </w:r>
      <w:r>
        <w:t xml:space="preserve">“</w:t>
      </w:r>
      <w:r>
        <w:t xml:space="preserve">anonymous</w:t>
      </w:r>
      <w:r>
        <w:t xml:space="preserve">”</w:t>
      </w:r>
      <w:r>
        <w:t xml:space="preserve">).</w:t>
      </w:r>
    </w:p>
    <w:p>
      <w:pPr>
        <w:pStyle w:val="BodyText"/>
      </w:pPr>
      <w:r>
        <w:t xml:space="preserve">I repeat this inductive process for comments that lacked useful metadata but now with entities extracted from the text. Like many political texts, public comments often mention many entities that are not the authors of the comment, especially the agency to whom the comment is addressed. Without manually inspecting the text of the comment, the secondary regex table of extracted entities (only used when the metadata was useless) was mainly reliable for short comments and form letters that did not contain citations and references to entities that were not (but a priori, could have been) a comment author. However, when provided to coders, this list of extracted entities helpfully provided a short list of potential authors. Human coders with an understanding of the politics of the particular policy process we’re often able to quickly pick out the correct, only plausible entity from the list of extracted entities. Thus, while only reliable for auto-coding comment authors in certain cases, extracted entities can also be seen as a useful form of summary metadata to speed up hand-coding.</w:t>
      </w:r>
    </w:p>
    <w:bookmarkEnd w:id="36"/>
    <w:bookmarkStart w:id="37" w:name="X02fb76bfa5ca93d95ef1a3a0ffaba0755e10565"/>
    <w:p>
      <w:pPr>
        <w:pStyle w:val="Heading3"/>
      </w:pPr>
      <w:r>
        <w:rPr>
          <w:rStyle w:val="SectionNumber"/>
        </w:rPr>
        <w:t xml:space="preserve">4.2.2</w:t>
      </w:r>
      <w:r>
        <w:tab/>
      </w:r>
      <w:r>
        <w:t xml:space="preserve">Iterative and-coded and adding to regex tables</w:t>
      </w:r>
    </w:p>
    <w:p>
      <w:pPr>
        <w:pStyle w:val="FirstParagraph"/>
      </w:pPr>
      <w:r>
        <w:t xml:space="preserve">Hand-coders frequently generate information that can improve regex tables like the ones above. Indeed, parent organizations are generally identified qualitatively by Center for Responsive Politics staff. The nicknames and typos included in the</w:t>
      </w:r>
      <w:r>
        <w:t xml:space="preserve"> </w:t>
      </w:r>
      <w:r>
        <w:rPr>
          <w:rStyle w:val="VerbatimChar"/>
        </w:rPr>
        <w:t xml:space="preserve">legislators</w:t>
      </w:r>
      <w:r>
        <w:t xml:space="preserve"> </w:t>
      </w:r>
      <w:r>
        <w:t xml:space="preserve">package were identified by dozens of research assistants who hand-coded texts known to contain the names of members of Congress.</w:t>
      </w:r>
    </w:p>
    <w:p>
      <w:pPr>
        <w:pStyle w:val="BodyText"/>
      </w:pPr>
      <w:r>
        <w:t xml:space="preserve">For the sample of rulemaking comments that were hand-coded, coders were provided any original metadata and the</w:t>
      </w:r>
      <w:r>
        <w:t xml:space="preserve"> </w:t>
      </w:r>
      <w:r>
        <w:t xml:space="preserve">“</w:t>
      </w:r>
      <w:r>
        <w:t xml:space="preserve">best guess</w:t>
      </w:r>
      <w:r>
        <w:t xml:space="preserve">”</w:t>
      </w:r>
      <w:r>
        <w:t xml:space="preserve"> </w:t>
      </w:r>
      <w:r>
        <w:t xml:space="preserve">organization from the inductive and deductive regex tables described above. Coders identified organizations where no entity was identified and occasionally corrected the method. For example, the initial inductive method coded</w:t>
      </w:r>
      <w:r>
        <w:t xml:space="preserve"> </w:t>
      </w:r>
      <w:r>
        <w:t xml:space="preserve">“</w:t>
      </w:r>
      <w:r>
        <w:t xml:space="preserve">Earthjustice on behalf of Alabama River Association</w:t>
      </w:r>
      <w:r>
        <w:t xml:space="preserve">”</w:t>
      </w:r>
      <w:r>
        <w:t xml:space="preserve"> </w:t>
      </w:r>
      <w:r>
        <w:t xml:space="preserve">as</w:t>
      </w:r>
      <w:r>
        <w:t xml:space="preserve"> </w:t>
      </w:r>
      <w:r>
        <w:t xml:space="preserve">“</w:t>
      </w:r>
      <w:r>
        <w:t xml:space="preserve">Alabama River Association.</w:t>
      </w:r>
      <w:r>
        <w:t xml:space="preserve">”</w:t>
      </w:r>
      <w:r>
        <w:t xml:space="preserve"> </w:t>
      </w:r>
      <w:r>
        <w:t xml:space="preserve">Hand-coders corrected this to Earthjustice, the main mobilizing organization responsible for the comment.</w:t>
      </w:r>
      <w:r>
        <w:t xml:space="preserve"> </w:t>
      </w:r>
      <w:r>
        <w:t xml:space="preserve">“</w:t>
      </w:r>
      <w:r>
        <w:t xml:space="preserve">Earthjustice on behalf of Alabama River Association</w:t>
      </w:r>
      <w:r>
        <w:t xml:space="preserve">”</w:t>
      </w:r>
      <w:r>
        <w:t xml:space="preserve"> </w:t>
      </w:r>
      <w:r>
        <w:t xml:space="preserve">was then added to the regex table such that any future occurrences would be codded as</w:t>
      </w:r>
      <w:r>
        <w:t xml:space="preserve"> </w:t>
      </w:r>
      <w:r>
        <w:t xml:space="preserve">“</w:t>
      </w:r>
      <w:r>
        <w:t xml:space="preserve">Earthjustice.</w:t>
      </w:r>
      <w:r>
        <w:t xml:space="preserve">”</w:t>
      </w:r>
    </w:p>
    <w:p>
      <w:pPr>
        <w:pStyle w:val="BodyText"/>
      </w:pPr>
      <w:r>
        <w:t xml:space="preserve">Likewise, starting from the premise that nearly all participation in rulemaking results from organized lobbying efforts, hand-coders searched for organizations behind comments.</w:t>
      </w:r>
      <w:r>
        <w:t xml:space="preserve"> </w:t>
      </w:r>
      <w:r>
        <w:t xml:space="preserve">For comments that do not include the name of an organization or elected official, coders used an internet search on portions of the comment’s text. This often identified the organization that provided the model letter text.</w:t>
      </w:r>
    </w:p>
    <w:p>
      <w:pPr>
        <w:pStyle w:val="BodyText"/>
      </w:pPr>
      <w:r>
        <w:t xml:space="preserve">Hand coders identified many organizations and variations of organization names that were not in the top 100 most frequent commenters or one of the existing databases.</w:t>
      </w:r>
      <w:r>
        <w:t xml:space="preserve"> </w:t>
      </w:r>
      <w:r>
        <w:t xml:space="preserve">As additional organizations were identified by hand, they were added to the regex tables.</w:t>
      </w:r>
      <w:r>
        <w:t xml:space="preserve"> </w:t>
      </w:r>
      <w:r>
        <w:t xml:space="preserve">As new organizations are added and new search patterns are added, regex tables grow. To the extent that the new organizations and patterns match yet-uncoded observations, the share of documents matching a known organization also grows. For documents selected for hand-coding, this means one less step. Once a coder has identified an alias, all observations they encounter in the future will have the correct organization tagged (i.e., the correct organization will already be filled in the spreadsheet).</w:t>
      </w:r>
    </w:p>
    <w:bookmarkEnd w:id="37"/>
    <w:bookmarkEnd w:id="38"/>
    <w:bookmarkEnd w:id="39"/>
    <w:bookmarkStart w:id="52" w:name="X1089a174e5e4e7515318db2e571ccbc42f948d3"/>
    <w:p>
      <w:pPr>
        <w:pStyle w:val="Heading1"/>
      </w:pPr>
      <w:r>
        <w:rPr>
          <w:rStyle w:val="SectionNumber"/>
        </w:rPr>
        <w:t xml:space="preserve">5</w:t>
      </w:r>
      <w:r>
        <w:tab/>
      </w:r>
      <w:r>
        <w:t xml:space="preserve">Identifying coalitions with iterative n-gram clustering and hand-coding</w:t>
      </w:r>
    </w:p>
    <w:p>
      <w:pPr>
        <w:pStyle w:val="FirstParagraph"/>
      </w:pPr>
      <w:r>
        <w:t xml:space="preserve">Because politics is organized combat</w:t>
      </w:r>
      <w:r>
        <w:t xml:space="preserve"> </w:t>
      </w:r>
      <w:r>
        <w:t xml:space="preserve">(</w:t>
      </w:r>
      <w:hyperlink w:anchor="ref-Hacker2010">
        <w:r>
          <w:rPr>
            <w:rStyle w:val="Hyperlink"/>
          </w:rPr>
          <w:t xml:space="preserve">Hacker and Pierson 2010</w:t>
        </w:r>
      </w:hyperlink>
      <w:r>
        <w:t xml:space="preserve">)</w:t>
      </w:r>
      <w:r>
        <w:t xml:space="preserve">, the proper unit of analysis for assessing the impact of lobbying and pressure campaigns is rarely the individual or individual organization. Instead, the proper unit of analysis is a lobbying coalition—a group of organizations advocating for the same policy changes in their comments on a draft rule.</w:t>
      </w:r>
      <w:r>
        <w:t xml:space="preserve"> </w:t>
      </w:r>
      <w:r>
        <w:t xml:space="preserve">Advocacy organizations work together on campaigns. For example, Save our Environment submitted both sophisticated comments and collected signatures from hundreds of thousands of people on several rulemaking dockets. Save our Environment is a small nonprofit with a simple WordPress website almost entirely dedicated to mobilizing public comments. It is run by The Partnership Project, a coalition of 20 of the largest environmental advocacy organizations in the United States,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r>
        <w:t xml:space="preserve">(</w:t>
      </w:r>
      <w:hyperlink w:anchor="ref-Saveourenvironment">
        <w:r>
          <w:rPr>
            <w:rStyle w:val="Hyperlink"/>
          </w:rPr>
          <w:t xml:space="preserve">Saveourenvironment.org 2021</w:t>
        </w:r>
      </w:hyperlink>
      <w:r>
        <w:t xml:space="preserve">)</w:t>
      </w:r>
      <w:r>
        <w:t xml:space="preserve">. Several Partnership Project members, including the Sierra Club, EarthJustice, and NRDC, also submitted technical comments and mobilized hundreds of thousands of their own supporters to comment separately on the same rules. These lobbying and mobilizing activities are not independent campaigns. These organizations and the people they mobilize are a coalition.</w:t>
      </w:r>
    </w:p>
    <w:p>
      <w:pPr>
        <w:pStyle w:val="BodyText"/>
      </w:pPr>
      <w:r>
        <w:t xml:space="preserve">To mobilize broader support, advocacy organizations often engage smaller organizations, which, in turn, mobilize their members and supporters, often with logistical support and funding from the larger national organization. For example, for the same campaign where the Gulf Restoration Network mobilized hundreds of restaurants that serve sustainable seafood, one of their larger coalition partners, the Pew Charitable Trusts, mobilized thousands of individuals, including members of the New York Underwater Photography Society. These smaller organizations did not identify themselves as part of Pew’s campaign, but their letters used almost identical language.</w:t>
      </w:r>
    </w:p>
    <w:p>
      <w:pPr>
        <w:pStyle w:val="BodyText"/>
      </w:pPr>
      <w:r>
        <w:t xml:space="preserve">Identifying which people and organizations belong to which coalition is thus a crucial first task for any study of public pressure campaigns.</w:t>
      </w:r>
      <w:r>
        <w:t xml:space="preserve"> </w:t>
      </w:r>
      <w:r>
        <w:t xml:space="preserve">I use several strategies to identify whether a pressure campaign mobilizes a given comment.</w:t>
      </w:r>
      <w:r>
        <w:t xml:space="preserve"> </w:t>
      </w:r>
      <w:r>
        <w:t xml:space="preserve">I first use textual similarity to identify</w:t>
      </w:r>
      <w:r>
        <w:t xml:space="preserve"> </w:t>
      </w:r>
      <w:r>
        <w:t xml:space="preserve">clusters of similar comments, reflecting formal and informal coalitions.</w:t>
      </w:r>
      <w:r>
        <w:t xml:space="preserve"> </w:t>
      </w:r>
      <w:r>
        <w:t xml:space="preserve">Comments with identical text indicate a coordinated campaign.</w:t>
      </w:r>
    </w:p>
    <w:p>
      <w:pPr>
        <w:pStyle w:val="BodyText"/>
      </w:pPr>
      <w:r>
        <w:t xml:space="preserve">To link individual comments and public pressure campaigns to the more sophisticated lobbying efforts that they support (if any), I identify the lobbying coalition(s) (if any) to which each comment belongs. Some individual commenters and organizations are unaffiliated with a broader lobbying coalition, but, as I show below, most people and organizations lobby in broader coalitions.</w:t>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many thousands of comments, it is</w:t>
      </w:r>
      <w:r>
        <w:t xml:space="preserve"> </w:t>
      </w:r>
      <w:r>
        <w:t xml:space="preserve">implausible that even the most unpopular position would achieve no</w:t>
      </w:r>
      <w:r>
        <w:t xml:space="preserve"> </w:t>
      </w:r>
      <w:r>
        <w:t xml:space="preserve">supportive responses. For example,</w:t>
      </w:r>
      <w:r>
        <w:t xml:space="preserve"> </w:t>
      </w:r>
      <w:r>
        <w:t xml:space="preserve">Potter (</w:t>
      </w:r>
      <w:hyperlink w:anchor="ref-Potter2017">
        <w:r>
          <w:rPr>
            <w:rStyle w:val="Hyperlink"/>
          </w:rPr>
          <w:t xml:space="preserve">2017</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 (These numbers are from Potter’s sample of EPA rules; the Sierra Club’s average is even larger in my sample; see Table</w:t>
      </w:r>
      <w:r>
        <w:t xml:space="preserve"> </w:t>
      </w:r>
      <w:r>
        <w:t xml:space="preserve">??</w:t>
      </w:r>
      <w:r>
        <w:t xml:space="preserve">.)</w:t>
      </w:r>
    </w:p>
    <w:p>
      <w:pPr>
        <w:pStyle w:val="BodyText"/>
      </w:pPr>
      <w:r>
        <w:t xml:space="preserve">Probabilistic clustering methods—especially unsupervised methods like k-means clustering and latent Dirichlet allocated topic models—have received a great deal of attention from methodologists, but there is less empirical work using these methods. In part, this may be a result of comment features of data that make unsupervised text models difficult. First, there are often an unknown number of dimensions of conflict in a given policy process. Additionally, there may be major dimensions of variation that do not map onto political conflict—for example, sophisticated organizations on both sides may use polite and technical language, resulting in similar word frequency distributions. In contrast, members of the mass public on both sides may be less polite. (2) some desired clusters (e.g., coalitions) often contain vastly more documents and have more diversity of word use within their coalition than between some members of a coalition and a small number of comments on the smaller side.</w:t>
      </w:r>
    </w:p>
    <w:p>
      <w:pPr>
        <w:pStyle w:val="BodyText"/>
      </w:pPr>
      <w:r>
        <w:t xml:space="preserve">To identify coalitions in rulemaking, I start with an approach that relies on text reuse. Text reuse is a much more robust indicator of a connection between documents than, for example, word frequencies. Long strings of words appearing in the same order are unlikely to appear by chance.</w:t>
      </w:r>
    </w:p>
    <w:bookmarkStart w:id="49" w:name="collapsing-form-letters-with-text-reuse"/>
    <w:p>
      <w:pPr>
        <w:pStyle w:val="Heading3"/>
      </w:pPr>
      <w:r>
        <w:rPr>
          <w:rStyle w:val="SectionNumber"/>
        </w:rPr>
        <w:t xml:space="preserve">5.0.1</w:t>
      </w:r>
      <w:r>
        <w:tab/>
      </w:r>
      <w:r>
        <w:t xml:space="preserve">Collapsing form letters with text reuse</w:t>
      </w:r>
    </w:p>
    <w:p>
      <w:pPr>
        <w:pStyle w:val="FirstParagraph"/>
      </w:pPr>
      <w:r>
        <w:t xml:space="preserve">I first identify comments that share text. I find that a 10-word (</w:t>
      </w:r>
      <w:r>
        <w:t xml:space="preserve">“</w:t>
      </w:r>
      <w:r>
        <w:t xml:space="preserve">10-gram</w:t>
      </w:r>
      <w:r>
        <w:t xml:space="preserve">”</w:t>
      </w:r>
      <w:r>
        <w:t xml:space="preserve">) phrase repeated across more than a few comments is either text copied from the proposed policy or language inspired or provided by an organized campaign. Thus, for each comment text, I first remove all 10-word phrases that appear in the proposed rule (including the preamble and call for comments). Then, I identify all comments that share ten-word phrases with 99 or more other comments. Finally, I collapse these form letter comments into one representative document for hand-coding. Text reuse thus allows me to code one sample document that is valid for all commenters using the same form letter.</w:t>
      </w:r>
    </w:p>
    <w:p>
      <w:pPr>
        <w:pStyle w:val="BodyText"/>
      </w:pPr>
      <w:r>
        <w:t xml:space="preserve">For each comment on a rulemaking docket, I identify the percent of words it shares with other comments using a 10-gram moving window function, looping over each</w:t>
      </w:r>
      <w:r>
        <w:t xml:space="preserve"> </w:t>
      </w:r>
      <w:r>
        <w:t xml:space="preserve">possible pair of texts to identify matches.</w:t>
      </w:r>
      <w:r>
        <w:rPr>
          <w:rStyle w:val="FootnoteReference"/>
        </w:rPr>
        <w:footnoteReference w:id="40"/>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same ten-word phrases) captures this alignment. When individuals use identical wording, I interpret that to mean they’re endorsing the same policy position as part of a lobbying coalition.</w:t>
      </w:r>
    </w:p>
    <w:p>
      <w:pPr>
        <w:pStyle w:val="BodyText"/>
      </w:pPr>
      <w:r>
        <w:t xml:space="preserve">Figure</w:t>
      </w:r>
      <w:r>
        <w:t xml:space="preserve"> </w:t>
      </w:r>
      <w:r>
        <w:t xml:space="preserve">1.2</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a perfect overlap with itself. Black squares off the diagonal indicate additional pairs of identical documents. For example, 100 percent of the words from Comment 95976 are part of some tengram that also appears in 95977 because the exact same comment was uploaded twice.</w:t>
      </w:r>
      <w:r>
        <w:t xml:space="preserve"> </w:t>
      </w:r>
      <w:r>
        <w:t xml:space="preserve">The cluster of grey tiles indicates a coalition of commenters using some identical text.</w:t>
      </w:r>
      <w:r>
        <w:t xml:space="preserve"> </w:t>
      </w:r>
      <w:r>
        <w:t xml:space="preserve">Comments</w:t>
      </w:r>
      <w:r>
        <w:t xml:space="preserve"> </w:t>
      </w:r>
      <w:hyperlink r:id="rId42">
        <w:r>
          <w:rPr>
            <w:rStyle w:val="Hyperlink"/>
          </w:rPr>
          <w:t xml:space="preserve">91130</w:t>
        </w:r>
      </w:hyperlink>
      <w:r>
        <w:t xml:space="preserve"> </w:t>
      </w:r>
      <w:r>
        <w:t xml:space="preserve">through</w:t>
      </w:r>
      <w:r>
        <w:t xml:space="preserve"> </w:t>
      </w:r>
      <w:hyperlink r:id="rId43">
        <w:r>
          <w:rPr>
            <w:rStyle w:val="Hyperlink"/>
          </w:rPr>
          <w:t xml:space="preserve">91156</w:t>
        </w:r>
      </w:hyperlink>
      <w:r>
        <w:t xml:space="preserve"> </w:t>
      </w:r>
      <w:r>
        <w:t xml:space="preserve">are all partial or exact matches. All are part of a mass comment campaign by Access Financial. The percent of the identical text is lower than many mass-comment campaigns because these are hand-written comments, but the n-gram method still picks up overlap in the OCRed text in the header and footer. Tengrams that appear in 100 or more comments indicate a mass comment campaign. Some agencies use similar</w:t>
      </w:r>
      <w:r>
        <w:t xml:space="preserve"> </w:t>
      </w:r>
      <w:r>
        <w:t xml:space="preserve">“</w:t>
      </w:r>
      <w:r>
        <w:t xml:space="preserve">de-duping</w:t>
      </w:r>
      <w:r>
        <w:t xml:space="preserve">”</w:t>
      </w:r>
      <w:r>
        <w:t xml:space="preserve"> </w:t>
      </w:r>
      <w:r>
        <w:t xml:space="preserve">software</w:t>
      </w:r>
      <w:r>
        <w:t xml:space="preserve"> </w:t>
      </w:r>
      <w:r>
        <w:t xml:space="preserve">(</w:t>
      </w:r>
      <w:hyperlink w:anchor="ref-Rinfret2021">
        <w:r>
          <w:rPr>
            <w:rStyle w:val="Hyperlink"/>
          </w:rPr>
          <w:t xml:space="preserve">Rinfret et al. 2021</w:t>
        </w:r>
      </w:hyperlink>
      <w:r>
        <w:t xml:space="preserve">)</w:t>
      </w:r>
      <w:r>
        <w:t xml:space="preserve"> </w:t>
      </w:r>
      <w:r>
        <w:t xml:space="preserve">and only provide a representative sample comment. In these cases, my linking method assumes that the example comment is representative, and I link these comments to others based on the text of the sample comment provided.</w:t>
      </w:r>
    </w:p>
    <w:p>
      <w:pPr>
        <w:pStyle w:val="CaptionedFigure"/>
      </w:pPr>
      <w:r>
        <w:drawing>
          <wp:inline>
            <wp:extent cx="5334000" cy="4211052"/>
            <wp:effectExtent b="0" l="0" r="0" t="0"/>
            <wp:docPr descr="Figure 1.2: Example: Identifying Coalitions by the Percent of Matching Text in a Sample of Public Comments" title="" id="45" name="Picture"/>
            <a:graphic>
              <a:graphicData uri="http://schemas.openxmlformats.org/drawingml/2006/picture">
                <pic:pic>
                  <pic:nvPicPr>
                    <pic:cNvPr descr="/Users/devin/dissertation/figs/comment_percent_match_plot.png" id="46" name="Picture"/>
                    <pic:cNvPicPr>
                      <a:picLocks noChangeArrowheads="1" noChangeAspect="1"/>
                    </pic:cNvPicPr>
                  </pic:nvPicPr>
                  <pic:blipFill>
                    <a:blip r:embed="rId44"/>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1.2: Example: Identifying Coalitions by the Percent of Matching Text in a Sample of Public Comments</w:t>
      </w:r>
    </w:p>
    <w:p>
      <w:pPr>
        <w:pStyle w:val="BodyText"/>
      </w:pPr>
      <w:r>
        <w:t xml:space="preserve">N-gram windows have advantages and disadvantages over other text-reuse methods. Compared to Smith-Waterman, n-gram matching is very fast.</w:t>
      </w:r>
      <w:r>
        <w:rPr>
          <w:rStyle w:val="FootnoteReference"/>
        </w:rPr>
        <w:footnoteReference w:id="47"/>
      </w:r>
    </w:p>
    <w:p>
      <w:pPr>
        <w:pStyle w:val="BodyText"/>
      </w:pPr>
      <w:r>
        <w:t xml:space="preserve">More importantly, n-gram matching is generally more inclusive of text that has been re-arranged.</w:t>
      </w:r>
      <w:r>
        <w:rPr>
          <w:rStyle w:val="FootnoteReference"/>
        </w:rPr>
        <w:footnoteReference w:id="48"/>
      </w:r>
      <w:r>
        <w:t xml:space="preserve"> </w:t>
      </w:r>
      <w:r>
        <w:t xml:space="preserve">The aim, in this case, is simply to identify texts that cross a minimum threshold of association that is unlikely to occur by chance. 10-gram text reuse is well-suited to this task.</w:t>
      </w:r>
    </w:p>
    <w:bookmarkEnd w:id="49"/>
    <w:bookmarkStart w:id="50" w:name="hand-coded-coalitions-and-key-demands"/>
    <w:p>
      <w:pPr>
        <w:pStyle w:val="Heading3"/>
      </w:pPr>
      <w:r>
        <w:rPr>
          <w:rStyle w:val="SectionNumber"/>
        </w:rPr>
        <w:t xml:space="preserve">5.0.2</w:t>
      </w:r>
      <w:r>
        <w:tab/>
      </w:r>
      <w:r>
        <w:t xml:space="preserve">Hand-coded coalitions and key demands</w:t>
      </w:r>
    </w:p>
    <w:p>
      <w:pPr>
        <w:pStyle w:val="FirstParagraph"/>
      </w:pPr>
      <w:r>
        <w:t xml:space="preserve">This approach differs from previous studies of mass comment campaigns in at least two ways. First, my methods allow me to identify coalitions consisting of multiple organizations. Previous studies measure mass comment campaigns at the organization level. For example,</w:t>
      </w:r>
      <w:r>
        <w:t xml:space="preserve"> </w:t>
      </w:r>
      <w:r>
        <w:t xml:space="preserve">Balla et al. (</w:t>
      </w:r>
      <w:hyperlink w:anchor="ref-Balla2020">
        <w:r>
          <w:rPr>
            <w:rStyle w:val="Hyperlink"/>
          </w:rPr>
          <w:t xml:space="preserve">2020</w:t>
        </w:r>
      </w:hyperlink>
      <w:r>
        <w:t xml:space="preserve">)</w:t>
      </w:r>
      <w:r>
        <w:t xml:space="preserve"> </w:t>
      </w:r>
      <w:r>
        <w:t xml:space="preserve">analyzes</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r>
        <w:t xml:space="preserve">Balla et al. (</w:t>
      </w:r>
      <w:hyperlink w:anchor="ref-Balla2020">
        <w:r>
          <w:rPr>
            <w:rStyle w:val="Hyperlink"/>
          </w:rPr>
          <w:t xml:space="preserve">2020</w:t>
        </w:r>
      </w:hyperlink>
      <w:r>
        <w:t xml:space="preserve">)</w:t>
      </w:r>
      <w:r>
        <w:t xml:space="preserve"> </w:t>
      </w:r>
      <w:r>
        <w:t xml:space="preserve">mean an organization’s campaign rather than a coalition’s campaign. Especially on EPA rules, there are rarely more than two or three coalitions engaging in public pressure campaigns–one of the environmental advocacy groups and their allies, another of regulated industry groups and their allies. Using organizations as the unit of analysis means that observations are far from independent. An analysis that counts one coalition’s campaign as 40 smaller</w:t>
      </w:r>
      <w:r>
        <w:t xml:space="preserve"> </w:t>
      </w:r>
      <w:r>
        <w:t xml:space="preserve">“</w:t>
      </w:r>
      <w:r>
        <w:t xml:space="preserve">campaigns</w:t>
      </w:r>
      <w:r>
        <w:t xml:space="preserve">”</w:t>
      </w:r>
      <w:r>
        <w:t xml:space="preserve"> </w:t>
      </w:r>
      <w:r>
        <w:t xml:space="preserve">with the same policy demands would count this one campaign as 40 observations.</w:t>
      </w:r>
    </w:p>
    <w:p>
      <w:pPr>
        <w:pStyle w:val="BodyText"/>
      </w:pPr>
      <w:r>
        <w:t xml:space="preserve">In contrast, my methods allow me to measure levels of public pressure and lobbying success per organization</w:t>
      </w:r>
      <w:r>
        <w:t xml:space="preserve"> </w:t>
      </w:r>
      <w:r>
        <w:rPr>
          <w:iCs/>
          <w:i/>
        </w:rPr>
        <w:t xml:space="preserve">and</w:t>
      </w:r>
      <w:r>
        <w:t xml:space="preserve"> </w:t>
      </w:r>
      <w:r>
        <w:t xml:space="preserve">per coalition. Like previous studies, I identify the organizations responsible for mobilizing comments. Where other studies leverage the fact that the EPA gathers substantially similar comments, I can identify mass comment campaigns across dozens of federal agencies. Additionally, I further link common efforts by multiple organizations lobbying in a broader coalition. This allows for analysis with the lobbying coalition as the unit of analysis. By measuring comments per coalition, both through hand-coding and text reuse, I capture different levels of public pressure than we would see if we were only to measure the number of comments per organization.</w:t>
      </w:r>
    </w:p>
    <w:p>
      <w:pPr>
        <w:pStyle w:val="BodyText"/>
      </w:pPr>
      <w:r>
        <w:t xml:space="preserve">The second major difference between my approach and previous research is that I do not compare policymakers’ responses to sophisticated comments to policymakers’ responses to mass comments. Rather, I</w:t>
      </w:r>
      <w:r>
        <w:t xml:space="preserve"> </w:t>
      </w:r>
      <w:r>
        <w:rPr>
          <w:iCs/>
          <w:i/>
        </w:rPr>
        <w:t xml:space="preserve">attribute</w:t>
      </w:r>
      <w:r>
        <w:t xml:space="preserve"> </w:t>
      </w:r>
      <w:r>
        <w:t xml:space="preserve">mass comments to organizations and coalitions that also submit sophisticated technical comments. The set of comparisons one makes is critical to any study of responsiveness or policy influence. Researchers may reach different conclusions if they compare different things. Consider a study comparing how agencies respond to Sierra Club form letters to how they respond to the Sierra Club’s sophisticated comments. Now consider a study that compares responsiveness to the Sierra Club’s sophisticated comments between rules where they did and did not run a mass comment campaign. A study comparing the average influence of form-letter comments to the average influence of sophisticated comments is very different from a study that compares the influence of two sets of sophisticated comments with different</w:t>
      </w:r>
      <w:r>
        <w:t xml:space="preserve"> </w:t>
      </w:r>
      <w:r>
        <w:rPr>
          <w:iCs/>
          <w:i/>
        </w:rPr>
        <w:t xml:space="preserve">levels</w:t>
      </w:r>
      <w:r>
        <w:t xml:space="preserve"> </w:t>
      </w:r>
      <w:r>
        <w:t xml:space="preserve">of public pressure behind them. Where previous studies take the former approach, I take the latter.</w:t>
      </w:r>
    </w:p>
    <w:bookmarkEnd w:id="50"/>
    <w:bookmarkStart w:id="51" w:name="X3a008c199583abc1db806fca97bcf39c7180944"/>
    <w:p>
      <w:pPr>
        <w:pStyle w:val="Heading3"/>
      </w:pPr>
      <w:r>
        <w:rPr>
          <w:rStyle w:val="SectionNumber"/>
        </w:rPr>
        <w:t xml:space="preserve">5.0.3</w:t>
      </w:r>
      <w:r>
        <w:tab/>
      </w:r>
      <w:r>
        <w:t xml:space="preserve">Iteratively adding coalition members with text reuse</w:t>
      </w:r>
    </w:p>
    <w:p>
      <w:pPr>
        <w:pStyle w:val="FirstParagraph"/>
      </w:pPr>
      <w:r>
        <w:t xml:space="preserve">As hand-coders added strings representing key policy demands, these bits of text provided an additional way to computationally identify coalitions. Because even sophisticated organizations collaborate on talking points and key policy demands, comments that shared these strings indicated a lobbying coalition. All other comments sharing these policy asks were thus automatically added to the coalition. This was especially helpful for astroturf groups that provide model public comments while obscuring their identities, especially the fact that they are centrally organized by the same lobbying firm.</w:t>
      </w:r>
    </w:p>
    <w:bookmarkEnd w:id="51"/>
    <w:bookmarkEnd w:id="52"/>
    <w:bookmarkStart w:id="54" w:name="select"/>
    <w:p>
      <w:pPr>
        <w:pStyle w:val="Heading1"/>
      </w:pPr>
      <w:r>
        <w:rPr>
          <w:rStyle w:val="SectionNumber"/>
        </w:rPr>
        <w:t xml:space="preserve">6</w:t>
      </w:r>
      <w:r>
        <w:tab/>
      </w:r>
      <w:r>
        <w:t xml:space="preserve">Selecting texts of high-inferential value</w:t>
      </w:r>
    </w:p>
    <w:p>
      <w:pPr>
        <w:pStyle w:val="FirstParagraph"/>
      </w:pPr>
      <w:r>
        <w:t xml:space="preserve">Beyond speeding up the process of identifying organizations and coalitions, the mix of hand-coding and computational methods described above enables a sampling approach that can provide much greater leverage than a random sample. When confronted with more observations than can reasonably be hand-coded, researchers often opt for a random sample with the intent that their conclusions will be representative. A random sample may miss important but sparse observations in many populations, especially populations heavily skewed to one side on a key dimension. For example, public interest groups frequently mobilize thousands of public comments while the major regulated industry only submits one. A random sample of comments on the Trump Administration’s Affordable Clean Energy Rule, for example, would almost be guaranteed to be 100% form-letter comments from environmentalists. This is deceptive in two ways. First, one might conclude that the environmentalists generally lacked sophisticated policy demands unless one drew one of the few comments from environmental lawyers. Second, unless one happens to draw the single comment from the American Petroleum Institute or a handful of other industry groups, one might erroneously conclude that regulated industry was absent. In fact, the regulated industry was much more successful in having their demands met than the environmental groups.</w:t>
      </w:r>
    </w:p>
    <w:p>
      <w:pPr>
        <w:pStyle w:val="BodyText"/>
      </w:pPr>
      <w:r>
        <w:t xml:space="preserve">Instead of a purely random sample, I seek samples representing key dimensions of variation in two ways: representative texts and key outlier texts. I select several samples of comments for hand-coding.</w:t>
      </w:r>
    </w:p>
    <w:p>
      <w:pPr>
        <w:pStyle w:val="BodyText"/>
      </w:pPr>
      <w:r>
        <w:t xml:space="preserve">One sample contains at least one comment from each group of 100 or more similar comments. As discussed above, I use text reuse to identify coalitions and select only one representative document for hand-coding. Because 99% of comments are form letters, collapsing from letters alone reduces the data by two orders of magnitude.</w:t>
      </w:r>
      <w:r>
        <w:t xml:space="preserve"> </w:t>
      </w:r>
      <w:r>
        <w:t xml:space="preserve">When the same organization mobilizes around more than one form letter, we can further collapse these form letters campaigns.</w:t>
      </w:r>
      <w:r>
        <w:t xml:space="preserve"> </w:t>
      </w:r>
      <w:r>
        <w:t xml:space="preserve">This census of form-letter comments allows me to make valid observations about public pressure campaigns across agencies and over time.</w:t>
      </w:r>
    </w:p>
    <w:p>
      <w:pPr>
        <w:pStyle w:val="BodyText"/>
      </w:pPr>
      <w:r>
        <w:t xml:space="preserve">Next, I take two samples from the population of rules and initially select all comments that either indicate they are from an organization or submit comments as an attached file.</w:t>
      </w:r>
      <w:r>
        <w:rPr>
          <w:rStyle w:val="FootnoteReference"/>
        </w:rPr>
        <w:footnoteReference w:id="53"/>
      </w:r>
      <w:r>
        <w:t xml:space="preserve"> </w:t>
      </w:r>
      <w:r>
        <w:t xml:space="preserve">This approach captures nearly all comments that are not formletters or bot-generated comments.^Individual citizens rarely engage without being part of an organized campaign.]</w:t>
      </w:r>
      <w:r>
        <w:t xml:space="preserve"> </w:t>
      </w:r>
      <w:r>
        <w:t xml:space="preserve">The first includes nearly all non-form letter comments on a random sample of 100 rules. A second sample includes nearly all non-form letter comments on another random sample of rules, weighted by the number of comments they received. These last two samples allow me to make inferences about lobbying coalitions that do and do not use public pressure campaigns.</w:t>
      </w:r>
    </w:p>
    <w:p>
      <w:pPr>
        <w:pStyle w:val="BodyText"/>
      </w:pPr>
      <w:r>
        <w:t xml:space="preserve">Second, I select outlier texts of high inferential values. Having auto-coded many organizations, I use organization metadata (including metadata created by iterative coding) to ensure that at least one comment from each type of organization is coded. Commenter types include nonprofits, businesses, elected officials, state governments, and tribal governments. Even if a regulated industry only submits one comment, this approach guarantees that it will be coded, thus enabling analysis of whose lobbying affects rules, even when the key texts might otherwise be lost in overwhelming volumes of text data.</w:t>
      </w:r>
      <w:r>
        <w:t xml:space="preserve"> </w:t>
      </w:r>
      <w:r>
        <w:t xml:space="preserve">Further, I screen documents for rare characteristics that indicate potentially important outlier observations. These include comments that are particularly long, sophisticated, from a known list of often influential organizations (e.g., the U.S. Chamber of Commerce or members of Congress), or that contain many file attachments (often scientific reports backing up their data.) A tiny percentage of public comments meet these criteria, but nearly all most influential comments meet these criteria.</w:t>
      </w:r>
      <w:r>
        <w:t xml:space="preserve"> </w:t>
      </w:r>
      <w:r>
        <w:t xml:space="preserve">Moreover, nearly all of the lead mobilizing groups—groups like Earthjustice and the Sierra Club—also submit long technical comments. Theoretically, the impact of any public pressure campaign should ultimately be observed in the impact of the technical comments of the mobilizers of public pressure.</w:t>
      </w:r>
    </w:p>
    <w:p>
      <w:pPr>
        <w:pStyle w:val="BodyText"/>
      </w:pPr>
      <w:r>
        <w:t xml:space="preserve">Rarely are there more than a hundred sophisticated comments on a given rule, even rules that receive over a million comments. Thus, the combined effect of employing these methods is to reduce the number of comments by up to four orders of magnitude on the most challenging rules (from one million to one hundred).</w:t>
      </w:r>
    </w:p>
    <w:p>
      <w:pPr>
        <w:pStyle w:val="BodyText"/>
      </w:pPr>
      <w:r>
        <w:t xml:space="preserve">As more comments on a rule are hand-coded, the number of comments selected for coding changes often decreases.</w:t>
      </w:r>
    </w:p>
    <w:p>
      <w:pPr>
        <w:pStyle w:val="BodyText"/>
      </w:pPr>
      <w:r>
        <w:t xml:space="preserve">I then identify the main substantive comment submitted by each organization’s staff or lawyers, which are usually much longer than supporting comments like form letters.</w:t>
      </w:r>
    </w:p>
    <w:bookmarkEnd w:id="54"/>
    <w:bookmarkStart w:id="62" w:name="X5ad497eab5cf797e8184b9c61b46521182a915b"/>
    <w:p>
      <w:pPr>
        <w:pStyle w:val="Heading1"/>
      </w:pPr>
      <w:r>
        <w:rPr>
          <w:rStyle w:val="SectionNumber"/>
        </w:rPr>
        <w:t xml:space="preserve">7</w:t>
      </w:r>
      <w:r>
        <w:tab/>
      </w:r>
      <w:r>
        <w:t xml:space="preserve">Inferring lobbying success from the success of others in a coalition</w:t>
      </w:r>
    </w:p>
    <w:p>
      <w:pPr>
        <w:pStyle w:val="FirstParagraph"/>
      </w:pPr>
      <w:r>
        <w:t xml:space="preserve">Comments selected for hand-coding are coded for their level of lobbying success. The extent to which the change between the draft and final rule aligned with their demands. The level of alignment between policy demands and policy outcomes is a standard approach for assessing lobbying success with these kinds of observational data</w:t>
      </w:r>
      <w:r>
        <w:t xml:space="preserve"> </w:t>
      </w:r>
      <w:r>
        <w:t xml:space="preserve">(</w:t>
      </w:r>
      <w:hyperlink w:anchor="ref-YackeeJOP2006">
        <w:r>
          <w:rPr>
            <w:rStyle w:val="Hyperlink"/>
            <w:bCs/>
            <w:b/>
          </w:rPr>
          <w:t xml:space="preserve">YackeeJOP2006?</w:t>
        </w:r>
      </w:hyperlink>
      <w:r>
        <w:t xml:space="preserve">)</w:t>
      </w:r>
      <w:r>
        <w:t xml:space="preserve">.</w:t>
      </w:r>
    </w:p>
    <w:p>
      <w:pPr>
        <w:pStyle w:val="BodyText"/>
      </w:pPr>
      <w:r>
        <w:t xml:space="preserve">The innovation in my approach is to use text reuse to automatically identify common policy demands across comments. Coders copy the text of the top three policy asks into three spreadsheet columns. I then search the text of all uncoded comments for these text strings. Where these text strings appear, I know that the commenter made the same policy demand, which necessarily had the same level of lobbying success, and likely belongs to the same lobbying coalition. Unless the other comments containing the same ask are of particularly high inferential value, as-good-as hand-coded coalition membership and lobbying success means that the additional comments containing the same policy ask no longer need to be coded by hand.</w:t>
      </w:r>
    </w:p>
    <w:p>
      <w:pPr>
        <w:pStyle w:val="BodyText"/>
      </w:pPr>
      <w:r>
        <w:t xml:space="preserve">When coders code the extent to which a policy demand was met.</w:t>
      </w:r>
    </w:p>
    <w:bookmarkStart w:id="60" w:name="commenter-demands"/>
    <w:p>
      <w:pPr>
        <w:pStyle w:val="Heading2"/>
      </w:pPr>
      <w:r>
        <w:rPr>
          <w:rStyle w:val="SectionNumber"/>
        </w:rPr>
        <w:t xml:space="preserve">7.1</w:t>
      </w:r>
      <w:r>
        <w:tab/>
      </w:r>
      <w:r>
        <w:t xml:space="preserve">Commenter demands</w:t>
      </w:r>
    </w:p>
    <w:p>
      <w:pPr>
        <w:pStyle w:val="FirstParagraph"/>
      </w:pPr>
      <w:r>
        <w:t xml:space="preserve">My approach to measuring lobbying success starts with policy demands raised in comments. The dimensions of conflict on which I judge lobbying success are those issues identified by commenters. Unlike other studies, the issues I use to assess lobbying success do not come from first reading the policy or any a priori concept of what each policy fight is about. Instead, I read the change between the draft and final rule with an eye for alignment with commenters’ requests (including requests that specific parts of the draft policy do not change.)</w:t>
      </w:r>
    </w:p>
    <w:p>
      <w:pPr>
        <w:pStyle w:val="BodyText"/>
      </w:pPr>
      <w:r>
        <w:t xml:space="preserve">Using commenter requests to identify the dimensions of the conflict has advantages and disadvantages. Compared to other potential measures of success, it is more likely to focus on things that commenters care about and miss policy issues that other, non-commenting segments of the public might care about.</w:t>
      </w:r>
    </w:p>
    <w:bookmarkStart w:id="59" w:name="spatial"/>
    <w:p>
      <w:pPr>
        <w:pStyle w:val="Heading3"/>
      </w:pPr>
      <w:r>
        <w:rPr>
          <w:rStyle w:val="SectionNumber"/>
        </w:rPr>
        <w:t xml:space="preserve">7.1.1</w:t>
      </w:r>
      <w:r>
        <w:tab/>
      </w:r>
      <w:r>
        <w:t xml:space="preserve">Coding Policy Positions</w:t>
      </w:r>
    </w:p>
    <w:p>
      <w:pPr>
        <w:pStyle w:val="FirstParagraph"/>
      </w:pPr>
      <w:r>
        <w:t xml:space="preserve">To assess whether organizations and their broader coalitions lobby unopposed or in opposition to other interests, I code the position of each organization on each proposed policy given the direction of change from the current policy. Specifically, I trained research assistants to place comments on a spatial scale relative to change between the status quo and proposed rule like the one shown in Figure</w:t>
      </w:r>
      <w:r>
        <w:t xml:space="preserve"> </w:t>
      </w:r>
      <w:r>
        <w:t xml:space="preserve">1.3</w:t>
      </w:r>
      <w:r>
        <w:t xml:space="preserve">. In Figure</w:t>
      </w:r>
      <w:r>
        <w:t xml:space="preserve"> </w:t>
      </w:r>
      <w:r>
        <w:t xml:space="preserve">1.3</w:t>
      </w:r>
      <w:r>
        <w:t xml:space="preserve">,</w:t>
      </w:r>
      <w:r>
        <w:t xml:space="preserve"> </w:t>
      </w:r>
      <m:oMath>
        <m:sSub>
          <m:e>
            <m:r>
              <m:t>x</m:t>
            </m:r>
          </m:e>
          <m:sub>
            <m:r>
              <m:t>1</m:t>
            </m:r>
          </m:sub>
        </m:sSub>
      </m:oMath>
      <w:r>
        <w:t xml:space="preserve"> </w:t>
      </w:r>
      <w:r>
        <w:t xml:space="preserve">is the current (status quo) policy and</w:t>
      </w:r>
      <w:r>
        <w:t xml:space="preserve"> </w:t>
      </w:r>
      <m:oMath>
        <m:sSub>
          <m:e>
            <m:r>
              <m:t>x</m:t>
            </m:r>
          </m:e>
          <m:sub>
            <m:r>
              <m:t>2</m:t>
            </m:r>
          </m:sub>
        </m:sSub>
      </m:oMath>
      <w:r>
        <w:t xml:space="preserve"> </w:t>
      </w:r>
      <w:r>
        <w:t xml:space="preserve">is the new proposed policy on which commenters are commenting. Let</w:t>
      </w:r>
      <w:r>
        <w:t xml:space="preserve"> </w:t>
      </w:r>
      <m:oMath>
        <m:sSub>
          <m:e>
            <m:r>
              <m:t>p</m:t>
            </m:r>
          </m:e>
          <m:sub>
            <m:r>
              <m:t>i</m:t>
            </m:r>
          </m:sub>
        </m:sSub>
      </m:oMath>
      <w:r>
        <w:t xml:space="preserve"> </w:t>
      </w:r>
      <w:r>
        <w:t xml:space="preserve">be commenter</w:t>
      </w:r>
      <w:r>
        <w:t xml:space="preserve"> </w:t>
      </w:r>
      <m:oMath>
        <m:r>
          <m:t>i</m:t>
        </m:r>
      </m:oMath>
      <w:r>
        <w:t xml:space="preserve">’s ideal policy. In Appendix</w:t>
      </w:r>
      <w:r>
        <w:t xml:space="preserve"> </w:t>
      </w:r>
      <w:r>
        <w:t xml:space="preserve">??</w:t>
      </w:r>
      <w:r>
        <w:t xml:space="preserve">, I formalize intuitions about why a commenter may comment and how it may influence a policymaker. Here, I merely aim to clarify the coding of policy support and opposition, which relies on the spatial coding of each comment (for more details, see the Codebook in Appendix</w:t>
      </w:r>
      <w:r>
        <w:t xml:space="preserve"> </w:t>
      </w:r>
      <w:r>
        <w:t xml:space="preserve">??</w:t>
      </w:r>
      <w:r>
        <w:t xml:space="preserve">).</w:t>
      </w:r>
    </w:p>
    <w:p>
      <w:pPr>
        <w:pStyle w:val="CaptionedFigure"/>
      </w:pPr>
      <w:r>
        <w:drawing>
          <wp:inline>
            <wp:extent cx="5334000" cy="3879272"/>
            <wp:effectExtent b="0" l="0" r="0" t="0"/>
            <wp:docPr descr="Figure 1.3: Coding the Spatial Position of Comments on Proposed Policy Changes" title="" id="56" name="Picture"/>
            <a:graphic>
              <a:graphicData uri="http://schemas.openxmlformats.org/drawingml/2006/picture">
                <pic:pic>
                  <pic:nvPicPr>
                    <pic:cNvPr descr="/Users/devin/dissertation/figs/spatial-coding-1.png" id="57" name="Picture"/>
                    <pic:cNvPicPr>
                      <a:picLocks noChangeArrowheads="1" noChangeAspect="1"/>
                    </pic:cNvPicPr>
                  </pic:nvPicPr>
                  <pic:blipFill>
                    <a:blip r:embed="rId55"/>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Figure 1.3: Coding the Spatial Position of Comments on Proposed Policy Changes</w:t>
      </w:r>
    </w:p>
    <w:p>
      <w:pPr>
        <w:pStyle w:val="BodyText"/>
      </w:pPr>
      <w:r>
        <w:t xml:space="preserve">In spatial models, whether an organization supports or opposes a proposed policy change generally depends on whether the policy is moving closer or further from its ideal policy. For example, if the ideal point of commenter</w:t>
      </w:r>
      <w:r>
        <w:t xml:space="preserve"> </w:t>
      </w:r>
      <m:oMath>
        <m:r>
          <m:t>1</m:t>
        </m:r>
      </m:oMath>
      <w:r>
        <w:t xml:space="preserve"> </w:t>
      </w:r>
      <w:r>
        <w:t xml:space="preserve">is the current policy (i.e.,</w:t>
      </w:r>
      <w:r>
        <w:t xml:space="preserve"> </w:t>
      </w:r>
      <m:oMath>
        <m:sSub>
          <m:e>
            <m:r>
              <m:t>p</m:t>
            </m:r>
          </m:e>
          <m:sub>
            <m:r>
              <m:t>1</m:t>
            </m:r>
          </m:sub>
        </m:sSub>
        <m:r>
          <m:rPr>
            <m:sty m:val="p"/>
          </m:rPr>
          <m:t>=</m:t>
        </m:r>
        <m:sSub>
          <m:e>
            <m:r>
              <m:t>x</m:t>
            </m:r>
          </m:e>
          <m:sub>
            <m:r>
              <m:t>1</m:t>
            </m:r>
          </m:sub>
        </m:sSub>
      </m:oMath>
      <w:r>
        <w:t xml:space="preserve">) or close to it, they will oppose any proposed change. Likewise, if the ideal point of commenter</w:t>
      </w:r>
      <w:r>
        <w:t xml:space="preserve"> </w:t>
      </w:r>
      <m:oMath>
        <m:r>
          <m:t>2</m:t>
        </m:r>
      </m:oMath>
      <w:r>
        <w:t xml:space="preserve"> </w:t>
      </w:r>
      <w:r>
        <w:t xml:space="preserve">is the new proposed policy (</w:t>
      </w:r>
      <m:oMath>
        <m:sSub>
          <m:e>
            <m:r>
              <m:t>p</m:t>
            </m:r>
          </m:e>
          <m:sub>
            <m:r>
              <m:t>2</m:t>
            </m:r>
          </m:sub>
        </m:sSub>
        <m:r>
          <m:rPr>
            <m:sty m:val="p"/>
          </m:rPr>
          <m:t>=</m:t>
        </m:r>
        <m:sSub>
          <m:e>
            <m:r>
              <m:t>x</m:t>
            </m:r>
          </m:e>
          <m:sub>
            <m:r>
              <m:t>2</m:t>
            </m:r>
          </m:sub>
        </m:sSub>
      </m:oMath>
      <w:r>
        <w:t xml:space="preserve">) or closer to it, they likely support the proposal.</w:t>
      </w:r>
    </w:p>
    <w:p>
      <w:pPr>
        <w:pStyle w:val="BodyText"/>
      </w:pPr>
      <w:r>
        <w:t xml:space="preserve">While potentially incompatible with an assumption of single-peaked preferences assumed by most models, commenters do occasionally oppose a policy change for moving insufficiently in their preferred direction (e.g., describing the proposal as</w:t>
      </w:r>
      <w:r>
        <w:t xml:space="preserve"> </w:t>
      </w:r>
      <w:r>
        <w:t xml:space="preserve">“</w:t>
      </w:r>
      <w:r>
        <w:t xml:space="preserve">too little</w:t>
      </w:r>
      <w:r>
        <w:t xml:space="preserve">”</w:t>
      </w:r>
      <w:r>
        <w:t xml:space="preserve"> </w:t>
      </w:r>
      <w:r>
        <w:t xml:space="preserve">or</w:t>
      </w:r>
      <w:r>
        <w:t xml:space="preserve"> </w:t>
      </w:r>
      <w:r>
        <w:t xml:space="preserve">“</w:t>
      </w:r>
      <w:r>
        <w:t xml:space="preserve">insufficient</w:t>
      </w:r>
      <w:r>
        <w:t xml:space="preserve">”</w:t>
      </w:r>
      <w:r>
        <w:t xml:space="preserve"> </w:t>
      </w:r>
      <w:r>
        <w:t xml:space="preserve">to gain their support). For example, if a commenter prefers a more extreme change and will not accept anything less than a certain level of change (</w:t>
      </w:r>
      <m:oMath>
        <m:sSub>
          <m:e>
            <m:r>
              <m:t>p</m:t>
            </m:r>
          </m:e>
          <m:sub>
            <m:r>
              <m:t>i</m:t>
            </m:r>
          </m:sub>
        </m:sSub>
        <m:r>
          <m:rPr>
            <m:sty m:val="p"/>
          </m:rPr>
          <m:t>≥</m:t>
        </m:r>
        <m:sSub>
          <m:e>
            <m:r>
              <m:t>x</m:t>
            </m:r>
          </m:e>
          <m:sub>
            <m:r>
              <m:t>3</m:t>
            </m:r>
          </m:sub>
        </m:sSub>
      </m:oMath>
      <w:r>
        <w:t xml:space="preserve">), they may oppose</w:t>
      </w:r>
      <w:r>
        <w:t xml:space="preserve"> </w:t>
      </w:r>
      <m:oMath>
        <m:sSub>
          <m:e>
            <m:r>
              <m:t>x</m:t>
            </m:r>
          </m:e>
          <m:sub>
            <m:r>
              <m:t>2</m:t>
            </m:r>
          </m:sub>
        </m:sSub>
      </m:oMath>
      <w:r>
        <w:t xml:space="preserve"> </w:t>
      </w:r>
      <w:r>
        <w:t xml:space="preserve">as</w:t>
      </w:r>
      <w:r>
        <w:t xml:space="preserve"> </w:t>
      </w:r>
      <w:r>
        <w:t xml:space="preserve">“</w:t>
      </w:r>
      <w:r>
        <w:t xml:space="preserve">insufficient.</w:t>
      </w:r>
      <w:r>
        <w:t xml:space="preserve">”</w:t>
      </w:r>
      <w:r>
        <w:t xml:space="preserve"> </w:t>
      </w:r>
      <w:r>
        <w:t xml:space="preserve">This is likely a result of the repeated game nature of policymaking, where commenters believe that rejecting a small change in their preferred direction (</w:t>
      </w:r>
      <m:oMath>
        <m:sSub>
          <m:e>
            <m:r>
              <m:t>x</m:t>
            </m:r>
          </m:e>
          <m:sub>
            <m:r>
              <m:t>2</m:t>
            </m:r>
          </m:sub>
        </m:sSub>
      </m:oMath>
      <w:r>
        <w:t xml:space="preserve">) now is likely to result in a more extreme and preferred change (</w:t>
      </w:r>
      <m:oMath>
        <m:sSub>
          <m:e>
            <m:r>
              <m:t>x</m:t>
            </m:r>
          </m:e>
          <m:sub>
            <m:r>
              <m:t>3</m:t>
            </m:r>
          </m:sub>
        </m:sSub>
      </m:oMath>
      <w:r>
        <w:t xml:space="preserve">) later.</w:t>
      </w:r>
    </w:p>
    <w:p>
      <w:pPr>
        <w:pStyle w:val="BodyText"/>
      </w:pPr>
      <w:r>
        <w:t xml:space="preserve">If a commenter made statements like</w:t>
      </w:r>
      <w:r>
        <w:t xml:space="preserve"> </w:t>
      </w:r>
      <w:r>
        <w:t xml:space="preserve">“</w:t>
      </w:r>
      <w:r>
        <w:t xml:space="preserve">We need stronger, not weaker regulations</w:t>
      </w:r>
      <w:r>
        <w:t xml:space="preserve">”</w:t>
      </w:r>
      <w:r>
        <w:t xml:space="preserve"> </w:t>
      </w:r>
      <w:r>
        <w:t xml:space="preserve">or</w:t>
      </w:r>
      <w:r>
        <w:t xml:space="preserve"> </w:t>
      </w:r>
      <w:r>
        <w:t xml:space="preserve">“</w:t>
      </w:r>
      <w:r>
        <w:t xml:space="preserve">These regulations are already bad for our business, we should not make them even more strict,</w:t>
      </w:r>
      <w:r>
        <w:t xml:space="preserve">”</w:t>
      </w:r>
      <w:r>
        <w:t xml:space="preserve"> </w:t>
      </w:r>
      <w:r>
        <w:t xml:space="preserve">they were coded as opposed to the proposed rule for moving in the wrong direction (</w:t>
      </w:r>
      <m:oMath>
        <m:sSub>
          <m:e>
            <m:r>
              <m:t>p</m:t>
            </m:r>
          </m:e>
          <m:sub>
            <m:r>
              <m:t>i</m:t>
            </m:r>
          </m:sub>
        </m:sSub>
        <m:r>
          <m:rPr>
            <m:sty m:val="p"/>
          </m:rPr>
          <m:t>&lt;</m:t>
        </m:r>
        <m:sSub>
          <m:e>
            <m:r>
              <m:t>x</m:t>
            </m:r>
          </m:e>
          <m:sub>
            <m:r>
              <m:t>1</m:t>
            </m:r>
          </m:sub>
        </m:sSub>
      </m:oMath>
      <w:r>
        <w:t xml:space="preserve">). If the commenter expressed a preference for the status quo over the proposed rule (</w:t>
      </w:r>
      <m:oMath>
        <m:sSub>
          <m:e>
            <m:r>
              <m:t>p</m:t>
            </m:r>
          </m:e>
          <m:sub>
            <m:r>
              <m:t>i</m:t>
            </m:r>
          </m:sub>
        </m:sSub>
        <m:r>
          <m:rPr>
            <m:sty m:val="p"/>
          </m:rPr>
          <m:t>=</m:t>
        </m:r>
        <m:sSub>
          <m:e>
            <m:r>
              <m:t>x</m:t>
            </m:r>
          </m:e>
          <m:sub>
            <m:r>
              <m:t>1</m:t>
            </m:r>
          </m:sub>
        </m:sSub>
      </m:oMath>
      <w:r>
        <w:t xml:space="preserve">), they were also coded as opposing the proposed rule.</w:t>
      </w:r>
    </w:p>
    <w:p>
      <w:pPr>
        <w:pStyle w:val="BodyText"/>
      </w:pPr>
      <w:r>
        <w:t xml:space="preserve">Conversely, when a comment included statements like</w:t>
      </w:r>
      <w:r>
        <w:t xml:space="preserve"> </w:t>
      </w:r>
      <w:r>
        <w:t xml:space="preserve">“</w:t>
      </w:r>
      <w:r>
        <w:t xml:space="preserve">we applaud EPA’s efforts to regulate, but would prefer less severe limits,</w:t>
      </w:r>
      <w:r>
        <w:t xml:space="preserve">”</w:t>
      </w:r>
      <w:r>
        <w:t xml:space="preserve"> </w:t>
      </w:r>
      <w:r>
        <w:t xml:space="preserve">this was coded as supporting the rule but asking for less change. If the commenter expressed unqualified support for the proposed rule (</w:t>
      </w:r>
      <m:oMath>
        <m:sSub>
          <m:e>
            <m:r>
              <m:t>p</m:t>
            </m:r>
          </m:e>
          <m:sub>
            <m:r>
              <m:t>i</m:t>
            </m:r>
          </m:sub>
        </m:sSub>
        <m:r>
          <m:rPr>
            <m:sty m:val="p"/>
          </m:rPr>
          <m:t>=</m:t>
        </m:r>
        <m:sSub>
          <m:e>
            <m:r>
              <m:t>x</m:t>
            </m:r>
          </m:e>
          <m:sub>
            <m:r>
              <m:t>2</m:t>
            </m:r>
          </m:sub>
        </m:sSub>
      </m:oMath>
      <w:r>
        <w:t xml:space="preserve">) or requested even more policy change (</w:t>
      </w:r>
      <m:oMath>
        <m:sSub>
          <m:e>
            <m:r>
              <m:t>p</m:t>
            </m:r>
          </m:e>
          <m:sub>
            <m:r>
              <m:t>i</m:t>
            </m:r>
          </m:sub>
        </m:sSub>
        <m:r>
          <m:rPr>
            <m:sty m:val="p"/>
          </m:rPr>
          <m:t>&gt;</m:t>
        </m:r>
        <m:sSub>
          <m:e>
            <m:r>
              <m:t>x</m:t>
            </m:r>
          </m:e>
          <m:sub>
            <m:r>
              <m:t>2</m:t>
            </m:r>
          </m:sub>
        </m:sSub>
      </m:oMath>
      <w:r>
        <w:t xml:space="preserve">) they were almost always coded as supporting the rule.</w:t>
      </w:r>
    </w:p>
    <w:p>
      <w:pPr>
        <w:pStyle w:val="BodyText"/>
      </w:pPr>
      <w:r>
        <w:t xml:space="preserve">Opposition to a proposed rule because it was insufficient to gain the organization’s support was rare but did occur. For example, one commenter stated that</w:t>
      </w:r>
      <w:r>
        <w:t xml:space="preserve"> </w:t>
      </w:r>
      <w:r>
        <w:t xml:space="preserve">“</w:t>
      </w:r>
      <w:r>
        <w:t xml:space="preserve">[w]hile the proposed rule may improve current protections to some degree, it is utterly inadequate…If the agency fails to revise the rule to incorporate such measures, then they should withdraw the proposed rule completely</w:t>
      </w:r>
      <w:r>
        <w:t xml:space="preserve">”</w:t>
      </w:r>
      <w:r>
        <w:t xml:space="preserve"> </w:t>
      </w:r>
      <w:r>
        <w:t xml:space="preserve">(</w:t>
      </w:r>
      <w:hyperlink r:id="rId58">
        <w:r>
          <w:rPr>
            <w:rStyle w:val="Hyperlink"/>
          </w:rPr>
          <w:t xml:space="preserve">NOAA-NMFS-2020-0031-0668</w:t>
        </w:r>
      </w:hyperlink>
      <w:r>
        <w:t xml:space="preserve">). Taking the commenter at their word, this was coded as opposition to the proposed rule, even though the commenter’s spatial position is closer to the proposed rule than the current policy.</w:t>
      </w:r>
    </w:p>
    <w:p>
      <w:pPr>
        <w:pStyle w:val="BodyText"/>
      </w:pPr>
      <w:r>
        <w:t xml:space="preserve">Having identified the coalition lobbying on each proposed rule and each organization’s position, I assign each coalition’s position as the position of the lead organization. For robustness, I also calculate the coalition’s average position as the average position of its members. Coalition members usually have nearly identical positions, but occasionally, some take more extreme positions than others. For example, while all coalition members may have the same policy demands, some may ask for additional changes. I consider diverging interests to be one coalition only if the asks are entirely compatible with the position of organizations that did not ask for them. Conflicting policy demands indicate different coalitions.</w:t>
      </w:r>
    </w:p>
    <w:bookmarkEnd w:id="59"/>
    <w:bookmarkEnd w:id="60"/>
    <w:bookmarkStart w:id="61" w:name="X1ecd3b9ac327eefe45ecf42831b612cb4d231fa"/>
    <w:p>
      <w:pPr>
        <w:pStyle w:val="Heading2"/>
      </w:pPr>
      <w:r>
        <w:rPr>
          <w:rStyle w:val="SectionNumber"/>
        </w:rPr>
        <w:t xml:space="preserve">7.2</w:t>
      </w:r>
      <w:r>
        <w:tab/>
      </w:r>
      <w:r>
        <w:t xml:space="preserve">Using commenter positions and demands to assess hand-coded coalitions</w:t>
      </w:r>
    </w:p>
    <w:bookmarkEnd w:id="61"/>
    <w:bookmarkEnd w:id="62"/>
    <w:bookmarkStart w:id="76" w:name="results"/>
    <w:p>
      <w:pPr>
        <w:pStyle w:val="Heading1"/>
      </w:pPr>
      <w:r>
        <w:rPr>
          <w:rStyle w:val="SectionNumber"/>
        </w:rPr>
        <w:t xml:space="preserve">8</w:t>
      </w:r>
      <w:r>
        <w:tab/>
      </w:r>
      <w:r>
        <w:t xml:space="preserve">Results</w:t>
      </w:r>
    </w:p>
    <w:bookmarkStart w:id="75" w:name="descriptive"/>
    <w:p>
      <w:pPr>
        <w:pStyle w:val="Heading2"/>
      </w:pPr>
      <w:r>
        <w:rPr>
          <w:rStyle w:val="SectionNumber"/>
        </w:rPr>
        <w:t xml:space="preserve">8.1</w:t>
      </w:r>
      <w:r>
        <w:tab/>
      </w:r>
      <w:r>
        <w:t xml:space="preserve">Descriptive</w:t>
      </w:r>
    </w:p>
    <w:p>
      <w:pPr>
        <w:pStyle w:val="FirstParagraph"/>
      </w:pPr>
      <w:r>
        <w:t xml:space="preserve">The hand-coded sample includes 10,894 hand-coded documents representing over 41 million comments (including both mass comments and the sophisticated comments they support).</w:t>
      </w:r>
    </w:p>
    <w:p>
      <w:pPr>
        <w:pStyle w:val="TableCaption"/>
      </w:pPr>
      <w:bookmarkStart w:id="05fd729d-b112-4606-8578-0bd630e133b0" w:name="data-org-comments"/>
      <w:r>
        <w:rPr>
          <w:bCs/>
          <w:b/>
        </w:rPr>
        <w:t xml:space="preserve">Table 8.1:</w:t>
      </w:r>
      <w:r>
        <w:rPr>
          <w:bCs/>
          <w:b/>
        </w:rPr>
        <w:t xml:space="preserve"> </w:t>
      </w:r>
      <w:bookmarkEnd w:id="05fd729d-b112-4606-8578-0bd630e133b0"/>
      <w:r>
        <w:t xml:space="preserve">A Sample of Hand-coded Public Comments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65"/>
        <w:gridCol w:w="1476"/>
        <w:gridCol w:w="1307"/>
        <w:gridCol w:w="1360"/>
        <w:gridCol w:w="1281"/>
        <w:gridCol w:w="871"/>
      </w:tblGrid>
      <w:tr>
        <w:trPr>
          <w:cantSplit/>
          <w:trHeight w:val="42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Docket 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Coalition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Comment type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Organization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Position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Success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DOT-OST-2018-0068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AAAE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Finnair Plc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FEMA-2016-0003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AASA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Aasa. Aesa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FEMA-2016-0003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AASA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Sam Walton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OCC-2020-0026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OCC-2020-0026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Hoosier Action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PHMSA-2012-0082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AFL-CIO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AFL-CIO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PHMSA-2012-0082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AFL-CIO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City Of Skokie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ED-2016-OESE-0032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AFT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AFT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USCIS-2006-0044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AILA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Centro Romero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USCIS-2006-0044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AILA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World Relief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WHD-2019-0001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ANCOR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Easterseals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WHD-2019-0001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ANCOR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Leadingage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USCG-2010-0990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BOATU.S.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Boatu.s.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CFPB-2019-0006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CFSA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Elected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Nolan Mettetal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CFPB-2019-0006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CFSA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Elected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Mike Osburn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IRS-2019-0039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CLC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Elected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Steve Bullock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IRS-2019-0039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CLC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Issue One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ETA-2020-0006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CUPA-HR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TECHNET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USCBP-2007-0064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EAA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Org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Sas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w:t>
            </w:r>
          </w:p>
        </w:tc>
      </w:tr>
      <w:tr>
        <w:trPr>
          <w:cantSplit/>
          <w:trHeight w:val="418"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FWS-R9-ES-2008-0093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EARTHJUSTICE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Individual</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SOCALXJ</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Opposes Rule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w:t>
            </w:r>
          </w:p>
        </w:tc>
      </w:tr>
    </w:tbl>
    <w:p>
      <w:pPr>
        <w:pStyle w:val="BodyText"/>
      </w:pPr>
      <w:r>
        <w:t xml:space="preserve">Table</w:t>
      </w:r>
      <w:r>
        <w:t xml:space="preserve"> </w:t>
      </w:r>
      <w:r>
        <w:t xml:space="preserve">8.1</w:t>
      </w:r>
      <w:r>
        <w:t xml:space="preserve"> </w:t>
      </w:r>
      <w:r>
        <w:t xml:space="preserve">shows a sample of hand-coded public comments. Docket ID is the identifier for each rulemaking. The Organization, Comment Type, and Coalition columns show how coders record the name and type of each organization or elected official, as well as the broader coalition to which they belong. The name assigned to each coalition is usually the name of one of the lead organizations.</w:t>
      </w:r>
    </w:p>
    <w:p>
      <w:pPr>
        <w:pStyle w:val="BodyText"/>
      </w:pPr>
      <w:r>
        <w:t xml:space="preserve">The Position column in Table</w:t>
      </w:r>
      <w:r>
        <w:t xml:space="preserve"> </w:t>
      </w:r>
      <w:r>
        <w:t xml:space="preserve">8.1</w:t>
      </w:r>
      <w:r>
        <w:t xml:space="preserve"> </w:t>
      </w:r>
      <w:r>
        <w:t xml:space="preserve">is a collapsed version of the spatial position-coding described in Section</w:t>
      </w:r>
      <w:r>
        <w:t xml:space="preserve"> </w:t>
      </w:r>
      <w:r>
        <w:t xml:space="preserve">??</w:t>
      </w:r>
      <w:r>
        <w:t xml:space="preserve"> </w:t>
      </w:r>
      <w:r>
        <w:t xml:space="preserve">and Appendix</w:t>
      </w:r>
      <w:r>
        <w:t xml:space="preserve"> </w:t>
      </w:r>
      <w:r>
        <w:t xml:space="preserve">??</w:t>
      </w:r>
      <w:r>
        <w:t xml:space="preserve">. To create a binary measure of support and opposition, I collapse the coding of each comment’s spatial position into a dichotomous indicator of whether they ultimately support or oppose the rule. Finally, Lobbying Success—whether each comment got what it asked for in the change between a draft and final rule—is coded on a five-point scale from 2 to -2.</w:t>
      </w:r>
      <w:r>
        <w:t xml:space="preserve"> </w:t>
      </w:r>
      <w:r>
        <w:t xml:space="preserve">“</w:t>
      </w:r>
      <w:r>
        <w:t xml:space="preserve">2</w:t>
      </w:r>
      <w:r>
        <w:t xml:space="preserve">”</w:t>
      </w:r>
      <w:r>
        <w:t xml:space="preserve"> </w:t>
      </w:r>
      <w:r>
        <w:t xml:space="preserve">indicates that most of the commenter’s requests were met. If the rule moved decidedly in the opposite direction as they would have liked it to move, this is coded as a</w:t>
      </w:r>
      <w:r>
        <w:t xml:space="preserve"> </w:t>
      </w:r>
      <w:r>
        <w:t xml:space="preserve">“</w:t>
      </w:r>
      <w:r>
        <w:t xml:space="preserve">-2</w:t>
      </w:r>
      <w:r>
        <w:t xml:space="preserve">”</w:t>
      </w:r>
      <w:r>
        <w:t xml:space="preserve"> </w:t>
      </w:r>
      <w:r>
        <w:t xml:space="preserve">(the opposite of total success). To measure these variables at the coalition level, I use the coding assigned to the lead organization or the average across coalition members. Because</w:t>
      </w:r>
      <w:r>
        <w:t xml:space="preserve"> </w:t>
      </w:r>
      <w:r>
        <w:t xml:space="preserve">“</w:t>
      </w:r>
      <w:r>
        <w:t xml:space="preserve">lead</w:t>
      </w:r>
      <w:r>
        <w:t xml:space="preserve">”</w:t>
      </w:r>
      <w:r>
        <w:t xml:space="preserve"> </w:t>
      </w:r>
      <w:r>
        <w:t xml:space="preserve">organizations are identified based on their leadership role in the coalition and the extent to which they represent the coalition’s policy demands, the lead organization’s coding is nearly the same as the average across coalition members in all cases.</w:t>
      </w:r>
    </w:p>
    <w:p>
      <w:pPr>
        <w:pStyle w:val="TableCaption"/>
      </w:pPr>
      <w:bookmarkStart w:id="050575f3-35e0-447c-bdf5-06a7f29f4f7f" w:name="org-count"/>
      <w:r>
        <w:rPr>
          <w:bCs/>
          <w:b/>
        </w:rPr>
        <w:t xml:space="preserve">Table 8.2:</w:t>
      </w:r>
      <w:r>
        <w:rPr>
          <w:bCs/>
          <w:b/>
        </w:rPr>
        <w:t xml:space="preserve"> </w:t>
      </w:r>
      <w:bookmarkEnd w:id="050575f3-35e0-447c-bdf5-06a7f29f4f7f"/>
      <w:r>
        <w:t xml:space="preserve">Organizations by Number of Rules on Which They Commented in the Hand-coded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201"/>
        <w:gridCol w:w="2172"/>
      </w:tblGrid>
      <w:tr>
        <w:trPr>
          <w:cantSplit/>
          <w:trHeight w:val="62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Organization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Rules Lobbied On</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28</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Natural Resources Defense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OCEANA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w:t>
            </w:r>
          </w:p>
        </w:tc>
      </w:tr>
      <w:tr>
        <w:trPr>
          <w:cantSplit/>
          <w:trHeight w:val="62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National Audubon Society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r>
      <w:tr>
        <w:trPr>
          <w:cantSplit/>
          <w:trHeight w:val="5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American Petroleum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62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Center For Biological Diversity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5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Edison Electric Institute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National Association Of Manufacturers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57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National Wildlife Federation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Pew Charitable Trusts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NAACP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National Association Of Home Builders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National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Port Gamble S'klallam Tribe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Public Citizen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58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Quinault Indian Nation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r>
      <w:tr>
        <w:trPr>
          <w:cantSplit/>
          <w:trHeight w:val="573"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American Bankers Association</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r>
    </w:tbl>
    <w:p>
      <w:pPr>
        <w:pStyle w:val="BodyText"/>
      </w:pPr>
      <w:r>
        <w:t xml:space="preserve">Table</w:t>
      </w:r>
      <w:r>
        <w:t xml:space="preserve"> </w:t>
      </w:r>
      <w:r>
        <w:t xml:space="preserve">8.2</w:t>
      </w:r>
      <w:r>
        <w:t xml:space="preserve"> </w:t>
      </w:r>
      <w:r>
        <w:t xml:space="preserve">shows the organizations that commented on the most rules in this sample:</w:t>
      </w:r>
      <w:r>
        <w:t xml:space="preserve"> </w:t>
      </w:r>
      <w:r>
        <w:t xml:space="preserve">467 organizations lobbied on more than one rule in the hand-coded data, some on as many as -Inf rulemaking dockets. Recall that this sample of rules is weighted toward rulemaking dockets that received more comments. Thus, the organizations lobbying on the most rules are not the same as those in the overall population. For example, recall from Table</w:t>
      </w:r>
      <w:r>
        <w:t xml:space="preserve"> </w:t>
      </w:r>
      <w:r>
        <w:t xml:space="preserve">8.1</w:t>
      </w:r>
      <w:r>
        <w:t xml:space="preserve"> </w:t>
      </w:r>
      <w:r>
        <w:t xml:space="preserve">that the American Petroleum Institute lobbied on nearly 400 rules, whereas the Pew Charitable Trusts lobbied on 120. Pew, however, used a public pressure campaign 5 percent of the time it lobbied, whereas the American Petroleum Institute used a public pressure campaign 0.3 percent of the time it lobbied. Thus, groups like Pew that more often use pressure campaigns are more likely to be lobbying on rules in this sample. While this sampling approach was necessary (a random sample of all rules would yield almost none with a pressure campaign), the statistical results should be interpreted as disproportionately reflecting variation in lobbying success in high-salience and contentious rulemakings.</w:t>
      </w:r>
    </w:p>
    <w:p>
      <w:pPr>
        <w:pStyle w:val="BodyText"/>
      </w:pPr>
      <w:r>
        <w:t xml:space="preserve">Table</w:t>
      </w:r>
      <w:r>
        <w:t xml:space="preserve"> </w:t>
      </w:r>
      <w:r>
        <w:t xml:space="preserve">8.3</w:t>
      </w:r>
      <w:r>
        <w:t xml:space="preserve"> </w:t>
      </w:r>
      <w:r>
        <w:t xml:space="preserve">shows the number of hand-coded rules, documents, the coalitions and organizations to which those documents belong, and the total number of comments they represent for a sample of agencies. As expected with a random sample, the agencies with the most rules in this sample are also those with the most final rules posted to regulations.gov (as shown in Figure</w:t>
      </w:r>
      <w:r>
        <w:t xml:space="preserve"> </w:t>
      </w:r>
      <w:r>
        <w:t xml:space="preserve">??</w:t>
      </w:r>
      <w:r>
        <w:t xml:space="preserve">). The Environmental Protection Agency (EPA), Fish and Wildlife Service (FWS), and National Oceanic and Atmospheric Agency (NOAA), Department of Transportation (DOT), and Internal Revenue Service (IRS) are all in the top ten agencies by the number of rulemaking dockets on regulations.gov. The Bureau of Safety and Environmental Enforcement, Consumer Financial Protection Bureau (CFPB), and Wage and Hour Division (WHD) of the Department of Labor are all above average and have a disproportionate number of rules with a large number of comments, making these agencies more likely to be selected into the weighted sample. Table</w:t>
      </w:r>
      <w:r>
        <w:t xml:space="preserve"> </w:t>
      </w:r>
      <w:r>
        <w:t xml:space="preserve">8.3</w:t>
      </w:r>
      <w:r>
        <w:t xml:space="preserve"> </w:t>
      </w:r>
      <w:r>
        <w:t xml:space="preserve">also illustrates how my method of collapsing documents with repeated text to one representative document allows me to reduce the number of documents requiring hand-coding by several orders of magnitude (compare the</w:t>
      </w:r>
      <w:r>
        <w:t xml:space="preserve"> </w:t>
      </w:r>
      <w:r>
        <w:t xml:space="preserve">“</w:t>
      </w:r>
      <w:r>
        <w:t xml:space="preserve">Documents</w:t>
      </w:r>
      <w:r>
        <w:t xml:space="preserve">”</w:t>
      </w:r>
      <w:r>
        <w:t xml:space="preserve"> </w:t>
      </w:r>
      <w:r>
        <w:t xml:space="preserve">and</w:t>
      </w:r>
      <w:r>
        <w:t xml:space="preserve"> </w:t>
      </w:r>
      <w:r>
        <w:t xml:space="preserve">“</w:t>
      </w:r>
      <w:r>
        <w:t xml:space="preserve">Comments</w:t>
      </w:r>
      <w:r>
        <w:t xml:space="preserve">”</w:t>
      </w:r>
      <w:r>
        <w:t xml:space="preserve"> </w:t>
      </w:r>
      <w:r>
        <w:t xml:space="preserve">columns).</w:t>
      </w:r>
    </w:p>
    <w:p>
      <w:pPr>
        <w:pStyle w:val="TableCaption"/>
      </w:pPr>
      <w:bookmarkStart w:id="dda25e78-4b24-41f4-b814-a3976c89647f" w:name="data-coded-agencies"/>
      <w:r>
        <w:rPr>
          <w:bCs/>
          <w:b/>
        </w:rPr>
        <w:t xml:space="preserve">Table 8.3:</w:t>
      </w:r>
      <w:r>
        <w:rPr>
          <w:bCs/>
          <w:b/>
        </w:rPr>
        <w:t xml:space="preserve"> </w:t>
      </w:r>
      <w:bookmarkEnd w:id="dda25e78-4b24-41f4-b814-a3976c89647f"/>
      <w:r>
        <w:t xml:space="preserve">Hand-coded Data By Agency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81"/>
        <w:gridCol w:w="973"/>
        <w:gridCol w:w="1523"/>
        <w:gridCol w:w="1377"/>
        <w:gridCol w:w="1768"/>
        <w:gridCol w:w="1512"/>
      </w:tblGrid>
      <w:tr>
        <w:trPr>
          <w:cantSplit/>
          <w:trHeight w:val="62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Agency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Rules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Documents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Coalitions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Organizations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Comments</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EPA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25,973,707</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6,957,420</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NOAA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598,932</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128,530</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WHD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367,088</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BLM</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2,152,628</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CMS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466,448</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HUD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26,393</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BSEE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245,370</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FDA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447,079</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CFPB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1,104,506</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OSHA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85,743</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USCIS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49,982</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DOT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145</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82,837</w:t>
            </w:r>
          </w:p>
        </w:tc>
      </w:tr>
      <w:tr>
        <w:trPr>
          <w:cantSplit/>
          <w:trHeight w:val="59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FNS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177,077</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ICEB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2,082</w:t>
            </w:r>
          </w:p>
        </w:tc>
      </w:tr>
      <w:tr>
        <w:trPr>
          <w:cantSplit/>
          <w:trHeight w:val="59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NPS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347,315</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OCC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267</w:t>
            </w:r>
          </w:p>
        </w:tc>
      </w:tr>
      <w:tr>
        <w:trPr>
          <w:cantSplit/>
          <w:trHeight w:val="598"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OFCCP</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13,617</w:t>
            </w:r>
          </w:p>
        </w:tc>
      </w:tr>
    </w:tbl>
    <w:p>
      <w:pPr>
        <w:pStyle w:val="BodyText"/>
      </w:pPr>
      <w:r>
        <w:t xml:space="preserve">Figure</w:t>
      </w:r>
      <w:r>
        <w:t xml:space="preserve"> </w:t>
      </w:r>
      <w:r>
        <w:t xml:space="preserve">8.1</w:t>
      </w:r>
      <w:r>
        <w:t xml:space="preserve"> </w:t>
      </w:r>
      <w:r>
        <w:t xml:space="preserve">shows hand-coded support and opposition to proposed rules by different types of commenters and presidential administration. Support and opposition coding come from the spatial position regarding the draft and final rule, as shown in Figure</w:t>
      </w:r>
      <w:r>
        <w:t xml:space="preserve"> </w:t>
      </w:r>
      <w:r>
        <w:t xml:space="preserve">1.3</w:t>
      </w:r>
      <w:r>
        <w:t xml:space="preserve">. Comments from a corporation (</w:t>
      </w:r>
      <w:r>
        <w:t xml:space="preserve">“</w:t>
      </w:r>
      <w:r>
        <w:t xml:space="preserve">Corp.</w:t>
      </w:r>
      <w:r>
        <w:t xml:space="preserve">”</w:t>
      </w:r>
      <w:r>
        <w:t xml:space="preserve">) were overwhelmingly opposed to Obama-administration policies and more supportive of Trump-administration policies. Elected officials more often write in opposition than in support of a proposed rule across administrations. In contrast, individuals, organizations, and the mass comments these organizations mobilized overwhelmingly supported Obama-administration policies and opposed Bush- and Trump-administration. Mass and individual comments are especially polarized. This reflects the partisan asymmetry in mobilizing organizations; the individuals (unique comments) and mass comments (form letters) mobilized by progressive public interest groups’ campaigns overwhelmingly supported Obama-era policies and opposed Trump-era policies.</w:t>
      </w:r>
    </w:p>
    <w:p>
      <w:pPr>
        <w:pStyle w:val="CaptionedFigure"/>
      </w:pPr>
      <w:r>
        <w:drawing>
          <wp:inline>
            <wp:extent cx="5334000" cy="3839368"/>
            <wp:effectExtent b="0" l="0" r="0" t="0"/>
            <wp:docPr descr="Figure 8.1: Hand-coded Comments By Type and Position on Proposed Rule" title="" id="64" name="Picture"/>
            <a:graphic>
              <a:graphicData uri="http://schemas.openxmlformats.org/drawingml/2006/picture">
                <pic:pic>
                  <pic:nvPicPr>
                    <pic:cNvPr descr="../figs/coded-support-1.png" id="65" name="Picture"/>
                    <pic:cNvPicPr>
                      <a:picLocks noChangeArrowheads="1" noChangeAspect="1"/>
                    </pic:cNvPicPr>
                  </pic:nvPicPr>
                  <pic:blipFill>
                    <a:blip r:embed="rId63"/>
                    <a:stretch>
                      <a:fillRect/>
                    </a:stretch>
                  </pic:blipFill>
                  <pic:spPr bwMode="auto">
                    <a:xfrm>
                      <a:off x="0" y="0"/>
                      <a:ext cx="5334000" cy="3839368"/>
                    </a:xfrm>
                    <a:prstGeom prst="rect">
                      <a:avLst/>
                    </a:prstGeom>
                    <a:noFill/>
                    <a:ln w="9525">
                      <a:noFill/>
                      <a:headEnd/>
                      <a:tailEnd/>
                    </a:ln>
                  </pic:spPr>
                </pic:pic>
              </a:graphicData>
            </a:graphic>
          </wp:inline>
        </w:drawing>
      </w:r>
    </w:p>
    <w:p>
      <w:pPr>
        <w:pStyle w:val="ImageCaption"/>
      </w:pPr>
      <w:r>
        <w:t xml:space="preserve">Figure 8.1: Hand-coded Comments By Type and Position on Proposed Rule</w:t>
      </w:r>
    </w:p>
    <w:p>
      <w:pPr>
        <w:pStyle w:val="BodyText"/>
      </w:pPr>
      <w:r>
        <w:t xml:space="preserve">Most of these comments belong to lobbying coalitions and are thus not independent observations. When Friends of the Earth and the Sierra Club lobby together on a rule, the success of each depends on the other. Thus, I group comments into coalitions. The hand-coded sample includes 480</w:t>
      </w:r>
      <w:r>
        <w:t xml:space="preserve"> </w:t>
      </w:r>
      <w:r>
        <w:t xml:space="preserve">“</w:t>
      </w:r>
      <w:r>
        <w:t xml:space="preserve">coalitions,</w:t>
      </w:r>
      <w:r>
        <w:t xml:space="preserve">”</w:t>
      </w:r>
      <w:r>
        <w:t xml:space="preserve"> </w:t>
      </w:r>
      <w:r>
        <w:t xml:space="preserve">196 of which are single-organization</w:t>
      </w:r>
      <w:r>
        <w:t xml:space="preserve"> </w:t>
      </w:r>
      <w:r>
        <w:t xml:space="preserve">“</w:t>
      </w:r>
      <w:r>
        <w:t xml:space="preserve">coalitions</w:t>
      </w:r>
      <w:r>
        <w:t xml:space="preserve">”</w:t>
      </w:r>
      <w:r>
        <w:t xml:space="preserve"> </w:t>
      </w:r>
      <w:r>
        <w:t xml:space="preserve">(not coalitions), leaving 284 true coalitions of multiple organizations lobbying together.</w:t>
      </w:r>
    </w:p>
    <w:p>
      <w:pPr>
        <w:pStyle w:val="BodyText"/>
      </w:pPr>
      <w:r>
        <w:t xml:space="preserve">Lobbying coalitions range in size from 2 to 243 organizations. Table</w:t>
      </w:r>
      <w:r>
        <w:t xml:space="preserve"> </w:t>
      </w:r>
      <w:r>
        <w:t xml:space="preserve">8.4</w:t>
      </w:r>
      <w:r>
        <w:t xml:space="preserve"> </w:t>
      </w:r>
      <w:r>
        <w:t xml:space="preserve">shows a sample of coded data summarized at the coalition level. Even though the same organization may lead coalitions in multiple rulemakings, each rule’s lobbying coalitions are different, so I consider them separate observations. For example, the American Civil Liberties Union (ACLU) led a coalition in 2014 with a small number of organizations and a medium-size pressure campaign in support of a rule requiring additional Equal Employment Opportunity reporting from the Department of Labor’s Office of Federal Contract Compliance Programs (OFCCP). The ACLU also led a very different coalition in 2020 with a large number of organizations and a very small public pressure campaign against a rule rolling back regulations on banks published by the Office of the Comptroller of the Currency (OCC).</w:t>
      </w:r>
      <w:r>
        <w:t xml:space="preserve"> </w:t>
      </w:r>
      <w:r>
        <w:t xml:space="preserve">Figure</w:t>
      </w:r>
      <w:r>
        <w:t xml:space="preserve"> </w:t>
      </w:r>
      <w:r>
        <w:t xml:space="preserve">??</w:t>
      </w:r>
      <w:r>
        <w:t xml:space="preserve"> </w:t>
      </w:r>
      <w:r>
        <w:t xml:space="preserve">shows that this sample is fairly balanced between coalitions that succeed and fail to get the changes they seek in the final rule.</w:t>
      </w:r>
    </w:p>
    <w:p>
      <w:pPr>
        <w:pStyle w:val="TableCaption"/>
      </w:pPr>
      <w:bookmarkStart w:id="8ef2a05c-a7b1-48bd-bf8a-b1bf357a4844" w:name="data-coalition-comments"/>
      <w:r>
        <w:rPr>
          <w:bCs/>
          <w:b/>
        </w:rPr>
        <w:t xml:space="preserve">Table 8.4:</w:t>
      </w:r>
      <w:r>
        <w:rPr>
          <w:bCs/>
          <w:b/>
        </w:rPr>
        <w:t xml:space="preserve"> </w:t>
      </w:r>
      <w:bookmarkEnd w:id="8ef2a05c-a7b1-48bd-bf8a-b1bf357a4844"/>
      <w:r>
        <w:t xml:space="preserve">A Sample of Hand-coded Data Summarized by Coalition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17"/>
        <w:gridCol w:w="1087"/>
        <w:gridCol w:w="1407"/>
        <w:gridCol w:w="617"/>
        <w:gridCol w:w="1187"/>
        <w:gridCol w:w="827"/>
        <w:gridCol w:w="817"/>
      </w:tblGrid>
      <w:tr>
        <w:trPr>
          <w:cantSplit/>
          <w:trHeight w:val="43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Docket 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Coalition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Position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Businesses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Type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Mass</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NPS-2018-0007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69,617</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OCC-2020-0026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158</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OFCCP-2014-0004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ACLU</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7,142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ICEB-2015-0002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AFL-CIO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USCIS-2010-0017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AFL-CIO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ED-2016-OESE-0032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AFT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TREAS-DO-2007-0015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AHC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DEA-2018-0005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AMWA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CFPB-2016-0025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CBC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ETA-2020-0006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CUPA-HR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EOMA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WHD-2019-0001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EPI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56,949</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WHD-2019-0003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EPI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44,352</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CEQ-2019-0003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EPIC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DEA-2018-0005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HSCA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DOT-OST-2018-0068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IAADP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OCC-2011-0014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ISDA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ETA-2020-0006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ITSERVE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Opposes Rule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0</w:t>
            </w:r>
          </w:p>
        </w:tc>
      </w:tr>
      <w:tr>
        <w:trPr>
          <w:cantSplit/>
          <w:trHeight w:val="43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CEQ-2019-0003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LIUNA</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Supports Rule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228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134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Private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8"/>
                <w:szCs w:val="18"/>
                <w:color w:val="000000"/>
              </w:rPr>
              <w:t xml:space="preserve">4,991</w:t>
            </w:r>
          </w:p>
        </w:tc>
      </w:tr>
    </w:tbl>
    <w:p>
      <w:pPr>
        <w:pStyle w:val="BodyText"/>
      </w:pPr>
      <w:r>
        <w:t xml:space="preserve">Table</w:t>
      </w:r>
      <w:r>
        <w:t xml:space="preserve"> </w:t>
      </w:r>
      <w:r>
        <w:t xml:space="preserve">8.5</w:t>
      </w:r>
      <w:r>
        <w:t xml:space="preserve"> </w:t>
      </w:r>
      <w:r>
        <w:t xml:space="preserve">shows the number of coalitions coded as</w:t>
      </w:r>
      <w:r>
        <w:t xml:space="preserve"> </w:t>
      </w:r>
      <w:r>
        <w:t xml:space="preserve">“</w:t>
      </w:r>
      <w:r>
        <w:t xml:space="preserve">public interest</w:t>
      </w:r>
      <w:r>
        <w:t xml:space="preserve">”</w:t>
      </w:r>
      <w:r>
        <w:t xml:space="preserve"> </w:t>
      </w:r>
      <w:r>
        <w:t xml:space="preserve">and</w:t>
      </w:r>
      <w:r>
        <w:t xml:space="preserve"> </w:t>
      </w:r>
      <w:r>
        <w:t xml:space="preserve">“</w:t>
      </w:r>
      <w:r>
        <w:t xml:space="preserve">private interest</w:t>
      </w:r>
      <w:r>
        <w:t xml:space="preserve">”</w:t>
      </w:r>
      <w:r>
        <w:t xml:space="preserve"> </w:t>
      </w:r>
      <w:r>
        <w:t xml:space="preserve">by whether the majority of organizations in the coalition are for-profit businesses and trade associations or non-businesses (governments and nonprofits): 29 percent are majority business coalitions. 66 percent are public-interest coalitions. As Table</w:t>
      </w:r>
      <w:r>
        <w:t xml:space="preserve"> </w:t>
      </w:r>
      <w:r>
        <w:t xml:space="preserve">8.5</w:t>
      </w:r>
      <w:r>
        <w:t xml:space="preserve"> </w:t>
      </w:r>
      <w:r>
        <w:t xml:space="preserve">shows, the hand-coded</w:t>
      </w:r>
      <w:r>
        <w:t xml:space="preserve"> </w:t>
      </w:r>
      <w:r>
        <w:t xml:space="preserve">“</w:t>
      </w:r>
      <w:r>
        <w:t xml:space="preserve">public interest vs. private interest</w:t>
      </w:r>
      <w:r>
        <w:t xml:space="preserve">”</w:t>
      </w:r>
      <w:r>
        <w:t xml:space="preserve"> </w:t>
      </w:r>
      <w:r>
        <w:t xml:space="preserve">distinction is highly correlated with the share of businesses in the coalition but not perfectly. These two measures diverge in cases where public interest coalitions mobilize a large number of business allies or where private interest coalitions mobilize a large number of non-business allies. Thus, while the share of businesses and trade associations is more objective, the public-private distinction is likely a better measure of coalition type. I estimate alternative models in Section</w:t>
      </w:r>
      <w:r>
        <w:t xml:space="preserve"> </w:t>
      </w:r>
      <w:r>
        <w:t xml:space="preserve">??</w:t>
      </w:r>
      <w:r>
        <w:t xml:space="preserve"> </w:t>
      </w:r>
      <w:r>
        <w:t xml:space="preserve">with each measure.</w:t>
      </w:r>
    </w:p>
    <w:p>
      <w:pPr>
        <w:pStyle w:val="TableCaption"/>
      </w:pPr>
      <w:bookmarkStart w:id="2560e195-a4d2-4a9b-aa85-021f7705f501" w:name="coalition-types"/>
      <w:r>
        <w:rPr>
          <w:bCs/>
          <w:b/>
        </w:rPr>
        <w:t xml:space="preserve">Table 8.5:</w:t>
      </w:r>
      <w:r>
        <w:rPr>
          <w:bCs/>
          <w:b/>
        </w:rPr>
        <w:t xml:space="preserve"> </w:t>
      </w:r>
      <w:bookmarkEnd w:id="2560e195-a4d2-4a9b-aa85-021f7705f501"/>
      <w:r>
        <w:t xml:space="preserve">Types of Lobbying Coalitions in the Hand-coded Sample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45"/>
        <w:gridCol w:w="1401"/>
        <w:gridCol w:w="1812"/>
        <w:gridCol w:w="1723"/>
        <w:gridCol w:w="2034"/>
      </w:tblGrid>
      <w:tr>
        <w:trPr>
          <w:cantSplit/>
          <w:trHeight w:val="45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Coalition Type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Business led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Non-business led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Mass 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No mass comments</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Private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97</w:t>
            </w:r>
          </w:p>
        </w:tc>
      </w:tr>
      <w:tr>
        <w:trPr>
          <w:cantSplit/>
          <w:trHeight w:val="414"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Public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270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183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134</w:t>
            </w:r>
          </w:p>
        </w:tc>
      </w:tr>
    </w:tbl>
    <w:p>
      <w:pPr>
        <w:pStyle w:val="BodyText"/>
      </w:pPr>
      <w:r>
        <w:t xml:space="preserve">Several coalitions may lobby on the same rule. One coalition’s lobbying success is correlated with another coalition’s lobbying success to the extent that they are asking for the same or contradicting policy changes. However, by grouping organizations into coalitions, I account for many of the causally-related policy requests (those organizations lobbying on an issue</w:t>
      </w:r>
      <w:r>
        <w:t xml:space="preserve"> </w:t>
      </w:r>
      <w:r>
        <w:rPr>
          <w:iCs/>
          <w:i/>
        </w:rPr>
        <w:t xml:space="preserve">because</w:t>
      </w:r>
      <w:r>
        <w:t xml:space="preserve"> </w:t>
      </w:r>
      <w:r>
        <w:t xml:space="preserve">another organization is lobbying on that issue).</w:t>
      </w:r>
    </w:p>
    <w:bookmarkStart w:id="69" w:name="comments-from-legislators"/>
    <w:p>
      <w:pPr>
        <w:pStyle w:val="Heading4"/>
      </w:pPr>
      <w:r>
        <w:rPr>
          <w:rStyle w:val="SectionNumber"/>
        </w:rPr>
        <w:t xml:space="preserve">8.1.0.1</w:t>
      </w:r>
      <w:r>
        <w:tab/>
      </w:r>
      <w:r>
        <w:t xml:space="preserve">Comments from Legislators</w:t>
      </w:r>
    </w:p>
    <w:p>
      <w:pPr>
        <w:pStyle w:val="FirstParagraph"/>
      </w:pPr>
      <w:r>
        <w:t xml:space="preserve">One mechanism by which campaigns may influence policy is by mobilizing members of Congress. Thus, I identify comments submitted by members of Congress and count the number of legislators in each lobbying coalition. Figure</w:t>
      </w:r>
      <w:r>
        <w:t xml:space="preserve"> </w:t>
      </w:r>
      <w:r>
        <w:t xml:space="preserve">8.2</w:t>
      </w:r>
      <w:r>
        <w:t xml:space="preserve"> </w:t>
      </w:r>
      <w:r>
        <w:t xml:space="preserve">shows the number of comments from members of Congress received during rulemaking by a sample of federal agencies. There is massive variation in the level of attention that members of Congress pay to different agencies and rules. The spikes in attention to each agency correspond with public pressure campaigns targeting rules from that agency. Oversight letters are frequently co-signed by multiple members from the Senate, House, or both chambers. Some of the rules on which members of Congress commented appear in the hand-coded sample. Table</w:t>
      </w:r>
      <w:r>
        <w:t xml:space="preserve"> </w:t>
      </w:r>
      <w:r>
        <w:t xml:space="preserve">8.6</w:t>
      </w:r>
      <w:r>
        <w:t xml:space="preserve"> </w:t>
      </w:r>
      <w:r>
        <w:t xml:space="preserve">shows the number of comments from the most common types of elected officials in the hand-coded data. Members of the U.S. House and Senate are the most common.</w:t>
      </w:r>
    </w:p>
    <w:p>
      <w:pPr>
        <w:pStyle w:val="CaptionedFigure"/>
      </w:pPr>
      <w:r>
        <w:drawing>
          <wp:inline>
            <wp:extent cx="5334000" cy="3048000"/>
            <wp:effectExtent b="0" l="0" r="0" t="0"/>
            <wp:docPr descr="Figure 8.2: Number of Rulemaking Comments from Members of Congress per Year, 2005-2020 to the Bureau of Ocean Energy Management (BOEM), Consumer Financial Protection Bureau (CFPB), Department of Education (ED), Office of Energy Efficiency and Renewable Energy (EERE), Federal Aviation Administration (FAA), Fish and Wildlife Service (FWS), Office of the Comptroller of the Currency (OCC), Occupational Safety and Health Administration (OSHA), Social Security Administration (SSA), U.S. Trade Representative (USTR)" title="" id="67" name="Picture"/>
            <a:graphic>
              <a:graphicData uri="http://schemas.openxmlformats.org/drawingml/2006/picture">
                <pic:pic>
                  <pic:nvPicPr>
                    <pic:cNvPr descr="../figs/data-congress-1.png" id="68" name="Picture"/>
                    <pic:cNvPicPr>
                      <a:picLocks noChangeArrowheads="1" noChangeAspect="1"/>
                    </pic:cNvPicPr>
                  </pic:nvPicPr>
                  <pic:blipFill>
                    <a:blip r:embed="rId66"/>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Figure 8.2: Number of Rulemaking Comments from Members of Congress per Year, 2005-2020 to the Bureau of Ocean Energy Management (BOEM), Consumer Financial Protection Bureau (CFPB), Department of Education (ED), Office of Energy Efficiency and Renewable Energy (EERE), Federal Aviation Administration (FAA), Fish and Wildlife Service (FWS), Office of the Comptroller of the Currency (OCC), Occupational Safety and Health Administration (OSHA), Social Security Administration (SSA), U.S. Trade Representative (USTR)</w:t>
      </w:r>
    </w:p>
    <w:p>
      <w:pPr>
        <w:pStyle w:val="TableCaption"/>
      </w:pPr>
      <w:bookmarkStart w:id="eee2ecee-c43b-4be3-82f2-8aefc667e9bd" w:name="data-coded-elected"/>
      <w:r>
        <w:rPr>
          <w:bCs/>
          <w:b/>
        </w:rPr>
        <w:t xml:space="preserve">Table 8.6:</w:t>
      </w:r>
      <w:r>
        <w:rPr>
          <w:bCs/>
          <w:b/>
        </w:rPr>
        <w:t xml:space="preserve"> </w:t>
      </w:r>
      <w:bookmarkEnd w:id="eee2ecee-c43b-4be3-82f2-8aefc667e9bd"/>
      <w:r>
        <w:t xml:space="preserve">Comments from Elected Officials in the Hand-coded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65"/>
        <w:gridCol w:w="655"/>
      </w:tblGrid>
      <w:tr>
        <w:trPr>
          <w:cantSplit/>
          <w:trHeight w:val="62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Elected Official Type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Senate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82</w:t>
            </w:r>
          </w:p>
        </w:tc>
      </w:tr>
      <w:tr>
        <w:trPr>
          <w:cantSplit/>
          <w:trHeight w:val="57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House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61</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State Elected Official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55</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Local Elected Official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15</w:t>
            </w:r>
          </w:p>
        </w:tc>
      </w:tr>
      <w:tr>
        <w:trPr>
          <w:cantSplit/>
          <w:trHeight w:val="57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Governor</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w:t>
            </w:r>
          </w:p>
        </w:tc>
      </w:tr>
    </w:tbl>
    <w:bookmarkEnd w:id="69"/>
    <w:bookmarkStart w:id="70" w:name="the-dependent-variable-lobbying-success"/>
    <w:p>
      <w:pPr>
        <w:pStyle w:val="Heading4"/>
      </w:pPr>
      <w:r>
        <w:rPr>
          <w:rStyle w:val="SectionNumber"/>
        </w:rPr>
        <w:t xml:space="preserve">8.1.0.2</w:t>
      </w:r>
      <w:r>
        <w:tab/>
      </w:r>
      <w:r>
        <w:t xml:space="preserve">The Dependent Variable: Lobbying Success</w:t>
      </w:r>
    </w:p>
    <w:p>
      <w:pPr>
        <w:pStyle w:val="FirstParagraph"/>
      </w:pPr>
      <w:r>
        <w:t xml:space="preserve">The dependent variable is the extent to which a lobbying coalition got the policy outcome it sought, which I measure in several ways.</w:t>
      </w:r>
    </w:p>
    <w:p>
      <w:pPr>
        <w:pStyle w:val="BodyText"/>
      </w:pPr>
      <w:r>
        <w:t xml:space="preserve">First, on a sample of rules, I trained a team of research assistants to hand-code lobbying success for each organization or elected official,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from requested direction</w:t>
      </w:r>
      <w:r>
        <w:t xml:space="preserve">”</w:t>
      </w:r>
      <w:r>
        <w:t xml:space="preserve"> </w:t>
      </w:r>
      <w:r>
        <w:t xml:space="preserve">as described in Section</w:t>
      </w:r>
      <w:r>
        <w:t xml:space="preserve"> </w:t>
      </w:r>
      <w:r>
        <w:t xml:space="preserve">??</w:t>
      </w:r>
      <w:r>
        <w:t xml:space="preserve">.</w:t>
      </w:r>
      <w:r>
        <w:t xml:space="preserve"> </w:t>
      </w:r>
      <w:r>
        <w:t xml:space="preserve">Additionally, for each comment, coders identify the main overall policy demand, the top three specific demands, and the corresponding parts of the draft and final rule texts. This does not capture rule changes on which no organization commented. While such changes may be significant, they are not helpful for measuring lobbying success.</w:t>
      </w:r>
    </w:p>
    <w:p>
      <w:pPr>
        <w:pStyle w:val="BodyText"/>
      </w:pPr>
      <w:r>
        <w:t xml:space="preserve">Lobbying success on each specific demand was then coded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r>
        <w:t xml:space="preserve"> </w:t>
      </w:r>
      <w:r>
        <w:t xml:space="preserve">A team of undergraduate research assistants then applied the codebook to all comments likely to be from organizations or elected officials on a random sample of rules. Several rules were double-coded by the whole team.</w:t>
      </w:r>
      <w:r>
        <w:t xml:space="preserve"> </w:t>
      </w:r>
    </w:p>
    <w:p>
      <w:pPr>
        <w:pStyle w:val="BodyText"/>
      </w:pPr>
      <w:r>
        <w:t xml:space="preserve">In the models below,</w:t>
      </w:r>
      <w:r>
        <w:t xml:space="preserve"> </w:t>
      </w:r>
      <w:r>
        <w:rPr>
          <w:iCs/>
          <w:i/>
        </w:rPr>
        <w:t xml:space="preserve">coalition lobbying success</w:t>
      </w:r>
      <w:r>
        <w:t xml:space="preserve"> </w:t>
      </w:r>
      <w:r>
        <w:t xml:space="preserve">is the mean of hand-coded lobbying success on a five-point scale, {-2, -1, 0, 1, 2}.</w:t>
      </w:r>
      <w:r>
        <w:t xml:space="preserve"> </w:t>
      </w:r>
    </w:p>
    <w:p>
      <w:pPr>
        <w:pStyle w:val="BodyText"/>
      </w:pPr>
      <w:r>
        <w:t xml:space="preserve">The average hand-coded success per organizational comment is zero (N = 10,894). The average success for organizational comments with a mass comment campaign is -0.414 (N = 8,632).</w:t>
      </w:r>
    </w:p>
    <w:bookmarkEnd w:id="70"/>
    <w:bookmarkStart w:id="74" w:name="the-main-predictor-variable"/>
    <w:p>
      <w:pPr>
        <w:pStyle w:val="Heading4"/>
      </w:pPr>
      <w:r>
        <w:rPr>
          <w:rStyle w:val="SectionNumber"/>
        </w:rPr>
        <w:t xml:space="preserve">8.1.0.3</w:t>
      </w:r>
      <w:r>
        <w:tab/>
      </w:r>
      <w:r>
        <w:t xml:space="preserve">The Main Predictor Variable</w:t>
      </w:r>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models typically include either the logged number of comments or a quadratic term to account for non-linear effects. If a coalition mobilizes more than 99 form-letter comments on a proposed rule, I code that coalition as having a mass comment campaign (</w:t>
      </w:r>
      <w:r>
        <w:rPr>
          <w:iCs/>
          <w:i/>
        </w:rPr>
        <w:t xml:space="preserve">campaign</w:t>
      </w:r>
      <w:r>
        <w:t xml:space="preserve"> </w:t>
      </w:r>
      <w:r>
        <w:t xml:space="preserve">= 1). Where a coalition only submits technical comments from lawyers and does not mobilize public support, the binary measure,</w:t>
      </w:r>
      <w:r>
        <w:t xml:space="preserve"> </w:t>
      </w:r>
      <w:r>
        <w:rPr>
          <w:iCs/>
          <w:i/>
        </w:rPr>
        <w:t xml:space="preserve">campaign</w:t>
      </w:r>
      <w:r>
        <w:t xml:space="preserve">, and the numeric measure,</w:t>
      </w:r>
      <w:r>
        <w:t xml:space="preserve"> </w:t>
      </w:r>
      <w:r>
        <w:rPr>
          <w:iCs/>
          <w:i/>
        </w:rPr>
        <w:t xml:space="preserve">mass comments</w:t>
      </w:r>
      <w:r>
        <w:t xml:space="preserve">, are 0.</w:t>
      </w:r>
    </w:p>
    <w:p>
      <w:pPr>
        <w:pStyle w:val="BodyText"/>
      </w:pPr>
      <w:r>
        <w:t xml:space="preserve">Figure</w:t>
      </w:r>
      <w:r>
        <w:t xml:space="preserve"> </w:t>
      </w:r>
      <w:r>
        <w:t xml:space="preserve">8.3</w:t>
      </w:r>
      <w:r>
        <w:t xml:space="preserve"> </w:t>
      </w:r>
      <w:r>
        <w:t xml:space="preserve">shows a scatterplot of the dependent variable (</w:t>
      </w:r>
      <w:r>
        <w:rPr>
          <w:iCs/>
          <w:i/>
        </w:rPr>
        <w:t xml:space="preserve">lobbying success</w:t>
      </w:r>
      <w:r>
        <w:t xml:space="preserve">) and main predictor (</w:t>
      </w:r>
      <w:r>
        <w:rPr>
          <w:iCs/>
          <w:i/>
        </w:rPr>
        <w:t xml:space="preserve">mass comments</w:t>
      </w:r>
      <w:r>
        <w:t xml:space="preserve">) for each coalition. Coalition lobbying success ranges from total success (2) to total loss (-2). The number of mass comments ranges from 0 to 3,012,281. The size of each point represents the size of each coalition (the number of organizations and elected officials). The color indicates whether the coalition is led by private or public interest groups. For example, one extremely large private coalition of payday lenders mobilized over a million comments during the Obama administration. This coalition was moderately successful at reducing the stringency of the regulation but did not stop it from going through.</w:t>
      </w:r>
    </w:p>
    <w:p>
      <w:pPr>
        <w:pStyle w:val="BodyText"/>
      </w:pPr>
      <w:r>
        <w:t xml:space="preserve">The view of the data in Figure</w:t>
      </w:r>
      <w:r>
        <w:t xml:space="preserve"> </w:t>
      </w:r>
      <w:r>
        <w:t xml:space="preserve">8.3</w:t>
      </w:r>
      <w:r>
        <w:t xml:space="preserve"> </w:t>
      </w:r>
      <w:r>
        <w:t xml:space="preserve">does not show a clear relationship between public pressure and lobbying success. There were relatively more (and more successful) public interest campaigns in the Obama years. Likewise, there were more (and more successful) private interest campaigns in the Trump years. The largest campaigns are mostly public interest campaigns, and public interest campaigns are more frequent than private interest campaigns overall.</w:t>
      </w:r>
    </w:p>
    <w:p>
      <w:pPr>
        <w:pStyle w:val="CaptionedFigure"/>
      </w:pPr>
      <w:r>
        <w:drawing>
          <wp:inline>
            <wp:extent cx="5334000" cy="2909454"/>
            <wp:effectExtent b="0" l="0" r="0" t="0"/>
            <wp:docPr descr="Figure 8.3: Lobbying Success by Number of Supportive Comments" title="" id="72" name="Picture"/>
            <a:graphic>
              <a:graphicData uri="http://schemas.openxmlformats.org/drawingml/2006/picture">
                <pic:pic>
                  <pic:nvPicPr>
                    <pic:cNvPr descr="../figs/coded-coalition-success-1.png" id="73" name="Picture"/>
                    <pic:cNvPicPr>
                      <a:picLocks noChangeArrowheads="1" noChangeAspect="1"/>
                    </pic:cNvPicPr>
                  </pic:nvPicPr>
                  <pic:blipFill>
                    <a:blip r:embed="rId71"/>
                    <a:stretch>
                      <a:fillRect/>
                    </a:stretch>
                  </pic:blipFill>
                  <pic:spPr bwMode="auto">
                    <a:xfrm>
                      <a:off x="0" y="0"/>
                      <a:ext cx="5334000" cy="2909454"/>
                    </a:xfrm>
                    <a:prstGeom prst="rect">
                      <a:avLst/>
                    </a:prstGeom>
                    <a:noFill/>
                    <a:ln w="9525">
                      <a:noFill/>
                      <a:headEnd/>
                      <a:tailEnd/>
                    </a:ln>
                  </pic:spPr>
                </pic:pic>
              </a:graphicData>
            </a:graphic>
          </wp:inline>
        </w:drawing>
      </w:r>
    </w:p>
    <w:p>
      <w:pPr>
        <w:pStyle w:val="ImageCaption"/>
      </w:pPr>
      <w:r>
        <w:t xml:space="preserve">Figure 8.3: Lobbying Success by Number of Supportive Comments</w:t>
      </w:r>
    </w:p>
    <w:bookmarkEnd w:id="74"/>
    <w:bookmarkEnd w:id="75"/>
    <w:bookmarkEnd w:id="76"/>
    <w:bookmarkStart w:id="94" w:name="conclusion"/>
    <w:p>
      <w:pPr>
        <w:pStyle w:val="Heading1"/>
      </w:pPr>
      <w:r>
        <w:rPr>
          <w:rStyle w:val="SectionNumber"/>
        </w:rPr>
        <w:t xml:space="preserve">9</w:t>
      </w:r>
      <w:r>
        <w:tab/>
      </w:r>
      <w:r>
        <w:t xml:space="preserve">Conclusion</w:t>
      </w:r>
    </w:p>
    <w:p>
      <w:pPr>
        <w:pStyle w:val="BlockText"/>
      </w:pPr>
      <w:r>
        <w:t xml:space="preserve">TODO</w:t>
      </w:r>
    </w:p>
    <w:bookmarkStart w:id="93" w:name="refs"/>
    <w:bookmarkStart w:id="77" w:name="ref-Balla2020"/>
    <w:p>
      <w:pPr>
        <w:pStyle w:val="Bibliography"/>
      </w:pPr>
      <w:r>
        <w:t xml:space="preserve">Balla, Steven J., Alexander R. Beck, Elizabeth Meehan, and Aryamala Prasad. 2020.</w:t>
      </w:r>
      <w:r>
        <w:t xml:space="preserve"> </w:t>
      </w:r>
      <w:r>
        <w:t xml:space="preserve">“Lost in the Flood?: Agency Responsiveness to Mass Comment Campaigns in Administrative Rulemaking.”</w:t>
      </w:r>
      <w:r>
        <w:t xml:space="preserve"> </w:t>
      </w:r>
      <w:r>
        <w:rPr>
          <w:iCs/>
          <w:i/>
        </w:rPr>
        <w:t xml:space="preserve">Regulation</w:t>
      </w:r>
      <w:r>
        <w:rPr>
          <w:iCs/>
          <w:i/>
        </w:rPr>
        <w:t xml:space="preserve"> </w:t>
      </w:r>
      <w:r>
        <w:rPr>
          <w:iCs/>
          <w:i/>
        </w:rPr>
        <w:t xml:space="preserve">&amp;</w:t>
      </w:r>
      <w:r>
        <w:rPr>
          <w:iCs/>
          <w:i/>
        </w:rPr>
        <w:t xml:space="preserve"> </w:t>
      </w:r>
      <w:r>
        <w:rPr>
          <w:iCs/>
          <w:i/>
        </w:rPr>
        <w:t xml:space="preserve">Governance</w:t>
      </w:r>
      <w:r>
        <w:t xml:space="preserve">.</w:t>
      </w:r>
    </w:p>
    <w:bookmarkEnd w:id="77"/>
    <w:bookmarkStart w:id="78" w:name="ref-Casas2017"/>
    <w:p>
      <w:pPr>
        <w:pStyle w:val="Bibliography"/>
      </w:pPr>
      <w:r>
        <w:t xml:space="preserve">Casas, Andreu, Matthew J Denny, and John Wilkerson. 2019.</w:t>
      </w:r>
      <w:r>
        <w:t xml:space="preserve"> </w:t>
      </w:r>
      <w:r>
        <w:t xml:space="preserve">“</w:t>
      </w:r>
      <w:r>
        <w:t xml:space="preserve">More Effective Than We Thought: Accounting for Legislative Hitchhikers Reveals a More Inclusive and Productive Lawmaking Process</w:t>
      </w:r>
      <w:r>
        <w:t xml:space="preserve">.”</w:t>
      </w:r>
    </w:p>
    <w:bookmarkEnd w:id="78"/>
    <w:bookmarkStart w:id="79" w:name="ref-fastlink"/>
    <w:p>
      <w:pPr>
        <w:pStyle w:val="Bibliography"/>
      </w:pPr>
      <w:r>
        <w:t xml:space="preserve">Enamorado, Ted, Benjamin Fifield, and Kosuke Imai. 2017.</w:t>
      </w:r>
      <w:r>
        <w:t xml:space="preserve"> </w:t>
      </w:r>
      <w:r>
        <w:rPr>
          <w:iCs/>
          <w:i/>
        </w:rPr>
        <w:t xml:space="preserve">fastLink: Fast Probabilistic Record Linkage with Missing Data</w:t>
      </w:r>
      <w:r>
        <w:t xml:space="preserve"> </w:t>
      </w:r>
      <w:r>
        <w:t xml:space="preserve">(version 0.6.).</w:t>
      </w:r>
    </w:p>
    <w:bookmarkEnd w:id="79"/>
    <w:bookmarkStart w:id="80" w:name="ref-Hacker2010"/>
    <w:p>
      <w:pPr>
        <w:pStyle w:val="Bibliography"/>
      </w:pPr>
      <w:r>
        <w:t xml:space="preserve">Hacker, Jacob, and Paul Pierson. 2010.</w:t>
      </w:r>
      <w:r>
        <w:t xml:space="preserve"> </w:t>
      </w:r>
      <w:r>
        <w:rPr>
          <w:iCs/>
          <w:i/>
        </w:rPr>
        <w:t xml:space="preserve">Winner Take All Politics</w:t>
      </w:r>
      <w:r>
        <w:t xml:space="preserve">. Simon; Schuster.</w:t>
      </w:r>
    </w:p>
    <w:bookmarkEnd w:id="80"/>
    <w:bookmarkStart w:id="81" w:name="ref-Judge-Lord2017"/>
    <w:p>
      <w:pPr>
        <w:pStyle w:val="Bibliography"/>
      </w:pPr>
      <w:r>
        <w:t xml:space="preserve">Judge-Lord, Devin. 2017.</w:t>
      </w:r>
      <w:r>
        <w:t xml:space="preserve"> </w:t>
      </w:r>
      <w:r>
        <w:t xml:space="preserve">“</w:t>
      </w:r>
      <w:r>
        <w:t xml:space="preserve">Measuring Change and Influence in Budget Texts</w:t>
      </w:r>
      <w:r>
        <w:t xml:space="preserve">.”</w:t>
      </w:r>
      <w:r>
        <w:t xml:space="preserve"> </w:t>
      </w:r>
      <w:r>
        <w:t xml:space="preserve">In. American Political Science Association Annual Conference.</w:t>
      </w:r>
    </w:p>
    <w:bookmarkEnd w:id="81"/>
    <w:bookmarkStart w:id="83" w:name="ref-Potter2017"/>
    <w:p>
      <w:pPr>
        <w:pStyle w:val="Bibliography"/>
      </w:pPr>
      <w:r>
        <w:t xml:space="preserve">Potter, Rachel Augustine. 2017.</w:t>
      </w:r>
      <w:r>
        <w:t xml:space="preserve"> </w:t>
      </w:r>
      <w:r>
        <w:t xml:space="preserve">“</w:t>
      </w:r>
      <w:r>
        <w:t xml:space="preserve">More than Spam? Lobbying the EPA Through Public Comment Campaigns</w:t>
      </w:r>
      <w:r>
        <w:t xml:space="preserve">,”</w:t>
      </w:r>
      <w:r>
        <w:t xml:space="preserve"> </w:t>
      </w:r>
      <w:r>
        <w:t xml:space="preserve">Brookings series on regulatory process and perspective,.</w:t>
      </w:r>
      <w:r>
        <w:t xml:space="preserve"> </w:t>
      </w:r>
      <w:hyperlink r:id="rId82">
        <w:r>
          <w:rPr>
            <w:rStyle w:val="Hyperlink"/>
          </w:rPr>
          <w:t xml:space="preserve">https://www.brookings.edu/research/more-than-spam-lobbying-the-epa-through-public-comment-campaigns/</w:t>
        </w:r>
      </w:hyperlink>
      <w:r>
        <w:t xml:space="preserve">.</w:t>
      </w:r>
    </w:p>
    <w:bookmarkEnd w:id="83"/>
    <w:bookmarkStart w:id="85" w:name="ref-Rinfret2021"/>
    <w:p>
      <w:pPr>
        <w:pStyle w:val="Bibliography"/>
      </w:pPr>
      <w:r>
        <w:t xml:space="preserve">Rinfret, Sara, Robert Duffy, Jeffrey Cook, and Shane St. Onge. 2021.</w:t>
      </w:r>
      <w:r>
        <w:t xml:space="preserve"> </w:t>
      </w:r>
      <w:r>
        <w:t xml:space="preserve">“Bots, Fake Comments, and e-Rulemaking: The Impact on Federal Regulations.”</w:t>
      </w:r>
      <w:r>
        <w:t xml:space="preserve"> </w:t>
      </w:r>
      <w:r>
        <w:rPr>
          <w:iCs/>
          <w:i/>
        </w:rPr>
        <w:t xml:space="preserve">International Journal of Public Administration</w:t>
      </w:r>
      <w:r>
        <w:t xml:space="preserve"> </w:t>
      </w:r>
      <w:r>
        <w:t xml:space="preserve">0 (0): 1–9.</w:t>
      </w:r>
      <w:r>
        <w:t xml:space="preserve"> </w:t>
      </w:r>
      <w:hyperlink r:id="rId84">
        <w:r>
          <w:rPr>
            <w:rStyle w:val="Hyperlink"/>
          </w:rPr>
          <w:t xml:space="preserve">https://doi.org/10.1080/01900692.2021.1931314</w:t>
        </w:r>
      </w:hyperlink>
      <w:r>
        <w:t xml:space="preserve">.</w:t>
      </w:r>
    </w:p>
    <w:bookmarkEnd w:id="85"/>
    <w:bookmarkStart w:id="87" w:name="ref-Saveourenvironment"/>
    <w:p>
      <w:pPr>
        <w:pStyle w:val="Bibliography"/>
      </w:pPr>
      <w:r>
        <w:t xml:space="preserve">Saveourenvironment.org. 2021.</w:t>
      </w:r>
      <w:r>
        <w:t xml:space="preserve"> </w:t>
      </w:r>
      <w:r>
        <w:t xml:space="preserve">“Https://Saveourenvironment.org/Who-We-Are/.”</w:t>
      </w:r>
      <w:r>
        <w:t xml:space="preserve"> </w:t>
      </w:r>
      <w:hyperlink r:id="rId86">
        <w:r>
          <w:rPr>
            <w:rStyle w:val="Hyperlink"/>
          </w:rPr>
          <w:t xml:space="preserve">https://saveourenvironment.org/who-we-are/</w:t>
        </w:r>
      </w:hyperlink>
      <w:r>
        <w:t xml:space="preserve">.</w:t>
      </w:r>
    </w:p>
    <w:bookmarkEnd w:id="87"/>
    <w:bookmarkStart w:id="89" w:name="ref-Verba1987"/>
    <w:p>
      <w:pPr>
        <w:pStyle w:val="Bibliography"/>
      </w:pPr>
      <w:r>
        <w:t xml:space="preserve">Verba, Sidney., and Norman H. Nie. 1987.</w:t>
      </w:r>
      <w:r>
        <w:t xml:space="preserve"> </w:t>
      </w:r>
      <w:r>
        <w:rPr>
          <w:iCs/>
          <w:i/>
        </w:rPr>
        <w:t xml:space="preserve">Participation in America: Political Democracy and Social Equality</w:t>
      </w:r>
      <w:r>
        <w:t xml:space="preserve">. University of Chicago Press.</w:t>
      </w:r>
      <w:r>
        <w:t xml:space="preserve"> </w:t>
      </w:r>
      <w:hyperlink r:id="rId88">
        <w:r>
          <w:rPr>
            <w:rStyle w:val="Hyperlink"/>
          </w:rPr>
          <w:t xml:space="preserve">https://books.google.com/books?id=9K5fdvfmGREC{\&amp;}dq=verba+and+nie+participation+in+america{\&amp;}lr={\&amp;}source=gbs{\_}navlinks{\_}s</w:t>
        </w:r>
      </w:hyperlink>
      <w:r>
        <w:t xml:space="preserve">.</w:t>
      </w:r>
    </w:p>
    <w:bookmarkEnd w:id="89"/>
    <w:bookmarkStart w:id="91" w:name="ref-West2013"/>
    <w:p>
      <w:pPr>
        <w:pStyle w:val="Bibliography"/>
      </w:pPr>
      <w:r>
        <w:t xml:space="preserve">West, William F., and Connor Raso. 2013.</w:t>
      </w:r>
      <w:r>
        <w:t xml:space="preserve"> </w:t>
      </w:r>
      <w:r>
        <w:t xml:space="preserve">“</w:t>
      </w:r>
      <w:r>
        <w:t xml:space="preserve">Who Shapes the Rulemaking Agenda? Implications for Bureaucratic Responsiveness and Bureaucratic Control</w:t>
      </w:r>
      <w:r>
        <w:t xml:space="preserve">.”</w:t>
      </w:r>
      <w:r>
        <w:t xml:space="preserve"> </w:t>
      </w:r>
      <w:r>
        <w:rPr>
          <w:iCs/>
          <w:i/>
        </w:rPr>
        <w:t xml:space="preserve">Journal of Public Administration Research and Theory</w:t>
      </w:r>
      <w:r>
        <w:t xml:space="preserve"> </w:t>
      </w:r>
      <w:r>
        <w:t xml:space="preserve">23 (3): 495–519.</w:t>
      </w:r>
      <w:r>
        <w:t xml:space="preserve"> </w:t>
      </w:r>
      <w:hyperlink r:id="rId90">
        <w:r>
          <w:rPr>
            <w:rStyle w:val="Hyperlink"/>
          </w:rPr>
          <w:t xml:space="preserve">https://doi.org/10.1093/jopart/mus028</w:t>
        </w:r>
      </w:hyperlink>
      <w:r>
        <w:t xml:space="preserve">.</w:t>
      </w:r>
    </w:p>
    <w:bookmarkEnd w:id="91"/>
    <w:bookmarkStart w:id="92" w:name="ref-Yackee2009bush"/>
    <w:p>
      <w:pPr>
        <w:pStyle w:val="Bibliography"/>
      </w:pPr>
      <w:r>
        <w:t xml:space="preserve">Yackee, Jason Webb, and Susan Webb Yackee. 2009.</w:t>
      </w:r>
      <w:r>
        <w:t xml:space="preserve"> </w:t>
      </w:r>
      <w:r>
        <w:t xml:space="preserve">“</w:t>
      </w:r>
      <w:r>
        <w:t xml:space="preserve">Is the Bush Bureaucracy Any Different? A Macro-Empirical Examination of Notice and Comment Rulemaking under "43"</w:t>
      </w:r>
      <w:r>
        <w:t xml:space="preserve">.”</w:t>
      </w:r>
      <w:r>
        <w:t xml:space="preserve"> </w:t>
      </w:r>
      <w:r>
        <w:t xml:space="preserve">In</w:t>
      </w:r>
      <w:r>
        <w:t xml:space="preserve"> </w:t>
      </w:r>
      <w:r>
        <w:rPr>
          <w:iCs/>
          <w:i/>
        </w:rPr>
        <w:t xml:space="preserve">President George w. Bush’s Influence over Bureaucracy and Policy.</w:t>
      </w:r>
      <w:r>
        <w:t xml:space="preserve">, edited by C Provost and P Teske, 41–59. Palgrave Macmillan.</w:t>
      </w:r>
    </w:p>
    <w:bookmarkEnd w:id="92"/>
    <w:bookmarkEnd w:id="93"/>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1">
    <w:p>
      <w:pPr>
        <w:pStyle w:val="FootnoteText"/>
      </w:pPr>
      <w:r>
        <w:rPr>
          <w:rStyle w:val="FootnoteReference"/>
        </w:rPr>
        <w:footnoteRef/>
      </w:r>
      <w:r>
        <w:t xml:space="preserve"> </w:t>
      </w:r>
      <w:r>
        <w:t xml:space="preserve">For more on textrank, code for applying it to comments, and comparison to hand-selected summaries, see:</w:t>
      </w:r>
      <w:r>
        <w:t xml:space="preserve"> </w:t>
      </w:r>
      <w:hyperlink r:id="rId32">
        <w:r>
          <w:rPr>
            <w:rStyle w:val="Hyperlink"/>
          </w:rPr>
          <w:t xml:space="preserve">https://judgelord.github.io/rulemaking/textrank_comments</w:t>
        </w:r>
      </w:hyperlink>
    </w:p>
  </w:footnote>
  <w:footnote w:id="33">
    <w:p>
      <w:pPr>
        <w:pStyle w:val="FootnoteText"/>
      </w:pPr>
      <w:r>
        <w:rPr>
          <w:rStyle w:val="FootnoteReference"/>
        </w:rPr>
        <w:footnoteRef/>
      </w:r>
      <w:r>
        <w:t xml:space="preserve"> </w:t>
      </w:r>
      <w:r>
        <w:t xml:space="preserve">For more on using</w:t>
      </w:r>
      <w:r>
        <w:t xml:space="preserve"> </w:t>
      </w:r>
      <w:r>
        <w:rPr>
          <w:rStyle w:val="VerbatimChar"/>
        </w:rPr>
        <w:t xml:space="preserve">textrank</w:t>
      </w:r>
      <w:r>
        <w:t xml:space="preserve"> </w:t>
      </w:r>
      <w:r>
        <w:t xml:space="preserve">to summarize policy documents, and R code to do so for agency rules, see:</w:t>
      </w:r>
      <w:r>
        <w:t xml:space="preserve"> </w:t>
      </w:r>
      <w:hyperlink r:id="rId34">
        <w:r>
          <w:rPr>
            <w:rStyle w:val="Hyperlink"/>
          </w:rPr>
          <w:t xml:space="preserve">https://judgelord.github.io/rulemaking/textrank_summary</w:t>
        </w:r>
      </w:hyperlink>
    </w:p>
  </w:footnote>
  <w:footnote w:id="40">
    <w:p>
      <w:pPr>
        <w:pStyle w:val="FootnoteText"/>
      </w:pPr>
      <w:r>
        <w:rPr>
          <w:rStyle w:val="FootnoteReference"/>
        </w:rPr>
        <w:footnoteRef/>
      </w:r>
      <w:r>
        <w:t xml:space="preserve"> </w:t>
      </w:r>
      <w:r>
        <w:t xml:space="preserve">More details and code implementing an n-gram moving window in R are available here:</w:t>
      </w:r>
      <w:r>
        <w:t xml:space="preserve"> </w:t>
      </w:r>
      <w:hyperlink r:id="rId41">
        <w:r>
          <w:rPr>
            <w:rStyle w:val="Hyperlink"/>
          </w:rPr>
          <w:t xml:space="preserve">https://judgelord.github.io/rulemaking/payday_comments.html</w:t>
        </w:r>
      </w:hyperlink>
    </w:p>
  </w:footnote>
  <w:footnote w:id="47">
    <w:p>
      <w:pPr>
        <w:pStyle w:val="FootnoteText"/>
      </w:pPr>
      <w:r>
        <w:rPr>
          <w:rStyle w:val="FootnoteReference"/>
        </w:rPr>
        <w:footnoteRef/>
      </w:r>
      <w:r>
        <w:t xml:space="preserve"> </w:t>
      </w:r>
      <w:r>
        <w:t xml:space="preserve">For more about n-gram window functions and comparisons with related partial matching methods such as the Smith-Waterman algorithm, see</w:t>
      </w:r>
      <w:r>
        <w:t xml:space="preserve"> </w:t>
      </w:r>
      <w:r>
        <w:t xml:space="preserve">Casas, Denny, and Wilkerson (</w:t>
      </w:r>
      <w:hyperlink w:anchor="ref-Casas2017">
        <w:r>
          <w:rPr>
            <w:rStyle w:val="Hyperlink"/>
          </w:rPr>
          <w:t xml:space="preserve">2019</w:t>
        </w:r>
      </w:hyperlink>
      <w:r>
        <w:t xml:space="preserve">)</w:t>
      </w:r>
      <w:r>
        <w:t xml:space="preserve"> </w:t>
      </w:r>
      <w:r>
        <w:t xml:space="preserve">and</w:t>
      </w:r>
      <w:r>
        <w:t xml:space="preserve"> </w:t>
      </w:r>
      <w:r>
        <w:t xml:space="preserve">Judge-Lord (</w:t>
      </w:r>
      <w:hyperlink w:anchor="ref-Judge-Lord2017">
        <w:r>
          <w:rPr>
            <w:rStyle w:val="Hyperlink"/>
          </w:rPr>
          <w:t xml:space="preserve">2017</w:t>
        </w:r>
      </w:hyperlink>
      <w:r>
        <w:t xml:space="preserve">)</w:t>
      </w:r>
      <w:r>
        <w:t xml:space="preserve">.</w:t>
      </w:r>
    </w:p>
  </w:footnote>
  <w:footnote w:id="48">
    <w:p>
      <w:pPr>
        <w:pStyle w:val="FootnoteText"/>
      </w:pPr>
      <w:r>
        <w:rPr>
          <w:rStyle w:val="FootnoteReference"/>
        </w:rPr>
        <w:footnoteRef/>
      </w:r>
      <w:r>
        <w:t xml:space="preserve"> </w:t>
      </w:r>
      <w:r>
        <w:t xml:space="preserve">Smith-Waterman aims to identify the best alignment between two documents. If two sections of text have been flipped within a document, Smith-Waterman will only detect one of them. If each sentence or 10gram were considered a</w:t>
      </w:r>
      <w:r>
        <w:t xml:space="preserve"> </w:t>
      </w:r>
      <w:r>
        <w:t xml:space="preserve">“</w:t>
      </w:r>
      <w:r>
        <w:t xml:space="preserve">document,</w:t>
      </w:r>
      <w:r>
        <w:t xml:space="preserve">”</w:t>
      </w:r>
      <w:r>
        <w:t xml:space="preserve"> </w:t>
      </w:r>
      <w:r>
        <w:t xml:space="preserve">it is possible that a Smith-Waterman alignment threshold may come up with better results than exact matching.</w:t>
      </w:r>
    </w:p>
  </w:footnote>
  <w:footnote w:id="53">
    <w:p>
      <w:pPr>
        <w:pStyle w:val="FootnoteText"/>
      </w:pPr>
      <w:r>
        <w:rPr>
          <w:rStyle w:val="FootnoteReference"/>
        </w:rPr>
        <w:footnoteRef/>
      </w:r>
      <w:r>
        <w:t xml:space="preserve"> </w:t>
      </w:r>
      <w:r>
        <w:t xml:space="preserve">nearly all minimally-serious organizations submit comments as file attachments rather than typing in the text box provided by regulations.gov</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1" Target="media/rId71.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55" Target="media/rId55.png" /><Relationship Type="http://schemas.openxmlformats.org/officeDocument/2006/relationships/hyperlink" Id="rId88" Target="https://books.google.com/books?id=9K5fdvfmGREC{\&amp;}dq=verba+and+nie+participation+in+america{\&amp;}lr={\&amp;}source=gbs{\_}navlinks{\_}s" TargetMode="External" /><Relationship Type="http://schemas.openxmlformats.org/officeDocument/2006/relationships/hyperlink" Id="rId84" Target="https://doi.org/10.1080/01900692.2021.1931314" TargetMode="External" /><Relationship Type="http://schemas.openxmlformats.org/officeDocument/2006/relationships/hyperlink" Id="rId90" Target="https://doi.org/10.1093/jopart/mus028" TargetMode="External" /><Relationship Type="http://schemas.openxmlformats.org/officeDocument/2006/relationships/hyperlink" Id="rId41" Target="https://judgelord.github.io/rulemaking/payday_comments.html" TargetMode="External" /><Relationship Type="http://schemas.openxmlformats.org/officeDocument/2006/relationships/hyperlink" Id="rId32" Target="https://judgelord.github.io/rulemaking/textrank_comments" TargetMode="External" /><Relationship Type="http://schemas.openxmlformats.org/officeDocument/2006/relationships/hyperlink" Id="rId34" Target="https://judgelord.github.io/rulemaking/textrank_summary" TargetMode="External" /><Relationship Type="http://schemas.openxmlformats.org/officeDocument/2006/relationships/hyperlink" Id="rId86" Target="https://saveourenvironment.org/who-we-are/" TargetMode="External" /><Relationship Type="http://schemas.openxmlformats.org/officeDocument/2006/relationships/hyperlink" Id="rId82" Target="https://www.brookings.edu/research/more-than-spam-lobbying-the-epa-through-public-comment-campaigns/" TargetMode="External" /><Relationship Type="http://schemas.openxmlformats.org/officeDocument/2006/relationships/hyperlink" Id="rId22" Target="https://www.regulations.gov/comment/EPA-HQ-OAR-2005-0161-2624" TargetMode="External" /><Relationship Type="http://schemas.openxmlformats.org/officeDocument/2006/relationships/hyperlink" Id="rId58" Target="https://www.regulations.gov/comment/NOAA-NMFS-2020-0031-0668" TargetMode="External" /><Relationship Type="http://schemas.openxmlformats.org/officeDocument/2006/relationships/hyperlink" Id="rId42" Target="https://www.regulations.gov/document?D=CFPB-2016-0025-91130" TargetMode="External" /><Relationship Type="http://schemas.openxmlformats.org/officeDocument/2006/relationships/hyperlink" Id="rId43" Target="https://www.regulations.gov/document?D=CFPB-2016-0025-91154" TargetMode="External" /></Relationships>
</file>

<file path=word/_rels/footnotes.xml.rels><?xml version="1.0" encoding="UTF-8"?><Relationships xmlns="http://schemas.openxmlformats.org/package/2006/relationships"><Relationship Type="http://schemas.openxmlformats.org/officeDocument/2006/relationships/hyperlink" Id="rId88" Target="https://books.google.com/books?id=9K5fdvfmGREC{\&amp;}dq=verba+and+nie+participation+in+america{\&amp;}lr={\&amp;}source=gbs{\_}navlinks{\_}s" TargetMode="External" /><Relationship Type="http://schemas.openxmlformats.org/officeDocument/2006/relationships/hyperlink" Id="rId84" Target="https://doi.org/10.1080/01900692.2021.1931314" TargetMode="External" /><Relationship Type="http://schemas.openxmlformats.org/officeDocument/2006/relationships/hyperlink" Id="rId90" Target="https://doi.org/10.1093/jopart/mus028" TargetMode="External" /><Relationship Type="http://schemas.openxmlformats.org/officeDocument/2006/relationships/hyperlink" Id="rId41" Target="https://judgelord.github.io/rulemaking/payday_comments.html" TargetMode="External" /><Relationship Type="http://schemas.openxmlformats.org/officeDocument/2006/relationships/hyperlink" Id="rId32" Target="https://judgelord.github.io/rulemaking/textrank_comments" TargetMode="External" /><Relationship Type="http://schemas.openxmlformats.org/officeDocument/2006/relationships/hyperlink" Id="rId34" Target="https://judgelord.github.io/rulemaking/textrank_summary" TargetMode="External" /><Relationship Type="http://schemas.openxmlformats.org/officeDocument/2006/relationships/hyperlink" Id="rId86" Target="https://saveourenvironment.org/who-we-are/" TargetMode="External" /><Relationship Type="http://schemas.openxmlformats.org/officeDocument/2006/relationships/hyperlink" Id="rId82" Target="https://www.brookings.edu/research/more-than-spam-lobbying-the-epa-through-public-comment-campaigns/" TargetMode="External" /><Relationship Type="http://schemas.openxmlformats.org/officeDocument/2006/relationships/hyperlink" Id="rId22" Target="https://www.regulations.gov/comment/EPA-HQ-OAR-2005-0161-2624" TargetMode="External" /><Relationship Type="http://schemas.openxmlformats.org/officeDocument/2006/relationships/hyperlink" Id="rId58" Target="https://www.regulations.gov/comment/NOAA-NMFS-2020-0031-0668" TargetMode="External" /><Relationship Type="http://schemas.openxmlformats.org/officeDocument/2006/relationships/hyperlink" Id="rId42" Target="https://www.regulations.gov/document?D=CFPB-2016-0025-91130" TargetMode="External" /><Relationship Type="http://schemas.openxmlformats.org/officeDocument/2006/relationships/hyperlink" Id="rId43" Target="https://www.regulations.gov/document?D=CFPB-2016-0025-9115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Iterative Hand-Coding and Computational Text Analysis: Application to Assessing the Effects of Public Pressure on Policy</dc:title>
  <dc:creator/>
  <cp:keywords/>
  <dcterms:created xsi:type="dcterms:W3CDTF">2022-07-06T03:34:51Z</dcterms:created>
  <dcterms:modified xsi:type="dcterms:W3CDTF">2022-07-06T03:34:51Z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describes methods for integrating human coding of texts with computational text analysis and preprocessing to increase the inferential power of hand-coding by several orders of magnitude. Computational text analysis tools can strategically select texts for human coders, including texts representing larger samples and outlier texts of high inferential value. Preprocessing documents can speed hand-coding by extracting key features like named entities. Moreover, hand-coding and text analysis tools are more powerful when combined in an interactive workflow. Applying this method to public comments on U.S. Federal Agency regulations, a hand-coded sample of 10,894 hand-coded comments yields equally valid inferences for over 41 million comments regarding the organizations that mobilized them and the extent to which policy changed in the direction they sought. This large sample of as-good-as-hand-coded documents enables new analyses of the relationships between lobbying coalitions, social movements, and policy change. For example, I find that public pressure to address climate change and environmental justice movements has large effects on policy documents, but a small number of national advocacy organizations dominate lobbying coalitions. When tribal governments or local groups lobby without the support of national advocacy groups, policymakers typically ignore them.</vt:lpwstr>
  </property>
  <property fmtid="{D5CDD505-2E9C-101B-9397-08002B2CF9AE}" pid="3" name="always_allow_html">
    <vt:lpwstr>True</vt:lpwstr>
  </property>
  <property fmtid="{D5CDD505-2E9C-101B-9397-08002B2CF9AE}" pid="4" name="biblio-style">
    <vt:lpwstr>/Users/devin/dissertation/assets/apsr.bst</vt:lpwstr>
  </property>
  <property fmtid="{D5CDD505-2E9C-101B-9397-08002B2CF9AE}" pid="5" name="bibliography">
    <vt:lpwstr>/Users/devin/dissertation/assets/dissertation.bib</vt:lpwstr>
  </property>
  <property fmtid="{D5CDD505-2E9C-101B-9397-08002B2CF9AE}" pid="6" name="citecolor">
    <vt:lpwstr>black</vt:lpwstr>
  </property>
  <property fmtid="{D5CDD505-2E9C-101B-9397-08002B2CF9AE}" pid="7" name="frontpage">
    <vt:lpwstr>True</vt:lpwstr>
  </property>
  <property fmtid="{D5CDD505-2E9C-101B-9397-08002B2CF9AE}" pid="8" name="knit">
    <vt:lpwstr>( function(input, …) { rmarkdown::render(input) } )</vt:lpwstr>
  </property>
  <property fmtid="{D5CDD505-2E9C-101B-9397-08002B2CF9AE}" pid="9" name="link-citations">
    <vt:lpwstr>True</vt:lpwstr>
  </property>
  <property fmtid="{D5CDD505-2E9C-101B-9397-08002B2CF9AE}" pid="10" name="output">
    <vt:lpwstr/>
  </property>
  <property fmtid="{D5CDD505-2E9C-101B-9397-08002B2CF9AE}" pid="11" name="spacing">
    <vt:lpwstr>onehalfspacing</vt:lpwstr>
  </property>
  <property fmtid="{D5CDD505-2E9C-101B-9397-08002B2CF9AE}" pid="12" name="urlcolor">
    <vt:lpwstr>black</vt:lpwstr>
  </property>
</Properties>
</file>