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7470" w14:textId="77777777" w:rsidR="00231945" w:rsidRDefault="00231945" w:rsidP="00897677">
      <w:pPr>
        <w:pStyle w:val="Heading1"/>
      </w:pPr>
    </w:p>
    <w:p w14:paraId="6F79F5CE" w14:textId="4BF76F1C" w:rsidR="009D6A99" w:rsidRDefault="00000000" w:rsidP="00897677">
      <w:pPr>
        <w:pStyle w:val="Heading1"/>
      </w:pPr>
      <w:r>
        <w:t>Commercial Property Loss Ratio Model: Explanation and Summary</w:t>
      </w:r>
    </w:p>
    <w:p w14:paraId="34D7D6D3" w14:textId="77777777" w:rsidR="009D6A99" w:rsidRDefault="00000000">
      <w:pPr>
        <w:pStyle w:val="Heading2"/>
      </w:pPr>
      <w:r>
        <w:t>Executive summary</w:t>
      </w:r>
    </w:p>
    <w:p w14:paraId="57592136" w14:textId="77777777" w:rsidR="009D6A99" w:rsidRDefault="00000000">
      <w:r>
        <w:t xml:space="preserve">From 2011 to 2022, Canadian insurers paid out or set aside about 63 cents in claims for every dollar of commercial property premium they earned. That figure, the </w:t>
      </w:r>
      <w:r>
        <w:rPr>
          <w:b/>
        </w:rPr>
        <w:t>loss ratio</w:t>
      </w:r>
      <w:r>
        <w:t>, is what this Excel model calculates.</w:t>
      </w:r>
    </w:p>
    <w:p w14:paraId="115BF62D" w14:textId="77777777" w:rsidR="009D6A99" w:rsidRDefault="00000000">
      <w:r>
        <w:t xml:space="preserve">The model takes public industry figures for commercial property insurance in Canada: the premiums insurers collected and the claims they incurred each year. It turns them into a loss ratio for every year and compares each year with a target of 65%. It also shows how insurers estimate claims that have happened but are not yet fully known, a process called </w:t>
      </w:r>
      <w:r>
        <w:rPr>
          <w:b/>
        </w:rPr>
        <w:t>reserving</w:t>
      </w:r>
      <w:r>
        <w:t>.</w:t>
      </w:r>
    </w:p>
    <w:p w14:paraId="0FFFE2DC" w14:textId="77777777" w:rsidR="009D6A99" w:rsidRDefault="00000000">
      <w:r>
        <w:t>The headline results:</w:t>
      </w:r>
    </w:p>
    <w:p w14:paraId="66AEC279" w14:textId="77777777" w:rsidR="009D6A99" w:rsidRDefault="00000000">
      <w:pPr>
        <w:pStyle w:val="ListParagraph"/>
        <w:numPr>
          <w:ilvl w:val="0"/>
          <w:numId w:val="2"/>
        </w:numPr>
      </w:pPr>
      <w:r>
        <w:rPr>
          <w:b/>
        </w:rPr>
        <w:t>Long-run loss ratio:</w:t>
      </w:r>
      <w:r>
        <w:t xml:space="preserve"> 62.6% over 2011–2022. Insurers kept about 37 cents of each premium dollar to pay staff, commissions, taxes and profit.</w:t>
      </w:r>
    </w:p>
    <w:p w14:paraId="596790C5" w14:textId="77777777" w:rsidR="009D6A99" w:rsidRDefault="00000000">
      <w:pPr>
        <w:pStyle w:val="ListParagraph"/>
        <w:numPr>
          <w:ilvl w:val="0"/>
          <w:numId w:val="2"/>
        </w:numPr>
      </w:pPr>
      <w:r>
        <w:rPr>
          <w:b/>
        </w:rPr>
        <w:t>Bad years are driven by disasters:</w:t>
      </w:r>
      <w:r>
        <w:t xml:space="preserve"> the worst year was 2016 at 82.2%, the year of the Fort McMurray wildfire. 2013 (75.3%) was the year of the Alberta and Toronto floods.</w:t>
      </w:r>
    </w:p>
    <w:p w14:paraId="7529B639" w14:textId="77777777" w:rsidR="009D6A99" w:rsidRDefault="00000000">
      <w:pPr>
        <w:pStyle w:val="ListParagraph"/>
        <w:numPr>
          <w:ilvl w:val="0"/>
          <w:numId w:val="2"/>
        </w:numPr>
      </w:pPr>
      <w:r>
        <w:rPr>
          <w:b/>
        </w:rPr>
        <w:t>Recent years are strong:</w:t>
      </w:r>
      <w:r>
        <w:t xml:space="preserve"> the ratio fell to 45.3% in 2021 and 50.0% in 2022, after insurers raised prices sharply from 2019 onward.</w:t>
      </w:r>
    </w:p>
    <w:p w14:paraId="5C408EAF" w14:textId="77777777" w:rsidR="009D6A99" w:rsidRDefault="00000000">
      <w:pPr>
        <w:pStyle w:val="ListParagraph"/>
        <w:numPr>
          <w:ilvl w:val="0"/>
          <w:numId w:val="2"/>
        </w:numPr>
      </w:pPr>
      <w:r>
        <w:rPr>
          <w:b/>
        </w:rPr>
        <w:t>The model checks out:</w:t>
      </w:r>
      <w:r>
        <w:t xml:space="preserve"> its results land within 1.5 percentage points, on average, of loss ratios published independently by the Insurance Bureau of Canada and PACICC.</w:t>
      </w:r>
    </w:p>
    <w:p w14:paraId="33AEB1A8" w14:textId="77777777" w:rsidR="009D6A99" w:rsidRDefault="00000000">
      <w:pPr>
        <w:pStyle w:val="ListParagraph"/>
        <w:numPr>
          <w:ilvl w:val="0"/>
          <w:numId w:val="2"/>
        </w:numPr>
      </w:pPr>
      <w:r>
        <w:rPr>
          <w:b/>
        </w:rPr>
        <w:t>Reserving:</w:t>
      </w:r>
      <w:r>
        <w:t xml:space="preserve"> on a simulated set of claims data, three standard methods estimate total claims of $48.7bn to $49.1bn, within 1% of the true figure used to build the data.</w:t>
      </w:r>
    </w:p>
    <w:p w14:paraId="4FE24AF4" w14:textId="77777777" w:rsidR="009D6A99" w:rsidRDefault="00000000">
      <w:r>
        <w:t xml:space="preserve">The workbook is </w:t>
      </w:r>
      <w:r>
        <w:rPr>
          <w:rStyle w:val="CodeChar"/>
        </w:rPr>
        <w:t>Commercial_Property_Loss_Ratio_Model.xlsx</w:t>
      </w:r>
      <w:r>
        <w:t>. Every number in it is calculated by live formulas, so changing an assumption updates every result.</w:t>
      </w:r>
    </w:p>
    <w:p w14:paraId="37625313" w14:textId="77777777" w:rsidR="009D6A99" w:rsidRDefault="00000000">
      <w:pPr>
        <w:pStyle w:val="Heading2"/>
      </w:pPr>
      <w:r>
        <w:t>Objective</w:t>
      </w:r>
    </w:p>
    <w:p w14:paraId="5219D0F9" w14:textId="77777777" w:rsidR="009D6A99" w:rsidRDefault="00000000">
      <w:r>
        <w:t xml:space="preserve">The model answers one question: </w:t>
      </w:r>
      <w:r>
        <w:rPr>
          <w:b/>
        </w:rPr>
        <w:t>is commercial property insurance in Canada profitable on its claims, and how has that changed over time?</w:t>
      </w:r>
    </w:p>
    <w:p w14:paraId="4372CED4" w14:textId="77777777" w:rsidR="009D6A99" w:rsidRDefault="00000000">
      <w:r>
        <w:t>An insurer sells a promise. A business pays a premium today, and the insurer promises to pay if the building burns, floods or is damaged by a storm. The insurer only finds out later whether the premium was enough. The loss ratio is the simplest measure of that: claims divided by premium.</w:t>
      </w:r>
    </w:p>
    <w:p w14:paraId="267563D9" w14:textId="77777777" w:rsidR="009D6A99" w:rsidRDefault="00000000">
      <w:r>
        <w:t>The model has five goals:</w:t>
      </w:r>
    </w:p>
    <w:p w14:paraId="00844497" w14:textId="77777777" w:rsidR="009D6A99" w:rsidRDefault="00000000">
      <w:pPr>
        <w:pStyle w:val="ListParagraph"/>
        <w:numPr>
          <w:ilvl w:val="0"/>
          <w:numId w:val="3"/>
        </w:numPr>
      </w:pPr>
      <w:r>
        <w:rPr>
          <w:b/>
        </w:rPr>
        <w:t>Measure</w:t>
      </w:r>
      <w:r>
        <w:t xml:space="preserve"> the loss ratio for Canadian commercial property each year from 2011 to 2022, using public industry data.</w:t>
      </w:r>
    </w:p>
    <w:p w14:paraId="6D4816A4" w14:textId="77777777" w:rsidR="009D6A99" w:rsidRDefault="00000000">
      <w:pPr>
        <w:pStyle w:val="ListParagraph"/>
        <w:numPr>
          <w:ilvl w:val="0"/>
          <w:numId w:val="3"/>
        </w:numPr>
      </w:pPr>
      <w:r>
        <w:rPr>
          <w:b/>
        </w:rPr>
        <w:t>Judge</w:t>
      </w:r>
      <w:r>
        <w:t xml:space="preserve"> each year against a target loss ratio, flagging years where claims ate too much of the premium.</w:t>
      </w:r>
    </w:p>
    <w:p w14:paraId="01997DDB" w14:textId="77777777" w:rsidR="009D6A99" w:rsidRDefault="00000000">
      <w:pPr>
        <w:pStyle w:val="ListParagraph"/>
        <w:numPr>
          <w:ilvl w:val="0"/>
          <w:numId w:val="3"/>
        </w:numPr>
      </w:pPr>
      <w:r>
        <w:rPr>
          <w:b/>
        </w:rPr>
        <w:lastRenderedPageBreak/>
        <w:t>Compare</w:t>
      </w:r>
      <w:r>
        <w:t xml:space="preserve"> commercial property with other lines of insurance, such as auto, home and liability.</w:t>
      </w:r>
    </w:p>
    <w:p w14:paraId="787DE557" w14:textId="77777777" w:rsidR="009D6A99" w:rsidRDefault="00000000">
      <w:pPr>
        <w:pStyle w:val="ListParagraph"/>
        <w:numPr>
          <w:ilvl w:val="0"/>
          <w:numId w:val="3"/>
        </w:numPr>
      </w:pPr>
      <w:r>
        <w:rPr>
          <w:b/>
        </w:rPr>
        <w:t>Validate</w:t>
      </w:r>
      <w:r>
        <w:t xml:space="preserve"> the results against loss ratios published independently, so readers can trust the method.</w:t>
      </w:r>
    </w:p>
    <w:p w14:paraId="10D42FF3" w14:textId="77777777" w:rsidR="009D6A99" w:rsidRDefault="00000000">
      <w:pPr>
        <w:pStyle w:val="ListParagraph"/>
        <w:numPr>
          <w:ilvl w:val="0"/>
          <w:numId w:val="3"/>
        </w:numPr>
      </w:pPr>
      <w:r>
        <w:rPr>
          <w:b/>
        </w:rPr>
        <w:t>Show how reserving works</w:t>
      </w:r>
      <w:r>
        <w:t>, meaning how insurers estimate the final cost of claims that are still open, using standard actuarial methods.</w:t>
      </w:r>
    </w:p>
    <w:p w14:paraId="3740272A" w14:textId="77777777" w:rsidR="009D6A99" w:rsidRDefault="00000000">
      <w:r>
        <w:t>It also includes a calculator, so anyone can enter the premium and claims of their own book of business and get its loss ratio straight away.</w:t>
      </w:r>
    </w:p>
    <w:p w14:paraId="332B3E57" w14:textId="77777777" w:rsidR="009D6A99" w:rsidRDefault="00000000">
      <w:r>
        <w:t>The model is built as a learning tool and a starting point. It suits underwriters, finance staff, managers, students and anyone who needs to understand insurance profitability without an actuarial background.</w:t>
      </w:r>
    </w:p>
    <w:p w14:paraId="1D035F68" w14:textId="77777777" w:rsidR="009D6A99" w:rsidRDefault="00000000">
      <w:pPr>
        <w:pStyle w:val="Heading2"/>
      </w:pPr>
      <w:r>
        <w:t>Sources of data</w:t>
      </w:r>
    </w:p>
    <w:p w14:paraId="256FDD6B" w14:textId="77777777" w:rsidR="009D6A99" w:rsidRDefault="00000000">
      <w:r>
        <w:t>All the premium and claims figures come from one public, authoritative source: the Insurance Bureau of Canada's annual Facts Book. Two independent sources are used only to check the results.</w:t>
      </w:r>
    </w:p>
    <w:tbl>
      <w:tblPr>
        <w:tblStyle w:val="TableGrid"/>
        <w:tblW w:w="0" w:type="auto"/>
        <w:tblLayout w:type="fixed"/>
        <w:tblLook w:val="0420" w:firstRow="1" w:lastRow="0" w:firstColumn="0" w:lastColumn="0" w:noHBand="0" w:noVBand="1"/>
      </w:tblPr>
      <w:tblGrid>
        <w:gridCol w:w="2640"/>
        <w:gridCol w:w="3613"/>
        <w:gridCol w:w="1036"/>
        <w:gridCol w:w="2071"/>
      </w:tblGrid>
      <w:tr w:rsidR="009D6A99" w14:paraId="7A325FAE" w14:textId="77777777">
        <w:trPr>
          <w:tblHeader/>
        </w:trPr>
        <w:tc>
          <w:tcPr>
            <w:tcW w:w="2640" w:type="dxa"/>
            <w:shd w:val="clear" w:color="auto" w:fill="F2F2F2"/>
          </w:tcPr>
          <w:p w14:paraId="4F8E1408" w14:textId="77777777" w:rsidR="009D6A99" w:rsidRDefault="00000000">
            <w:r>
              <w:t>Source</w:t>
            </w:r>
          </w:p>
        </w:tc>
        <w:tc>
          <w:tcPr>
            <w:tcW w:w="3613" w:type="dxa"/>
            <w:shd w:val="clear" w:color="auto" w:fill="F2F2F2"/>
          </w:tcPr>
          <w:p w14:paraId="18A35FA9" w14:textId="77777777" w:rsidR="009D6A99" w:rsidRDefault="00000000">
            <w:r>
              <w:t>What it provided</w:t>
            </w:r>
          </w:p>
        </w:tc>
        <w:tc>
          <w:tcPr>
            <w:tcW w:w="1036" w:type="dxa"/>
            <w:shd w:val="clear" w:color="auto" w:fill="F2F2F2"/>
          </w:tcPr>
          <w:p w14:paraId="4E998752" w14:textId="77777777" w:rsidR="009D6A99" w:rsidRDefault="00000000">
            <w:r>
              <w:t>Years</w:t>
            </w:r>
          </w:p>
        </w:tc>
        <w:tc>
          <w:tcPr>
            <w:tcW w:w="2071" w:type="dxa"/>
            <w:shd w:val="clear" w:color="auto" w:fill="F2F2F2"/>
          </w:tcPr>
          <w:p w14:paraId="72E94614" w14:textId="77777777" w:rsidR="009D6A99" w:rsidRDefault="00000000">
            <w:r>
              <w:t>Used for</w:t>
            </w:r>
          </w:p>
        </w:tc>
      </w:tr>
      <w:tr w:rsidR="009D6A99" w14:paraId="54B2E7C6" w14:textId="77777777">
        <w:tc>
          <w:tcPr>
            <w:tcW w:w="2640" w:type="dxa"/>
          </w:tcPr>
          <w:p w14:paraId="798D7E22" w14:textId="77777777" w:rsidR="009D6A99" w:rsidRDefault="009D6A99">
            <w:hyperlink r:id="rId5" w:history="1">
              <w:r>
                <w:rPr>
                  <w:rStyle w:val="Hyperlink"/>
                </w:rPr>
                <w:t>IBC Facts Book 2023</w:t>
              </w:r>
            </w:hyperlink>
            <w:r w:rsidR="00000000">
              <w:t>, Section 1, p. 9 (</w:t>
            </w:r>
            <w:hyperlink r:id="rId6" w:history="1">
              <w:r>
                <w:rPr>
                  <w:rStyle w:val="Hyperlink"/>
                </w:rPr>
                <w:t>PDF</w:t>
              </w:r>
            </w:hyperlink>
            <w:r w:rsidR="00000000">
              <w:t>)</w:t>
            </w:r>
          </w:p>
        </w:tc>
        <w:tc>
          <w:tcPr>
            <w:tcW w:w="3613" w:type="dxa"/>
          </w:tcPr>
          <w:p w14:paraId="442CDC28" w14:textId="77777777" w:rsidR="009D6A99" w:rsidRDefault="00000000">
            <w:r>
              <w:t>Net written premium for commercial property; written premium by line for 2022</w:t>
            </w:r>
          </w:p>
        </w:tc>
        <w:tc>
          <w:tcPr>
            <w:tcW w:w="1036" w:type="dxa"/>
          </w:tcPr>
          <w:p w14:paraId="0806C37A" w14:textId="77777777" w:rsidR="009D6A99" w:rsidRDefault="00000000">
            <w:r>
              <w:t>2010–2022</w:t>
            </w:r>
          </w:p>
        </w:tc>
        <w:tc>
          <w:tcPr>
            <w:tcW w:w="2071" w:type="dxa"/>
          </w:tcPr>
          <w:p w14:paraId="0685C3BD" w14:textId="77777777" w:rsidR="009D6A99" w:rsidRDefault="00000000">
            <w:r>
              <w:t>Main model input</w:t>
            </w:r>
          </w:p>
        </w:tc>
      </w:tr>
      <w:tr w:rsidR="009D6A99" w14:paraId="6921E929" w14:textId="77777777">
        <w:tc>
          <w:tcPr>
            <w:tcW w:w="2640" w:type="dxa"/>
          </w:tcPr>
          <w:p w14:paraId="6E728705" w14:textId="77777777" w:rsidR="009D6A99" w:rsidRDefault="00000000">
            <w:r>
              <w:t>IBC Facts Book 2023, Section 1, p. 11 (same PDF)</w:t>
            </w:r>
          </w:p>
        </w:tc>
        <w:tc>
          <w:tcPr>
            <w:tcW w:w="3613" w:type="dxa"/>
          </w:tcPr>
          <w:p w14:paraId="3AB2C0D4" w14:textId="77777777" w:rsidR="009D6A99" w:rsidRDefault="00000000">
            <w:r>
              <w:t>Net claims incurred for commercial property; claims by line for 2022</w:t>
            </w:r>
          </w:p>
        </w:tc>
        <w:tc>
          <w:tcPr>
            <w:tcW w:w="1036" w:type="dxa"/>
          </w:tcPr>
          <w:p w14:paraId="769C6226" w14:textId="77777777" w:rsidR="009D6A99" w:rsidRDefault="00000000">
            <w:r>
              <w:t>2010–2022 (series starts 1997)</w:t>
            </w:r>
          </w:p>
        </w:tc>
        <w:tc>
          <w:tcPr>
            <w:tcW w:w="2071" w:type="dxa"/>
          </w:tcPr>
          <w:p w14:paraId="686E438A" w14:textId="77777777" w:rsidR="009D6A99" w:rsidRDefault="00000000">
            <w:r>
              <w:t>Main model input</w:t>
            </w:r>
          </w:p>
        </w:tc>
      </w:tr>
      <w:tr w:rsidR="009D6A99" w14:paraId="4E07C8CD" w14:textId="77777777">
        <w:tc>
          <w:tcPr>
            <w:tcW w:w="2640" w:type="dxa"/>
          </w:tcPr>
          <w:p w14:paraId="54FAB68A" w14:textId="77777777" w:rsidR="009D6A99" w:rsidRDefault="009D6A99">
            <w:hyperlink r:id="rId7" w:history="1">
              <w:r>
                <w:rPr>
                  <w:rStyle w:val="Hyperlink"/>
                </w:rPr>
                <w:t>Canadian Underwriter, 31 Mar 2014</w:t>
              </w:r>
            </w:hyperlink>
            <w:r w:rsidR="00000000">
              <w:t>, quoting IBC</w:t>
            </w:r>
          </w:p>
        </w:tc>
        <w:tc>
          <w:tcPr>
            <w:tcW w:w="3613" w:type="dxa"/>
          </w:tcPr>
          <w:p w14:paraId="3139B482" w14:textId="77777777" w:rsidR="009D6A99" w:rsidRDefault="00000000">
            <w:r>
              <w:t>Published commercial property loss ratios: 62% and 77%</w:t>
            </w:r>
          </w:p>
        </w:tc>
        <w:tc>
          <w:tcPr>
            <w:tcW w:w="1036" w:type="dxa"/>
          </w:tcPr>
          <w:p w14:paraId="0DCEBA0B" w14:textId="77777777" w:rsidR="009D6A99" w:rsidRDefault="00000000">
            <w:r>
              <w:t>2012, 2013</w:t>
            </w:r>
          </w:p>
        </w:tc>
        <w:tc>
          <w:tcPr>
            <w:tcW w:w="2071" w:type="dxa"/>
          </w:tcPr>
          <w:p w14:paraId="4EC3F12A" w14:textId="77777777" w:rsidR="009D6A99" w:rsidRDefault="00000000">
            <w:r>
              <w:t>Validation only</w:t>
            </w:r>
          </w:p>
        </w:tc>
      </w:tr>
      <w:tr w:rsidR="009D6A99" w14:paraId="584D62CD" w14:textId="77777777">
        <w:tc>
          <w:tcPr>
            <w:tcW w:w="2640" w:type="dxa"/>
          </w:tcPr>
          <w:p w14:paraId="1BAF3392" w14:textId="77777777" w:rsidR="009D6A99" w:rsidRDefault="009D6A99">
            <w:hyperlink r:id="rId8" w:history="1">
              <w:r>
                <w:rPr>
                  <w:rStyle w:val="Hyperlink"/>
                </w:rPr>
                <w:t>Canadian Underwriter, 7 Apr 2022</w:t>
              </w:r>
            </w:hyperlink>
            <w:r w:rsidR="00000000">
              <w:t>, quoting PACICC</w:t>
            </w:r>
          </w:p>
        </w:tc>
        <w:tc>
          <w:tcPr>
            <w:tcW w:w="3613" w:type="dxa"/>
          </w:tcPr>
          <w:p w14:paraId="2B5A2C60" w14:textId="77777777" w:rsidR="009D6A99" w:rsidRDefault="00000000">
            <w:r>
              <w:t>Published commercial property loss ratios: 61.6% and 45.4%</w:t>
            </w:r>
          </w:p>
        </w:tc>
        <w:tc>
          <w:tcPr>
            <w:tcW w:w="1036" w:type="dxa"/>
          </w:tcPr>
          <w:p w14:paraId="3D652B87" w14:textId="77777777" w:rsidR="009D6A99" w:rsidRDefault="00000000">
            <w:r>
              <w:t>2020, 2021</w:t>
            </w:r>
          </w:p>
        </w:tc>
        <w:tc>
          <w:tcPr>
            <w:tcW w:w="2071" w:type="dxa"/>
          </w:tcPr>
          <w:p w14:paraId="6D43ACE9" w14:textId="77777777" w:rsidR="009D6A99" w:rsidRDefault="00000000">
            <w:r>
              <w:t>Validation only</w:t>
            </w:r>
          </w:p>
        </w:tc>
      </w:tr>
    </w:tbl>
    <w:p w14:paraId="2BD42B90" w14:textId="77777777" w:rsidR="009D6A99" w:rsidRDefault="00000000">
      <w:r>
        <w:rPr>
          <w:b/>
        </w:rPr>
        <w:t>Who compiles the IBC data.</w:t>
      </w:r>
      <w:r>
        <w:t xml:space="preserve"> The Facts Book draws on MSA Research, SCOR and Quebec's regulator, the AMF. MSA Research collects the financial returns that Canadian insurers file with their regulators. The figures cover private insurers across Canada.</w:t>
      </w:r>
    </w:p>
    <w:p w14:paraId="05980C08" w14:textId="77777777" w:rsidR="009D6A99" w:rsidRDefault="00000000">
      <w:r>
        <w:rPr>
          <w:b/>
        </w:rPr>
        <w:t>What the data excludes.</w:t>
      </w:r>
      <w:r>
        <w:t xml:space="preserve"> Government-run auto insurers in British Columbia, Saskatchewan, Manitoba and Quebec are not included. This matters for the auto comparison, not for commercial property.</w:t>
      </w:r>
    </w:p>
    <w:p w14:paraId="351244C8" w14:textId="77777777" w:rsidR="009D6A99" w:rsidRDefault="00000000">
      <w:r>
        <w:rPr>
          <w:b/>
        </w:rPr>
        <w:t>An accounting change.</w:t>
      </w:r>
      <w:r>
        <w:t xml:space="preserve"> The 2023 Facts Book is the last edition under the old accounting standard, IFRS 4. From 2023, insurers report under IFRS 17, which measures premiums differently. That is why the model stops at 2022: mixing the two would compare apples with oranges.</w:t>
      </w:r>
    </w:p>
    <w:p w14:paraId="18E57723" w14:textId="77777777" w:rsidR="009D6A99" w:rsidRDefault="00000000">
      <w:r>
        <w:rPr>
          <w:b/>
        </w:rPr>
        <w:t>Simulated data for reserving.</w:t>
      </w:r>
      <w:r>
        <w:t xml:space="preserve"> The loss triangles in the reserving part of the model are </w:t>
      </w:r>
      <w:r>
        <w:rPr>
          <w:b/>
        </w:rPr>
        <w:t>simulated, not real</w:t>
      </w:r>
      <w:r>
        <w:t xml:space="preserve">. Industry-wide claims development data for Canadian commercial property is not publicly available; regulators and MSA Research hold it, and access is paid. The simulated triangles are tied to the real </w:t>
      </w:r>
      <w:r>
        <w:lastRenderedPageBreak/>
        <w:t>Canadian premiums and loss ratios above, so their scale is realistic. They are clearly labelled in the workbook and should be replaced with real company data for any actual use.</w:t>
      </w:r>
    </w:p>
    <w:p w14:paraId="36184252" w14:textId="77777777" w:rsidR="009D6A99" w:rsidRDefault="00000000">
      <w:pPr>
        <w:pStyle w:val="Heading2"/>
      </w:pPr>
      <w:r>
        <w:t>Definitions</w:t>
      </w:r>
    </w:p>
    <w:p w14:paraId="5BB51E00" w14:textId="77777777" w:rsidR="009D6A99" w:rsidRDefault="00000000">
      <w:r>
        <w:t>These are the terms used in the model and in this document, in plain English, grouped by topic.</w:t>
      </w:r>
    </w:p>
    <w:p w14:paraId="4E4CDA83" w14:textId="77777777" w:rsidR="009D6A99" w:rsidRDefault="00000000">
      <w:r>
        <w:rPr>
          <w:b/>
        </w:rPr>
        <w:t>The business</w:t>
      </w:r>
    </w:p>
    <w:tbl>
      <w:tblPr>
        <w:tblStyle w:val="TableGrid"/>
        <w:tblW w:w="0" w:type="auto"/>
        <w:tblLayout w:type="fixed"/>
        <w:tblLook w:val="0420" w:firstRow="1" w:lastRow="0" w:firstColumn="0" w:lastColumn="0" w:noHBand="0" w:noVBand="1"/>
      </w:tblPr>
      <w:tblGrid>
        <w:gridCol w:w="3888"/>
        <w:gridCol w:w="5471"/>
      </w:tblGrid>
      <w:tr w:rsidR="009D6A99" w14:paraId="1BE17B10" w14:textId="77777777">
        <w:trPr>
          <w:tblHeader/>
        </w:trPr>
        <w:tc>
          <w:tcPr>
            <w:tcW w:w="3888" w:type="dxa"/>
            <w:shd w:val="clear" w:color="auto" w:fill="F2F2F2"/>
          </w:tcPr>
          <w:p w14:paraId="7567BEBC" w14:textId="77777777" w:rsidR="009D6A99" w:rsidRDefault="00000000">
            <w:r>
              <w:t>Term</w:t>
            </w:r>
          </w:p>
        </w:tc>
        <w:tc>
          <w:tcPr>
            <w:tcW w:w="5471" w:type="dxa"/>
            <w:shd w:val="clear" w:color="auto" w:fill="F2F2F2"/>
          </w:tcPr>
          <w:p w14:paraId="280D28C3" w14:textId="77777777" w:rsidR="009D6A99" w:rsidRDefault="00000000">
            <w:r>
              <w:t>Plain-English meaning</w:t>
            </w:r>
          </w:p>
        </w:tc>
      </w:tr>
      <w:tr w:rsidR="009D6A99" w14:paraId="580AFB6E" w14:textId="77777777">
        <w:tc>
          <w:tcPr>
            <w:tcW w:w="3888" w:type="dxa"/>
          </w:tcPr>
          <w:p w14:paraId="343ACD76" w14:textId="77777777" w:rsidR="009D6A99" w:rsidRDefault="00000000">
            <w:r>
              <w:t>Commercial property insurance</w:t>
            </w:r>
          </w:p>
        </w:tc>
        <w:tc>
          <w:tcPr>
            <w:tcW w:w="5471" w:type="dxa"/>
          </w:tcPr>
          <w:p w14:paraId="4EE8E7A1" w14:textId="77777777" w:rsidR="009D6A99" w:rsidRDefault="00000000">
            <w:r>
              <w:t>Insurance for business buildings and their contents (offices, shops, factories, warehouses) against fire, flood, storm, theft and similar damage.</w:t>
            </w:r>
          </w:p>
        </w:tc>
      </w:tr>
      <w:tr w:rsidR="009D6A99" w14:paraId="52B9C20E" w14:textId="77777777">
        <w:tc>
          <w:tcPr>
            <w:tcW w:w="3888" w:type="dxa"/>
          </w:tcPr>
          <w:p w14:paraId="385C930A" w14:textId="77777777" w:rsidR="009D6A99" w:rsidRDefault="00000000">
            <w:r>
              <w:t>Line of business</w:t>
            </w:r>
          </w:p>
        </w:tc>
        <w:tc>
          <w:tcPr>
            <w:tcW w:w="5471" w:type="dxa"/>
          </w:tcPr>
          <w:p w14:paraId="5281A592" w14:textId="77777777" w:rsidR="009D6A99" w:rsidRDefault="00000000">
            <w:r>
              <w:t>A category of insurance, such as commercial property, personal auto, home or liability.</w:t>
            </w:r>
          </w:p>
        </w:tc>
      </w:tr>
      <w:tr w:rsidR="009D6A99" w14:paraId="08C51B04" w14:textId="77777777">
        <w:tc>
          <w:tcPr>
            <w:tcW w:w="3888" w:type="dxa"/>
          </w:tcPr>
          <w:p w14:paraId="3B568221" w14:textId="77777777" w:rsidR="009D6A99" w:rsidRDefault="00000000">
            <w:r>
              <w:t>Policy</w:t>
            </w:r>
          </w:p>
        </w:tc>
        <w:tc>
          <w:tcPr>
            <w:tcW w:w="5471" w:type="dxa"/>
          </w:tcPr>
          <w:p w14:paraId="00CB0D2D" w14:textId="77777777" w:rsidR="009D6A99" w:rsidRDefault="00000000">
            <w:r>
              <w:t>The insurance contract. Commercial property policies usually last 12 months.</w:t>
            </w:r>
          </w:p>
        </w:tc>
      </w:tr>
      <w:tr w:rsidR="009D6A99" w14:paraId="05380B17" w14:textId="77777777">
        <w:tc>
          <w:tcPr>
            <w:tcW w:w="3888" w:type="dxa"/>
          </w:tcPr>
          <w:p w14:paraId="0CAA2D9E" w14:textId="77777777" w:rsidR="009D6A99" w:rsidRDefault="00000000">
            <w:r>
              <w:t>Catastrophe ("cat")</w:t>
            </w:r>
          </w:p>
        </w:tc>
        <w:tc>
          <w:tcPr>
            <w:tcW w:w="5471" w:type="dxa"/>
          </w:tcPr>
          <w:p w14:paraId="77A4B81C" w14:textId="77777777" w:rsidR="009D6A99" w:rsidRDefault="00000000">
            <w:r>
              <w:t>One event that causes many claims at once, such as a wildfire, flood or hailstorm.</w:t>
            </w:r>
          </w:p>
        </w:tc>
      </w:tr>
      <w:tr w:rsidR="009D6A99" w14:paraId="4A3F083D" w14:textId="77777777">
        <w:tc>
          <w:tcPr>
            <w:tcW w:w="3888" w:type="dxa"/>
          </w:tcPr>
          <w:p w14:paraId="520E256E" w14:textId="77777777" w:rsidR="009D6A99" w:rsidRDefault="00000000">
            <w:r>
              <w:t>Reinsurance</w:t>
            </w:r>
          </w:p>
        </w:tc>
        <w:tc>
          <w:tcPr>
            <w:tcW w:w="5471" w:type="dxa"/>
          </w:tcPr>
          <w:p w14:paraId="03BED005" w14:textId="77777777" w:rsidR="009D6A99" w:rsidRDefault="00000000">
            <w:r>
              <w:t>Insurance that insurers buy for themselves, so a share of very large losses is paid by another company.</w:t>
            </w:r>
          </w:p>
        </w:tc>
      </w:tr>
      <w:tr w:rsidR="009D6A99" w14:paraId="18789186" w14:textId="77777777">
        <w:tc>
          <w:tcPr>
            <w:tcW w:w="3888" w:type="dxa"/>
          </w:tcPr>
          <w:p w14:paraId="6F2BDD61" w14:textId="77777777" w:rsidR="009D6A99" w:rsidRDefault="00000000">
            <w:r>
              <w:t>Gross, direct and net</w:t>
            </w:r>
          </w:p>
        </w:tc>
        <w:tc>
          <w:tcPr>
            <w:tcW w:w="5471" w:type="dxa"/>
          </w:tcPr>
          <w:p w14:paraId="00D8CE8C" w14:textId="77777777" w:rsidR="009D6A99" w:rsidRDefault="00000000">
            <w:r>
              <w:t>Direct or gross = before reinsurance. Net = after the reinsurer's share is taken off. The main model uses net figures.</w:t>
            </w:r>
          </w:p>
        </w:tc>
      </w:tr>
    </w:tbl>
    <w:p w14:paraId="64739227" w14:textId="77777777" w:rsidR="009D6A99" w:rsidRDefault="00000000">
      <w:r>
        <w:rPr>
          <w:b/>
        </w:rPr>
        <w:t>Premiums</w:t>
      </w:r>
    </w:p>
    <w:tbl>
      <w:tblPr>
        <w:tblStyle w:val="TableGrid"/>
        <w:tblW w:w="0" w:type="auto"/>
        <w:tblLayout w:type="fixed"/>
        <w:tblLook w:val="0420" w:firstRow="1" w:lastRow="0" w:firstColumn="0" w:lastColumn="0" w:noHBand="0" w:noVBand="1"/>
      </w:tblPr>
      <w:tblGrid>
        <w:gridCol w:w="2882"/>
        <w:gridCol w:w="6477"/>
      </w:tblGrid>
      <w:tr w:rsidR="009D6A99" w14:paraId="0B84F202" w14:textId="77777777">
        <w:trPr>
          <w:tblHeader/>
        </w:trPr>
        <w:tc>
          <w:tcPr>
            <w:tcW w:w="2882" w:type="dxa"/>
            <w:shd w:val="clear" w:color="auto" w:fill="F2F2F2"/>
          </w:tcPr>
          <w:p w14:paraId="40BACAA8" w14:textId="77777777" w:rsidR="009D6A99" w:rsidRDefault="00000000">
            <w:r>
              <w:t>Term</w:t>
            </w:r>
          </w:p>
        </w:tc>
        <w:tc>
          <w:tcPr>
            <w:tcW w:w="6477" w:type="dxa"/>
            <w:shd w:val="clear" w:color="auto" w:fill="F2F2F2"/>
          </w:tcPr>
          <w:p w14:paraId="58FD6127" w14:textId="77777777" w:rsidR="009D6A99" w:rsidRDefault="00000000">
            <w:r>
              <w:t>Plain-English meaning</w:t>
            </w:r>
          </w:p>
        </w:tc>
      </w:tr>
      <w:tr w:rsidR="009D6A99" w14:paraId="0511FEC1" w14:textId="77777777">
        <w:tc>
          <w:tcPr>
            <w:tcW w:w="2882" w:type="dxa"/>
          </w:tcPr>
          <w:p w14:paraId="0644EC3B" w14:textId="77777777" w:rsidR="009D6A99" w:rsidRDefault="00000000">
            <w:r>
              <w:t>Premium</w:t>
            </w:r>
          </w:p>
        </w:tc>
        <w:tc>
          <w:tcPr>
            <w:tcW w:w="6477" w:type="dxa"/>
          </w:tcPr>
          <w:p w14:paraId="1D273B13" w14:textId="77777777" w:rsidR="009D6A99" w:rsidRDefault="00000000">
            <w:r>
              <w:t>The price the customer pays for the policy.</w:t>
            </w:r>
          </w:p>
        </w:tc>
      </w:tr>
      <w:tr w:rsidR="009D6A99" w14:paraId="4D48059E" w14:textId="77777777">
        <w:tc>
          <w:tcPr>
            <w:tcW w:w="2882" w:type="dxa"/>
          </w:tcPr>
          <w:p w14:paraId="1E66E418" w14:textId="77777777" w:rsidR="009D6A99" w:rsidRDefault="00000000">
            <w:r>
              <w:t>Written premium</w:t>
            </w:r>
          </w:p>
        </w:tc>
        <w:tc>
          <w:tcPr>
            <w:tcW w:w="6477" w:type="dxa"/>
          </w:tcPr>
          <w:p w14:paraId="6C49261D" w14:textId="77777777" w:rsidR="009D6A99" w:rsidRDefault="00000000">
            <w:r>
              <w:t xml:space="preserve">Premium for policies </w:t>
            </w:r>
            <w:r>
              <w:rPr>
                <w:b/>
              </w:rPr>
              <w:t>sold</w:t>
            </w:r>
            <w:r>
              <w:t xml:space="preserve"> during the year, counted in full on the day of sale.</w:t>
            </w:r>
          </w:p>
        </w:tc>
      </w:tr>
      <w:tr w:rsidR="009D6A99" w14:paraId="3D24958F" w14:textId="77777777">
        <w:tc>
          <w:tcPr>
            <w:tcW w:w="2882" w:type="dxa"/>
          </w:tcPr>
          <w:p w14:paraId="5F0C6B91" w14:textId="77777777" w:rsidR="009D6A99" w:rsidRDefault="00000000">
            <w:r>
              <w:t>Earned premium</w:t>
            </w:r>
          </w:p>
        </w:tc>
        <w:tc>
          <w:tcPr>
            <w:tcW w:w="6477" w:type="dxa"/>
          </w:tcPr>
          <w:p w14:paraId="7A878C76" w14:textId="77777777" w:rsidR="009D6A99" w:rsidRDefault="00000000">
            <w:r>
              <w:t xml:space="preserve">The part of premium that has been </w:t>
            </w:r>
            <w:r>
              <w:rPr>
                <w:b/>
              </w:rPr>
              <w:t>used up</w:t>
            </w:r>
            <w:r>
              <w:t xml:space="preserve"> by coverage already provided. A 12-month policy is 50% earned after 6 months.</w:t>
            </w:r>
          </w:p>
        </w:tc>
      </w:tr>
      <w:tr w:rsidR="009D6A99" w14:paraId="4862493B" w14:textId="77777777">
        <w:tc>
          <w:tcPr>
            <w:tcW w:w="2882" w:type="dxa"/>
          </w:tcPr>
          <w:p w14:paraId="3F8A712E" w14:textId="77777777" w:rsidR="009D6A99" w:rsidRDefault="00000000">
            <w:r>
              <w:t>Unearned premium</w:t>
            </w:r>
          </w:p>
        </w:tc>
        <w:tc>
          <w:tcPr>
            <w:tcW w:w="6477" w:type="dxa"/>
          </w:tcPr>
          <w:p w14:paraId="3D24D092" w14:textId="77777777" w:rsidR="009D6A99" w:rsidRDefault="00000000">
            <w:r>
              <w:t>The part not yet used up. The insurer holds it as a liability, because it may have to refund it if the policy is cancelled.</w:t>
            </w:r>
          </w:p>
        </w:tc>
      </w:tr>
      <w:tr w:rsidR="009D6A99" w14:paraId="057C959D" w14:textId="77777777">
        <w:tc>
          <w:tcPr>
            <w:tcW w:w="2882" w:type="dxa"/>
          </w:tcPr>
          <w:p w14:paraId="7DA02E40" w14:textId="77777777" w:rsidR="009D6A99" w:rsidRDefault="00000000">
            <w:r>
              <w:t>Earning fraction</w:t>
            </w:r>
          </w:p>
        </w:tc>
        <w:tc>
          <w:tcPr>
            <w:tcW w:w="6477" w:type="dxa"/>
          </w:tcPr>
          <w:p w14:paraId="051B5AF1" w14:textId="77777777" w:rsidR="009D6A99" w:rsidRDefault="00000000">
            <w:r>
              <w:t>The share of a year's written premium that is earned in that same year. The model uses 50%.</w:t>
            </w:r>
          </w:p>
        </w:tc>
      </w:tr>
    </w:tbl>
    <w:p w14:paraId="17845525" w14:textId="77777777" w:rsidR="009D6A99" w:rsidRDefault="00000000">
      <w:r>
        <w:rPr>
          <w:b/>
        </w:rPr>
        <w:t>Claims</w:t>
      </w:r>
    </w:p>
    <w:tbl>
      <w:tblPr>
        <w:tblStyle w:val="TableGrid"/>
        <w:tblW w:w="0" w:type="auto"/>
        <w:tblLayout w:type="fixed"/>
        <w:tblLook w:val="0420" w:firstRow="1" w:lastRow="0" w:firstColumn="0" w:lastColumn="0" w:noHBand="0" w:noVBand="1"/>
      </w:tblPr>
      <w:tblGrid>
        <w:gridCol w:w="4077"/>
        <w:gridCol w:w="5282"/>
      </w:tblGrid>
      <w:tr w:rsidR="009D6A99" w14:paraId="2BE3BBED" w14:textId="77777777">
        <w:trPr>
          <w:tblHeader/>
        </w:trPr>
        <w:tc>
          <w:tcPr>
            <w:tcW w:w="4077" w:type="dxa"/>
            <w:shd w:val="clear" w:color="auto" w:fill="F2F2F2"/>
          </w:tcPr>
          <w:p w14:paraId="4AC32D41" w14:textId="77777777" w:rsidR="009D6A99" w:rsidRDefault="00000000">
            <w:r>
              <w:lastRenderedPageBreak/>
              <w:t>Term</w:t>
            </w:r>
          </w:p>
        </w:tc>
        <w:tc>
          <w:tcPr>
            <w:tcW w:w="5282" w:type="dxa"/>
            <w:shd w:val="clear" w:color="auto" w:fill="F2F2F2"/>
          </w:tcPr>
          <w:p w14:paraId="3CABF506" w14:textId="77777777" w:rsidR="009D6A99" w:rsidRDefault="00000000">
            <w:r>
              <w:t>Plain-English meaning</w:t>
            </w:r>
          </w:p>
        </w:tc>
      </w:tr>
      <w:tr w:rsidR="009D6A99" w14:paraId="13459AEA" w14:textId="77777777">
        <w:tc>
          <w:tcPr>
            <w:tcW w:w="4077" w:type="dxa"/>
          </w:tcPr>
          <w:p w14:paraId="5AAD3748" w14:textId="77777777" w:rsidR="009D6A99" w:rsidRDefault="00000000">
            <w:r>
              <w:t>Claim</w:t>
            </w:r>
          </w:p>
        </w:tc>
        <w:tc>
          <w:tcPr>
            <w:tcW w:w="5282" w:type="dxa"/>
          </w:tcPr>
          <w:p w14:paraId="422EAA3C" w14:textId="77777777" w:rsidR="009D6A99" w:rsidRDefault="00000000">
            <w:r>
              <w:t>A request by the customer for payment after a loss.</w:t>
            </w:r>
          </w:p>
        </w:tc>
      </w:tr>
      <w:tr w:rsidR="009D6A99" w14:paraId="13FAE762" w14:textId="77777777">
        <w:tc>
          <w:tcPr>
            <w:tcW w:w="4077" w:type="dxa"/>
          </w:tcPr>
          <w:p w14:paraId="7054B1AF" w14:textId="77777777" w:rsidR="009D6A99" w:rsidRDefault="00000000">
            <w:r>
              <w:t>Paid losses</w:t>
            </w:r>
          </w:p>
        </w:tc>
        <w:tc>
          <w:tcPr>
            <w:tcW w:w="5282" w:type="dxa"/>
          </w:tcPr>
          <w:p w14:paraId="7C318CFE" w14:textId="77777777" w:rsidR="009D6A99" w:rsidRDefault="00000000">
            <w:r>
              <w:t>Money already paid out on claims.</w:t>
            </w:r>
          </w:p>
        </w:tc>
      </w:tr>
      <w:tr w:rsidR="009D6A99" w14:paraId="71624615" w14:textId="77777777">
        <w:tc>
          <w:tcPr>
            <w:tcW w:w="4077" w:type="dxa"/>
          </w:tcPr>
          <w:p w14:paraId="1B8B5EDD" w14:textId="77777777" w:rsidR="009D6A99" w:rsidRDefault="00000000">
            <w:r>
              <w:t>Case reserve</w:t>
            </w:r>
          </w:p>
        </w:tc>
        <w:tc>
          <w:tcPr>
            <w:tcW w:w="5282" w:type="dxa"/>
          </w:tcPr>
          <w:p w14:paraId="4CC309F8" w14:textId="77777777" w:rsidR="009D6A99" w:rsidRDefault="00000000">
            <w:r>
              <w:t>The claims adjuster's estimate of what is still to be paid on a claim that has been reported but not settled.</w:t>
            </w:r>
          </w:p>
        </w:tc>
      </w:tr>
      <w:tr w:rsidR="009D6A99" w14:paraId="29BC7891" w14:textId="77777777">
        <w:tc>
          <w:tcPr>
            <w:tcW w:w="4077" w:type="dxa"/>
          </w:tcPr>
          <w:p w14:paraId="62278F69" w14:textId="77777777" w:rsidR="009D6A99" w:rsidRDefault="00000000">
            <w:r>
              <w:t>Reported (case-incurred) losses</w:t>
            </w:r>
          </w:p>
        </w:tc>
        <w:tc>
          <w:tcPr>
            <w:tcW w:w="5282" w:type="dxa"/>
          </w:tcPr>
          <w:p w14:paraId="22B58BAF" w14:textId="77777777" w:rsidR="009D6A99" w:rsidRDefault="00000000">
            <w:r>
              <w:t>Paid losses plus case reserves: the insurer's current view of claims it knows about.</w:t>
            </w:r>
          </w:p>
        </w:tc>
      </w:tr>
      <w:tr w:rsidR="009D6A99" w14:paraId="2CC4D1B8" w14:textId="77777777">
        <w:tc>
          <w:tcPr>
            <w:tcW w:w="4077" w:type="dxa"/>
          </w:tcPr>
          <w:p w14:paraId="3E6A0ACC" w14:textId="77777777" w:rsidR="009D6A99" w:rsidRDefault="00000000">
            <w:r>
              <w:t>IBNR ("incurred but not reported")</w:t>
            </w:r>
          </w:p>
        </w:tc>
        <w:tc>
          <w:tcPr>
            <w:tcW w:w="5282" w:type="dxa"/>
          </w:tcPr>
          <w:p w14:paraId="052D0FD3" w14:textId="77777777" w:rsidR="009D6A99" w:rsidRDefault="00000000">
            <w:r>
              <w:t>An estimate of claims that have happened but are not yet known, plus extra cost expected on known claims.</w:t>
            </w:r>
          </w:p>
        </w:tc>
      </w:tr>
      <w:tr w:rsidR="009D6A99" w14:paraId="204E7F50" w14:textId="77777777">
        <w:tc>
          <w:tcPr>
            <w:tcW w:w="4077" w:type="dxa"/>
          </w:tcPr>
          <w:p w14:paraId="15AE3EF0" w14:textId="77777777" w:rsidR="009D6A99" w:rsidRDefault="00000000">
            <w:r>
              <w:t>Incurred losses (claims incurred)</w:t>
            </w:r>
          </w:p>
        </w:tc>
        <w:tc>
          <w:tcPr>
            <w:tcW w:w="5282" w:type="dxa"/>
          </w:tcPr>
          <w:p w14:paraId="58B12E6A" w14:textId="77777777" w:rsidR="009D6A99" w:rsidRDefault="00000000">
            <w:r>
              <w:t>Paid losses + change in case reserves + change in IBNR. This is the full cost of claims for a period.</w:t>
            </w:r>
          </w:p>
        </w:tc>
      </w:tr>
      <w:tr w:rsidR="009D6A99" w14:paraId="66F83291" w14:textId="77777777">
        <w:tc>
          <w:tcPr>
            <w:tcW w:w="4077" w:type="dxa"/>
          </w:tcPr>
          <w:p w14:paraId="7E76DBA1" w14:textId="77777777" w:rsidR="009D6A99" w:rsidRDefault="00000000">
            <w:r>
              <w:t>Ultimate losses</w:t>
            </w:r>
          </w:p>
        </w:tc>
        <w:tc>
          <w:tcPr>
            <w:tcW w:w="5282" w:type="dxa"/>
          </w:tcPr>
          <w:p w14:paraId="30D498D7" w14:textId="77777777" w:rsidR="009D6A99" w:rsidRDefault="00000000">
            <w:r>
              <w:t>The final total cost of claims once every claim from a period is closed.</w:t>
            </w:r>
          </w:p>
        </w:tc>
      </w:tr>
      <w:tr w:rsidR="009D6A99" w14:paraId="183FFE11" w14:textId="77777777">
        <w:tc>
          <w:tcPr>
            <w:tcW w:w="4077" w:type="dxa"/>
          </w:tcPr>
          <w:p w14:paraId="5AB8C2EF" w14:textId="77777777" w:rsidR="009D6A99" w:rsidRDefault="00000000">
            <w:r>
              <w:t>LAE (loss adjustment expense)</w:t>
            </w:r>
          </w:p>
        </w:tc>
        <w:tc>
          <w:tcPr>
            <w:tcW w:w="5282" w:type="dxa"/>
          </w:tcPr>
          <w:p w14:paraId="7D1B37FE" w14:textId="77777777" w:rsidR="009D6A99" w:rsidRDefault="00000000">
            <w:r>
              <w:t xml:space="preserve">The cost of handling claims. </w:t>
            </w:r>
            <w:r>
              <w:rPr>
                <w:b/>
              </w:rPr>
              <w:t>ALAE</w:t>
            </w:r>
            <w:r>
              <w:t xml:space="preserve"> is allocated to a specific claim (lawyers, adjusters, engineers). </w:t>
            </w:r>
            <w:r>
              <w:rPr>
                <w:b/>
              </w:rPr>
              <w:t>ULAE</w:t>
            </w:r>
            <w:r>
              <w:t xml:space="preserve"> is unallocated, general claims overhead (staff salaries, offices, systems).</w:t>
            </w:r>
          </w:p>
        </w:tc>
      </w:tr>
      <w:tr w:rsidR="009D6A99" w14:paraId="3796B0B0" w14:textId="77777777">
        <w:tc>
          <w:tcPr>
            <w:tcW w:w="4077" w:type="dxa"/>
          </w:tcPr>
          <w:p w14:paraId="6A029024" w14:textId="77777777" w:rsidR="009D6A99" w:rsidRDefault="00000000">
            <w:r>
              <w:t>ULAE load</w:t>
            </w:r>
          </w:p>
        </w:tc>
        <w:tc>
          <w:tcPr>
            <w:tcW w:w="5282" w:type="dxa"/>
          </w:tcPr>
          <w:p w14:paraId="7F60973B" w14:textId="77777777" w:rsidR="009D6A99" w:rsidRDefault="00000000">
            <w:r>
              <w:t>ULAE added as a percentage of claims, because it can't be traced to individual claims.</w:t>
            </w:r>
          </w:p>
        </w:tc>
      </w:tr>
    </w:tbl>
    <w:p w14:paraId="2B052C53" w14:textId="77777777" w:rsidR="009D6A99" w:rsidRDefault="00000000">
      <w:r>
        <w:rPr>
          <w:b/>
        </w:rPr>
        <w:t>Ratios and measures</w:t>
      </w:r>
    </w:p>
    <w:tbl>
      <w:tblPr>
        <w:tblStyle w:val="TableGrid"/>
        <w:tblW w:w="0" w:type="auto"/>
        <w:tblLayout w:type="fixed"/>
        <w:tblLook w:val="0420" w:firstRow="1" w:lastRow="0" w:firstColumn="0" w:lastColumn="0" w:noHBand="0" w:noVBand="1"/>
      </w:tblPr>
      <w:tblGrid>
        <w:gridCol w:w="3858"/>
        <w:gridCol w:w="5501"/>
      </w:tblGrid>
      <w:tr w:rsidR="009D6A99" w14:paraId="69122B61" w14:textId="77777777">
        <w:trPr>
          <w:tblHeader/>
        </w:trPr>
        <w:tc>
          <w:tcPr>
            <w:tcW w:w="3858" w:type="dxa"/>
            <w:shd w:val="clear" w:color="auto" w:fill="F2F2F2"/>
          </w:tcPr>
          <w:p w14:paraId="00824492" w14:textId="77777777" w:rsidR="009D6A99" w:rsidRDefault="00000000">
            <w:r>
              <w:t>Term</w:t>
            </w:r>
          </w:p>
        </w:tc>
        <w:tc>
          <w:tcPr>
            <w:tcW w:w="5501" w:type="dxa"/>
            <w:shd w:val="clear" w:color="auto" w:fill="F2F2F2"/>
          </w:tcPr>
          <w:p w14:paraId="208D5568" w14:textId="77777777" w:rsidR="009D6A99" w:rsidRDefault="00000000">
            <w:r>
              <w:t>Plain-English meaning</w:t>
            </w:r>
          </w:p>
        </w:tc>
      </w:tr>
      <w:tr w:rsidR="009D6A99" w14:paraId="51A44015" w14:textId="77777777">
        <w:tc>
          <w:tcPr>
            <w:tcW w:w="3858" w:type="dxa"/>
          </w:tcPr>
          <w:p w14:paraId="79172135" w14:textId="77777777" w:rsidR="009D6A99" w:rsidRDefault="00000000">
            <w:r>
              <w:t>Loss ratio</w:t>
            </w:r>
          </w:p>
        </w:tc>
        <w:tc>
          <w:tcPr>
            <w:tcW w:w="5501" w:type="dxa"/>
          </w:tcPr>
          <w:p w14:paraId="0761E53E" w14:textId="77777777" w:rsidR="009D6A99" w:rsidRDefault="00000000">
            <w:r>
              <w:t>Incurred losses divided by earned premium. 60% means 60 cents of every premium dollar went to claims.</w:t>
            </w:r>
          </w:p>
        </w:tc>
      </w:tr>
      <w:tr w:rsidR="009D6A99" w14:paraId="601194D4" w14:textId="77777777">
        <w:tc>
          <w:tcPr>
            <w:tcW w:w="3858" w:type="dxa"/>
          </w:tcPr>
          <w:p w14:paraId="253B4730" w14:textId="77777777" w:rsidR="009D6A99" w:rsidRDefault="00000000">
            <w:r>
              <w:t>Written-basis loss ratio</w:t>
            </w:r>
          </w:p>
        </w:tc>
        <w:tc>
          <w:tcPr>
            <w:tcW w:w="5501" w:type="dxa"/>
          </w:tcPr>
          <w:p w14:paraId="6E26C2F1" w14:textId="77777777" w:rsidR="009D6A99" w:rsidRDefault="00000000">
            <w:r>
              <w:t>Incurred losses divided by written premium. A rougher shortcut, used when earned premium isn't available.</w:t>
            </w:r>
          </w:p>
        </w:tc>
      </w:tr>
      <w:tr w:rsidR="009D6A99" w14:paraId="1486C277" w14:textId="77777777">
        <w:tc>
          <w:tcPr>
            <w:tcW w:w="3858" w:type="dxa"/>
          </w:tcPr>
          <w:p w14:paraId="1D877DD5" w14:textId="77777777" w:rsidR="009D6A99" w:rsidRDefault="00000000">
            <w:r>
              <w:t>Expense ratio</w:t>
            </w:r>
          </w:p>
        </w:tc>
        <w:tc>
          <w:tcPr>
            <w:tcW w:w="5501" w:type="dxa"/>
          </w:tcPr>
          <w:p w14:paraId="71F30EAC" w14:textId="77777777" w:rsidR="009D6A99" w:rsidRDefault="00000000">
            <w:r>
              <w:t>Running costs (commissions, premium taxes, salaries) divided by premium.</w:t>
            </w:r>
          </w:p>
        </w:tc>
      </w:tr>
      <w:tr w:rsidR="009D6A99" w14:paraId="2A39CDF6" w14:textId="77777777">
        <w:tc>
          <w:tcPr>
            <w:tcW w:w="3858" w:type="dxa"/>
          </w:tcPr>
          <w:p w14:paraId="10DF0AF4" w14:textId="77777777" w:rsidR="009D6A99" w:rsidRDefault="00000000">
            <w:r>
              <w:t>Combined ratio</w:t>
            </w:r>
          </w:p>
        </w:tc>
        <w:tc>
          <w:tcPr>
            <w:tcW w:w="5501" w:type="dxa"/>
          </w:tcPr>
          <w:p w14:paraId="57B3DD33" w14:textId="77777777" w:rsidR="009D6A99" w:rsidRDefault="00000000">
            <w:r>
              <w:t>Loss ratio + expense ratio. Below 100% means the insurer made money on underwriting; above 100% means it lost money before investment income.</w:t>
            </w:r>
          </w:p>
        </w:tc>
      </w:tr>
      <w:tr w:rsidR="009D6A99" w14:paraId="29C52248" w14:textId="77777777">
        <w:tc>
          <w:tcPr>
            <w:tcW w:w="3858" w:type="dxa"/>
          </w:tcPr>
          <w:p w14:paraId="069F2772" w14:textId="77777777" w:rsidR="009D6A99" w:rsidRDefault="00000000">
            <w:r>
              <w:t>Target (permissible) loss ratio</w:t>
            </w:r>
          </w:p>
        </w:tc>
        <w:tc>
          <w:tcPr>
            <w:tcW w:w="5501" w:type="dxa"/>
          </w:tcPr>
          <w:p w14:paraId="22B8E20F" w14:textId="77777777" w:rsidR="009D6A99" w:rsidRDefault="00000000">
            <w:r>
              <w:t>The highest loss ratio the business can afford: 100% minus the expense ratio minus the profit margin wanted.</w:t>
            </w:r>
          </w:p>
        </w:tc>
      </w:tr>
      <w:tr w:rsidR="009D6A99" w14:paraId="086BEE05" w14:textId="77777777">
        <w:tc>
          <w:tcPr>
            <w:tcW w:w="3858" w:type="dxa"/>
          </w:tcPr>
          <w:p w14:paraId="0AC0ECEA" w14:textId="77777777" w:rsidR="009D6A99" w:rsidRDefault="00000000">
            <w:r>
              <w:t>Percentage point (pp)</w:t>
            </w:r>
          </w:p>
        </w:tc>
        <w:tc>
          <w:tcPr>
            <w:tcW w:w="5501" w:type="dxa"/>
          </w:tcPr>
          <w:p w14:paraId="264D8ECC" w14:textId="77777777" w:rsidR="009D6A99" w:rsidRDefault="00000000">
            <w:r>
              <w:t>The plain difference between two percentages. Going from 50% to 55% is 5 percentage points, but a 10% increase.</w:t>
            </w:r>
          </w:p>
        </w:tc>
      </w:tr>
      <w:tr w:rsidR="009D6A99" w14:paraId="73CCC768" w14:textId="77777777">
        <w:tc>
          <w:tcPr>
            <w:tcW w:w="3858" w:type="dxa"/>
          </w:tcPr>
          <w:p w14:paraId="2F96FB5A" w14:textId="77777777" w:rsidR="009D6A99" w:rsidRDefault="00000000">
            <w:r>
              <w:lastRenderedPageBreak/>
              <w:t>YoY change</w:t>
            </w:r>
          </w:p>
        </w:tc>
        <w:tc>
          <w:tcPr>
            <w:tcW w:w="5501" w:type="dxa"/>
          </w:tcPr>
          <w:p w14:paraId="4E3574C0" w14:textId="77777777" w:rsidR="009D6A99" w:rsidRDefault="00000000">
            <w:r>
              <w:t>Year-over-year change: this year's loss ratio minus last year's, in percentage points.</w:t>
            </w:r>
          </w:p>
        </w:tc>
      </w:tr>
      <w:tr w:rsidR="009D6A99" w14:paraId="03A6DFC4" w14:textId="77777777">
        <w:tc>
          <w:tcPr>
            <w:tcW w:w="3858" w:type="dxa"/>
          </w:tcPr>
          <w:p w14:paraId="120AE2EF" w14:textId="77777777" w:rsidR="009D6A99" w:rsidRDefault="00000000">
            <w:r>
              <w:t>Calendar year</w:t>
            </w:r>
          </w:p>
        </w:tc>
        <w:tc>
          <w:tcPr>
            <w:tcW w:w="5501" w:type="dxa"/>
          </w:tcPr>
          <w:p w14:paraId="46B0B1EE" w14:textId="77777777" w:rsidR="009D6A99" w:rsidRDefault="00000000">
            <w:r>
              <w:t>Results for everything booked in a year, including changes to estimates for claims from earlier years.</w:t>
            </w:r>
          </w:p>
        </w:tc>
      </w:tr>
      <w:tr w:rsidR="009D6A99" w14:paraId="56F2F13D" w14:textId="77777777">
        <w:tc>
          <w:tcPr>
            <w:tcW w:w="3858" w:type="dxa"/>
          </w:tcPr>
          <w:p w14:paraId="33E30FB0" w14:textId="77777777" w:rsidR="009D6A99" w:rsidRDefault="00000000">
            <w:r>
              <w:t>Accident year</w:t>
            </w:r>
          </w:p>
        </w:tc>
        <w:tc>
          <w:tcPr>
            <w:tcW w:w="5501" w:type="dxa"/>
          </w:tcPr>
          <w:p w14:paraId="28DD903B" w14:textId="77777777" w:rsidR="009D6A99" w:rsidRDefault="00000000">
            <w:r>
              <w:t>Results grouped by the year the loss event happened, however long the claim takes to settle.</w:t>
            </w:r>
          </w:p>
        </w:tc>
      </w:tr>
    </w:tbl>
    <w:p w14:paraId="411D87C7" w14:textId="77777777" w:rsidR="009D6A99" w:rsidRDefault="00000000">
      <w:r>
        <w:rPr>
          <w:b/>
        </w:rPr>
        <w:t>Reserving</w:t>
      </w:r>
    </w:p>
    <w:tbl>
      <w:tblPr>
        <w:tblStyle w:val="TableGrid"/>
        <w:tblW w:w="0" w:type="auto"/>
        <w:tblLayout w:type="fixed"/>
        <w:tblLook w:val="0420" w:firstRow="1" w:lastRow="0" w:firstColumn="0" w:lastColumn="0" w:noHBand="0" w:noVBand="1"/>
      </w:tblPr>
      <w:tblGrid>
        <w:gridCol w:w="4440"/>
        <w:gridCol w:w="4920"/>
      </w:tblGrid>
      <w:tr w:rsidR="009D6A99" w14:paraId="338779E2" w14:textId="77777777">
        <w:trPr>
          <w:tblHeader/>
        </w:trPr>
        <w:tc>
          <w:tcPr>
            <w:tcW w:w="4440" w:type="dxa"/>
            <w:shd w:val="clear" w:color="auto" w:fill="F2F2F2"/>
          </w:tcPr>
          <w:p w14:paraId="24EEB63C" w14:textId="77777777" w:rsidR="009D6A99" w:rsidRDefault="00000000">
            <w:r>
              <w:t>Term</w:t>
            </w:r>
          </w:p>
        </w:tc>
        <w:tc>
          <w:tcPr>
            <w:tcW w:w="4920" w:type="dxa"/>
            <w:shd w:val="clear" w:color="auto" w:fill="F2F2F2"/>
          </w:tcPr>
          <w:p w14:paraId="74D1E693" w14:textId="77777777" w:rsidR="009D6A99" w:rsidRDefault="00000000">
            <w:r>
              <w:t>Plain-English meaning</w:t>
            </w:r>
          </w:p>
        </w:tc>
      </w:tr>
      <w:tr w:rsidR="009D6A99" w14:paraId="016FBE80" w14:textId="77777777">
        <w:tc>
          <w:tcPr>
            <w:tcW w:w="4440" w:type="dxa"/>
          </w:tcPr>
          <w:p w14:paraId="6F5B9CE7" w14:textId="77777777" w:rsidR="009D6A99" w:rsidRDefault="00000000">
            <w:r>
              <w:t>Reserving</w:t>
            </w:r>
          </w:p>
        </w:tc>
        <w:tc>
          <w:tcPr>
            <w:tcW w:w="4920" w:type="dxa"/>
          </w:tcPr>
          <w:p w14:paraId="289F46E6" w14:textId="77777777" w:rsidR="009D6A99" w:rsidRDefault="00000000">
            <w:r>
              <w:t>Estimating how much money to set aside for claims that are not yet fully paid.</w:t>
            </w:r>
          </w:p>
        </w:tc>
      </w:tr>
      <w:tr w:rsidR="009D6A99" w14:paraId="7F8E299A" w14:textId="77777777">
        <w:tc>
          <w:tcPr>
            <w:tcW w:w="4440" w:type="dxa"/>
          </w:tcPr>
          <w:p w14:paraId="36EBD8EB" w14:textId="77777777" w:rsidR="009D6A99" w:rsidRDefault="00000000">
            <w:r>
              <w:t>Loss triangle</w:t>
            </w:r>
          </w:p>
        </w:tc>
        <w:tc>
          <w:tcPr>
            <w:tcW w:w="4920" w:type="dxa"/>
          </w:tcPr>
          <w:p w14:paraId="10ED6D7E" w14:textId="77777777" w:rsidR="009D6A99" w:rsidRDefault="00000000">
            <w:r>
              <w:t>A table of claims by accident year (rows) and age (columns). It is triangle-shaped because recent years have fewer years of history.</w:t>
            </w:r>
          </w:p>
        </w:tc>
      </w:tr>
      <w:tr w:rsidR="009D6A99" w14:paraId="3A5AB647" w14:textId="77777777">
        <w:tc>
          <w:tcPr>
            <w:tcW w:w="4440" w:type="dxa"/>
          </w:tcPr>
          <w:p w14:paraId="0BDEE6F2" w14:textId="77777777" w:rsidR="009D6A99" w:rsidRDefault="00000000">
            <w:r>
              <w:t>Development</w:t>
            </w:r>
          </w:p>
        </w:tc>
        <w:tc>
          <w:tcPr>
            <w:tcW w:w="4920" w:type="dxa"/>
          </w:tcPr>
          <w:p w14:paraId="014E77E8" w14:textId="77777777" w:rsidR="009D6A99" w:rsidRDefault="00000000">
            <w:r>
              <w:t>How the total for an accident year grows as claims are reported and paid over time.</w:t>
            </w:r>
          </w:p>
        </w:tc>
      </w:tr>
      <w:tr w:rsidR="009D6A99" w14:paraId="603ACF21" w14:textId="77777777">
        <w:tc>
          <w:tcPr>
            <w:tcW w:w="4440" w:type="dxa"/>
          </w:tcPr>
          <w:p w14:paraId="450FA812" w14:textId="77777777" w:rsidR="009D6A99" w:rsidRDefault="00000000">
            <w:r>
              <w:t>Development factor (age-to-age factor, LDF)</w:t>
            </w:r>
          </w:p>
        </w:tc>
        <w:tc>
          <w:tcPr>
            <w:tcW w:w="4920" w:type="dxa"/>
          </w:tcPr>
          <w:p w14:paraId="04AF9D86" w14:textId="77777777" w:rsidR="009D6A99" w:rsidRDefault="00000000">
            <w:r>
              <w:t>How much an accident year's total grows from one age to the next. A factor of 1.136 means 13.6% growth.</w:t>
            </w:r>
          </w:p>
        </w:tc>
      </w:tr>
      <w:tr w:rsidR="009D6A99" w14:paraId="15A61BE9" w14:textId="77777777">
        <w:tc>
          <w:tcPr>
            <w:tcW w:w="4440" w:type="dxa"/>
          </w:tcPr>
          <w:p w14:paraId="4B2920B2" w14:textId="77777777" w:rsidR="009D6A99" w:rsidRDefault="00000000">
            <w:r>
              <w:t>Cumulative development factor (CDF)</w:t>
            </w:r>
          </w:p>
        </w:tc>
        <w:tc>
          <w:tcPr>
            <w:tcW w:w="4920" w:type="dxa"/>
          </w:tcPr>
          <w:p w14:paraId="03D8223C" w14:textId="77777777" w:rsidR="009D6A99" w:rsidRDefault="00000000">
            <w:r>
              <w:t>All future development factors multiplied together: the multiplier from today's figure to the ultimate.</w:t>
            </w:r>
          </w:p>
        </w:tc>
      </w:tr>
      <w:tr w:rsidR="009D6A99" w14:paraId="6A19B0FB" w14:textId="77777777">
        <w:tc>
          <w:tcPr>
            <w:tcW w:w="4440" w:type="dxa"/>
          </w:tcPr>
          <w:p w14:paraId="20897165" w14:textId="77777777" w:rsidR="009D6A99" w:rsidRDefault="00000000">
            <w:r>
              <w:t>Tail factor</w:t>
            </w:r>
          </w:p>
        </w:tc>
        <w:tc>
          <w:tcPr>
            <w:tcW w:w="4920" w:type="dxa"/>
          </w:tcPr>
          <w:p w14:paraId="53CFE890" w14:textId="77777777" w:rsidR="009D6A99" w:rsidRDefault="00000000">
            <w:r>
              <w:t>Development expected after the last age in the triangle.</w:t>
            </w:r>
          </w:p>
        </w:tc>
      </w:tr>
      <w:tr w:rsidR="009D6A99" w14:paraId="118FA460" w14:textId="77777777">
        <w:tc>
          <w:tcPr>
            <w:tcW w:w="4440" w:type="dxa"/>
          </w:tcPr>
          <w:p w14:paraId="76A770C3" w14:textId="77777777" w:rsidR="009D6A99" w:rsidRDefault="00000000">
            <w:r>
              <w:t>Chain-ladder method</w:t>
            </w:r>
          </w:p>
        </w:tc>
        <w:tc>
          <w:tcPr>
            <w:tcW w:w="4920" w:type="dxa"/>
          </w:tcPr>
          <w:p w14:paraId="109DD20B" w14:textId="77777777" w:rsidR="009D6A99" w:rsidRDefault="00000000">
            <w:r>
              <w:t>Projects each accident year to ultimate by assuming it will develop like past years did.</w:t>
            </w:r>
          </w:p>
        </w:tc>
      </w:tr>
      <w:tr w:rsidR="009D6A99" w14:paraId="7600B765" w14:textId="77777777">
        <w:tc>
          <w:tcPr>
            <w:tcW w:w="4440" w:type="dxa"/>
          </w:tcPr>
          <w:p w14:paraId="4EA1A914" w14:textId="77777777" w:rsidR="009D6A99" w:rsidRDefault="00000000">
            <w:proofErr w:type="spellStart"/>
            <w:r>
              <w:t>Bornhuetter</w:t>
            </w:r>
            <w:proofErr w:type="spellEnd"/>
            <w:r>
              <w:t>-Ferguson (BF) method</w:t>
            </w:r>
          </w:p>
        </w:tc>
        <w:tc>
          <w:tcPr>
            <w:tcW w:w="4920" w:type="dxa"/>
          </w:tcPr>
          <w:p w14:paraId="2AE03291" w14:textId="77777777" w:rsidR="009D6A99" w:rsidRDefault="00000000">
            <w:r>
              <w:t>Blends today's reported claims with a prior expected loss ratio for the part not yet reported. It is more stable for very recent years.</w:t>
            </w:r>
          </w:p>
        </w:tc>
      </w:tr>
      <w:tr w:rsidR="009D6A99" w14:paraId="368530C9" w14:textId="77777777">
        <w:tc>
          <w:tcPr>
            <w:tcW w:w="4440" w:type="dxa"/>
          </w:tcPr>
          <w:p w14:paraId="14888BEA" w14:textId="77777777" w:rsidR="009D6A99" w:rsidRDefault="00000000">
            <w:r>
              <w:t>A priori (expected) loss ratio</w:t>
            </w:r>
          </w:p>
        </w:tc>
        <w:tc>
          <w:tcPr>
            <w:tcW w:w="4920" w:type="dxa"/>
          </w:tcPr>
          <w:p w14:paraId="556C4AFA" w14:textId="77777777" w:rsidR="009D6A99" w:rsidRDefault="00000000">
            <w:r>
              <w:t>The loss ratio expected before looking at the claims data, often from pricing or long-run history.</w:t>
            </w:r>
          </w:p>
        </w:tc>
      </w:tr>
    </w:tbl>
    <w:p w14:paraId="2EAD724D" w14:textId="77777777" w:rsidR="009D6A99" w:rsidRDefault="00000000">
      <w:pPr>
        <w:pStyle w:val="Heading2"/>
      </w:pPr>
      <w:r>
        <w:t>How the model works</w:t>
      </w:r>
    </w:p>
    <w:p w14:paraId="4F06C14C" w14:textId="77777777" w:rsidR="009D6A99" w:rsidRDefault="00000000">
      <w:r>
        <w:t>The model turns two published numbers per year, premium written and claims incurred, into a loss ratio in three steps: estimate earned premium, add any claims-handling costs, then divide.</w:t>
      </w:r>
    </w:p>
    <w:p w14:paraId="51326BD5" w14:textId="77777777" w:rsidR="009D6A99" w:rsidRDefault="00000000">
      <w:pPr>
        <w:pStyle w:val="Heading3"/>
      </w:pPr>
      <w:r>
        <w:lastRenderedPageBreak/>
        <w:t>Step 1: turn written premium into earned premium</w:t>
      </w:r>
    </w:p>
    <w:p w14:paraId="165FA173" w14:textId="77777777" w:rsidR="009D6A99" w:rsidRDefault="00000000">
      <w:r>
        <w:t>IBC publishes written premium: the value of policies sold in the year. A loss ratio needs earned premium: the value of coverage actually provided in the year. A policy sold on 1 July has only provided 6 months of its 12 months of cover by 31 December.</w:t>
      </w:r>
    </w:p>
    <w:p w14:paraId="6DC16ECC" w14:textId="77777777" w:rsidR="009D6A99" w:rsidRDefault="00000000">
      <w:r>
        <w:t>If sales are spread evenly through the year, about half of this year's sales are earned this year. The other half is earned next year, alongside half of last year's sales:</w:t>
      </w:r>
    </w:p>
    <w:p w14:paraId="24DED963" w14:textId="77777777" w:rsidR="00AD17FF" w:rsidRDefault="00AD17FF"/>
    <w:p w14:paraId="30C486E4" w14:textId="1466B707" w:rsidR="009D6A99" w:rsidRDefault="00000000">
      <w:pPr>
        <w:pStyle w:val="Code"/>
      </w:pPr>
      <w:bookmarkStart w:id="0" w:name="bongo_lang_latex_1"/>
      <w:bookmarkEnd w:id="0"/>
      <w:r>
        <w:t>Earned premium</w:t>
      </w:r>
      <w:r w:rsidR="00AD17FF">
        <w:t>_(</w:t>
      </w:r>
      <w:r>
        <w:t>t</w:t>
      </w:r>
      <w:r w:rsidR="00AD17FF">
        <w:t>)</w:t>
      </w:r>
      <w:r>
        <w:t xml:space="preserve"> = f </w:t>
      </w:r>
      <w:r w:rsidR="00AD17FF">
        <w:t xml:space="preserve">* </w:t>
      </w:r>
      <w:r>
        <w:t xml:space="preserve">Written </w:t>
      </w:r>
      <w:proofErr w:type="spellStart"/>
      <w:r>
        <w:t>premium_t</w:t>
      </w:r>
      <w:proofErr w:type="spellEnd"/>
      <w:r>
        <w:t xml:space="preserve"> + (1 - </w:t>
      </w:r>
      <w:proofErr w:type="gramStart"/>
      <w:r>
        <w:t>f)</w:t>
      </w:r>
      <w:r w:rsidR="00AD17FF">
        <w:t>*</w:t>
      </w:r>
      <w:proofErr w:type="gramEnd"/>
      <w:r>
        <w:t>Written premium</w:t>
      </w:r>
      <w:r w:rsidR="00AD17FF">
        <w:t>_(</w:t>
      </w:r>
      <w:r>
        <w:t>t-1</w:t>
      </w:r>
      <w:r w:rsidR="00AD17FF">
        <w:t>)</w:t>
      </w:r>
    </w:p>
    <w:p w14:paraId="6C25F543" w14:textId="77777777" w:rsidR="00AD17FF" w:rsidRDefault="00AD17FF"/>
    <w:p w14:paraId="7E779930" w14:textId="1446688F" w:rsidR="009D6A99" w:rsidRDefault="00000000">
      <w:r>
        <w:t xml:space="preserve">Here </w:t>
      </w:r>
      <w:r>
        <w:rPr>
          <w:i/>
        </w:rPr>
        <w:t>f</w:t>
      </w:r>
      <w:r>
        <w:t xml:space="preserve"> is the earning fraction, set to 50%. </w:t>
      </w:r>
      <w:r>
        <w:rPr>
          <w:b/>
        </w:rPr>
        <w:t>Worked example for 2022:</w:t>
      </w:r>
      <w:r>
        <w:t xml:space="preserve"> 50% × $11,892mm (2022 sales) + 50% × $10,982mm (2021 sales) = </w:t>
      </w:r>
      <w:r>
        <w:rPr>
          <w:b/>
        </w:rPr>
        <w:t>$11,437mm earned in 2022</w:t>
      </w:r>
      <w:r>
        <w:t>.</w:t>
      </w:r>
    </w:p>
    <w:p w14:paraId="4D3CC7C3" w14:textId="77777777" w:rsidR="009D6A99" w:rsidRDefault="00000000">
      <w:pPr>
        <w:pStyle w:val="Heading3"/>
      </w:pPr>
      <w:r>
        <w:t>Step 2: total up the claims cost</w:t>
      </w:r>
    </w:p>
    <w:p w14:paraId="2FC87176" w14:textId="77777777" w:rsidR="009D6A99" w:rsidRDefault="00000000">
      <w:r>
        <w:t>IBC's net claims incurred already covers claims paid, plus changes in the estimates for claims still open. An optional ULAE load can be added for claims-handling overhead. It is set to 0%, because Canadian reported claims figures generally already include those costs:</w:t>
      </w:r>
    </w:p>
    <w:p w14:paraId="37B58BBE" w14:textId="09830FA5" w:rsidR="009D6A99" w:rsidRDefault="00AD17FF">
      <w:pPr>
        <w:pStyle w:val="Code"/>
      </w:pPr>
      <w:bookmarkStart w:id="1" w:name="bongo_lang_latex_2"/>
      <w:bookmarkEnd w:id="1"/>
      <w:r>
        <w:t xml:space="preserve">    (</w:t>
      </w:r>
      <w:r w:rsidR="00000000">
        <w:t xml:space="preserve">Total </w:t>
      </w:r>
      <w:proofErr w:type="gramStart"/>
      <w:r w:rsidR="00000000">
        <w:t>incurred</w:t>
      </w:r>
      <w:r>
        <w:t>)</w:t>
      </w:r>
      <w:r w:rsidR="00000000">
        <w:t>_</w:t>
      </w:r>
      <w:proofErr w:type="gramEnd"/>
      <w:r w:rsidR="00000000">
        <w:t xml:space="preserve">t </w:t>
      </w:r>
      <w:proofErr w:type="gramStart"/>
      <w:r w:rsidR="00000000">
        <w:t>=</w:t>
      </w:r>
      <w:r>
        <w:t>(</w:t>
      </w:r>
      <w:proofErr w:type="gramEnd"/>
      <w:r w:rsidR="00000000">
        <w:t xml:space="preserve">Net claims </w:t>
      </w:r>
      <w:proofErr w:type="gramStart"/>
      <w:r w:rsidR="00000000">
        <w:t>incurred</w:t>
      </w:r>
      <w:r>
        <w:t>)</w:t>
      </w:r>
      <w:r w:rsidR="00000000">
        <w:t>_</w:t>
      </w:r>
      <w:proofErr w:type="gramEnd"/>
      <w:r w:rsidR="00000000">
        <w:t xml:space="preserve">t </w:t>
      </w:r>
      <w:r>
        <w:t>*</w:t>
      </w:r>
      <w:r w:rsidR="00000000">
        <w:t xml:space="preserve"> (1 +</w:t>
      </w:r>
      <w:r>
        <w:t xml:space="preserve"> (</w:t>
      </w:r>
      <w:r w:rsidR="00000000">
        <w:t>ULAE load</w:t>
      </w:r>
      <w:r>
        <w:t>))</w:t>
      </w:r>
    </w:p>
    <w:p w14:paraId="4ABEC3A0" w14:textId="77777777" w:rsidR="009D6A99" w:rsidRDefault="00000000">
      <w:pPr>
        <w:pStyle w:val="Heading3"/>
      </w:pPr>
      <w:r>
        <w:t>Step 3: divide</w:t>
      </w:r>
    </w:p>
    <w:p w14:paraId="1363B588" w14:textId="444A75AA" w:rsidR="009D6A99" w:rsidRDefault="00AD17FF">
      <w:pPr>
        <w:pStyle w:val="Code"/>
      </w:pPr>
      <w:bookmarkStart w:id="2" w:name="bongo_lang_latex_3"/>
      <w:bookmarkEnd w:id="2"/>
      <w:r>
        <w:t xml:space="preserve">    (</w:t>
      </w:r>
      <w:r w:rsidR="00000000">
        <w:t xml:space="preserve">Loss </w:t>
      </w:r>
      <w:proofErr w:type="gramStart"/>
      <w:r w:rsidR="00000000">
        <w:t>ratio</w:t>
      </w:r>
      <w:r>
        <w:t>)</w:t>
      </w:r>
      <w:r w:rsidR="00000000">
        <w:t>_</w:t>
      </w:r>
      <w:proofErr w:type="gramEnd"/>
      <w:r w:rsidR="00000000">
        <w:t xml:space="preserve">t </w:t>
      </w:r>
      <w:proofErr w:type="gramStart"/>
      <w:r w:rsidR="00000000">
        <w:t>=</w:t>
      </w:r>
      <w:r>
        <w:t>( (</w:t>
      </w:r>
      <w:proofErr w:type="gramEnd"/>
      <w:r w:rsidR="00000000">
        <w:t xml:space="preserve">Total </w:t>
      </w:r>
      <w:proofErr w:type="gramStart"/>
      <w:r w:rsidR="00000000">
        <w:t>incurred</w:t>
      </w:r>
      <w:r>
        <w:t>)</w:t>
      </w:r>
      <w:r w:rsidR="00000000">
        <w:t>_</w:t>
      </w:r>
      <w:proofErr w:type="gramEnd"/>
      <w:r w:rsidR="00000000">
        <w:t>t</w:t>
      </w:r>
      <w:r>
        <w:t>)</w:t>
      </w:r>
      <w:proofErr w:type="gramStart"/>
      <w:r>
        <w:t>/( (</w:t>
      </w:r>
      <w:proofErr w:type="gramEnd"/>
      <w:r w:rsidR="00000000">
        <w:t xml:space="preserve">Earned </w:t>
      </w:r>
      <w:proofErr w:type="gramStart"/>
      <w:r w:rsidR="00000000">
        <w:t>premium</w:t>
      </w:r>
      <w:r>
        <w:t>)</w:t>
      </w:r>
      <w:r w:rsidR="00000000">
        <w:t>_</w:t>
      </w:r>
      <w:proofErr w:type="gramEnd"/>
      <w:r w:rsidR="00000000">
        <w:t>t</w:t>
      </w:r>
      <w:r>
        <w:t>)</w:t>
      </w:r>
    </w:p>
    <w:p w14:paraId="7337E52A" w14:textId="77777777" w:rsidR="009D6A99" w:rsidRDefault="00000000">
      <w:r>
        <w:rPr>
          <w:b/>
        </w:rPr>
        <w:t>2022:</w:t>
      </w:r>
      <w:r>
        <w:t xml:space="preserve"> $5,716mm ÷ $11,437mm = </w:t>
      </w:r>
      <w:r>
        <w:rPr>
          <w:b/>
        </w:rPr>
        <w:t>50.0%</w:t>
      </w:r>
      <w:r>
        <w:t>. Half of every premium dollar earned in 2022 went to claims.</w:t>
      </w:r>
    </w:p>
    <w:p w14:paraId="425F7664" w14:textId="77777777" w:rsidR="009D6A99" w:rsidRDefault="00000000">
      <w:pPr>
        <w:pStyle w:val="Heading3"/>
      </w:pPr>
      <w:r>
        <w:t>Step 4: judge and compare</w:t>
      </w:r>
    </w:p>
    <w:p w14:paraId="634DB72A" w14:textId="77777777" w:rsidR="009D6A99" w:rsidRDefault="00000000">
      <w:r>
        <w:t>For each year the model also shows:</w:t>
      </w:r>
    </w:p>
    <w:p w14:paraId="3778A21F" w14:textId="77777777" w:rsidR="009D6A99" w:rsidRDefault="00000000">
      <w:pPr>
        <w:pStyle w:val="ListParagraph"/>
        <w:numPr>
          <w:ilvl w:val="0"/>
          <w:numId w:val="4"/>
        </w:numPr>
      </w:pPr>
      <w:r>
        <w:rPr>
          <w:b/>
        </w:rPr>
        <w:t>Written-basis loss ratio:</w:t>
      </w:r>
      <w:r>
        <w:t xml:space="preserve"> claims ÷ written premium, a shortcut shown for comparison. For 2022 it is 48.1%.</w:t>
      </w:r>
    </w:p>
    <w:p w14:paraId="29F04D44" w14:textId="77777777" w:rsidR="009D6A99" w:rsidRDefault="00000000">
      <w:pPr>
        <w:pStyle w:val="ListParagraph"/>
        <w:numPr>
          <w:ilvl w:val="0"/>
          <w:numId w:val="4"/>
        </w:numPr>
      </w:pPr>
      <w:r>
        <w:rPr>
          <w:b/>
        </w:rPr>
        <w:t>Variance vs target:</w:t>
      </w:r>
      <w:r>
        <w:t xml:space="preserve"> loss ratio minus the 65% target. Positive means worse than target.</w:t>
      </w:r>
    </w:p>
    <w:p w14:paraId="02D0E08E" w14:textId="77777777" w:rsidR="009D6A99" w:rsidRDefault="00000000">
      <w:pPr>
        <w:pStyle w:val="ListParagraph"/>
        <w:numPr>
          <w:ilvl w:val="0"/>
          <w:numId w:val="4"/>
        </w:numPr>
      </w:pPr>
      <w:r>
        <w:rPr>
          <w:b/>
        </w:rPr>
        <w:t>Status:</w:t>
      </w:r>
      <w:r>
        <w:t xml:space="preserve"> "Above target" or "Within target", </w:t>
      </w:r>
      <w:proofErr w:type="spellStart"/>
      <w:r>
        <w:t>colour</w:t>
      </w:r>
      <w:proofErr w:type="spellEnd"/>
      <w:r>
        <w:t>-coded red or green.</w:t>
      </w:r>
    </w:p>
    <w:p w14:paraId="22435991" w14:textId="77777777" w:rsidR="009D6A99" w:rsidRDefault="00000000">
      <w:pPr>
        <w:pStyle w:val="ListParagraph"/>
        <w:numPr>
          <w:ilvl w:val="0"/>
          <w:numId w:val="4"/>
        </w:numPr>
      </w:pPr>
      <w:r>
        <w:rPr>
          <w:b/>
        </w:rPr>
        <w:t>YoY change:</w:t>
      </w:r>
      <w:r>
        <w:t xml:space="preserve"> the move in percentage points since the previous year.</w:t>
      </w:r>
    </w:p>
    <w:p w14:paraId="0CCFC914" w14:textId="77777777" w:rsidR="009D6A99" w:rsidRDefault="00000000">
      <w:r>
        <w:t>Below the yearly table, a summary block calculates long-run averages, the best and worst years, volatility and growth rates.</w:t>
      </w:r>
    </w:p>
    <w:p w14:paraId="1A61ADA1" w14:textId="77777777" w:rsidR="009D6A99" w:rsidRDefault="00000000">
      <w:pPr>
        <w:pStyle w:val="Heading3"/>
      </w:pPr>
      <w:r>
        <w:t>Step 5: reserving, estimating the final cost of claims</w:t>
      </w:r>
    </w:p>
    <w:p w14:paraId="304EB728" w14:textId="77777777" w:rsidR="009D6A99" w:rsidRDefault="00000000">
      <w:r>
        <w:t xml:space="preserve">The loss ratios above use claims incurred as reported, which already includes the insurers' own reserve estimates. The reserving sheets show how such estimates are made, using a </w:t>
      </w:r>
      <w:r>
        <w:rPr>
          <w:b/>
        </w:rPr>
        <w:t>loss triangle</w:t>
      </w:r>
      <w:r>
        <w:t>: each row is an accident year, and each column shows that year's cumulative claims at 12, 24, 36 months and so on.</w:t>
      </w:r>
    </w:p>
    <w:p w14:paraId="56D53FD0" w14:textId="77777777" w:rsidR="009D6A99" w:rsidRDefault="00000000">
      <w:pPr>
        <w:pStyle w:val="ListParagraph"/>
        <w:numPr>
          <w:ilvl w:val="0"/>
          <w:numId w:val="5"/>
        </w:numPr>
      </w:pPr>
      <w:r>
        <w:rPr>
          <w:b/>
        </w:rPr>
        <w:t>Development factors.</w:t>
      </w:r>
      <w:r>
        <w:t xml:space="preserve"> For each accident year, divide claims at one age by claims at the previous age. For example, reported claims typically grow about 18% from 12 months to 24 months (factor 1.180).</w:t>
      </w:r>
    </w:p>
    <w:p w14:paraId="4DFDF6F0" w14:textId="77777777" w:rsidR="009D6A99" w:rsidRDefault="00000000">
      <w:pPr>
        <w:pStyle w:val="ListParagraph"/>
        <w:numPr>
          <w:ilvl w:val="0"/>
          <w:numId w:val="5"/>
        </w:numPr>
      </w:pPr>
      <w:r>
        <w:rPr>
          <w:b/>
        </w:rPr>
        <w:lastRenderedPageBreak/>
        <w:t>Averaging.</w:t>
      </w:r>
      <w:r>
        <w:t xml:space="preserve"> Average the factors across accident years. The model offers four averages; the default is volume-weighted, where bigger years count more.</w:t>
      </w:r>
    </w:p>
    <w:p w14:paraId="22F73001" w14:textId="77777777" w:rsidR="009D6A99" w:rsidRDefault="00000000">
      <w:pPr>
        <w:pStyle w:val="ListParagraph"/>
        <w:numPr>
          <w:ilvl w:val="0"/>
          <w:numId w:val="5"/>
        </w:numPr>
      </w:pPr>
      <w:r>
        <w:rPr>
          <w:b/>
        </w:rPr>
        <w:t>Cumulative factor.</w:t>
      </w:r>
      <w:r>
        <w:t xml:space="preserve"> Multiply all the remaining factors together to get the multiplier from today to the final cost. For a 12-month-old year of reported claims this is 1.217, meaning another 21.7% is still to emerge.</w:t>
      </w:r>
    </w:p>
    <w:p w14:paraId="7FF94F88" w14:textId="77777777" w:rsidR="009D6A99" w:rsidRDefault="00000000">
      <w:pPr>
        <w:pStyle w:val="ListParagraph"/>
        <w:numPr>
          <w:ilvl w:val="0"/>
          <w:numId w:val="5"/>
        </w:numPr>
      </w:pPr>
      <w:r>
        <w:rPr>
          <w:b/>
        </w:rPr>
        <w:t>Chain-ladder ultimate.</w:t>
      </w:r>
      <w:r>
        <w:t xml:space="preserve"> Today's claims × cumulative factor. </w:t>
      </w:r>
      <w:r>
        <w:rPr>
          <w:b/>
        </w:rPr>
        <w:t>Accident year 2022:</w:t>
      </w:r>
      <w:r>
        <w:t xml:space="preserve"> $4,813mm reported × 1.217 = </w:t>
      </w:r>
      <w:r>
        <w:rPr>
          <w:b/>
        </w:rPr>
        <w:t>$5,859mm ultimate</w:t>
      </w:r>
      <w:r>
        <w:t>.</w:t>
      </w:r>
    </w:p>
    <w:p w14:paraId="1A6D04F4" w14:textId="77777777" w:rsidR="009D6A99" w:rsidRDefault="00000000">
      <w:pPr>
        <w:pStyle w:val="ListParagraph"/>
        <w:numPr>
          <w:ilvl w:val="0"/>
          <w:numId w:val="5"/>
        </w:numPr>
      </w:pPr>
      <w:proofErr w:type="spellStart"/>
      <w:r>
        <w:rPr>
          <w:b/>
        </w:rPr>
        <w:t>Bornhuetter</w:t>
      </w:r>
      <w:proofErr w:type="spellEnd"/>
      <w:r>
        <w:rPr>
          <w:b/>
        </w:rPr>
        <w:t>-Ferguson ultimate.</w:t>
      </w:r>
      <w:r>
        <w:t xml:space="preserve"> Today's claims + the claims still expected, based on premium and a prior expected loss ratio:</w:t>
      </w:r>
    </w:p>
    <w:p w14:paraId="6363B185" w14:textId="2AB9DBED" w:rsidR="009D6A99" w:rsidRDefault="00AD17FF">
      <w:pPr>
        <w:pStyle w:val="Code"/>
      </w:pPr>
      <w:bookmarkStart w:id="3" w:name="bongo_lang_latex_4"/>
      <w:bookmarkEnd w:id="3"/>
      <w:r>
        <w:t>(</w:t>
      </w:r>
      <w:r w:rsidR="00000000">
        <w:t>BF ultimate</w:t>
      </w:r>
      <w:r>
        <w:t>)</w:t>
      </w:r>
      <w:r w:rsidR="00000000">
        <w:t xml:space="preserve"> = </w:t>
      </w:r>
      <w:r>
        <w:t>(</w:t>
      </w:r>
      <w:r w:rsidR="00000000">
        <w:t>Reported</w:t>
      </w:r>
      <w:r>
        <w:t>)</w:t>
      </w:r>
      <w:r w:rsidR="00000000">
        <w:t>+</w:t>
      </w:r>
      <w:r>
        <w:t>(</w:t>
      </w:r>
      <w:r w:rsidR="00000000">
        <w:t xml:space="preserve">Earned </w:t>
      </w:r>
      <w:proofErr w:type="gramStart"/>
      <w:r w:rsidR="00000000">
        <w:t>premium</w:t>
      </w:r>
      <w:r>
        <w:t>)*</w:t>
      </w:r>
      <w:proofErr w:type="gramEnd"/>
      <w:r>
        <w:t>(</w:t>
      </w:r>
      <w:r w:rsidR="00000000">
        <w:t xml:space="preserve">Expected </w:t>
      </w:r>
      <w:proofErr w:type="gramStart"/>
      <w:r w:rsidR="00000000">
        <w:t>LR</w:t>
      </w:r>
      <w:r>
        <w:t>)*</w:t>
      </w:r>
      <w:proofErr w:type="gramEnd"/>
      <w:r w:rsidR="00000000">
        <w:t xml:space="preserve">(1 - </w:t>
      </w:r>
      <w:r>
        <w:t>(</w:t>
      </w:r>
      <w:r w:rsidR="00000000">
        <w:t>1</w:t>
      </w:r>
      <w:r>
        <w:t>/</w:t>
      </w:r>
      <w:r w:rsidR="00000000">
        <w:t>CDF</w:t>
      </w:r>
      <w:r>
        <w:t>)</w:t>
      </w:r>
      <w:r w:rsidR="00000000">
        <w:t>)</w:t>
      </w:r>
    </w:p>
    <w:p w14:paraId="029E33F4" w14:textId="77777777" w:rsidR="009D6A99" w:rsidRDefault="00000000">
      <w:r>
        <w:t xml:space="preserve">For 2022: $4,813mm + $11,437mm × 62% × (1 − 1/1.217) ≈ </w:t>
      </w:r>
      <w:r>
        <w:rPr>
          <w:b/>
        </w:rPr>
        <w:t>$6,079mm</w:t>
      </w:r>
      <w:r>
        <w:t>.</w:t>
      </w:r>
    </w:p>
    <w:p w14:paraId="0A3BDC0E" w14:textId="77777777" w:rsidR="009D6A99" w:rsidRDefault="00000000">
      <w:pPr>
        <w:pStyle w:val="ListParagraph"/>
        <w:numPr>
          <w:ilvl w:val="0"/>
          <w:numId w:val="6"/>
        </w:numPr>
      </w:pPr>
      <w:r>
        <w:rPr>
          <w:b/>
        </w:rPr>
        <w:t>Reserves.</w:t>
      </w:r>
      <w:r>
        <w:t xml:space="preserve"> IBNR = ultimate − reported claims. Total unpaid = ultimate − paid claims, which equals case reserves plus IBNR.</w:t>
      </w:r>
    </w:p>
    <w:p w14:paraId="3575B259" w14:textId="77777777" w:rsidR="009D6A99" w:rsidRDefault="00000000">
      <w:pPr>
        <w:pStyle w:val="Heading3"/>
      </w:pPr>
      <w:r>
        <w:t>The workbook, sheet by sheet</w:t>
      </w:r>
    </w:p>
    <w:tbl>
      <w:tblPr>
        <w:tblStyle w:val="TableGrid"/>
        <w:tblW w:w="0" w:type="auto"/>
        <w:tblLayout w:type="fixed"/>
        <w:tblLook w:val="0420" w:firstRow="1" w:lastRow="0" w:firstColumn="0" w:lastColumn="0" w:noHBand="0" w:noVBand="1"/>
      </w:tblPr>
      <w:tblGrid>
        <w:gridCol w:w="3281"/>
        <w:gridCol w:w="6078"/>
      </w:tblGrid>
      <w:tr w:rsidR="009D6A99" w14:paraId="574370E7" w14:textId="77777777">
        <w:trPr>
          <w:tblHeader/>
        </w:trPr>
        <w:tc>
          <w:tcPr>
            <w:tcW w:w="3281" w:type="dxa"/>
            <w:shd w:val="clear" w:color="auto" w:fill="F2F2F2"/>
          </w:tcPr>
          <w:p w14:paraId="7F47BFB5" w14:textId="77777777" w:rsidR="009D6A99" w:rsidRDefault="00000000">
            <w:r>
              <w:t>Sheet</w:t>
            </w:r>
          </w:p>
        </w:tc>
        <w:tc>
          <w:tcPr>
            <w:tcW w:w="6078" w:type="dxa"/>
            <w:shd w:val="clear" w:color="auto" w:fill="F2F2F2"/>
          </w:tcPr>
          <w:p w14:paraId="7E928D4B" w14:textId="77777777" w:rsidR="009D6A99" w:rsidRDefault="00000000">
            <w:r>
              <w:t>What it does</w:t>
            </w:r>
          </w:p>
        </w:tc>
      </w:tr>
      <w:tr w:rsidR="009D6A99" w14:paraId="3E089EBC" w14:textId="77777777">
        <w:tc>
          <w:tcPr>
            <w:tcW w:w="3281" w:type="dxa"/>
          </w:tcPr>
          <w:p w14:paraId="514F3518" w14:textId="77777777" w:rsidR="009D6A99" w:rsidRDefault="00000000">
            <w:r>
              <w:t>README</w:t>
            </w:r>
          </w:p>
        </w:tc>
        <w:tc>
          <w:tcPr>
            <w:tcW w:w="6078" w:type="dxa"/>
          </w:tcPr>
          <w:p w14:paraId="66B4B820" w14:textId="77777777" w:rsidR="009D6A99" w:rsidRDefault="00000000">
            <w:r>
              <w:t xml:space="preserve">Purpose, method, </w:t>
            </w:r>
            <w:proofErr w:type="spellStart"/>
            <w:r>
              <w:t>colour</w:t>
            </w:r>
            <w:proofErr w:type="spellEnd"/>
            <w:r>
              <w:t xml:space="preserve"> legend and caveats.</w:t>
            </w:r>
          </w:p>
        </w:tc>
      </w:tr>
      <w:tr w:rsidR="009D6A99" w14:paraId="63CCC107" w14:textId="77777777">
        <w:tc>
          <w:tcPr>
            <w:tcW w:w="3281" w:type="dxa"/>
          </w:tcPr>
          <w:p w14:paraId="6BBE567B" w14:textId="77777777" w:rsidR="009D6A99" w:rsidRDefault="00000000">
            <w:r>
              <w:t>Inputs</w:t>
            </w:r>
          </w:p>
        </w:tc>
        <w:tc>
          <w:tcPr>
            <w:tcW w:w="6078" w:type="dxa"/>
          </w:tcPr>
          <w:p w14:paraId="000891C4" w14:textId="77777777" w:rsidR="009D6A99" w:rsidRDefault="00000000">
            <w:r>
              <w:t>The IBC data and the three key assumptions: earning fraction, ULAE load and target loss ratio.</w:t>
            </w:r>
          </w:p>
        </w:tc>
      </w:tr>
      <w:tr w:rsidR="009D6A99" w14:paraId="20BFB61D" w14:textId="77777777">
        <w:tc>
          <w:tcPr>
            <w:tcW w:w="3281" w:type="dxa"/>
          </w:tcPr>
          <w:p w14:paraId="4116058E" w14:textId="77777777" w:rsidR="009D6A99" w:rsidRDefault="00000000">
            <w:proofErr w:type="spellStart"/>
            <w:r>
              <w:t>LR_Model</w:t>
            </w:r>
            <w:proofErr w:type="spellEnd"/>
          </w:p>
        </w:tc>
        <w:tc>
          <w:tcPr>
            <w:tcW w:w="6078" w:type="dxa"/>
          </w:tcPr>
          <w:p w14:paraId="04E0022A" w14:textId="77777777" w:rsidR="009D6A99" w:rsidRDefault="00000000">
            <w:r>
              <w:t>The yearly loss ratio calculation (Steps 1–4), summary statistics and two charts.</w:t>
            </w:r>
          </w:p>
        </w:tc>
      </w:tr>
      <w:tr w:rsidR="009D6A99" w14:paraId="61C3C053" w14:textId="77777777">
        <w:tc>
          <w:tcPr>
            <w:tcW w:w="3281" w:type="dxa"/>
          </w:tcPr>
          <w:p w14:paraId="75BA3A7E" w14:textId="77777777" w:rsidR="009D6A99" w:rsidRDefault="00000000">
            <w:r>
              <w:t>Line_Comparison_2022</w:t>
            </w:r>
          </w:p>
        </w:tc>
        <w:tc>
          <w:tcPr>
            <w:tcW w:w="6078" w:type="dxa"/>
          </w:tcPr>
          <w:p w14:paraId="0462EA50" w14:textId="77777777" w:rsidR="009D6A99" w:rsidRDefault="00000000">
            <w:r>
              <w:t>2022 loss ratios for every line of business, before and after reinsurance.</w:t>
            </w:r>
          </w:p>
        </w:tc>
      </w:tr>
      <w:tr w:rsidR="009D6A99" w14:paraId="21132D9B" w14:textId="77777777">
        <w:tc>
          <w:tcPr>
            <w:tcW w:w="3281" w:type="dxa"/>
          </w:tcPr>
          <w:p w14:paraId="2DB61203" w14:textId="77777777" w:rsidR="009D6A99" w:rsidRDefault="00000000">
            <w:r>
              <w:t>Benchmarks</w:t>
            </w:r>
          </w:p>
        </w:tc>
        <w:tc>
          <w:tcPr>
            <w:tcW w:w="6078" w:type="dxa"/>
          </w:tcPr>
          <w:p w14:paraId="3CDDB91C" w14:textId="77777777" w:rsidR="009D6A99" w:rsidRDefault="00000000">
            <w:r>
              <w:t>Compares the model's ratios with the published IBC and PACICC figures.</w:t>
            </w:r>
          </w:p>
        </w:tc>
      </w:tr>
      <w:tr w:rsidR="009D6A99" w14:paraId="699BB44A" w14:textId="77777777">
        <w:tc>
          <w:tcPr>
            <w:tcW w:w="3281" w:type="dxa"/>
          </w:tcPr>
          <w:p w14:paraId="77C96341" w14:textId="77777777" w:rsidR="009D6A99" w:rsidRDefault="00000000">
            <w:r>
              <w:t>Calculator</w:t>
            </w:r>
          </w:p>
        </w:tc>
        <w:tc>
          <w:tcPr>
            <w:tcW w:w="6078" w:type="dxa"/>
          </w:tcPr>
          <w:p w14:paraId="03F1AD8D" w14:textId="77777777" w:rsidR="009D6A99" w:rsidRDefault="00000000">
            <w:r>
              <w:t>Loss, LAE and combined ratios for your own portfolio.</w:t>
            </w:r>
          </w:p>
        </w:tc>
      </w:tr>
      <w:tr w:rsidR="009D6A99" w14:paraId="36B009F1" w14:textId="77777777">
        <w:tc>
          <w:tcPr>
            <w:tcW w:w="3281" w:type="dxa"/>
          </w:tcPr>
          <w:p w14:paraId="15607252" w14:textId="77777777" w:rsidR="009D6A99" w:rsidRDefault="00000000">
            <w:proofErr w:type="spellStart"/>
            <w:r>
              <w:t>Triangle_Data</w:t>
            </w:r>
            <w:proofErr w:type="spellEnd"/>
          </w:p>
        </w:tc>
        <w:tc>
          <w:tcPr>
            <w:tcW w:w="6078" w:type="dxa"/>
          </w:tcPr>
          <w:p w14:paraId="300E7BCC" w14:textId="77777777" w:rsidR="009D6A99" w:rsidRDefault="00000000">
            <w:r>
              <w:t>Simulated paid, reported and case reserve triangles.</w:t>
            </w:r>
          </w:p>
        </w:tc>
      </w:tr>
      <w:tr w:rsidR="009D6A99" w14:paraId="2A497C52" w14:textId="77777777">
        <w:tc>
          <w:tcPr>
            <w:tcW w:w="3281" w:type="dxa"/>
          </w:tcPr>
          <w:p w14:paraId="1A7A2B4F" w14:textId="77777777" w:rsidR="009D6A99" w:rsidRDefault="00000000">
            <w:proofErr w:type="spellStart"/>
            <w:r>
              <w:t>Chain_Ladder</w:t>
            </w:r>
            <w:proofErr w:type="spellEnd"/>
          </w:p>
        </w:tc>
        <w:tc>
          <w:tcPr>
            <w:tcW w:w="6078" w:type="dxa"/>
          </w:tcPr>
          <w:p w14:paraId="5BDC377C" w14:textId="77777777" w:rsidR="009D6A99" w:rsidRDefault="00000000">
            <w:r>
              <w:t>Development factors, averages, selections and cumulative factors.</w:t>
            </w:r>
          </w:p>
        </w:tc>
      </w:tr>
      <w:tr w:rsidR="009D6A99" w14:paraId="19C3B6EB" w14:textId="77777777">
        <w:tc>
          <w:tcPr>
            <w:tcW w:w="3281" w:type="dxa"/>
          </w:tcPr>
          <w:p w14:paraId="60331B52" w14:textId="77777777" w:rsidR="009D6A99" w:rsidRDefault="00000000">
            <w:proofErr w:type="spellStart"/>
            <w:r>
              <w:t>Reserve_Summary</w:t>
            </w:r>
            <w:proofErr w:type="spellEnd"/>
          </w:p>
        </w:tc>
        <w:tc>
          <w:tcPr>
            <w:tcW w:w="6078" w:type="dxa"/>
          </w:tcPr>
          <w:p w14:paraId="23AC0836" w14:textId="77777777" w:rsidR="009D6A99" w:rsidRDefault="00000000">
            <w:r>
              <w:t>Ultimates by three methods, IBNR, total unpaid and ultimate loss ratios.</w:t>
            </w:r>
          </w:p>
        </w:tc>
      </w:tr>
    </w:tbl>
    <w:p w14:paraId="044D0ACD" w14:textId="77777777" w:rsidR="009D6A99" w:rsidRDefault="00000000">
      <w:proofErr w:type="spellStart"/>
      <w:r>
        <w:rPr>
          <w:b/>
        </w:rPr>
        <w:t>Colour</w:t>
      </w:r>
      <w:proofErr w:type="spellEnd"/>
      <w:r>
        <w:rPr>
          <w:b/>
        </w:rPr>
        <w:t xml:space="preserve"> code in the workbook:</w:t>
      </w:r>
      <w:r>
        <w:t xml:space="preserve"> blue text = typed-in data, black = formulas, green = links from another sheet, yellow fill = assumptions you can change.</w:t>
      </w:r>
    </w:p>
    <w:p w14:paraId="1AA3FB25" w14:textId="77777777" w:rsidR="009D6A99" w:rsidRDefault="00000000">
      <w:pPr>
        <w:pStyle w:val="Heading2"/>
      </w:pPr>
      <w:r>
        <w:t>Model building steps</w:t>
      </w:r>
    </w:p>
    <w:p w14:paraId="1FE6756A" w14:textId="77777777" w:rsidR="009D6A99" w:rsidRDefault="00000000">
      <w:r>
        <w:t>The model was built in eleven steps, from finding data to checking the results against outside figures.</w:t>
      </w:r>
    </w:p>
    <w:p w14:paraId="6733151C" w14:textId="77777777" w:rsidR="009D6A99" w:rsidRDefault="00000000">
      <w:pPr>
        <w:pStyle w:val="ListParagraph"/>
        <w:numPr>
          <w:ilvl w:val="0"/>
          <w:numId w:val="7"/>
        </w:numPr>
      </w:pPr>
      <w:r>
        <w:rPr>
          <w:b/>
        </w:rPr>
        <w:lastRenderedPageBreak/>
        <w:t>Choose the line of business.</w:t>
      </w:r>
      <w:r>
        <w:t xml:space="preserve"> Commercial property was picked over commercial auto, because IBC publishes a clean, separate series for it (see Reasons for the choices).</w:t>
      </w:r>
    </w:p>
    <w:p w14:paraId="2DBDB674" w14:textId="77777777" w:rsidR="009D6A99" w:rsidRDefault="00000000">
      <w:pPr>
        <w:pStyle w:val="ListParagraph"/>
        <w:numPr>
          <w:ilvl w:val="0"/>
          <w:numId w:val="7"/>
        </w:numPr>
      </w:pPr>
      <w:r>
        <w:rPr>
          <w:b/>
        </w:rPr>
        <w:t>Search for Canadian data.</w:t>
      </w:r>
      <w:r>
        <w:t xml:space="preserve"> Regulator (OSFI), industry (IBC, MSA Research) and press sources were reviewed. OSFI's detailed data needs a login, and line-level claims development data isn't public. The IBC Facts Book was the best public source with both premiums and claims by line.</w:t>
      </w:r>
    </w:p>
    <w:p w14:paraId="620D4D77" w14:textId="77777777" w:rsidR="009D6A99" w:rsidRDefault="00000000">
      <w:pPr>
        <w:pStyle w:val="ListParagraph"/>
        <w:numPr>
          <w:ilvl w:val="0"/>
          <w:numId w:val="7"/>
        </w:numPr>
      </w:pPr>
      <w:r>
        <w:rPr>
          <w:b/>
        </w:rPr>
        <w:t>Extract the data.</w:t>
      </w:r>
      <w:r>
        <w:t xml:space="preserve"> The IBC Facts Book PDF was downloaded and its tables read: commercial property net written premium (2010–2022), net claims incurred (2010–2022) and 2022 figures for all lines.</w:t>
      </w:r>
    </w:p>
    <w:p w14:paraId="3361B974" w14:textId="77777777" w:rsidR="009D6A99" w:rsidRDefault="00000000">
      <w:pPr>
        <w:pStyle w:val="ListParagraph"/>
        <w:numPr>
          <w:ilvl w:val="0"/>
          <w:numId w:val="7"/>
        </w:numPr>
      </w:pPr>
      <w:r>
        <w:rPr>
          <w:b/>
        </w:rPr>
        <w:t>Set up the Inputs sheet.</w:t>
      </w:r>
      <w:r>
        <w:t xml:space="preserve"> The raw figures were entered in one place, in blue, with the page reference beside every number. The assumptions (earning fraction, ULAE load, target) were put in their own yellow, labelled cells.</w:t>
      </w:r>
    </w:p>
    <w:p w14:paraId="47146E35" w14:textId="77777777" w:rsidR="009D6A99" w:rsidRDefault="00000000">
      <w:pPr>
        <w:pStyle w:val="ListParagraph"/>
        <w:numPr>
          <w:ilvl w:val="0"/>
          <w:numId w:val="7"/>
        </w:numPr>
      </w:pPr>
      <w:r>
        <w:rPr>
          <w:b/>
        </w:rPr>
        <w:t>Build the yearly calculation.</w:t>
      </w:r>
      <w:r>
        <w:t xml:space="preserve"> On </w:t>
      </w:r>
      <w:proofErr w:type="spellStart"/>
      <w:r>
        <w:t>LR_Model</w:t>
      </w:r>
      <w:proofErr w:type="spellEnd"/>
      <w:r>
        <w:t>, each column is one formula copied down every year: earned premium, total incurred, loss ratio, written-basis ratio, variance, status and YoY change. Every figure links back to Inputs, so nothing is typed twice.</w:t>
      </w:r>
    </w:p>
    <w:p w14:paraId="75D4C3A3" w14:textId="77777777" w:rsidR="009D6A99" w:rsidRDefault="00000000">
      <w:pPr>
        <w:pStyle w:val="ListParagraph"/>
        <w:numPr>
          <w:ilvl w:val="0"/>
          <w:numId w:val="7"/>
        </w:numPr>
      </w:pPr>
      <w:r>
        <w:rPr>
          <w:b/>
        </w:rPr>
        <w:t>Add summary statistics and charts.</w:t>
      </w:r>
      <w:r>
        <w:t xml:space="preserve"> Long-run averages, 3- and 5-year averages, highs and lows, volatility and growth rates, plus a loss ratio vs target chart and a premium vs claims chart.</w:t>
      </w:r>
    </w:p>
    <w:p w14:paraId="7E6242FD" w14:textId="77777777" w:rsidR="009D6A99" w:rsidRDefault="00000000">
      <w:pPr>
        <w:pStyle w:val="ListParagraph"/>
        <w:numPr>
          <w:ilvl w:val="0"/>
          <w:numId w:val="7"/>
        </w:numPr>
      </w:pPr>
      <w:r>
        <w:rPr>
          <w:b/>
        </w:rPr>
        <w:t>Add the line comparison.</w:t>
      </w:r>
      <w:r>
        <w:t xml:space="preserve"> 2022 loss ratios for every line, before and after reinsurance, plus a commercial auto proxy (total auto minus private passenger auto).</w:t>
      </w:r>
    </w:p>
    <w:p w14:paraId="1AB0F101" w14:textId="77777777" w:rsidR="009D6A99" w:rsidRDefault="00000000">
      <w:pPr>
        <w:pStyle w:val="ListParagraph"/>
        <w:numPr>
          <w:ilvl w:val="0"/>
          <w:numId w:val="7"/>
        </w:numPr>
      </w:pPr>
      <w:r>
        <w:rPr>
          <w:b/>
        </w:rPr>
        <w:t>Validate.</w:t>
      </w:r>
      <w:r>
        <w:t xml:space="preserve"> The Benchmarks sheet looks up the model's loss ratio for each year where an independent figure has been published, and measures the gap.</w:t>
      </w:r>
    </w:p>
    <w:p w14:paraId="111A680B" w14:textId="77777777" w:rsidR="009D6A99" w:rsidRDefault="00000000">
      <w:pPr>
        <w:pStyle w:val="ListParagraph"/>
        <w:numPr>
          <w:ilvl w:val="0"/>
          <w:numId w:val="7"/>
        </w:numPr>
      </w:pPr>
      <w:r>
        <w:rPr>
          <w:b/>
        </w:rPr>
        <w:t>Add the calculator.</w:t>
      </w:r>
      <w:r>
        <w:t xml:space="preserve"> A one-page tool for a single portfolio: from paid claims and reserve changes to loss, LAE and combined ratios, compared with the target and the industry.</w:t>
      </w:r>
    </w:p>
    <w:p w14:paraId="3D1615B5" w14:textId="77777777" w:rsidR="009D6A99" w:rsidRDefault="00000000">
      <w:pPr>
        <w:pStyle w:val="ListParagraph"/>
        <w:numPr>
          <w:ilvl w:val="0"/>
          <w:numId w:val="7"/>
        </w:numPr>
      </w:pPr>
      <w:r>
        <w:rPr>
          <w:b/>
        </w:rPr>
        <w:t>Add reserving.</w:t>
      </w:r>
      <w:r>
        <w:t xml:space="preserve"> Simulated paid and reported triangles, chain-ladder development factors with four averaging choices, cumulative factors, and ultimates by paid chain-ladder, reported chain-ladder and </w:t>
      </w:r>
      <w:proofErr w:type="spellStart"/>
      <w:r>
        <w:t>Bornhuetter</w:t>
      </w:r>
      <w:proofErr w:type="spellEnd"/>
      <w:r>
        <w:t>-Ferguson.</w:t>
      </w:r>
    </w:p>
    <w:p w14:paraId="134BA4F0" w14:textId="77777777" w:rsidR="009D6A99" w:rsidRDefault="00000000">
      <w:pPr>
        <w:pStyle w:val="ListParagraph"/>
        <w:numPr>
          <w:ilvl w:val="0"/>
          <w:numId w:val="7"/>
        </w:numPr>
      </w:pPr>
      <w:r>
        <w:rPr>
          <w:b/>
        </w:rPr>
        <w:t>Recalculate and check.</w:t>
      </w:r>
      <w:r>
        <w:t xml:space="preserve"> The workbook was recalculated in Microsoft Excel and scanned for formula errors (none found). Key figures were checked by hand: 2022 earned premium, the 2022 loss ratio and the 2022 reserve estimate.</w:t>
      </w:r>
    </w:p>
    <w:p w14:paraId="5803390B" w14:textId="77777777" w:rsidR="009D6A99" w:rsidRDefault="00000000">
      <w:pPr>
        <w:pStyle w:val="Heading2"/>
      </w:pPr>
      <w:r>
        <w:t>Reasons for the choices</w:t>
      </w:r>
    </w:p>
    <w:p w14:paraId="0EB03B22" w14:textId="77777777" w:rsidR="009D6A99" w:rsidRDefault="00000000">
      <w:r>
        <w:t xml:space="preserve">Each choice below </w:t>
      </w:r>
      <w:proofErr w:type="spellStart"/>
      <w:r>
        <w:t>favours</w:t>
      </w:r>
      <w:proofErr w:type="spellEnd"/>
      <w:r>
        <w:t xml:space="preserve"> a model that is simple, traceable to its source and easy to check over one that looks more sophisticated.</w:t>
      </w:r>
    </w:p>
    <w:tbl>
      <w:tblPr>
        <w:tblStyle w:val="TableGrid"/>
        <w:tblW w:w="0" w:type="auto"/>
        <w:tblLayout w:type="fixed"/>
        <w:tblLook w:val="0420" w:firstRow="1" w:lastRow="0" w:firstColumn="0" w:lastColumn="0" w:noHBand="0" w:noVBand="1"/>
      </w:tblPr>
      <w:tblGrid>
        <w:gridCol w:w="1588"/>
        <w:gridCol w:w="1516"/>
        <w:gridCol w:w="4187"/>
        <w:gridCol w:w="2069"/>
      </w:tblGrid>
      <w:tr w:rsidR="009D6A99" w14:paraId="5E4BFB56" w14:textId="77777777">
        <w:trPr>
          <w:tblHeader/>
        </w:trPr>
        <w:tc>
          <w:tcPr>
            <w:tcW w:w="1588" w:type="dxa"/>
            <w:shd w:val="clear" w:color="auto" w:fill="F2F2F2"/>
          </w:tcPr>
          <w:p w14:paraId="19D93C8E" w14:textId="77777777" w:rsidR="009D6A99" w:rsidRDefault="00000000">
            <w:r>
              <w:t>Choice</w:t>
            </w:r>
          </w:p>
        </w:tc>
        <w:tc>
          <w:tcPr>
            <w:tcW w:w="1516" w:type="dxa"/>
            <w:shd w:val="clear" w:color="auto" w:fill="F2F2F2"/>
          </w:tcPr>
          <w:p w14:paraId="3DF4C5B7" w14:textId="77777777" w:rsidR="009D6A99" w:rsidRDefault="00000000">
            <w:r>
              <w:t>What was chosen</w:t>
            </w:r>
          </w:p>
        </w:tc>
        <w:tc>
          <w:tcPr>
            <w:tcW w:w="4187" w:type="dxa"/>
            <w:shd w:val="clear" w:color="auto" w:fill="F2F2F2"/>
          </w:tcPr>
          <w:p w14:paraId="7251C4CF" w14:textId="77777777" w:rsidR="009D6A99" w:rsidRDefault="00000000">
            <w:r>
              <w:t>Why</w:t>
            </w:r>
          </w:p>
        </w:tc>
        <w:tc>
          <w:tcPr>
            <w:tcW w:w="2069" w:type="dxa"/>
            <w:shd w:val="clear" w:color="auto" w:fill="F2F2F2"/>
          </w:tcPr>
          <w:p w14:paraId="45F83668" w14:textId="77777777" w:rsidR="009D6A99" w:rsidRDefault="00000000">
            <w:r>
              <w:t>When to change it</w:t>
            </w:r>
          </w:p>
        </w:tc>
      </w:tr>
      <w:tr w:rsidR="009D6A99" w14:paraId="235F9009" w14:textId="77777777">
        <w:tc>
          <w:tcPr>
            <w:tcW w:w="1588" w:type="dxa"/>
          </w:tcPr>
          <w:p w14:paraId="23F5FDFE" w14:textId="77777777" w:rsidR="009D6A99" w:rsidRDefault="00000000">
            <w:r>
              <w:t>Line of business</w:t>
            </w:r>
          </w:p>
        </w:tc>
        <w:tc>
          <w:tcPr>
            <w:tcW w:w="1516" w:type="dxa"/>
          </w:tcPr>
          <w:p w14:paraId="2F1DB465" w14:textId="77777777" w:rsidR="009D6A99" w:rsidRDefault="00000000">
            <w:r>
              <w:t>Commercial property</w:t>
            </w:r>
          </w:p>
        </w:tc>
        <w:tc>
          <w:tcPr>
            <w:tcW w:w="4187" w:type="dxa"/>
          </w:tcPr>
          <w:p w14:paraId="219E463C" w14:textId="77777777" w:rsidR="009D6A99" w:rsidRDefault="00000000">
            <w:r>
              <w:t>IBC publishes it as its own line, with 13 years of premiums and 26 years of claims. Commercial auto is folded into total auto.</w:t>
            </w:r>
          </w:p>
        </w:tc>
        <w:tc>
          <w:tcPr>
            <w:tcW w:w="2069" w:type="dxa"/>
          </w:tcPr>
          <w:p w14:paraId="4FF92079" w14:textId="77777777" w:rsidR="009D6A99" w:rsidRDefault="00000000">
            <w:r>
              <w:t>Use commercial auto if you have its own data; the model's proxy is total auto minus private passenger.</w:t>
            </w:r>
          </w:p>
        </w:tc>
      </w:tr>
      <w:tr w:rsidR="009D6A99" w14:paraId="1D39F88E" w14:textId="77777777">
        <w:tc>
          <w:tcPr>
            <w:tcW w:w="1588" w:type="dxa"/>
          </w:tcPr>
          <w:p w14:paraId="24256716" w14:textId="77777777" w:rsidR="009D6A99" w:rsidRDefault="00000000">
            <w:r>
              <w:t>Data source</w:t>
            </w:r>
          </w:p>
        </w:tc>
        <w:tc>
          <w:tcPr>
            <w:tcW w:w="1516" w:type="dxa"/>
          </w:tcPr>
          <w:p w14:paraId="49F08B36" w14:textId="77777777" w:rsidR="009D6A99" w:rsidRDefault="00000000">
            <w:r>
              <w:t xml:space="preserve">IBC Facts </w:t>
            </w:r>
            <w:r>
              <w:lastRenderedPageBreak/>
              <w:t>Book 2023</w:t>
            </w:r>
          </w:p>
        </w:tc>
        <w:tc>
          <w:tcPr>
            <w:tcW w:w="4187" w:type="dxa"/>
          </w:tcPr>
          <w:p w14:paraId="2C1976C0" w14:textId="77777777" w:rsidR="009D6A99" w:rsidRDefault="00000000">
            <w:r>
              <w:lastRenderedPageBreak/>
              <w:t xml:space="preserve">Free, public, industry-wide and compiled from regulatory filings, so it is authoritative </w:t>
            </w:r>
            <w:r>
              <w:lastRenderedPageBreak/>
              <w:t>and repeatable.</w:t>
            </w:r>
          </w:p>
        </w:tc>
        <w:tc>
          <w:tcPr>
            <w:tcW w:w="2069" w:type="dxa"/>
          </w:tcPr>
          <w:p w14:paraId="67ED7F4F" w14:textId="77777777" w:rsidR="009D6A99" w:rsidRDefault="00000000">
            <w:r>
              <w:lastRenderedPageBreak/>
              <w:t xml:space="preserve">Use OSFI or MSA data, or company </w:t>
            </w:r>
            <w:r>
              <w:lastRenderedPageBreak/>
              <w:t>data, for more detail.</w:t>
            </w:r>
          </w:p>
        </w:tc>
      </w:tr>
      <w:tr w:rsidR="009D6A99" w14:paraId="6A5F3F8B" w14:textId="77777777">
        <w:tc>
          <w:tcPr>
            <w:tcW w:w="1588" w:type="dxa"/>
          </w:tcPr>
          <w:p w14:paraId="540126EB" w14:textId="77777777" w:rsidR="009D6A99" w:rsidRDefault="00000000">
            <w:r>
              <w:lastRenderedPageBreak/>
              <w:t>Net, not direct</w:t>
            </w:r>
          </w:p>
        </w:tc>
        <w:tc>
          <w:tcPr>
            <w:tcW w:w="1516" w:type="dxa"/>
          </w:tcPr>
          <w:p w14:paraId="4B3EDC36" w14:textId="77777777" w:rsidR="009D6A99" w:rsidRDefault="00000000">
            <w:r>
              <w:t>Net of reinsurance</w:t>
            </w:r>
          </w:p>
        </w:tc>
        <w:tc>
          <w:tcPr>
            <w:tcW w:w="4187" w:type="dxa"/>
          </w:tcPr>
          <w:p w14:paraId="4592F176" w14:textId="77777777" w:rsidR="009D6A99" w:rsidRDefault="00000000">
            <w:r>
              <w:t>Net figures show the cost the insurers keep after reinsurers pay their share, which is what affects their profit.</w:t>
            </w:r>
          </w:p>
        </w:tc>
        <w:tc>
          <w:tcPr>
            <w:tcW w:w="2069" w:type="dxa"/>
          </w:tcPr>
          <w:p w14:paraId="314620A6" w14:textId="77777777" w:rsidR="009D6A99" w:rsidRDefault="00000000">
            <w:r>
              <w:t>Use direct figures to study the underlying risk before reinsurance.</w:t>
            </w:r>
          </w:p>
        </w:tc>
      </w:tr>
      <w:tr w:rsidR="009D6A99" w14:paraId="222CCD79" w14:textId="77777777">
        <w:tc>
          <w:tcPr>
            <w:tcW w:w="1588" w:type="dxa"/>
          </w:tcPr>
          <w:p w14:paraId="63159D06" w14:textId="77777777" w:rsidR="009D6A99" w:rsidRDefault="00000000">
            <w:r>
              <w:t>Earned, not written</w:t>
            </w:r>
          </w:p>
        </w:tc>
        <w:tc>
          <w:tcPr>
            <w:tcW w:w="1516" w:type="dxa"/>
          </w:tcPr>
          <w:p w14:paraId="4F35CDBD" w14:textId="77777777" w:rsidR="009D6A99" w:rsidRDefault="00000000">
            <w:r>
              <w:t>Earned premium</w:t>
            </w:r>
          </w:p>
        </w:tc>
        <w:tc>
          <w:tcPr>
            <w:tcW w:w="4187" w:type="dxa"/>
          </w:tcPr>
          <w:p w14:paraId="5E22AE57" w14:textId="77777777" w:rsidR="009D6A99" w:rsidRDefault="00000000">
            <w:r>
              <w:t>Claims in a year should be matched with the coverage given that year. Written premium runs ahead of earned in a growing market and makes results look better than they are.</w:t>
            </w:r>
          </w:p>
        </w:tc>
        <w:tc>
          <w:tcPr>
            <w:tcW w:w="2069" w:type="dxa"/>
          </w:tcPr>
          <w:p w14:paraId="738721E9" w14:textId="77777777" w:rsidR="009D6A99" w:rsidRDefault="00000000">
            <w:r>
              <w:t>Never for decisions; written basis is shown only as a shortcut.</w:t>
            </w:r>
          </w:p>
        </w:tc>
      </w:tr>
      <w:tr w:rsidR="009D6A99" w14:paraId="23B4CD34" w14:textId="77777777">
        <w:tc>
          <w:tcPr>
            <w:tcW w:w="1588" w:type="dxa"/>
          </w:tcPr>
          <w:p w14:paraId="2BD36F1A" w14:textId="77777777" w:rsidR="009D6A99" w:rsidRDefault="00000000">
            <w:r>
              <w:t>Earning fraction</w:t>
            </w:r>
          </w:p>
        </w:tc>
        <w:tc>
          <w:tcPr>
            <w:tcW w:w="1516" w:type="dxa"/>
          </w:tcPr>
          <w:p w14:paraId="695A119C" w14:textId="77777777" w:rsidR="009D6A99" w:rsidRDefault="00000000">
            <w:r>
              <w:t>50%</w:t>
            </w:r>
          </w:p>
        </w:tc>
        <w:tc>
          <w:tcPr>
            <w:tcW w:w="4187" w:type="dxa"/>
          </w:tcPr>
          <w:p w14:paraId="3F626D5B" w14:textId="77777777" w:rsidR="009D6A99" w:rsidRDefault="00000000">
            <w:r>
              <w:t>Most commercial property policies last 12 months. If sales are spread evenly, the average policy starts mid-year, so half is earned in its first year. It is an actuarial approximation, not a regulatory rule. The model matches the published 2020 and 2021 ratios within 0.6 points using it.</w:t>
            </w:r>
          </w:p>
        </w:tc>
        <w:tc>
          <w:tcPr>
            <w:tcW w:w="2069" w:type="dxa"/>
          </w:tcPr>
          <w:p w14:paraId="3E0A142D" w14:textId="77777777" w:rsidR="009D6A99" w:rsidRDefault="00000000">
            <w:r>
              <w:t>Raise it if many policies renew on 1 January; lower it if sales cluster late in the year.</w:t>
            </w:r>
          </w:p>
        </w:tc>
      </w:tr>
      <w:tr w:rsidR="009D6A99" w14:paraId="063AC83C" w14:textId="77777777">
        <w:tc>
          <w:tcPr>
            <w:tcW w:w="1588" w:type="dxa"/>
          </w:tcPr>
          <w:p w14:paraId="6A3108F9" w14:textId="77777777" w:rsidR="009D6A99" w:rsidRDefault="00000000">
            <w:r>
              <w:t>ULAE load</w:t>
            </w:r>
          </w:p>
        </w:tc>
        <w:tc>
          <w:tcPr>
            <w:tcW w:w="1516" w:type="dxa"/>
          </w:tcPr>
          <w:p w14:paraId="7632246D" w14:textId="77777777" w:rsidR="009D6A99" w:rsidRDefault="00000000">
            <w:r>
              <w:t>0%</w:t>
            </w:r>
          </w:p>
        </w:tc>
        <w:tc>
          <w:tcPr>
            <w:tcW w:w="4187" w:type="dxa"/>
          </w:tcPr>
          <w:p w14:paraId="7CAC5FFB" w14:textId="77777777" w:rsidR="009D6A99" w:rsidRDefault="00000000">
            <w:r>
              <w:t>Canadian reported claims incurred generally already include claims-handling costs, so adding a load would likely count them twice.</w:t>
            </w:r>
          </w:p>
        </w:tc>
        <w:tc>
          <w:tcPr>
            <w:tcW w:w="2069" w:type="dxa"/>
          </w:tcPr>
          <w:p w14:paraId="7BEB2015" w14:textId="77777777" w:rsidR="009D6A99" w:rsidRDefault="00000000">
            <w:r>
              <w:t>Add a load if your claims data covers payments to customers only.</w:t>
            </w:r>
          </w:p>
        </w:tc>
      </w:tr>
      <w:tr w:rsidR="009D6A99" w14:paraId="6A3CBB92" w14:textId="77777777">
        <w:tc>
          <w:tcPr>
            <w:tcW w:w="1588" w:type="dxa"/>
          </w:tcPr>
          <w:p w14:paraId="182049FD" w14:textId="77777777" w:rsidR="009D6A99" w:rsidRDefault="00000000">
            <w:r>
              <w:t>Target loss ratio</w:t>
            </w:r>
          </w:p>
        </w:tc>
        <w:tc>
          <w:tcPr>
            <w:tcW w:w="1516" w:type="dxa"/>
          </w:tcPr>
          <w:p w14:paraId="29C33E7C" w14:textId="77777777" w:rsidR="009D6A99" w:rsidRDefault="00000000">
            <w:r>
              <w:t>65%</w:t>
            </w:r>
          </w:p>
        </w:tc>
        <w:tc>
          <w:tcPr>
            <w:tcW w:w="4187" w:type="dxa"/>
          </w:tcPr>
          <w:p w14:paraId="4240F124" w14:textId="77777777" w:rsidR="009D6A99" w:rsidRDefault="00000000">
            <w:r>
              <w:t>An illustration: 100% minus a typical 30% expense ratio and a 5% profit margin.</w:t>
            </w:r>
          </w:p>
        </w:tc>
        <w:tc>
          <w:tcPr>
            <w:tcW w:w="2069" w:type="dxa"/>
          </w:tcPr>
          <w:p w14:paraId="506FC09A" w14:textId="77777777" w:rsidR="009D6A99" w:rsidRDefault="00000000">
            <w:r>
              <w:t>Set it from your own expense ratio and profit goal.</w:t>
            </w:r>
          </w:p>
        </w:tc>
      </w:tr>
      <w:tr w:rsidR="009D6A99" w14:paraId="78468ADE" w14:textId="77777777">
        <w:tc>
          <w:tcPr>
            <w:tcW w:w="1588" w:type="dxa"/>
          </w:tcPr>
          <w:p w14:paraId="36F4B1E5" w14:textId="77777777" w:rsidR="009D6A99" w:rsidRDefault="00000000">
            <w:r>
              <w:t>Years covered</w:t>
            </w:r>
          </w:p>
        </w:tc>
        <w:tc>
          <w:tcPr>
            <w:tcW w:w="1516" w:type="dxa"/>
          </w:tcPr>
          <w:p w14:paraId="64598092" w14:textId="77777777" w:rsidR="009D6A99" w:rsidRDefault="00000000">
            <w:r>
              <w:t>2011–2022</w:t>
            </w:r>
          </w:p>
        </w:tc>
        <w:tc>
          <w:tcPr>
            <w:tcW w:w="4187" w:type="dxa"/>
          </w:tcPr>
          <w:p w14:paraId="58A64DD5" w14:textId="77777777" w:rsidR="009D6A99" w:rsidRDefault="00000000">
            <w:r>
              <w:t>2010 has no prior-year premium for the earning calculation, and 2023 onward uses a different accounting standard (IFRS 17).</w:t>
            </w:r>
          </w:p>
        </w:tc>
        <w:tc>
          <w:tcPr>
            <w:tcW w:w="2069" w:type="dxa"/>
          </w:tcPr>
          <w:p w14:paraId="7F04DAB0" w14:textId="77777777" w:rsidR="009D6A99" w:rsidRDefault="00000000">
            <w:r>
              <w:t>Extend when a comparable series is available.</w:t>
            </w:r>
          </w:p>
        </w:tc>
      </w:tr>
      <w:tr w:rsidR="009D6A99" w14:paraId="244A555A" w14:textId="77777777">
        <w:tc>
          <w:tcPr>
            <w:tcW w:w="1588" w:type="dxa"/>
          </w:tcPr>
          <w:p w14:paraId="454A6D72" w14:textId="77777777" w:rsidR="009D6A99" w:rsidRDefault="00000000">
            <w:r>
              <w:t>Validation</w:t>
            </w:r>
          </w:p>
        </w:tc>
        <w:tc>
          <w:tcPr>
            <w:tcW w:w="1516" w:type="dxa"/>
          </w:tcPr>
          <w:p w14:paraId="53557F90" w14:textId="77777777" w:rsidR="009D6A99" w:rsidRDefault="00000000">
            <w:r>
              <w:t>Four published ratios</w:t>
            </w:r>
          </w:p>
        </w:tc>
        <w:tc>
          <w:tcPr>
            <w:tcW w:w="4187" w:type="dxa"/>
          </w:tcPr>
          <w:p w14:paraId="120B864A" w14:textId="77777777" w:rsidR="009D6A99" w:rsidRDefault="00000000">
            <w:r>
              <w:t>Independent figures from IBC and PACICC test whether the method, especially the 50% assumption, produces realistic results.</w:t>
            </w:r>
          </w:p>
        </w:tc>
        <w:tc>
          <w:tcPr>
            <w:tcW w:w="2069" w:type="dxa"/>
          </w:tcPr>
          <w:p w14:paraId="5F2B8997" w14:textId="77777777" w:rsidR="009D6A99" w:rsidRDefault="00000000">
            <w:r>
              <w:t>Add more published ratios as you find them.</w:t>
            </w:r>
          </w:p>
        </w:tc>
      </w:tr>
      <w:tr w:rsidR="009D6A99" w14:paraId="354D2CC2" w14:textId="77777777">
        <w:tc>
          <w:tcPr>
            <w:tcW w:w="1588" w:type="dxa"/>
          </w:tcPr>
          <w:p w14:paraId="52B91BF6" w14:textId="77777777" w:rsidR="009D6A99" w:rsidRDefault="00000000">
            <w:r>
              <w:t>Reserving data</w:t>
            </w:r>
          </w:p>
        </w:tc>
        <w:tc>
          <w:tcPr>
            <w:tcW w:w="1516" w:type="dxa"/>
          </w:tcPr>
          <w:p w14:paraId="22728409" w14:textId="77777777" w:rsidR="009D6A99" w:rsidRDefault="00000000">
            <w:r>
              <w:t>Simulated triangles</w:t>
            </w:r>
          </w:p>
        </w:tc>
        <w:tc>
          <w:tcPr>
            <w:tcW w:w="4187" w:type="dxa"/>
          </w:tcPr>
          <w:p w14:paraId="1E4014AE" w14:textId="77777777" w:rsidR="009D6A99" w:rsidRDefault="00000000">
            <w:r>
              <w:t>Real industry triangles are not public. Simulated data still shows each method working and lets the results be checked against a known true answer.</w:t>
            </w:r>
          </w:p>
        </w:tc>
        <w:tc>
          <w:tcPr>
            <w:tcW w:w="2069" w:type="dxa"/>
          </w:tcPr>
          <w:p w14:paraId="1B660EA9" w14:textId="77777777" w:rsidR="009D6A99" w:rsidRDefault="00000000">
            <w:r>
              <w:t>Always, for real use: paste company triangles over the blue cells.</w:t>
            </w:r>
          </w:p>
        </w:tc>
      </w:tr>
      <w:tr w:rsidR="009D6A99" w14:paraId="787B4582" w14:textId="77777777">
        <w:tc>
          <w:tcPr>
            <w:tcW w:w="1588" w:type="dxa"/>
          </w:tcPr>
          <w:p w14:paraId="6CBACD44" w14:textId="77777777" w:rsidR="009D6A99" w:rsidRDefault="00000000">
            <w:r>
              <w:t>Development averages</w:t>
            </w:r>
          </w:p>
        </w:tc>
        <w:tc>
          <w:tcPr>
            <w:tcW w:w="1516" w:type="dxa"/>
          </w:tcPr>
          <w:p w14:paraId="55618BC9" w14:textId="77777777" w:rsidR="009D6A99" w:rsidRDefault="00000000">
            <w:r>
              <w:t xml:space="preserve">Volume-weighted, all </w:t>
            </w:r>
            <w:r>
              <w:lastRenderedPageBreak/>
              <w:t>years</w:t>
            </w:r>
          </w:p>
        </w:tc>
        <w:tc>
          <w:tcPr>
            <w:tcW w:w="4187" w:type="dxa"/>
          </w:tcPr>
          <w:p w14:paraId="1A3C6F05" w14:textId="77777777" w:rsidR="009D6A99" w:rsidRDefault="00000000">
            <w:r>
              <w:lastRenderedPageBreak/>
              <w:t xml:space="preserve">Bigger accident years carry more claims and so more information; using all years </w:t>
            </w:r>
            <w:r>
              <w:lastRenderedPageBreak/>
              <w:t>smooths out noise.</w:t>
            </w:r>
          </w:p>
        </w:tc>
        <w:tc>
          <w:tcPr>
            <w:tcW w:w="2069" w:type="dxa"/>
          </w:tcPr>
          <w:p w14:paraId="1B7BD3DB" w14:textId="77777777" w:rsidR="009D6A99" w:rsidRDefault="00000000">
            <w:r>
              <w:lastRenderedPageBreak/>
              <w:t xml:space="preserve">Use recent years if the claims process </w:t>
            </w:r>
            <w:r>
              <w:lastRenderedPageBreak/>
              <w:t>has changed.</w:t>
            </w:r>
          </w:p>
        </w:tc>
      </w:tr>
      <w:tr w:rsidR="009D6A99" w14:paraId="4141D1EF" w14:textId="77777777">
        <w:tc>
          <w:tcPr>
            <w:tcW w:w="1588" w:type="dxa"/>
          </w:tcPr>
          <w:p w14:paraId="2C267AF9" w14:textId="77777777" w:rsidR="009D6A99" w:rsidRDefault="00000000">
            <w:r>
              <w:lastRenderedPageBreak/>
              <w:t>Tail factor</w:t>
            </w:r>
          </w:p>
        </w:tc>
        <w:tc>
          <w:tcPr>
            <w:tcW w:w="1516" w:type="dxa"/>
          </w:tcPr>
          <w:p w14:paraId="5B4867EA" w14:textId="77777777" w:rsidR="009D6A99" w:rsidRDefault="00000000">
            <w:r>
              <w:t>1.000</w:t>
            </w:r>
          </w:p>
        </w:tc>
        <w:tc>
          <w:tcPr>
            <w:tcW w:w="4187" w:type="dxa"/>
          </w:tcPr>
          <w:p w14:paraId="03C76476" w14:textId="77777777" w:rsidR="009D6A99" w:rsidRDefault="00000000">
            <w:r>
              <w:t>Commercial property claims settle quickly; the simulated triangles are fully developed by 10 years.</w:t>
            </w:r>
          </w:p>
        </w:tc>
        <w:tc>
          <w:tcPr>
            <w:tcW w:w="2069" w:type="dxa"/>
          </w:tcPr>
          <w:p w14:paraId="1365BE4A" w14:textId="77777777" w:rsidR="009D6A99" w:rsidRDefault="00000000">
            <w:r>
              <w:t>Use a tail above 1.000 for slower lines, such as liability.</w:t>
            </w:r>
          </w:p>
        </w:tc>
      </w:tr>
      <w:tr w:rsidR="009D6A99" w14:paraId="073BC716" w14:textId="77777777">
        <w:tc>
          <w:tcPr>
            <w:tcW w:w="1588" w:type="dxa"/>
          </w:tcPr>
          <w:p w14:paraId="151F8861" w14:textId="77777777" w:rsidR="009D6A99" w:rsidRDefault="00000000">
            <w:r>
              <w:t>Reserving methods</w:t>
            </w:r>
          </w:p>
        </w:tc>
        <w:tc>
          <w:tcPr>
            <w:tcW w:w="1516" w:type="dxa"/>
          </w:tcPr>
          <w:p w14:paraId="75BFC0CF" w14:textId="77777777" w:rsidR="009D6A99" w:rsidRDefault="00000000">
            <w:r>
              <w:t xml:space="preserve">Chain-ladder (paid and reported) and </w:t>
            </w:r>
            <w:proofErr w:type="spellStart"/>
            <w:r>
              <w:t>Bornhuetter</w:t>
            </w:r>
            <w:proofErr w:type="spellEnd"/>
            <w:r>
              <w:t>-Ferguson</w:t>
            </w:r>
          </w:p>
        </w:tc>
        <w:tc>
          <w:tcPr>
            <w:tcW w:w="4187" w:type="dxa"/>
          </w:tcPr>
          <w:p w14:paraId="5854C1A7" w14:textId="77777777" w:rsidR="009D6A99" w:rsidRDefault="00000000">
            <w:r>
              <w:t>These are the standard methods every actuary uses. Showing them side by side shows how sensitive the answer is to the method.</w:t>
            </w:r>
          </w:p>
        </w:tc>
        <w:tc>
          <w:tcPr>
            <w:tcW w:w="2069" w:type="dxa"/>
          </w:tcPr>
          <w:p w14:paraId="469618A2" w14:textId="77777777" w:rsidR="009D6A99" w:rsidRDefault="00000000">
            <w:r>
              <w:t>Choose BF for the most recent years, where chain-ladder is least stable.</w:t>
            </w:r>
          </w:p>
        </w:tc>
      </w:tr>
      <w:tr w:rsidR="009D6A99" w14:paraId="465421DB" w14:textId="77777777">
        <w:tc>
          <w:tcPr>
            <w:tcW w:w="1588" w:type="dxa"/>
          </w:tcPr>
          <w:p w14:paraId="1B514E5E" w14:textId="77777777" w:rsidR="009D6A99" w:rsidRDefault="00000000">
            <w:r>
              <w:t>Formulas, not values</w:t>
            </w:r>
          </w:p>
        </w:tc>
        <w:tc>
          <w:tcPr>
            <w:tcW w:w="1516" w:type="dxa"/>
          </w:tcPr>
          <w:p w14:paraId="1938288B" w14:textId="77777777" w:rsidR="009D6A99" w:rsidRDefault="00000000">
            <w:r>
              <w:t>All results are live Excel formulas</w:t>
            </w:r>
          </w:p>
        </w:tc>
        <w:tc>
          <w:tcPr>
            <w:tcW w:w="4187" w:type="dxa"/>
          </w:tcPr>
          <w:p w14:paraId="1A781F69" w14:textId="77777777" w:rsidR="009D6A99" w:rsidRDefault="00000000">
            <w:r>
              <w:t>Anyone can trace a result back to its input, and changing one assumption updates the whole model.</w:t>
            </w:r>
          </w:p>
        </w:tc>
        <w:tc>
          <w:tcPr>
            <w:tcW w:w="2069" w:type="dxa"/>
          </w:tcPr>
          <w:p w14:paraId="0D59BA7E" w14:textId="77777777" w:rsidR="009D6A99" w:rsidRDefault="00000000">
            <w:r>
              <w:t>Never.</w:t>
            </w:r>
          </w:p>
        </w:tc>
      </w:tr>
    </w:tbl>
    <w:p w14:paraId="24A39D3C" w14:textId="77777777" w:rsidR="009D6A99" w:rsidRDefault="00000000">
      <w:pPr>
        <w:pStyle w:val="Heading2"/>
      </w:pPr>
      <w:r>
        <w:t>Findings</w:t>
      </w:r>
    </w:p>
    <w:p w14:paraId="33D3D5FF" w14:textId="77777777" w:rsidR="009D6A99" w:rsidRDefault="00000000">
      <w:r>
        <w:t>Over 2011–2022, claims took 62.6% of earned premium, just under the 65% target. The two worst years were years of major natural disasters, and every year since 2019 has come in below target.</w:t>
      </w:r>
    </w:p>
    <w:p w14:paraId="60C57140" w14:textId="77777777" w:rsidR="009D6A99" w:rsidRDefault="00000000">
      <w:r>
        <w:rPr>
          <w:noProof/>
        </w:rPr>
        <w:drawing>
          <wp:inline distT="0" distB="0" distL="0" distR="0" wp14:anchorId="415E3F38" wp14:editId="57AC3184">
            <wp:extent cx="5486400" cy="2792185"/>
            <wp:effectExtent l="0" t="0" r="0" b="0"/>
            <wp:docPr id="1" name="image1" descr="IBC Facts Book 2023 (IBC, MSA Research) · earned premium estimated with the 50% rule · 2011–2022"/>
            <wp:cNvGraphicFramePr/>
            <a:graphic xmlns:a="http://schemas.openxmlformats.org/drawingml/2006/main">
              <a:graphicData uri="http://schemas.openxmlformats.org/drawingml/2006/picture">
                <pic:pic xmlns:pic="http://schemas.openxmlformats.org/drawingml/2006/picture">
                  <pic:nvPicPr>
                    <pic:cNvPr id="1" name="image1" descr="IBC Facts Book 2023 (IBC, MSA Research) · earned premium estimated with the 50% rule · 2011–2022"/>
                    <pic:cNvPicPr/>
                  </pic:nvPicPr>
                  <pic:blipFill>
                    <a:blip r:embed="rId9"/>
                    <a:stretch>
                      <a:fillRect/>
                    </a:stretch>
                  </pic:blipFill>
                  <pic:spPr>
                    <a:xfrm>
                      <a:off x="0" y="0"/>
                      <a:ext cx="5486400" cy="2792185"/>
                    </a:xfrm>
                    <a:prstGeom prst="rect">
                      <a:avLst/>
                    </a:prstGeom>
                  </pic:spPr>
                </pic:pic>
              </a:graphicData>
            </a:graphic>
          </wp:inline>
        </w:drawing>
      </w:r>
    </w:p>
    <w:p w14:paraId="11968762" w14:textId="77777777" w:rsidR="009D6A99" w:rsidRDefault="00000000">
      <w:r>
        <w:t>IBC Facts Book 2023 (IBC, MSA Research) · earned premium estimated with the 50% rule · 2011–2022</w:t>
      </w:r>
    </w:p>
    <w:p w14:paraId="56D479FD" w14:textId="77777777" w:rsidR="009D6A99" w:rsidRDefault="00000000">
      <w:pPr>
        <w:pStyle w:val="Heading3"/>
      </w:pPr>
      <w:r>
        <w:lastRenderedPageBreak/>
        <w:t>1. Loss ratio over time</w:t>
      </w:r>
    </w:p>
    <w:p w14:paraId="3058D260" w14:textId="77777777" w:rsidR="009D6A99" w:rsidRDefault="00000000">
      <w:pPr>
        <w:pStyle w:val="ListParagraph"/>
        <w:numPr>
          <w:ilvl w:val="0"/>
          <w:numId w:val="8"/>
        </w:numPr>
      </w:pPr>
      <w:r>
        <w:rPr>
          <w:b/>
        </w:rPr>
        <w:t>Long-run results.</w:t>
      </w:r>
      <w:r>
        <w:t xml:space="preserve"> Weighting every year by its premium, the loss ratio was 62.6%. The simple average of the twelve yearly ratios is 64.2%, higher because the early, smaller years had worse results.</w:t>
      </w:r>
    </w:p>
    <w:p w14:paraId="5A8B8331" w14:textId="77777777" w:rsidR="009D6A99" w:rsidRDefault="00000000">
      <w:pPr>
        <w:pStyle w:val="ListParagraph"/>
        <w:numPr>
          <w:ilvl w:val="0"/>
          <w:numId w:val="8"/>
        </w:numPr>
      </w:pPr>
      <w:r>
        <w:rPr>
          <w:b/>
        </w:rPr>
        <w:t>Recent trend.</w:t>
      </w:r>
      <w:r>
        <w:t xml:space="preserve"> The latest 5 years (2018–2022) average 57.6% and the latest 3 years (2020–2022) average 51.9%. Results have improved steadily.</w:t>
      </w:r>
    </w:p>
    <w:p w14:paraId="3534D23B" w14:textId="77777777" w:rsidR="009D6A99" w:rsidRDefault="00000000">
      <w:pPr>
        <w:pStyle w:val="ListParagraph"/>
        <w:numPr>
          <w:ilvl w:val="0"/>
          <w:numId w:val="8"/>
        </w:numPr>
      </w:pPr>
      <w:r>
        <w:rPr>
          <w:b/>
        </w:rPr>
        <w:t>Years above target.</w:t>
      </w:r>
      <w:r>
        <w:t xml:space="preserve"> 5 of 12: 2011 (70.6%), 2012 (65.5%, only just), 2013 (75.3%), 2016 (82.2%) and 2018 (75.1%).</w:t>
      </w:r>
    </w:p>
    <w:p w14:paraId="4671FCB2" w14:textId="77777777" w:rsidR="009D6A99" w:rsidRDefault="00000000">
      <w:pPr>
        <w:pStyle w:val="ListParagraph"/>
        <w:numPr>
          <w:ilvl w:val="0"/>
          <w:numId w:val="8"/>
        </w:numPr>
      </w:pPr>
      <w:r>
        <w:rPr>
          <w:b/>
        </w:rPr>
        <w:t>Volatility.</w:t>
      </w:r>
      <w:r>
        <w:t xml:space="preserve"> The loss ratio swings by about 10.6 percentage points (one standard deviation) from year to year. The biggest yearly moves were +25.0 points into 2016 and −19.5 points out of it.</w:t>
      </w:r>
    </w:p>
    <w:p w14:paraId="1DF81BA6" w14:textId="77777777" w:rsidR="009D6A99" w:rsidRDefault="00000000">
      <w:pPr>
        <w:pStyle w:val="ListParagraph"/>
        <w:numPr>
          <w:ilvl w:val="0"/>
          <w:numId w:val="8"/>
        </w:numPr>
      </w:pPr>
      <w:r>
        <w:rPr>
          <w:b/>
        </w:rPr>
        <w:t>Growth.</w:t>
      </w:r>
      <w:r>
        <w:t xml:space="preserve"> Earned premium grew about 6.4% a year, roughly doubling from $5.8bn to $11.4bn. Claims grew only about 3.1% a year. That gap explains the falling loss ratio: prices rose faster than claims costs.</w:t>
      </w:r>
    </w:p>
    <w:p w14:paraId="524960C2" w14:textId="77777777" w:rsidR="009D6A99" w:rsidRDefault="00000000">
      <w:pPr>
        <w:pStyle w:val="Heading3"/>
      </w:pPr>
      <w:r>
        <w:t>2. Validation against published figures</w:t>
      </w:r>
    </w:p>
    <w:p w14:paraId="6411C7D1" w14:textId="77777777" w:rsidR="009D6A99" w:rsidRDefault="00000000">
      <w:r>
        <w:t>The model's loss ratios differ from independently published figures by 1.5 percentage points on average. That supports the 50% earning assumption.</w:t>
      </w:r>
    </w:p>
    <w:tbl>
      <w:tblPr>
        <w:tblStyle w:val="TableGrid"/>
        <w:tblW w:w="0" w:type="auto"/>
        <w:tblLayout w:type="fixed"/>
        <w:tblLook w:val="0420" w:firstRow="1" w:lastRow="0" w:firstColumn="0" w:lastColumn="0" w:noHBand="0" w:noVBand="1"/>
      </w:tblPr>
      <w:tblGrid>
        <w:gridCol w:w="805"/>
        <w:gridCol w:w="2612"/>
        <w:gridCol w:w="2178"/>
        <w:gridCol w:w="1992"/>
        <w:gridCol w:w="1770"/>
      </w:tblGrid>
      <w:tr w:rsidR="009D6A99" w14:paraId="40C9C2E3" w14:textId="77777777">
        <w:trPr>
          <w:tblHeader/>
        </w:trPr>
        <w:tc>
          <w:tcPr>
            <w:tcW w:w="805" w:type="dxa"/>
            <w:shd w:val="clear" w:color="auto" w:fill="F2F2F2"/>
          </w:tcPr>
          <w:p w14:paraId="192B98DC" w14:textId="77777777" w:rsidR="009D6A99" w:rsidRDefault="00000000">
            <w:r>
              <w:t>Year</w:t>
            </w:r>
          </w:p>
        </w:tc>
        <w:tc>
          <w:tcPr>
            <w:tcW w:w="2612" w:type="dxa"/>
            <w:shd w:val="clear" w:color="auto" w:fill="F2F2F2"/>
          </w:tcPr>
          <w:p w14:paraId="3893F408" w14:textId="77777777" w:rsidR="009D6A99" w:rsidRDefault="00000000">
            <w:r>
              <w:t>Published loss ratio</w:t>
            </w:r>
          </w:p>
        </w:tc>
        <w:tc>
          <w:tcPr>
            <w:tcW w:w="2178" w:type="dxa"/>
            <w:shd w:val="clear" w:color="auto" w:fill="F2F2F2"/>
          </w:tcPr>
          <w:p w14:paraId="1F05B505" w14:textId="77777777" w:rsidR="009D6A99" w:rsidRDefault="00000000">
            <w:r>
              <w:t>Model loss ratio</w:t>
            </w:r>
          </w:p>
        </w:tc>
        <w:tc>
          <w:tcPr>
            <w:tcW w:w="1992" w:type="dxa"/>
            <w:shd w:val="clear" w:color="auto" w:fill="F2F2F2"/>
          </w:tcPr>
          <w:p w14:paraId="38FE39B0" w14:textId="77777777" w:rsidR="009D6A99" w:rsidRDefault="00000000">
            <w:r>
              <w:t>Difference (pp)</w:t>
            </w:r>
          </w:p>
        </w:tc>
        <w:tc>
          <w:tcPr>
            <w:tcW w:w="1770" w:type="dxa"/>
            <w:shd w:val="clear" w:color="auto" w:fill="F2F2F2"/>
          </w:tcPr>
          <w:p w14:paraId="0BF7E99C" w14:textId="77777777" w:rsidR="009D6A99" w:rsidRDefault="00000000">
            <w:r>
              <w:t>Published by</w:t>
            </w:r>
          </w:p>
        </w:tc>
      </w:tr>
      <w:tr w:rsidR="009D6A99" w14:paraId="62AF0955" w14:textId="77777777">
        <w:tc>
          <w:tcPr>
            <w:tcW w:w="805" w:type="dxa"/>
          </w:tcPr>
          <w:p w14:paraId="174667AB" w14:textId="77777777" w:rsidR="009D6A99" w:rsidRDefault="00000000">
            <w:r>
              <w:t>2021</w:t>
            </w:r>
          </w:p>
        </w:tc>
        <w:tc>
          <w:tcPr>
            <w:tcW w:w="2612" w:type="dxa"/>
          </w:tcPr>
          <w:p w14:paraId="0303BF80" w14:textId="77777777" w:rsidR="009D6A99" w:rsidRDefault="00000000">
            <w:r>
              <w:t>45.4%</w:t>
            </w:r>
          </w:p>
        </w:tc>
        <w:tc>
          <w:tcPr>
            <w:tcW w:w="2178" w:type="dxa"/>
          </w:tcPr>
          <w:p w14:paraId="41D643B4" w14:textId="77777777" w:rsidR="009D6A99" w:rsidRDefault="00000000">
            <w:r>
              <w:t>45.3%</w:t>
            </w:r>
          </w:p>
        </w:tc>
        <w:tc>
          <w:tcPr>
            <w:tcW w:w="1992" w:type="dxa"/>
          </w:tcPr>
          <w:p w14:paraId="53F01EB1" w14:textId="77777777" w:rsidR="009D6A99" w:rsidRDefault="00000000">
            <w:r>
              <w:t>−0.1</w:t>
            </w:r>
          </w:p>
        </w:tc>
        <w:tc>
          <w:tcPr>
            <w:tcW w:w="1770" w:type="dxa"/>
          </w:tcPr>
          <w:p w14:paraId="3DD65606" w14:textId="77777777" w:rsidR="009D6A99" w:rsidRDefault="00000000">
            <w:r>
              <w:t>PACICC</w:t>
            </w:r>
          </w:p>
        </w:tc>
      </w:tr>
      <w:tr w:rsidR="009D6A99" w14:paraId="0B243E0F" w14:textId="77777777">
        <w:tc>
          <w:tcPr>
            <w:tcW w:w="805" w:type="dxa"/>
          </w:tcPr>
          <w:p w14:paraId="7005E3F5" w14:textId="77777777" w:rsidR="009D6A99" w:rsidRDefault="00000000">
            <w:r>
              <w:t>2020</w:t>
            </w:r>
          </w:p>
        </w:tc>
        <w:tc>
          <w:tcPr>
            <w:tcW w:w="2612" w:type="dxa"/>
          </w:tcPr>
          <w:p w14:paraId="2D07254B" w14:textId="77777777" w:rsidR="009D6A99" w:rsidRDefault="00000000">
            <w:r>
              <w:t>61.6%</w:t>
            </w:r>
          </w:p>
        </w:tc>
        <w:tc>
          <w:tcPr>
            <w:tcW w:w="2178" w:type="dxa"/>
          </w:tcPr>
          <w:p w14:paraId="062E6852" w14:textId="77777777" w:rsidR="009D6A99" w:rsidRDefault="00000000">
            <w:r>
              <w:t>62.2%</w:t>
            </w:r>
          </w:p>
        </w:tc>
        <w:tc>
          <w:tcPr>
            <w:tcW w:w="1992" w:type="dxa"/>
          </w:tcPr>
          <w:p w14:paraId="3D64BC80" w14:textId="77777777" w:rsidR="009D6A99" w:rsidRDefault="00000000">
            <w:r>
              <w:t>+0.6</w:t>
            </w:r>
          </w:p>
        </w:tc>
        <w:tc>
          <w:tcPr>
            <w:tcW w:w="1770" w:type="dxa"/>
          </w:tcPr>
          <w:p w14:paraId="5CA04281" w14:textId="77777777" w:rsidR="009D6A99" w:rsidRDefault="00000000">
            <w:r>
              <w:t>PACICC</w:t>
            </w:r>
          </w:p>
        </w:tc>
      </w:tr>
      <w:tr w:rsidR="009D6A99" w14:paraId="2D5477AF" w14:textId="77777777">
        <w:tc>
          <w:tcPr>
            <w:tcW w:w="805" w:type="dxa"/>
          </w:tcPr>
          <w:p w14:paraId="086D8E35" w14:textId="77777777" w:rsidR="009D6A99" w:rsidRDefault="00000000">
            <w:r>
              <w:t>2013</w:t>
            </w:r>
          </w:p>
        </w:tc>
        <w:tc>
          <w:tcPr>
            <w:tcW w:w="2612" w:type="dxa"/>
          </w:tcPr>
          <w:p w14:paraId="6DF5490A" w14:textId="77777777" w:rsidR="009D6A99" w:rsidRDefault="00000000">
            <w:r>
              <w:t>77.0%</w:t>
            </w:r>
          </w:p>
        </w:tc>
        <w:tc>
          <w:tcPr>
            <w:tcW w:w="2178" w:type="dxa"/>
          </w:tcPr>
          <w:p w14:paraId="75FFF0E7" w14:textId="77777777" w:rsidR="009D6A99" w:rsidRDefault="00000000">
            <w:r>
              <w:t>75.3%</w:t>
            </w:r>
          </w:p>
        </w:tc>
        <w:tc>
          <w:tcPr>
            <w:tcW w:w="1992" w:type="dxa"/>
          </w:tcPr>
          <w:p w14:paraId="76C9B9E3" w14:textId="77777777" w:rsidR="009D6A99" w:rsidRDefault="00000000">
            <w:r>
              <w:t>−1.7</w:t>
            </w:r>
          </w:p>
        </w:tc>
        <w:tc>
          <w:tcPr>
            <w:tcW w:w="1770" w:type="dxa"/>
          </w:tcPr>
          <w:p w14:paraId="33ED2FED" w14:textId="77777777" w:rsidR="009D6A99" w:rsidRDefault="00000000">
            <w:r>
              <w:t>IBC</w:t>
            </w:r>
          </w:p>
        </w:tc>
      </w:tr>
      <w:tr w:rsidR="009D6A99" w14:paraId="435D715E" w14:textId="77777777">
        <w:tc>
          <w:tcPr>
            <w:tcW w:w="805" w:type="dxa"/>
          </w:tcPr>
          <w:p w14:paraId="1C802D39" w14:textId="77777777" w:rsidR="009D6A99" w:rsidRDefault="00000000">
            <w:r>
              <w:t>2012</w:t>
            </w:r>
          </w:p>
        </w:tc>
        <w:tc>
          <w:tcPr>
            <w:tcW w:w="2612" w:type="dxa"/>
          </w:tcPr>
          <w:p w14:paraId="7C53A378" w14:textId="77777777" w:rsidR="009D6A99" w:rsidRDefault="00000000">
            <w:r>
              <w:t>62.0%</w:t>
            </w:r>
          </w:p>
        </w:tc>
        <w:tc>
          <w:tcPr>
            <w:tcW w:w="2178" w:type="dxa"/>
          </w:tcPr>
          <w:p w14:paraId="2FB3228A" w14:textId="77777777" w:rsidR="009D6A99" w:rsidRDefault="00000000">
            <w:r>
              <w:t>65.5%</w:t>
            </w:r>
          </w:p>
        </w:tc>
        <w:tc>
          <w:tcPr>
            <w:tcW w:w="1992" w:type="dxa"/>
          </w:tcPr>
          <w:p w14:paraId="0640CA00" w14:textId="77777777" w:rsidR="009D6A99" w:rsidRDefault="00000000">
            <w:r>
              <w:t>+3.5</w:t>
            </w:r>
          </w:p>
        </w:tc>
        <w:tc>
          <w:tcPr>
            <w:tcW w:w="1770" w:type="dxa"/>
          </w:tcPr>
          <w:p w14:paraId="7E920882" w14:textId="77777777" w:rsidR="009D6A99" w:rsidRDefault="00000000">
            <w:r>
              <w:t>IBC</w:t>
            </w:r>
          </w:p>
        </w:tc>
      </w:tr>
    </w:tbl>
    <w:p w14:paraId="72D2ECA6" w14:textId="77777777" w:rsidR="009D6A99" w:rsidRDefault="00000000">
      <w:r>
        <w:t>The remaining gaps come from rounding in the published figures and small differences in how each source measures premium.</w:t>
      </w:r>
    </w:p>
    <w:p w14:paraId="20CDA3C7" w14:textId="77777777" w:rsidR="009D6A99" w:rsidRDefault="00000000">
      <w:pPr>
        <w:pStyle w:val="Heading3"/>
      </w:pPr>
      <w:r>
        <w:t>3. How commercial property compares with other lines (2022)</w:t>
      </w:r>
    </w:p>
    <w:p w14:paraId="0C10CC5B" w14:textId="77777777" w:rsidR="009D6A99" w:rsidRDefault="00000000">
      <w:r>
        <w:t>In 2022, commercial property had one of the lower loss ratios: 48.1% after reinsurance, against 51.5% for all lines combined. These ratios use written premium, because IBC does not publish earned premium by line.</w:t>
      </w:r>
    </w:p>
    <w:tbl>
      <w:tblPr>
        <w:tblStyle w:val="TableGrid"/>
        <w:tblW w:w="0" w:type="auto"/>
        <w:tblLayout w:type="fixed"/>
        <w:tblLook w:val="0420" w:firstRow="1" w:lastRow="0" w:firstColumn="0" w:lastColumn="0" w:noHBand="0" w:noVBand="1"/>
      </w:tblPr>
      <w:tblGrid>
        <w:gridCol w:w="4446"/>
        <w:gridCol w:w="2477"/>
        <w:gridCol w:w="2437"/>
      </w:tblGrid>
      <w:tr w:rsidR="009D6A99" w14:paraId="0BC38B3B" w14:textId="77777777">
        <w:trPr>
          <w:tblHeader/>
        </w:trPr>
        <w:tc>
          <w:tcPr>
            <w:tcW w:w="4446" w:type="dxa"/>
            <w:shd w:val="clear" w:color="auto" w:fill="F2F2F2"/>
          </w:tcPr>
          <w:p w14:paraId="7B7C8856" w14:textId="77777777" w:rsidR="009D6A99" w:rsidRDefault="00000000">
            <w:r>
              <w:t>Line of business</w:t>
            </w:r>
          </w:p>
        </w:tc>
        <w:tc>
          <w:tcPr>
            <w:tcW w:w="2477" w:type="dxa"/>
            <w:shd w:val="clear" w:color="auto" w:fill="F2F2F2"/>
          </w:tcPr>
          <w:p w14:paraId="73873DCE" w14:textId="77777777" w:rsidR="009D6A99" w:rsidRDefault="00000000">
            <w:r>
              <w:t>Loss ratio before reinsurance</w:t>
            </w:r>
          </w:p>
        </w:tc>
        <w:tc>
          <w:tcPr>
            <w:tcW w:w="2437" w:type="dxa"/>
            <w:shd w:val="clear" w:color="auto" w:fill="F2F2F2"/>
          </w:tcPr>
          <w:p w14:paraId="265AFDB3" w14:textId="77777777" w:rsidR="009D6A99" w:rsidRDefault="00000000">
            <w:r>
              <w:t>Loss ratio after reinsurance</w:t>
            </w:r>
          </w:p>
        </w:tc>
      </w:tr>
      <w:tr w:rsidR="009D6A99" w14:paraId="39D684B1" w14:textId="77777777">
        <w:tc>
          <w:tcPr>
            <w:tcW w:w="4446" w:type="dxa"/>
          </w:tcPr>
          <w:p w14:paraId="67C109AF" w14:textId="77777777" w:rsidR="009D6A99" w:rsidRDefault="00000000">
            <w:r>
              <w:t>Auto, private passenger</w:t>
            </w:r>
          </w:p>
        </w:tc>
        <w:tc>
          <w:tcPr>
            <w:tcW w:w="2477" w:type="dxa"/>
          </w:tcPr>
          <w:p w14:paraId="739D61B4" w14:textId="77777777" w:rsidR="009D6A99" w:rsidRDefault="00000000">
            <w:r>
              <w:t>64.2%</w:t>
            </w:r>
          </w:p>
        </w:tc>
        <w:tc>
          <w:tcPr>
            <w:tcW w:w="2437" w:type="dxa"/>
          </w:tcPr>
          <w:p w14:paraId="77BA1C24" w14:textId="77777777" w:rsidR="009D6A99" w:rsidRDefault="00000000">
            <w:r>
              <w:t>63.8%</w:t>
            </w:r>
          </w:p>
        </w:tc>
      </w:tr>
      <w:tr w:rsidR="009D6A99" w14:paraId="63B99C6E" w14:textId="77777777">
        <w:tc>
          <w:tcPr>
            <w:tcW w:w="4446" w:type="dxa"/>
          </w:tcPr>
          <w:p w14:paraId="75AD5EA0" w14:textId="77777777" w:rsidR="009D6A99" w:rsidRDefault="00000000">
            <w:r>
              <w:t>Total auto</w:t>
            </w:r>
          </w:p>
        </w:tc>
        <w:tc>
          <w:tcPr>
            <w:tcW w:w="2477" w:type="dxa"/>
          </w:tcPr>
          <w:p w14:paraId="171428A6" w14:textId="77777777" w:rsidR="009D6A99" w:rsidRDefault="00000000">
            <w:r>
              <w:t>61.7%</w:t>
            </w:r>
          </w:p>
        </w:tc>
        <w:tc>
          <w:tcPr>
            <w:tcW w:w="2437" w:type="dxa"/>
          </w:tcPr>
          <w:p w14:paraId="7B6819FB" w14:textId="77777777" w:rsidR="009D6A99" w:rsidRDefault="00000000">
            <w:r>
              <w:t>61.5%</w:t>
            </w:r>
          </w:p>
        </w:tc>
      </w:tr>
      <w:tr w:rsidR="009D6A99" w14:paraId="7816E7CF" w14:textId="77777777">
        <w:tc>
          <w:tcPr>
            <w:tcW w:w="4446" w:type="dxa"/>
          </w:tcPr>
          <w:p w14:paraId="62B317AD" w14:textId="77777777" w:rsidR="009D6A99" w:rsidRDefault="00000000">
            <w:r>
              <w:t>Accident and sickness</w:t>
            </w:r>
          </w:p>
        </w:tc>
        <w:tc>
          <w:tcPr>
            <w:tcW w:w="2477" w:type="dxa"/>
          </w:tcPr>
          <w:p w14:paraId="0BA04163" w14:textId="77777777" w:rsidR="009D6A99" w:rsidRDefault="00000000">
            <w:r>
              <w:t>51.1%</w:t>
            </w:r>
          </w:p>
        </w:tc>
        <w:tc>
          <w:tcPr>
            <w:tcW w:w="2437" w:type="dxa"/>
          </w:tcPr>
          <w:p w14:paraId="1DF917E8" w14:textId="77777777" w:rsidR="009D6A99" w:rsidRDefault="00000000">
            <w:r>
              <w:t>60.0%</w:t>
            </w:r>
          </w:p>
        </w:tc>
      </w:tr>
      <w:tr w:rsidR="009D6A99" w14:paraId="77D53DA8" w14:textId="77777777">
        <w:tc>
          <w:tcPr>
            <w:tcW w:w="4446" w:type="dxa"/>
          </w:tcPr>
          <w:p w14:paraId="21C7E9CF" w14:textId="77777777" w:rsidR="009D6A99" w:rsidRDefault="00000000">
            <w:r>
              <w:t>Personal property (home)</w:t>
            </w:r>
          </w:p>
        </w:tc>
        <w:tc>
          <w:tcPr>
            <w:tcW w:w="2477" w:type="dxa"/>
          </w:tcPr>
          <w:p w14:paraId="0D617C8C" w14:textId="77777777" w:rsidR="009D6A99" w:rsidRDefault="00000000">
            <w:r>
              <w:t>56.8%</w:t>
            </w:r>
          </w:p>
        </w:tc>
        <w:tc>
          <w:tcPr>
            <w:tcW w:w="2437" w:type="dxa"/>
          </w:tcPr>
          <w:p w14:paraId="6FF3D23C" w14:textId="77777777" w:rsidR="009D6A99" w:rsidRDefault="00000000">
            <w:r>
              <w:t>57.2%</w:t>
            </w:r>
          </w:p>
        </w:tc>
      </w:tr>
      <w:tr w:rsidR="009D6A99" w14:paraId="244AB7DF" w14:textId="77777777">
        <w:tc>
          <w:tcPr>
            <w:tcW w:w="4446" w:type="dxa"/>
          </w:tcPr>
          <w:p w14:paraId="4AAB4B98" w14:textId="77777777" w:rsidR="009D6A99" w:rsidRDefault="00000000">
            <w:r>
              <w:t>Commercial and other auto (estimated)</w:t>
            </w:r>
          </w:p>
        </w:tc>
        <w:tc>
          <w:tcPr>
            <w:tcW w:w="2477" w:type="dxa"/>
          </w:tcPr>
          <w:p w14:paraId="287FDFE9" w14:textId="77777777" w:rsidR="009D6A99" w:rsidRDefault="00000000">
            <w:r>
              <w:t>51.4%</w:t>
            </w:r>
          </w:p>
        </w:tc>
        <w:tc>
          <w:tcPr>
            <w:tcW w:w="2437" w:type="dxa"/>
          </w:tcPr>
          <w:p w14:paraId="4CBDB161" w14:textId="77777777" w:rsidR="009D6A99" w:rsidRDefault="00000000">
            <w:r>
              <w:t>52.0%</w:t>
            </w:r>
          </w:p>
        </w:tc>
      </w:tr>
      <w:tr w:rsidR="009D6A99" w14:paraId="6BFD9966" w14:textId="77777777">
        <w:tc>
          <w:tcPr>
            <w:tcW w:w="4446" w:type="dxa"/>
          </w:tcPr>
          <w:p w14:paraId="617CB37C" w14:textId="77777777" w:rsidR="009D6A99" w:rsidRDefault="00000000">
            <w:r>
              <w:rPr>
                <w:b/>
              </w:rPr>
              <w:lastRenderedPageBreak/>
              <w:t>All lines</w:t>
            </w:r>
          </w:p>
        </w:tc>
        <w:tc>
          <w:tcPr>
            <w:tcW w:w="2477" w:type="dxa"/>
          </w:tcPr>
          <w:p w14:paraId="07FE9536" w14:textId="77777777" w:rsidR="009D6A99" w:rsidRDefault="00000000">
            <w:r>
              <w:rPr>
                <w:b/>
              </w:rPr>
              <w:t>50.4%</w:t>
            </w:r>
          </w:p>
        </w:tc>
        <w:tc>
          <w:tcPr>
            <w:tcW w:w="2437" w:type="dxa"/>
          </w:tcPr>
          <w:p w14:paraId="4CAEE114" w14:textId="77777777" w:rsidR="009D6A99" w:rsidRDefault="00000000">
            <w:r>
              <w:rPr>
                <w:b/>
              </w:rPr>
              <w:t>51.5%</w:t>
            </w:r>
          </w:p>
        </w:tc>
      </w:tr>
      <w:tr w:rsidR="009D6A99" w14:paraId="2AD56FA1" w14:textId="77777777">
        <w:tc>
          <w:tcPr>
            <w:tcW w:w="4446" w:type="dxa"/>
          </w:tcPr>
          <w:p w14:paraId="7AF2D5C9" w14:textId="77777777" w:rsidR="009D6A99" w:rsidRDefault="00000000">
            <w:r>
              <w:rPr>
                <w:b/>
              </w:rPr>
              <w:t>Commercial property</w:t>
            </w:r>
          </w:p>
        </w:tc>
        <w:tc>
          <w:tcPr>
            <w:tcW w:w="2477" w:type="dxa"/>
          </w:tcPr>
          <w:p w14:paraId="51008A69" w14:textId="77777777" w:rsidR="009D6A99" w:rsidRDefault="00000000">
            <w:r>
              <w:rPr>
                <w:b/>
              </w:rPr>
              <w:t>44.0%</w:t>
            </w:r>
          </w:p>
        </w:tc>
        <w:tc>
          <w:tcPr>
            <w:tcW w:w="2437" w:type="dxa"/>
          </w:tcPr>
          <w:p w14:paraId="1CCACADE" w14:textId="77777777" w:rsidR="009D6A99" w:rsidRDefault="00000000">
            <w:r>
              <w:rPr>
                <w:b/>
              </w:rPr>
              <w:t>48.1%</w:t>
            </w:r>
          </w:p>
        </w:tc>
      </w:tr>
      <w:tr w:rsidR="009D6A99" w14:paraId="321735CD" w14:textId="77777777">
        <w:tc>
          <w:tcPr>
            <w:tcW w:w="4446" w:type="dxa"/>
          </w:tcPr>
          <w:p w14:paraId="59284A2E" w14:textId="77777777" w:rsidR="009D6A99" w:rsidRDefault="00000000">
            <w:r>
              <w:t>Liability</w:t>
            </w:r>
          </w:p>
        </w:tc>
        <w:tc>
          <w:tcPr>
            <w:tcW w:w="2477" w:type="dxa"/>
          </w:tcPr>
          <w:p w14:paraId="79B2A69E" w14:textId="77777777" w:rsidR="009D6A99" w:rsidRDefault="00000000">
            <w:r>
              <w:t>33.4%</w:t>
            </w:r>
          </w:p>
        </w:tc>
        <w:tc>
          <w:tcPr>
            <w:tcW w:w="2437" w:type="dxa"/>
          </w:tcPr>
          <w:p w14:paraId="55AEE86B" w14:textId="77777777" w:rsidR="009D6A99" w:rsidRDefault="00000000">
            <w:r>
              <w:t>31.7%</w:t>
            </w:r>
          </w:p>
        </w:tc>
      </w:tr>
      <w:tr w:rsidR="009D6A99" w14:paraId="6E29E9E5" w14:textId="77777777">
        <w:tc>
          <w:tcPr>
            <w:tcW w:w="4446" w:type="dxa"/>
          </w:tcPr>
          <w:p w14:paraId="3F77C6A6" w14:textId="77777777" w:rsidR="009D6A99" w:rsidRDefault="00000000">
            <w:r>
              <w:t>Specialized (marine, surety, equipment)</w:t>
            </w:r>
          </w:p>
        </w:tc>
        <w:tc>
          <w:tcPr>
            <w:tcW w:w="2477" w:type="dxa"/>
          </w:tcPr>
          <w:p w14:paraId="710CAB96" w14:textId="77777777" w:rsidR="009D6A99" w:rsidRDefault="00000000">
            <w:r>
              <w:t>21.5%</w:t>
            </w:r>
          </w:p>
        </w:tc>
        <w:tc>
          <w:tcPr>
            <w:tcW w:w="2437" w:type="dxa"/>
          </w:tcPr>
          <w:p w14:paraId="0E1F9F2B" w14:textId="77777777" w:rsidR="009D6A99" w:rsidRDefault="00000000">
            <w:r>
              <w:t>21.2%</w:t>
            </w:r>
          </w:p>
        </w:tc>
      </w:tr>
    </w:tbl>
    <w:p w14:paraId="58FED5A6" w14:textId="77777777" w:rsidR="009D6A99" w:rsidRDefault="00000000">
      <w:r>
        <w:t xml:space="preserve">Commercial property's ratio is 4 points worse after reinsurance than before. Reinsurers took a larger share of premium than of claims in 2022, a quiet year with no major catastrophe. In a catastrophe year </w:t>
      </w:r>
      <w:proofErr w:type="gramStart"/>
      <w:r>
        <w:t>this reverses</w:t>
      </w:r>
      <w:proofErr w:type="gramEnd"/>
      <w:r>
        <w:t>, and reinsurance protects the insurers.</w:t>
      </w:r>
    </w:p>
    <w:p w14:paraId="43572B07" w14:textId="77777777" w:rsidR="009D6A99" w:rsidRDefault="00000000">
      <w:pPr>
        <w:pStyle w:val="Heading3"/>
      </w:pPr>
      <w:r>
        <w:t>4. Reserving results (simulated data)</w:t>
      </w:r>
    </w:p>
    <w:p w14:paraId="021A90B3" w14:textId="77777777" w:rsidR="009D6A99" w:rsidRDefault="00000000">
      <w:r>
        <w:t>On the simulated triangles, the three methods estimate total ultimate claims within 1.1% of each other, and all within 1.1% of the true value used to build the data.</w:t>
      </w:r>
    </w:p>
    <w:tbl>
      <w:tblPr>
        <w:tblStyle w:val="TableGrid"/>
        <w:tblW w:w="0" w:type="auto"/>
        <w:tblLayout w:type="fixed"/>
        <w:tblLook w:val="0420" w:firstRow="1" w:lastRow="0" w:firstColumn="0" w:lastColumn="0" w:noHBand="0" w:noVBand="1"/>
      </w:tblPr>
      <w:tblGrid>
        <w:gridCol w:w="3257"/>
        <w:gridCol w:w="1748"/>
        <w:gridCol w:w="1553"/>
        <w:gridCol w:w="1564"/>
        <w:gridCol w:w="1236"/>
      </w:tblGrid>
      <w:tr w:rsidR="009D6A99" w14:paraId="5E753463" w14:textId="77777777">
        <w:trPr>
          <w:tblHeader/>
        </w:trPr>
        <w:tc>
          <w:tcPr>
            <w:tcW w:w="3257" w:type="dxa"/>
            <w:shd w:val="clear" w:color="auto" w:fill="F2F2F2"/>
          </w:tcPr>
          <w:p w14:paraId="502DDEBF" w14:textId="77777777" w:rsidR="009D6A99" w:rsidRDefault="00000000">
            <w:r>
              <w:t>Method</w:t>
            </w:r>
          </w:p>
        </w:tc>
        <w:tc>
          <w:tcPr>
            <w:tcW w:w="1748" w:type="dxa"/>
            <w:shd w:val="clear" w:color="auto" w:fill="F2F2F2"/>
          </w:tcPr>
          <w:p w14:paraId="0AC71651" w14:textId="77777777" w:rsidR="009D6A99" w:rsidRDefault="00000000">
            <w:r>
              <w:t>Ultimate claims ($mm)</w:t>
            </w:r>
          </w:p>
        </w:tc>
        <w:tc>
          <w:tcPr>
            <w:tcW w:w="1553" w:type="dxa"/>
            <w:shd w:val="clear" w:color="auto" w:fill="F2F2F2"/>
          </w:tcPr>
          <w:p w14:paraId="12AFCC23" w14:textId="77777777" w:rsidR="009D6A99" w:rsidRDefault="00000000">
            <w:r>
              <w:t>IBNR ($mm)</w:t>
            </w:r>
          </w:p>
        </w:tc>
        <w:tc>
          <w:tcPr>
            <w:tcW w:w="1564" w:type="dxa"/>
            <w:shd w:val="clear" w:color="auto" w:fill="F2F2F2"/>
          </w:tcPr>
          <w:p w14:paraId="7D3722B8" w14:textId="77777777" w:rsidR="009D6A99" w:rsidRDefault="00000000">
            <w:r>
              <w:t>Ultimate loss ratio</w:t>
            </w:r>
          </w:p>
        </w:tc>
        <w:tc>
          <w:tcPr>
            <w:tcW w:w="1236" w:type="dxa"/>
            <w:shd w:val="clear" w:color="auto" w:fill="F2F2F2"/>
          </w:tcPr>
          <w:p w14:paraId="473BDC0A" w14:textId="77777777" w:rsidR="009D6A99" w:rsidRDefault="00000000">
            <w:r>
              <w:t>Gap to true ($mm)</w:t>
            </w:r>
          </w:p>
        </w:tc>
      </w:tr>
      <w:tr w:rsidR="009D6A99" w14:paraId="131AFDD9" w14:textId="77777777">
        <w:tc>
          <w:tcPr>
            <w:tcW w:w="3257" w:type="dxa"/>
          </w:tcPr>
          <w:p w14:paraId="5167A21D" w14:textId="77777777" w:rsidR="009D6A99" w:rsidRDefault="00000000">
            <w:r>
              <w:t>Simulated true value</w:t>
            </w:r>
          </w:p>
        </w:tc>
        <w:tc>
          <w:tcPr>
            <w:tcW w:w="1748" w:type="dxa"/>
          </w:tcPr>
          <w:p w14:paraId="0FC31ECF" w14:textId="77777777" w:rsidR="009D6A99" w:rsidRDefault="00000000">
            <w:r>
              <w:t>48,625</w:t>
            </w:r>
          </w:p>
        </w:tc>
        <w:tc>
          <w:tcPr>
            <w:tcW w:w="1553" w:type="dxa"/>
          </w:tcPr>
          <w:p w14:paraId="4B81B0BB" w14:textId="77777777" w:rsidR="009D6A99" w:rsidRDefault="00000000">
            <w:r>
              <w:t>1,034</w:t>
            </w:r>
          </w:p>
        </w:tc>
        <w:tc>
          <w:tcPr>
            <w:tcW w:w="1564" w:type="dxa"/>
          </w:tcPr>
          <w:p w14:paraId="4965E55A" w14:textId="77777777" w:rsidR="009D6A99" w:rsidRDefault="00000000">
            <w:r>
              <w:t>61.8%</w:t>
            </w:r>
          </w:p>
        </w:tc>
        <w:tc>
          <w:tcPr>
            <w:tcW w:w="1236" w:type="dxa"/>
          </w:tcPr>
          <w:p w14:paraId="651C8B5B" w14:textId="77777777" w:rsidR="009D6A99" w:rsidRDefault="00000000">
            <w:r>
              <w:t>—</w:t>
            </w:r>
          </w:p>
        </w:tc>
      </w:tr>
      <w:tr w:rsidR="009D6A99" w14:paraId="1CBA05BA" w14:textId="77777777">
        <w:tc>
          <w:tcPr>
            <w:tcW w:w="3257" w:type="dxa"/>
          </w:tcPr>
          <w:p w14:paraId="0D8934DE" w14:textId="77777777" w:rsidR="009D6A99" w:rsidRDefault="00000000">
            <w:r>
              <w:t>Paid chain-ladder</w:t>
            </w:r>
          </w:p>
        </w:tc>
        <w:tc>
          <w:tcPr>
            <w:tcW w:w="1748" w:type="dxa"/>
          </w:tcPr>
          <w:p w14:paraId="63BDE39D" w14:textId="77777777" w:rsidR="009D6A99" w:rsidRDefault="00000000">
            <w:r>
              <w:t>48,663</w:t>
            </w:r>
          </w:p>
        </w:tc>
        <w:tc>
          <w:tcPr>
            <w:tcW w:w="1553" w:type="dxa"/>
          </w:tcPr>
          <w:p w14:paraId="06D1FC5E" w14:textId="77777777" w:rsidR="009D6A99" w:rsidRDefault="00000000">
            <w:r>
              <w:t>1,072</w:t>
            </w:r>
          </w:p>
        </w:tc>
        <w:tc>
          <w:tcPr>
            <w:tcW w:w="1564" w:type="dxa"/>
          </w:tcPr>
          <w:p w14:paraId="40CB5F11" w14:textId="77777777" w:rsidR="009D6A99" w:rsidRDefault="00000000">
            <w:r>
              <w:t>61.9%</w:t>
            </w:r>
          </w:p>
        </w:tc>
        <w:tc>
          <w:tcPr>
            <w:tcW w:w="1236" w:type="dxa"/>
          </w:tcPr>
          <w:p w14:paraId="550ADC80" w14:textId="77777777" w:rsidR="009D6A99" w:rsidRDefault="00000000">
            <w:r>
              <w:t>+38</w:t>
            </w:r>
          </w:p>
        </w:tc>
      </w:tr>
      <w:tr w:rsidR="009D6A99" w14:paraId="6083B893" w14:textId="77777777">
        <w:tc>
          <w:tcPr>
            <w:tcW w:w="3257" w:type="dxa"/>
          </w:tcPr>
          <w:p w14:paraId="277A6147" w14:textId="77777777" w:rsidR="009D6A99" w:rsidRDefault="00000000">
            <w:r>
              <w:t>Reported chain-ladder (selected)</w:t>
            </w:r>
          </w:p>
        </w:tc>
        <w:tc>
          <w:tcPr>
            <w:tcW w:w="1748" w:type="dxa"/>
          </w:tcPr>
          <w:p w14:paraId="1CF296D2" w14:textId="77777777" w:rsidR="009D6A99" w:rsidRDefault="00000000">
            <w:r>
              <w:t>48,878</w:t>
            </w:r>
          </w:p>
        </w:tc>
        <w:tc>
          <w:tcPr>
            <w:tcW w:w="1553" w:type="dxa"/>
          </w:tcPr>
          <w:p w14:paraId="2190A858" w14:textId="77777777" w:rsidR="009D6A99" w:rsidRDefault="00000000">
            <w:r>
              <w:t>1,287</w:t>
            </w:r>
          </w:p>
        </w:tc>
        <w:tc>
          <w:tcPr>
            <w:tcW w:w="1564" w:type="dxa"/>
          </w:tcPr>
          <w:p w14:paraId="4596F855" w14:textId="77777777" w:rsidR="009D6A99" w:rsidRDefault="00000000">
            <w:r>
              <w:t>62.1%</w:t>
            </w:r>
          </w:p>
        </w:tc>
        <w:tc>
          <w:tcPr>
            <w:tcW w:w="1236" w:type="dxa"/>
          </w:tcPr>
          <w:p w14:paraId="4BC1AFD7" w14:textId="77777777" w:rsidR="009D6A99" w:rsidRDefault="00000000">
            <w:r>
              <w:t>+253</w:t>
            </w:r>
          </w:p>
        </w:tc>
      </w:tr>
      <w:tr w:rsidR="009D6A99" w14:paraId="6C364046" w14:textId="77777777">
        <w:tc>
          <w:tcPr>
            <w:tcW w:w="3257" w:type="dxa"/>
          </w:tcPr>
          <w:p w14:paraId="384CC7B4" w14:textId="77777777" w:rsidR="009D6A99" w:rsidRDefault="00000000">
            <w:proofErr w:type="spellStart"/>
            <w:r>
              <w:t>Bornhuetter</w:t>
            </w:r>
            <w:proofErr w:type="spellEnd"/>
            <w:r>
              <w:t>-Ferguson</w:t>
            </w:r>
          </w:p>
        </w:tc>
        <w:tc>
          <w:tcPr>
            <w:tcW w:w="1748" w:type="dxa"/>
          </w:tcPr>
          <w:p w14:paraId="7496183C" w14:textId="77777777" w:rsidR="009D6A99" w:rsidRDefault="00000000">
            <w:r>
              <w:t>49,149</w:t>
            </w:r>
          </w:p>
        </w:tc>
        <w:tc>
          <w:tcPr>
            <w:tcW w:w="1553" w:type="dxa"/>
          </w:tcPr>
          <w:p w14:paraId="3D2C9974" w14:textId="77777777" w:rsidR="009D6A99" w:rsidRDefault="00000000">
            <w:r>
              <w:t>1,558</w:t>
            </w:r>
          </w:p>
        </w:tc>
        <w:tc>
          <w:tcPr>
            <w:tcW w:w="1564" w:type="dxa"/>
          </w:tcPr>
          <w:p w14:paraId="7307C118" w14:textId="77777777" w:rsidR="009D6A99" w:rsidRDefault="00000000">
            <w:r>
              <w:t>62.5%</w:t>
            </w:r>
          </w:p>
        </w:tc>
        <w:tc>
          <w:tcPr>
            <w:tcW w:w="1236" w:type="dxa"/>
          </w:tcPr>
          <w:p w14:paraId="0B879A47" w14:textId="77777777" w:rsidR="009D6A99" w:rsidRDefault="00000000">
            <w:r>
              <w:t>+524</w:t>
            </w:r>
          </w:p>
        </w:tc>
      </w:tr>
    </w:tbl>
    <w:p w14:paraId="784CBD41" w14:textId="77777777" w:rsidR="009D6A99" w:rsidRDefault="00000000">
      <w:r>
        <w:t xml:space="preserve">The methods agree closely on older accident years, which are almost fully settled. They differ most on 2022, the newest year: paid chain-ladder gives $5,699mm, reported chain-ladder $5,859mm and </w:t>
      </w:r>
      <w:proofErr w:type="spellStart"/>
      <w:r>
        <w:t>Bornhuetter</w:t>
      </w:r>
      <w:proofErr w:type="spellEnd"/>
      <w:r>
        <w:t>-Ferguson $6,079mm. Only 12 months of history exist for that year, so the estimate rests heavily on assumptions. Of the $4.9bn of claims still to be paid across all years, $2.9bn is for 2022 alone. Commercial property is quick to settle: about 80% of claims are paid within two years and nearly all within five.</w:t>
      </w:r>
    </w:p>
    <w:p w14:paraId="33056252" w14:textId="77777777" w:rsidR="009D6A99" w:rsidRDefault="00000000">
      <w:pPr>
        <w:pStyle w:val="Heading2"/>
      </w:pPr>
      <w:r>
        <w:t>Conclusions, limitations and next steps</w:t>
      </w:r>
    </w:p>
    <w:p w14:paraId="7099B96E" w14:textId="77777777" w:rsidR="009D6A99" w:rsidRDefault="00000000">
      <w:r>
        <w:t>Canadian commercial property insurance has been profitable on its claims over the long run, but one bad catastrophe year can wipe out much of the margin. Insurers have to price for those years, not for the average.</w:t>
      </w:r>
    </w:p>
    <w:p w14:paraId="546BA267" w14:textId="77777777" w:rsidR="009D6A99" w:rsidRDefault="00000000">
      <w:r>
        <w:rPr>
          <w:b/>
        </w:rPr>
        <w:t>Conclusions</w:t>
      </w:r>
    </w:p>
    <w:p w14:paraId="4042238F" w14:textId="77777777" w:rsidR="009D6A99" w:rsidRDefault="00000000">
      <w:pPr>
        <w:pStyle w:val="ListParagraph"/>
        <w:numPr>
          <w:ilvl w:val="0"/>
          <w:numId w:val="9"/>
        </w:numPr>
      </w:pPr>
      <w:r>
        <w:rPr>
          <w:b/>
        </w:rPr>
        <w:t>The line is profitable over time.</w:t>
      </w:r>
      <w:r>
        <w:t xml:space="preserve"> At 62.6% over 2011–2022, claims took less than the 65% target, leaving room for expenses and profit.</w:t>
      </w:r>
    </w:p>
    <w:p w14:paraId="445AEC22" w14:textId="77777777" w:rsidR="009D6A99" w:rsidRDefault="00000000">
      <w:pPr>
        <w:pStyle w:val="ListParagraph"/>
        <w:numPr>
          <w:ilvl w:val="0"/>
          <w:numId w:val="9"/>
        </w:numPr>
      </w:pPr>
      <w:r>
        <w:rPr>
          <w:b/>
        </w:rPr>
        <w:t>Catastrophes decide the bad years.</w:t>
      </w:r>
      <w:r>
        <w:t xml:space="preserve"> The two worst years, 2016 and 2013, line up with major natural disasters. Single-year results are a poor guide to underlying profitability.</w:t>
      </w:r>
    </w:p>
    <w:p w14:paraId="6F219D41" w14:textId="77777777" w:rsidR="009D6A99" w:rsidRDefault="00000000">
      <w:pPr>
        <w:pStyle w:val="ListParagraph"/>
        <w:numPr>
          <w:ilvl w:val="0"/>
          <w:numId w:val="9"/>
        </w:numPr>
      </w:pPr>
      <w:r>
        <w:rPr>
          <w:b/>
        </w:rPr>
        <w:lastRenderedPageBreak/>
        <w:t>Prices have caught up with risk.</w:t>
      </w:r>
      <w:r>
        <w:t xml:space="preserve"> Premiums grew about 6.4% a year while claims grew about 3.1%, pushing recent loss ratios to 45–50%. This is the hard market of 2019–2022.</w:t>
      </w:r>
    </w:p>
    <w:p w14:paraId="779ABCB2" w14:textId="77777777" w:rsidR="009D6A99" w:rsidRDefault="00000000">
      <w:pPr>
        <w:pStyle w:val="ListParagraph"/>
        <w:numPr>
          <w:ilvl w:val="0"/>
          <w:numId w:val="9"/>
        </w:numPr>
      </w:pPr>
      <w:r>
        <w:rPr>
          <w:b/>
        </w:rPr>
        <w:t>Today's low ratios may not last.</w:t>
      </w:r>
      <w:r>
        <w:t xml:space="preserve"> Results this far below target usually draw new competition, prices soften, and ratios rise again. Rising rebuilding costs and climate-driven disasters push the same way.</w:t>
      </w:r>
    </w:p>
    <w:p w14:paraId="0646030F" w14:textId="77777777" w:rsidR="009D6A99" w:rsidRDefault="00000000">
      <w:pPr>
        <w:pStyle w:val="ListParagraph"/>
        <w:numPr>
          <w:ilvl w:val="0"/>
          <w:numId w:val="9"/>
        </w:numPr>
      </w:pPr>
      <w:r>
        <w:rPr>
          <w:b/>
        </w:rPr>
        <w:t>The method is sound.</w:t>
      </w:r>
      <w:r>
        <w:t xml:space="preserve"> A simple model built on public data reproduces independently published loss ratios within about 1.5 points on average.</w:t>
      </w:r>
    </w:p>
    <w:p w14:paraId="46F01CCF" w14:textId="77777777" w:rsidR="009D6A99" w:rsidRDefault="00000000">
      <w:pPr>
        <w:pStyle w:val="ListParagraph"/>
        <w:numPr>
          <w:ilvl w:val="0"/>
          <w:numId w:val="9"/>
        </w:numPr>
      </w:pPr>
      <w:r>
        <w:rPr>
          <w:b/>
        </w:rPr>
        <w:t>Reserving methods agree on mature years and differ on recent ones.</w:t>
      </w:r>
      <w:r>
        <w:t xml:space="preserve"> Reserve estimates for the latest accident year depend heavily on the method chosen, which is why actuaries compare several.</w:t>
      </w:r>
    </w:p>
    <w:p w14:paraId="048DFA2F" w14:textId="77777777" w:rsidR="009D6A99" w:rsidRDefault="00000000">
      <w:r>
        <w:rPr>
          <w:b/>
        </w:rPr>
        <w:t>Limitations</w:t>
      </w:r>
    </w:p>
    <w:p w14:paraId="55C38D67" w14:textId="77777777" w:rsidR="009D6A99" w:rsidRDefault="00000000">
      <w:pPr>
        <w:pStyle w:val="ListParagraph"/>
        <w:numPr>
          <w:ilvl w:val="0"/>
          <w:numId w:val="10"/>
        </w:numPr>
      </w:pPr>
      <w:r>
        <w:rPr>
          <w:b/>
        </w:rPr>
        <w:t>Industry average only.</w:t>
      </w:r>
      <w:r>
        <w:t xml:space="preserve"> Results for any one insurer can differ widely, depending on its customers, regions and reinsurance.</w:t>
      </w:r>
    </w:p>
    <w:p w14:paraId="4A148853" w14:textId="77777777" w:rsidR="009D6A99" w:rsidRDefault="00000000">
      <w:pPr>
        <w:pStyle w:val="ListParagraph"/>
        <w:numPr>
          <w:ilvl w:val="0"/>
          <w:numId w:val="10"/>
        </w:numPr>
      </w:pPr>
      <w:r>
        <w:rPr>
          <w:b/>
        </w:rPr>
        <w:t>Earned premium is estimated.</w:t>
      </w:r>
      <w:r>
        <w:t xml:space="preserve"> The 50% rule is an approximation; real earned premium comes from policy-level data.</w:t>
      </w:r>
    </w:p>
    <w:p w14:paraId="10BEC52D" w14:textId="77777777" w:rsidR="009D6A99" w:rsidRDefault="00000000">
      <w:pPr>
        <w:pStyle w:val="ListParagraph"/>
        <w:numPr>
          <w:ilvl w:val="0"/>
          <w:numId w:val="10"/>
        </w:numPr>
      </w:pPr>
      <w:r>
        <w:rPr>
          <w:b/>
        </w:rPr>
        <w:t>Calendar-year view.</w:t>
      </w:r>
      <w:r>
        <w:t xml:space="preserve"> Each year's ratio mixes </w:t>
      </w:r>
      <w:proofErr w:type="gramStart"/>
      <w:r>
        <w:t>claims</w:t>
      </w:r>
      <w:proofErr w:type="gramEnd"/>
      <w:r>
        <w:t xml:space="preserve"> from that year with revised estimates for earlier years.</w:t>
      </w:r>
    </w:p>
    <w:p w14:paraId="019F0DD8" w14:textId="77777777" w:rsidR="009D6A99" w:rsidRDefault="00000000">
      <w:pPr>
        <w:pStyle w:val="ListParagraph"/>
        <w:numPr>
          <w:ilvl w:val="0"/>
          <w:numId w:val="10"/>
        </w:numPr>
      </w:pPr>
      <w:r>
        <w:rPr>
          <w:b/>
        </w:rPr>
        <w:t>Simulated triangles.</w:t>
      </w:r>
      <w:r>
        <w:t xml:space="preserve"> The reserving results show how the methods work; they are not a real reserve estimate for the Canadian market.</w:t>
      </w:r>
    </w:p>
    <w:p w14:paraId="4DE2B750" w14:textId="77777777" w:rsidR="009D6A99" w:rsidRDefault="00000000">
      <w:pPr>
        <w:pStyle w:val="ListParagraph"/>
        <w:numPr>
          <w:ilvl w:val="0"/>
          <w:numId w:val="10"/>
        </w:numPr>
      </w:pPr>
      <w:r>
        <w:rPr>
          <w:b/>
        </w:rPr>
        <w:t>Accounting break.</w:t>
      </w:r>
      <w:r>
        <w:t xml:space="preserve"> Data from 2023 onward (IFRS 17) is not directly comparable, so the model stops at 2022.</w:t>
      </w:r>
    </w:p>
    <w:p w14:paraId="0D9F5979" w14:textId="77777777" w:rsidR="009D6A99" w:rsidRDefault="00000000">
      <w:pPr>
        <w:pStyle w:val="ListParagraph"/>
        <w:numPr>
          <w:ilvl w:val="0"/>
          <w:numId w:val="10"/>
        </w:numPr>
      </w:pPr>
      <w:r>
        <w:rPr>
          <w:b/>
        </w:rPr>
        <w:t>No inflation or exposure adjustment.</w:t>
      </w:r>
      <w:r>
        <w:t xml:space="preserve"> Premium growth mixes price increases with growth in the value insured.</w:t>
      </w:r>
    </w:p>
    <w:p w14:paraId="683E8416" w14:textId="3736DC4E" w:rsidR="009D6A99" w:rsidRDefault="009D6A99" w:rsidP="00AD17FF">
      <w:pPr>
        <w:pStyle w:val="ListParagraph"/>
      </w:pPr>
    </w:p>
    <w:sectPr w:rsidR="009D6A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2C9F"/>
    <w:multiLevelType w:val="hybridMultilevel"/>
    <w:tmpl w:val="3D8EDD46"/>
    <w:lvl w:ilvl="0" w:tplc="5ECC312E">
      <w:start w:val="1"/>
      <w:numFmt w:val="bullet"/>
      <w:lvlText w:val="•"/>
      <w:lvlJc w:val="left"/>
      <w:pPr>
        <w:ind w:left="720" w:hanging="360"/>
      </w:pPr>
    </w:lvl>
    <w:lvl w:ilvl="1" w:tplc="4104AFA0">
      <w:start w:val="1"/>
      <w:numFmt w:val="bullet"/>
      <w:lvlText w:val="o"/>
      <w:lvlJc w:val="left"/>
      <w:pPr>
        <w:ind w:left="1440" w:hanging="360"/>
      </w:pPr>
    </w:lvl>
    <w:lvl w:ilvl="2" w:tplc="01B615A0">
      <w:start w:val="1"/>
      <w:numFmt w:val="bullet"/>
      <w:lvlText w:val="▪"/>
      <w:lvlJc w:val="left"/>
      <w:pPr>
        <w:ind w:left="2160" w:hanging="360"/>
      </w:pPr>
    </w:lvl>
    <w:lvl w:ilvl="3" w:tplc="00AC0814">
      <w:start w:val="1"/>
      <w:numFmt w:val="bullet"/>
      <w:lvlText w:val="•"/>
      <w:lvlJc w:val="left"/>
      <w:pPr>
        <w:ind w:left="2880" w:hanging="360"/>
      </w:pPr>
    </w:lvl>
    <w:lvl w:ilvl="4" w:tplc="2190F8A6">
      <w:start w:val="1"/>
      <w:numFmt w:val="bullet"/>
      <w:lvlText w:val="o"/>
      <w:lvlJc w:val="left"/>
      <w:pPr>
        <w:ind w:left="3600" w:hanging="360"/>
      </w:pPr>
    </w:lvl>
    <w:lvl w:ilvl="5" w:tplc="85D00E88">
      <w:start w:val="1"/>
      <w:numFmt w:val="bullet"/>
      <w:lvlText w:val="▪"/>
      <w:lvlJc w:val="left"/>
      <w:pPr>
        <w:ind w:left="4320" w:hanging="360"/>
      </w:pPr>
    </w:lvl>
    <w:lvl w:ilvl="6" w:tplc="D2C2F5FC">
      <w:start w:val="1"/>
      <w:numFmt w:val="bullet"/>
      <w:lvlText w:val="•"/>
      <w:lvlJc w:val="left"/>
      <w:pPr>
        <w:ind w:left="5040" w:hanging="360"/>
      </w:pPr>
    </w:lvl>
    <w:lvl w:ilvl="7" w:tplc="90B27992">
      <w:start w:val="1"/>
      <w:numFmt w:val="bullet"/>
      <w:lvlText w:val="o"/>
      <w:lvlJc w:val="left"/>
      <w:pPr>
        <w:ind w:left="5760" w:hanging="360"/>
      </w:pPr>
    </w:lvl>
    <w:lvl w:ilvl="8" w:tplc="79C2ACEA">
      <w:start w:val="1"/>
      <w:numFmt w:val="bullet"/>
      <w:lvlText w:val="▪"/>
      <w:lvlJc w:val="left"/>
      <w:pPr>
        <w:ind w:left="6480" w:hanging="360"/>
      </w:pPr>
    </w:lvl>
  </w:abstractNum>
  <w:abstractNum w:abstractNumId="1" w15:restartNumberingAfterBreak="0">
    <w:nsid w:val="4B0713FA"/>
    <w:multiLevelType w:val="hybridMultilevel"/>
    <w:tmpl w:val="27DA5B78"/>
    <w:lvl w:ilvl="0" w:tplc="643CB424">
      <w:start w:val="1"/>
      <w:numFmt w:val="decimal"/>
      <w:lvlText w:val="%1."/>
      <w:lvlJc w:val="left"/>
      <w:pPr>
        <w:ind w:left="720" w:hanging="360"/>
      </w:pPr>
    </w:lvl>
    <w:lvl w:ilvl="1" w:tplc="80D038C0">
      <w:start w:val="1"/>
      <w:numFmt w:val="lowerLetter"/>
      <w:lvlText w:val="%2."/>
      <w:lvlJc w:val="left"/>
      <w:pPr>
        <w:ind w:left="1440" w:hanging="360"/>
      </w:pPr>
    </w:lvl>
    <w:lvl w:ilvl="2" w:tplc="80FE33E4">
      <w:start w:val="1"/>
      <w:numFmt w:val="lowerRoman"/>
      <w:lvlText w:val="%3."/>
      <w:lvlJc w:val="left"/>
      <w:pPr>
        <w:ind w:left="2160" w:hanging="360"/>
      </w:pPr>
    </w:lvl>
    <w:lvl w:ilvl="3" w:tplc="0C3CDFF8">
      <w:start w:val="1"/>
      <w:numFmt w:val="decimal"/>
      <w:lvlText w:val="%4."/>
      <w:lvlJc w:val="left"/>
      <w:pPr>
        <w:ind w:left="2880" w:hanging="360"/>
      </w:pPr>
    </w:lvl>
    <w:lvl w:ilvl="4" w:tplc="AEDCBEE8">
      <w:start w:val="1"/>
      <w:numFmt w:val="lowerLetter"/>
      <w:lvlText w:val="%5."/>
      <w:lvlJc w:val="left"/>
      <w:pPr>
        <w:ind w:left="3600" w:hanging="360"/>
      </w:pPr>
    </w:lvl>
    <w:lvl w:ilvl="5" w:tplc="47AC14BC">
      <w:start w:val="1"/>
      <w:numFmt w:val="lowerRoman"/>
      <w:lvlText w:val="%6."/>
      <w:lvlJc w:val="left"/>
      <w:pPr>
        <w:ind w:left="4320" w:hanging="360"/>
      </w:pPr>
    </w:lvl>
    <w:lvl w:ilvl="6" w:tplc="BD086A38">
      <w:start w:val="1"/>
      <w:numFmt w:val="decimal"/>
      <w:lvlText w:val="%7."/>
      <w:lvlJc w:val="left"/>
      <w:pPr>
        <w:ind w:left="5040" w:hanging="360"/>
      </w:pPr>
    </w:lvl>
    <w:lvl w:ilvl="7" w:tplc="7FCAF7D8">
      <w:start w:val="1"/>
      <w:numFmt w:val="lowerLetter"/>
      <w:lvlText w:val="%8."/>
      <w:lvlJc w:val="left"/>
      <w:pPr>
        <w:ind w:left="5760" w:hanging="360"/>
      </w:pPr>
    </w:lvl>
    <w:lvl w:ilvl="8" w:tplc="C06EB64E">
      <w:start w:val="1"/>
      <w:numFmt w:val="lowerRoman"/>
      <w:lvlText w:val="%9."/>
      <w:lvlJc w:val="left"/>
      <w:pPr>
        <w:ind w:left="6480" w:hanging="360"/>
      </w:pPr>
    </w:lvl>
  </w:abstractNum>
  <w:num w:numId="1" w16cid:durableId="1626354565">
    <w:abstractNumId w:val="0"/>
  </w:num>
  <w:num w:numId="2" w16cid:durableId="594482793">
    <w:abstractNumId w:val="0"/>
  </w:num>
  <w:num w:numId="3" w16cid:durableId="359862287">
    <w:abstractNumId w:val="1"/>
    <w:lvlOverride w:ilvl="0">
      <w:startOverride w:val="1"/>
    </w:lvlOverride>
  </w:num>
  <w:num w:numId="4" w16cid:durableId="1997996668">
    <w:abstractNumId w:val="0"/>
  </w:num>
  <w:num w:numId="5" w16cid:durableId="1963489994">
    <w:abstractNumId w:val="1"/>
    <w:lvlOverride w:ilvl="0">
      <w:startOverride w:val="1"/>
    </w:lvlOverride>
  </w:num>
  <w:num w:numId="6" w16cid:durableId="1415779869">
    <w:abstractNumId w:val="1"/>
    <w:lvlOverride w:ilvl="0">
      <w:startOverride w:val="6"/>
    </w:lvlOverride>
  </w:num>
  <w:num w:numId="7" w16cid:durableId="663624443">
    <w:abstractNumId w:val="1"/>
    <w:lvlOverride w:ilvl="0">
      <w:startOverride w:val="1"/>
    </w:lvlOverride>
  </w:num>
  <w:num w:numId="8" w16cid:durableId="1705012941">
    <w:abstractNumId w:val="0"/>
  </w:num>
  <w:num w:numId="9" w16cid:durableId="1888106141">
    <w:abstractNumId w:val="1"/>
    <w:lvlOverride w:ilvl="0">
      <w:startOverride w:val="1"/>
    </w:lvlOverride>
  </w:num>
  <w:num w:numId="10" w16cid:durableId="1190417709">
    <w:abstractNumId w:val="0"/>
  </w:num>
  <w:num w:numId="11" w16cid:durableId="16836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6A99"/>
    <w:rsid w:val="001C51EB"/>
    <w:rsid w:val="00231945"/>
    <w:rsid w:val="003D56A2"/>
    <w:rsid w:val="00897677"/>
    <w:rsid w:val="009D6A99"/>
    <w:rsid w:val="00AD17FF"/>
    <w:rsid w:val="00DA5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1783"/>
  <w15:docId w15:val="{18B3F575-C4B1-4ACF-81A2-DDEB6CB3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76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dianunderwriter.ca/2022/04/07/how-profitable-was-canadas-pc-industry-last-year/" TargetMode="External"/><Relationship Id="rId3" Type="http://schemas.openxmlformats.org/officeDocument/2006/relationships/settings" Target="settings.xml"/><Relationship Id="rId7" Type="http://schemas.openxmlformats.org/officeDocument/2006/relationships/hyperlink" Target="https://canadianunderwriter.ca/2014/03/31/ibc-says-weather-hit-pc-insurers-results-hard-in-2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toryblok.com/f/339220/c4a97576da/ibc-2023-facts-section-one.pdf" TargetMode="External"/><Relationship Id="rId11" Type="http://schemas.openxmlformats.org/officeDocument/2006/relationships/theme" Target="theme/theme1.xml"/><Relationship Id="rId5" Type="http://schemas.openxmlformats.org/officeDocument/2006/relationships/hyperlink" Target="https://ibc.ca/industry-resources/resources-data/facts-boo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Commercial Property Loss Ratio Model Explanation and Summary</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Property Loss Ratio Model Explanation and Summary</dc:title>
  <dc:description>Claude Docs node/f5995534-b114@12 docx-w7</dc:description>
  <cp:lastModifiedBy>Judin Rose George</cp:lastModifiedBy>
  <cp:revision>16</cp:revision>
  <dcterms:created xsi:type="dcterms:W3CDTF">2026-10-28T16:56:00Z</dcterms:created>
  <dcterms:modified xsi:type="dcterms:W3CDTF">2026-10-28T17:12:00Z</dcterms:modified>
</cp:coreProperties>
</file>