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FC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57FC" w:rsidRPr="00CC5C61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Pr="00CC5C61">
        <w:rPr>
          <w:rFonts w:ascii="Arial" w:hAnsi="Arial" w:cs="Arial"/>
        </w:rPr>
        <w:t>1800-4030/2010</w:t>
      </w:r>
      <w:r w:rsidRPr="00CC5C61">
        <w:rPr>
          <w:rFonts w:ascii="Arial" w:hAnsi="Arial" w:cs="Arial"/>
        </w:rPr>
        <w:tab/>
      </w:r>
    </w:p>
    <w:p w:rsidR="00BD57FC" w:rsidRPr="00CC5C61" w:rsidRDefault="00BD57FC" w:rsidP="00BD57FC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Pr="00CC5C61">
        <w:rPr>
          <w:rFonts w:ascii="Arial" w:hAnsi="Arial" w:cs="Arial"/>
        </w:rPr>
        <w:t>: Maria José Clementino da Silva</w:t>
      </w:r>
    </w:p>
    <w:p w:rsidR="00BD57FC" w:rsidRPr="00CC5C61" w:rsidRDefault="00BD57FC" w:rsidP="00BD57F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>: Pagamento retroativo referente à progressão funcional por nova habilitação.</w:t>
      </w:r>
    </w:p>
    <w:p w:rsidR="00BD57FC" w:rsidRPr="00CC5C61" w:rsidRDefault="00BD57FC" w:rsidP="00BD57FC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BD57FC" w:rsidRPr="009F4068" w:rsidRDefault="00BD57FC" w:rsidP="009F4068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u w:val="single"/>
        </w:rPr>
      </w:pPr>
      <w:r w:rsidRPr="009F4068">
        <w:rPr>
          <w:rFonts w:ascii="Arial" w:hAnsi="Arial" w:cs="Arial"/>
          <w:b/>
          <w:u w:val="single"/>
        </w:rPr>
        <w:t>DOS FATOS</w:t>
      </w:r>
    </w:p>
    <w:p w:rsidR="009F4068" w:rsidRPr="009F4068" w:rsidRDefault="009F4068" w:rsidP="009F4068">
      <w:pPr>
        <w:pStyle w:val="PargrafodaLista"/>
        <w:spacing w:after="0" w:line="360" w:lineRule="auto"/>
        <w:ind w:left="1069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habilitação, solicitada pela servidora </w:t>
      </w:r>
      <w:r w:rsidRPr="00CC5C61">
        <w:rPr>
          <w:rFonts w:ascii="Arial" w:hAnsi="Arial" w:cs="Arial"/>
          <w:b/>
        </w:rPr>
        <w:t>MARIA JOSÉ CLEMENTINO DA SILVA</w:t>
      </w:r>
      <w:r w:rsidRPr="00CC5C61">
        <w:rPr>
          <w:rFonts w:ascii="Arial" w:hAnsi="Arial" w:cs="Arial"/>
        </w:rPr>
        <w:t>, Matrícula 44.838-9, Professora, Nível Especial I – Magistério (AEMA I), Classe “D”, para o Nível I – Licenciatura Plena em Normal Superior (AELP I), Classe “D”.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27 (vinte e sete)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A instrução processual compreende os seguintes documentos: a) Solicitação inicial, subscrita pela servidora Maria José Clementino da Silva (fl. 02); b) Cópia autenticada da ficha funcional (fls. 03/05); c) Cópia autenticada do Certificado de Graduação (fl. 06); d) Cópia de Demonstrativo de Pagamento (fl. 07); e) Despacho da Gerência de Avaliação de Desempenho Funcional dos Servidores da Educação (fl. 08); f) Resposta a consulta realizada à Supervisão/SEED/MEC, via e-mail (fl. 09); g) Encaminhamento dos autos à SEGESP (fl. 10); h) Despacho com deferimento da progressão pela SEGESP (fl. 11); i) Despacho da Gerência de Instrução Processual (fl. 12); j) Tabela com os valores a serem percebidos, elaborada pela antiga SEEE/AL (fl. 13); k) Cadastro realizado no Sistema INTEGRA de promoção salarial (fl. 14); l) Demonstrativo de Pagamento após efetiva progressão funcional (fl. 15); m) Ficha financeira referente ao período de janeiro/2010 a dezembro/2010; n) Despacho da Unidade de Registro Funcional/SEEE (fl. 17); o) Dotação orçamentária (fl. 18); p) Despacho com determinação de implantação da progressão funcional (fl. 19); q) Despacho do Gabinete da SEGESP e folha de encaminhamento (Sistema INTEGRA) para providência de cálculos (fls. 20/21); r) Despacho da Diretoria de Operação da Folha de Pagamento com os cálculos solicitados (fl. 22); s) Despacho PGE-PA nº 1882/2011 (fl. 23); t) Despacho Jurídico PGE/PA-CD-00-3274/2011 (fls. 24/25); u) Despacho PGE/GAB nº 3962/2011 (fl. 26).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2- DO MÉRITO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[...]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Ressalte-se, ainda, a verificação da exação dos cálculos providenciada pela </w:t>
      </w:r>
      <w:r w:rsidRPr="00CC5C61">
        <w:rPr>
          <w:rFonts w:ascii="Arial" w:hAnsi="Arial" w:cs="Arial"/>
          <w:b/>
        </w:rPr>
        <w:t>Diretoria de Operação da Folha de Pagamento da</w:t>
      </w:r>
      <w:r w:rsidRPr="00CC5C61">
        <w:rPr>
          <w:rFonts w:ascii="Arial" w:hAnsi="Arial" w:cs="Arial"/>
        </w:rPr>
        <w:t xml:space="preserve"> </w:t>
      </w:r>
      <w:r w:rsidRPr="00CC5C61">
        <w:rPr>
          <w:rFonts w:ascii="Arial" w:hAnsi="Arial" w:cs="Arial"/>
          <w:b/>
        </w:rPr>
        <w:t xml:space="preserve">SEPLAG </w:t>
      </w:r>
      <w:r w:rsidRPr="00CC5C61">
        <w:rPr>
          <w:rFonts w:ascii="Arial" w:hAnsi="Arial" w:cs="Arial"/>
        </w:rPr>
        <w:t xml:space="preserve">(fl. 22), que ratificou os valores apresentados pela </w:t>
      </w:r>
      <w:r w:rsidRPr="00CC5C61">
        <w:rPr>
          <w:rFonts w:ascii="Arial" w:hAnsi="Arial" w:cs="Arial"/>
          <w:b/>
        </w:rPr>
        <w:t>SEDUC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(fl. 13).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2.1 – DO PERÍODO CONSIDERADO NOS CÁLCULOS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 xml:space="preserve">O período a ser considerado é aquele referente ao período de </w:t>
      </w:r>
      <w:r w:rsidRPr="00CC5C61">
        <w:rPr>
          <w:rFonts w:ascii="Arial" w:hAnsi="Arial" w:cs="Arial"/>
          <w:b/>
          <w:u w:val="single"/>
        </w:rPr>
        <w:t>16.04.2010</w:t>
      </w:r>
      <w:r w:rsidRPr="00CC5C61">
        <w:rPr>
          <w:rFonts w:ascii="Arial" w:hAnsi="Arial" w:cs="Arial"/>
        </w:rPr>
        <w:t xml:space="preserve"> a </w:t>
      </w:r>
      <w:r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 xml:space="preserve">, conforme despacho de verificação da exação de cálculos da </w:t>
      </w:r>
      <w:r w:rsidRPr="00CC5C61">
        <w:rPr>
          <w:rFonts w:ascii="Arial" w:hAnsi="Arial" w:cs="Arial"/>
          <w:b/>
        </w:rPr>
        <w:t>SEPLAG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(fl. 22).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2.2 – DO VALOR TOTAL A RECEBER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Diante das informações apresentadas, a servidora interessada faz jus ao recebimento de </w:t>
      </w:r>
      <w:r w:rsidRPr="00CC5C61">
        <w:rPr>
          <w:rFonts w:ascii="Arial" w:hAnsi="Arial" w:cs="Arial"/>
          <w:b/>
        </w:rPr>
        <w:t xml:space="preserve">R$ 17.491,39 </w:t>
      </w:r>
      <w:r w:rsidRPr="00CC5C61">
        <w:rPr>
          <w:rFonts w:ascii="Arial" w:hAnsi="Arial" w:cs="Arial"/>
        </w:rPr>
        <w:t>(dezessete mil quatrocentos e noventa e um reais e trinta e nove centavos).</w:t>
      </w:r>
    </w:p>
    <w:p w:rsidR="009F4068" w:rsidRPr="00BC1E62" w:rsidRDefault="009F4068" w:rsidP="009F4068">
      <w:pPr>
        <w:spacing w:before="240" w:after="0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C1E62">
        <w:rPr>
          <w:rFonts w:ascii="Arial" w:hAnsi="Arial" w:cs="Arial"/>
          <w:b/>
          <w:sz w:val="24"/>
          <w:szCs w:val="24"/>
          <w:u w:val="single"/>
        </w:rPr>
        <w:t>2.3 – DA DOTAÇÃO ORÇAMENTÁRIA</w:t>
      </w:r>
    </w:p>
    <w:p w:rsidR="009F4068" w:rsidRPr="00CC5C61" w:rsidRDefault="009F4068" w:rsidP="009F40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1E62">
        <w:rPr>
          <w:rFonts w:ascii="Arial" w:hAnsi="Arial" w:cs="Arial"/>
          <w:sz w:val="24"/>
          <w:szCs w:val="24"/>
        </w:rPr>
        <w:t xml:space="preserve">Consta dotação orçamentária de 2011 (fls. </w:t>
      </w:r>
      <w:r>
        <w:rPr>
          <w:rFonts w:ascii="Arial" w:hAnsi="Arial" w:cs="Arial"/>
          <w:sz w:val="24"/>
          <w:szCs w:val="24"/>
        </w:rPr>
        <w:t>18</w:t>
      </w:r>
      <w:r w:rsidRPr="00BC1E62">
        <w:rPr>
          <w:rFonts w:ascii="Arial" w:hAnsi="Arial" w:cs="Arial"/>
          <w:sz w:val="24"/>
          <w:szCs w:val="24"/>
        </w:rPr>
        <w:t>). Em razão disso, sugere-se o envio dos autos ao órgão de origem para informar dotação orçamentária atualizada para posterior pagamento do valor devido</w:t>
      </w:r>
      <w:r>
        <w:rPr>
          <w:rFonts w:ascii="Arial" w:hAnsi="Arial" w:cs="Arial"/>
          <w:sz w:val="24"/>
          <w:szCs w:val="24"/>
        </w:rPr>
        <w:t>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3 – CONCLUSÃO </w:t>
      </w:r>
    </w:p>
    <w:p w:rsidR="009F4068" w:rsidRDefault="009F4068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F4068" w:rsidRDefault="009F4068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Desta forma, diante das informações apresentadas, opinamos pelo deferimento do pagamento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de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  <w:b/>
        </w:rPr>
        <w:t xml:space="preserve">R$ 17.491,39 </w:t>
      </w:r>
      <w:r w:rsidRPr="00CC5C61">
        <w:rPr>
          <w:rFonts w:ascii="Arial" w:hAnsi="Arial" w:cs="Arial"/>
        </w:rPr>
        <w:t xml:space="preserve">(dezessete mil quatrocentos e noventa e um reais e trinta e nove centavos) a </w:t>
      </w:r>
      <w:r w:rsidRPr="00CC5C61">
        <w:rPr>
          <w:rFonts w:ascii="Arial" w:hAnsi="Arial" w:cs="Arial"/>
          <w:b/>
        </w:rPr>
        <w:t>Maria José Clementino da Silva</w:t>
      </w:r>
      <w:r w:rsidRPr="00CC5C61">
        <w:rPr>
          <w:rFonts w:ascii="Arial" w:hAnsi="Arial" w:cs="Arial"/>
        </w:rPr>
        <w:t xml:space="preserve">, referente à Progressão por nova habilitação do período de </w:t>
      </w:r>
      <w:r w:rsidRPr="00CC5C61">
        <w:rPr>
          <w:rFonts w:ascii="Arial" w:hAnsi="Arial" w:cs="Arial"/>
          <w:b/>
          <w:u w:val="single"/>
        </w:rPr>
        <w:t>16.04.2010</w:t>
      </w:r>
      <w:r w:rsidRPr="00CC5C61">
        <w:rPr>
          <w:rFonts w:ascii="Arial" w:hAnsi="Arial" w:cs="Arial"/>
        </w:rPr>
        <w:t xml:space="preserve"> a </w:t>
      </w:r>
      <w:r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>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 necessidade</w:t>
      </w:r>
      <w:r w:rsidR="009F4068">
        <w:rPr>
          <w:rFonts w:ascii="Arial" w:hAnsi="Arial" w:cs="Arial"/>
        </w:rPr>
        <w:t xml:space="preserve"> de atualização da dotação orçamentária, sugerimos o envio dos autos à SEDUC para providências nesse âmbito.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C5C61">
        <w:rPr>
          <w:rFonts w:ascii="Arial" w:hAnsi="Arial" w:cs="Arial"/>
        </w:rPr>
        <w:t>Isto posto</w:t>
      </w:r>
      <w:proofErr w:type="gramEnd"/>
      <w:r w:rsidRPr="00CC5C61">
        <w:rPr>
          <w:rFonts w:ascii="Arial" w:hAnsi="Arial" w:cs="Arial"/>
        </w:rPr>
        <w:t xml:space="preserve">, evoluímos os autos ao Gabinete da </w:t>
      </w:r>
      <w:r w:rsidRPr="00CC5C61">
        <w:rPr>
          <w:rFonts w:ascii="Arial" w:hAnsi="Arial" w:cs="Arial"/>
          <w:b/>
        </w:rPr>
        <w:t>Controladora Geral do Estado</w:t>
      </w:r>
      <w:r w:rsidRPr="00CC5C61">
        <w:rPr>
          <w:rFonts w:ascii="Arial" w:hAnsi="Arial" w:cs="Arial"/>
        </w:rPr>
        <w:t xml:space="preserve"> para conhecimento da análise apresentada e providências que o caso requer.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À consideração da Superintendência de Auditagem da Controladoria Geral do Estado de Alagoas – CGE/AL.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7FC" w:rsidRDefault="00BD57FC" w:rsidP="009F4068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31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9F4068" w:rsidRDefault="009F4068" w:rsidP="009F4068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9F4068" w:rsidRPr="00CC5C61" w:rsidRDefault="009F4068" w:rsidP="009F4068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D57FC" w:rsidRPr="00CC5C61" w:rsidRDefault="00BD57FC" w:rsidP="009F4068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D57FC" w:rsidRPr="00CC5C61" w:rsidRDefault="00BD57FC" w:rsidP="009F4068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CC5C61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BD57FC" w:rsidRPr="00CC5C61" w:rsidRDefault="00BD57FC" w:rsidP="009F4068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BD57FC" w:rsidRPr="00CC5C61" w:rsidRDefault="00BD57FC" w:rsidP="009F4068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BD57FC" w:rsidRPr="00CC5C61" w:rsidRDefault="00BD57FC" w:rsidP="009F4068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BD57FC" w:rsidRPr="00CC5C61" w:rsidRDefault="00BD57FC" w:rsidP="009F406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BD57FC" w:rsidRPr="00CC5C61" w:rsidRDefault="00BD57FC" w:rsidP="009F406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BD57FC" w:rsidRPr="00CC5C61" w:rsidRDefault="00BD57FC" w:rsidP="009F406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BD57FC" w:rsidRPr="00CC5C61" w:rsidRDefault="00BD57FC" w:rsidP="009F40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BD57FC" w:rsidRPr="00CC5C61" w:rsidRDefault="00BD57FC" w:rsidP="00BD57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BD57FC" w:rsidRPr="00CC5C61" w:rsidTr="005F6460">
        <w:trPr>
          <w:trHeight w:val="552"/>
        </w:trPr>
        <w:tc>
          <w:tcPr>
            <w:tcW w:w="4238" w:type="dxa"/>
          </w:tcPr>
          <w:p w:rsidR="00BD57FC" w:rsidRPr="00CC5C61" w:rsidRDefault="00BD57FC" w:rsidP="005F6460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:rsidR="00BD57FC" w:rsidRPr="00CC5C61" w:rsidRDefault="00BD57FC" w:rsidP="005F64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D57FC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493668" w:rsidRPr="00BD57FC" w:rsidRDefault="00493668" w:rsidP="00BD57FC">
      <w:pPr>
        <w:rPr>
          <w:szCs w:val="23"/>
        </w:rPr>
      </w:pPr>
    </w:p>
    <w:sectPr w:rsidR="00493668" w:rsidRPr="00BD57FC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8A" w:rsidRDefault="00D8428A" w:rsidP="003068B9">
      <w:pPr>
        <w:spacing w:after="0" w:line="240" w:lineRule="auto"/>
      </w:pPr>
      <w:r>
        <w:separator/>
      </w:r>
    </w:p>
  </w:endnote>
  <w:end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8A" w:rsidRDefault="00D8428A" w:rsidP="003068B9">
      <w:pPr>
        <w:spacing w:after="0" w:line="240" w:lineRule="auto"/>
      </w:pPr>
      <w:r>
        <w:separator/>
      </w:r>
    </w:p>
  </w:footnote>
  <w:foot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005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D4F7F"/>
    <w:multiLevelType w:val="hybridMultilevel"/>
    <w:tmpl w:val="D9B80AB2"/>
    <w:lvl w:ilvl="0" w:tplc="4750273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503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50E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57FC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82B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23AA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4</cp:revision>
  <cp:lastPrinted>2016-09-22T11:58:00Z</cp:lastPrinted>
  <dcterms:created xsi:type="dcterms:W3CDTF">2016-10-31T17:28:00Z</dcterms:created>
  <dcterms:modified xsi:type="dcterms:W3CDTF">2016-11-01T12:29:00Z</dcterms:modified>
</cp:coreProperties>
</file>