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3D2B">
        <w:rPr>
          <w:rFonts w:ascii="Arial" w:hAnsi="Arial" w:cs="Arial"/>
          <w:b/>
          <w:sz w:val="22"/>
          <w:szCs w:val="22"/>
          <w:lang w:val="pt-BR"/>
        </w:rPr>
        <w:t>1203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A08C0">
        <w:rPr>
          <w:rFonts w:ascii="Arial" w:hAnsi="Arial" w:cs="Arial"/>
          <w:b/>
          <w:sz w:val="22"/>
          <w:szCs w:val="22"/>
          <w:lang w:val="pt-BR"/>
        </w:rPr>
        <w:t>2770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C03D2B">
        <w:rPr>
          <w:rFonts w:ascii="Arial" w:hAnsi="Arial" w:cs="Arial"/>
          <w:sz w:val="22"/>
          <w:szCs w:val="22"/>
          <w:lang w:val="pt-BR"/>
        </w:rPr>
        <w:t>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A08C0">
        <w:rPr>
          <w:rFonts w:ascii="Arial" w:hAnsi="Arial" w:cs="Arial"/>
          <w:sz w:val="22"/>
          <w:szCs w:val="22"/>
          <w:lang w:val="pt-BR"/>
        </w:rPr>
        <w:t>2008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FA08C0">
        <w:rPr>
          <w:rFonts w:ascii="Arial" w:hAnsi="Arial" w:cs="Arial"/>
          <w:sz w:val="22"/>
          <w:szCs w:val="22"/>
          <w:lang w:val="pt-BR"/>
        </w:rPr>
        <w:t>SUPERINTENDÊNCIA DE MATERIAL E PATRIMÔNIO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A08C0">
        <w:rPr>
          <w:rFonts w:ascii="Arial" w:hAnsi="Arial" w:cs="Arial"/>
          <w:sz w:val="22"/>
          <w:szCs w:val="22"/>
          <w:lang w:val="pt-BR"/>
        </w:rPr>
        <w:t>AQUISIÇÃO DE MATERIAL DE CONSUMO - APH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FA08C0">
        <w:rPr>
          <w:rFonts w:ascii="Arial" w:hAnsi="Arial" w:cs="Arial"/>
          <w:b/>
          <w:sz w:val="23"/>
          <w:szCs w:val="23"/>
        </w:rPr>
        <w:t>Rita de Cássia Araújo Soriano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C03D2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F82D-99CE-429A-A9E7-D3AFDF04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2017-02-24T14:04:00Z</cp:lastPrinted>
  <dcterms:created xsi:type="dcterms:W3CDTF">2017-02-24T15:07:00Z</dcterms:created>
  <dcterms:modified xsi:type="dcterms:W3CDTF">2017-02-24T15:07:00Z</dcterms:modified>
</cp:coreProperties>
</file>