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10DA1">
        <w:rPr>
          <w:rFonts w:ascii="Arial" w:hAnsi="Arial" w:cs="Arial"/>
          <w:b/>
          <w:sz w:val="22"/>
          <w:szCs w:val="22"/>
          <w:lang w:val="pt-BR"/>
        </w:rPr>
        <w:t>13020 1127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4771A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10DA1">
        <w:rPr>
          <w:rFonts w:ascii="Arial" w:hAnsi="Arial" w:cs="Arial"/>
          <w:sz w:val="22"/>
          <w:szCs w:val="22"/>
          <w:lang w:val="pt-BR"/>
        </w:rPr>
        <w:t>2046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10DA1">
        <w:rPr>
          <w:rFonts w:ascii="Arial" w:hAnsi="Arial" w:cs="Arial"/>
          <w:sz w:val="22"/>
          <w:szCs w:val="22"/>
          <w:lang w:val="pt-BR"/>
        </w:rPr>
        <w:t>SEADES – SUPERINTENDÊNICA DE ADMINISTRATIVA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10DA1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1BF7-17D1-4C57-8E83-8815CEEF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2017-03-28T17:18:00Z</cp:lastPrinted>
  <dcterms:created xsi:type="dcterms:W3CDTF">2017-03-28T17:21:00Z</dcterms:created>
  <dcterms:modified xsi:type="dcterms:W3CDTF">2017-03-28T17:21:00Z</dcterms:modified>
</cp:coreProperties>
</file>