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A63D8E">
        <w:rPr>
          <w:rFonts w:ascii="Arial" w:hAnsi="Arial" w:cs="Arial"/>
          <w:b/>
          <w:sz w:val="22"/>
          <w:szCs w:val="22"/>
          <w:lang w:val="pt-BR"/>
        </w:rPr>
        <w:t>5521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A63D8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A63D8E">
        <w:rPr>
          <w:rFonts w:ascii="Arial" w:hAnsi="Arial" w:cs="Arial"/>
          <w:sz w:val="22"/>
          <w:szCs w:val="22"/>
          <w:lang w:val="pt-BR"/>
        </w:rPr>
        <w:t>36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63D8E">
        <w:rPr>
          <w:rFonts w:ascii="Arial" w:hAnsi="Arial" w:cs="Arial"/>
          <w:b/>
          <w:sz w:val="22"/>
          <w:szCs w:val="22"/>
          <w:lang w:val="pt-BR"/>
        </w:rPr>
        <w:t>ANGIOCLIN SERVIÇOS MÉDICOS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63D8E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E3D2A-8D39-4945-AAFD-132FBAAC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2017-04-07T17:48:00Z</cp:lastPrinted>
  <dcterms:created xsi:type="dcterms:W3CDTF">2017-04-07T17:49:00Z</dcterms:created>
  <dcterms:modified xsi:type="dcterms:W3CDTF">2017-04-07T17:49:00Z</dcterms:modified>
</cp:coreProperties>
</file>