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DD1C4F">
        <w:rPr>
          <w:rFonts w:ascii="Arial" w:hAnsi="Arial" w:cs="Arial"/>
          <w:b/>
          <w:sz w:val="22"/>
          <w:szCs w:val="22"/>
          <w:lang w:val="pt-BR"/>
        </w:rPr>
        <w:t>0045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9669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D1C4F">
        <w:rPr>
          <w:rFonts w:ascii="Arial" w:hAnsi="Arial" w:cs="Arial"/>
          <w:sz w:val="22"/>
          <w:szCs w:val="22"/>
          <w:lang w:val="pt-BR"/>
        </w:rPr>
        <w:t>39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proofErr w:type="gramStart"/>
      <w:r w:rsidR="00DD1C4F">
        <w:rPr>
          <w:rFonts w:ascii="Arial" w:hAnsi="Arial" w:cs="Arial"/>
          <w:b/>
          <w:sz w:val="22"/>
          <w:szCs w:val="22"/>
          <w:lang w:val="pt-BR"/>
        </w:rPr>
        <w:t>RICARDO GUSMÃO MOURA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D1C4F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782C1-90DC-41B0-8940-E141D56C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2017-04-07T18:02:00Z</cp:lastPrinted>
  <dcterms:created xsi:type="dcterms:W3CDTF">2017-04-07T18:02:00Z</dcterms:created>
  <dcterms:modified xsi:type="dcterms:W3CDTF">2017-04-07T18:02:00Z</dcterms:modified>
</cp:coreProperties>
</file>