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72665A">
        <w:rPr>
          <w:rFonts w:ascii="Arial" w:hAnsi="Arial" w:cs="Arial"/>
          <w:b/>
          <w:sz w:val="22"/>
          <w:szCs w:val="22"/>
          <w:lang w:val="pt-BR"/>
        </w:rPr>
        <w:t>5742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FA0FA4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2665A">
        <w:rPr>
          <w:rFonts w:ascii="Arial" w:hAnsi="Arial" w:cs="Arial"/>
          <w:sz w:val="22"/>
          <w:szCs w:val="22"/>
          <w:lang w:val="pt-BR"/>
        </w:rPr>
        <w:t>2200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72665A">
        <w:rPr>
          <w:rFonts w:ascii="Arial" w:hAnsi="Arial" w:cs="Arial"/>
          <w:b/>
          <w:sz w:val="22"/>
          <w:szCs w:val="22"/>
          <w:lang w:val="pt-BR"/>
        </w:rPr>
        <w:t>CLINICA PROCRIANÇA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7C611-8081-4DA5-A013-61D293818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2017-04-17T19:04:00Z</cp:lastPrinted>
  <dcterms:created xsi:type="dcterms:W3CDTF">2017-04-17T19:04:00Z</dcterms:created>
  <dcterms:modified xsi:type="dcterms:W3CDTF">2017-04-17T19:04:00Z</dcterms:modified>
</cp:coreProperties>
</file>