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3E63BC">
        <w:rPr>
          <w:rFonts w:ascii="Arial" w:hAnsi="Arial" w:cs="Arial"/>
          <w:b/>
          <w:sz w:val="22"/>
          <w:szCs w:val="22"/>
          <w:lang w:val="pt-BR"/>
        </w:rPr>
        <w:t>5502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E63B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E63BC">
        <w:rPr>
          <w:rFonts w:ascii="Arial" w:hAnsi="Arial" w:cs="Arial"/>
          <w:b/>
          <w:sz w:val="22"/>
          <w:szCs w:val="22"/>
          <w:lang w:val="pt-BR"/>
        </w:rPr>
        <w:t>UNIFISC-UNIDADE DE F. CLINICA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D9516-4948-4921-BD9E-8EDCDD4B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2017-04-19T20:26:00Z</cp:lastPrinted>
  <dcterms:created xsi:type="dcterms:W3CDTF">2017-04-19T20:27:00Z</dcterms:created>
  <dcterms:modified xsi:type="dcterms:W3CDTF">2017-04-19T20:27:00Z</dcterms:modified>
</cp:coreProperties>
</file>