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 1206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>6781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2602CC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3E63BC">
        <w:rPr>
          <w:rFonts w:ascii="Arial" w:hAnsi="Arial" w:cs="Arial"/>
          <w:sz w:val="22"/>
          <w:szCs w:val="22"/>
          <w:lang w:val="pt-BR"/>
        </w:rPr>
        <w:t>7</w:t>
      </w:r>
      <w:r w:rsidR="002602CC">
        <w:rPr>
          <w:rFonts w:ascii="Arial" w:hAnsi="Arial" w:cs="Arial"/>
          <w:sz w:val="22"/>
          <w:szCs w:val="22"/>
          <w:lang w:val="pt-BR"/>
        </w:rPr>
        <w:t>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602CC">
        <w:rPr>
          <w:rFonts w:ascii="Arial" w:hAnsi="Arial" w:cs="Arial"/>
          <w:b/>
          <w:sz w:val="22"/>
          <w:szCs w:val="22"/>
          <w:lang w:val="pt-BR"/>
        </w:rPr>
        <w:t>GLEMERSON JATOBÁ DE OLIVEIRA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>PAGAMENTO DOCENTE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34431-5776-4D77-9365-BD3F3D789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2017-04-20T14:37:00Z</cp:lastPrinted>
  <dcterms:created xsi:type="dcterms:W3CDTF">2017-04-20T14:38:00Z</dcterms:created>
  <dcterms:modified xsi:type="dcterms:W3CDTF">2017-04-20T14:38:00Z</dcterms:modified>
</cp:coreProperties>
</file>